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F3864"/>
          <w:sz w:val="46"/>
          <w:szCs w:val="46"/>
        </w:rPr>
        <w:t xml:space="preserve">[FACILITY NAME]</w:t>
      </w:r>
    </w:p>
    <w:p>
      <w:pPr>
        <w:spacing w:after="140" w:before="0"/>
        <w:jc w:val="center"/>
      </w:pPr>
      <w:r>
        <w:rPr>
          <w:b/>
          <w:bCs/>
          <w:sz w:val="34"/>
          <w:szCs w:val="34"/>
        </w:rPr>
        <w:t xml:space="preserve">Policy &amp; Procedure Manual</w:t>
      </w:r>
    </w:p>
    <w:p>
      <w:pPr>
        <w:spacing w:after="40" w:before="0"/>
        <w:jc w:val="center"/>
      </w:pPr>
      <w:r>
        <w:rPr>
          <w:i/>
          <w:iCs/>
          <w:color w:val="595959"/>
          <w:sz w:val="24"/>
          <w:szCs w:val="24"/>
        </w:rPr>
        <w:t xml:space="preserve">Assisted Living Residence Certified as a Supportive Living Program (SLP)</w:t>
      </w:r>
    </w:p>
    <w:p>
      <w:pPr>
        <w:spacing w:after="500" w:before="0"/>
        <w:jc w:val="center"/>
      </w:pPr>
      <w:r>
        <w:rPr>
          <w:i/>
          <w:iCs/>
          <w:color w:val="595959"/>
          <w:sz w:val="24"/>
          <w:szCs w:val="24"/>
        </w:rPr>
        <w:t xml:space="preserve">Brain Injury Residential</w:t>
      </w:r>
    </w:p>
    <w:p>
      <w:pPr>
        <w:spacing w:after="60" w:before="0"/>
        <w:jc w:val="center"/>
      </w:pPr>
      <w:r>
        <w:rPr>
          <w:color w:val="595959"/>
          <w:sz w:val="20"/>
          <w:szCs w:val="20"/>
        </w:rPr>
        <w:t xml:space="preserve">Regulatory basis: 6 CCR 1011-1 Chapter 7 (Assisted Living Residences); Chapter 2 (General Licensure);</w:t>
      </w:r>
    </w:p>
    <w:p>
      <w:pPr>
        <w:spacing w:after="60" w:before="0"/>
        <w:jc w:val="center"/>
      </w:pPr>
      <w:r>
        <w:rPr>
          <w:color w:val="595959"/>
          <w:sz w:val="20"/>
          <w:szCs w:val="20"/>
        </w:rPr>
        <w:t xml:space="preserve">Chapter 24 (Medication Administration) and C.R.S. 25-1.5-301 through 303;</w:t>
      </w:r>
    </w:p>
    <w:p>
      <w:pPr>
        <w:spacing w:after="400" w:before="0"/>
        <w:jc w:val="center"/>
      </w:pPr>
      <w:r>
        <w:rPr>
          <w:color w:val="595959"/>
          <w:sz w:val="20"/>
          <w:szCs w:val="20"/>
        </w:rPr>
        <w:t xml:space="preserve">HCBS Brain Injury Waiver and Supported Living Program, 10 CCR 2505-10 § 8.7000 series (§ 8.7550).</w:t>
      </w:r>
    </w:p>
    <w:p>
      <w:pPr>
        <w:spacing w:after="120" w:before="300"/>
        <w:jc w:val="center"/>
      </w:pPr>
      <w:r>
        <w:rPr>
          <w:i/>
          <w:iCs/>
          <w:color w:val="808080"/>
          <w:sz w:val="18"/>
          <w:szCs w:val="18"/>
        </w:rPr>
        <w:t xml:space="preserve">This manual is a customizable template. Replace every bracketed field with your organization's details and adapt each policy to your operations before use.</w:t>
      </w:r>
    </w:p>
    <w:p>
      <w:r>
        <w:br w:type="page"/>
      </w:r>
    </w:p>
    <w:p>
      <w:pPr>
        <w:spacing w:after="160"/>
      </w:pPr>
      <w:r>
        <w:rPr>
          <w:b/>
          <w:bCs/>
          <w:color w:val="1F3864"/>
          <w:sz w:val="30"/>
          <w:szCs w:val="30"/>
        </w:rPr>
        <w:t xml:space="preserve">Master Table of Contents</w:t>
      </w:r>
    </w:p>
    <w:p>
      <w:pPr>
        <w:pBdr>
          <w:bottom w:val="single" w:color="1F3864" w:sz="6"/>
        </w:pBdr>
        <w:spacing w:after="100" w:before="240"/>
      </w:pPr>
      <w:r>
        <w:rPr>
          <w:b/>
          <w:bCs/>
          <w:color w:val="1F3864"/>
          <w:sz w:val="24"/>
          <w:szCs w:val="24"/>
        </w:rPr>
        <w:t xml:space="preserve">Front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F2F2F2" w:color="auto" w:val="clear"/>
            <w:tcMar>
              <w:top w:type="dxa" w:w="60"/>
              <w:left w:type="dxa" w:w="100"/>
              <w:bottom w:type="dxa" w:w="60"/>
              <w:right w:type="dxa" w:w="100"/>
            </w:tcMar>
            <w:vAlign w:val="center"/>
          </w:tcPr>
          <w:p>
            <w:r>
              <w:rPr>
                <w:b/>
                <w:bCs/>
                <w:sz w:val="21"/>
                <w:szCs w:val="21"/>
              </w:rPr>
              <w:t xml:space="preserve">Policy</w:t>
            </w:r>
          </w:p>
        </w:tc>
        <w:tc>
          <w:tcPr>
            <w:tcW w:type="dxa" w:w="7860"/>
            <w:shd w:fill="F2F2F2" w:color="auto" w:val="clear"/>
            <w:tcMar>
              <w:top w:type="dxa" w:w="60"/>
              <w:left w:type="dxa" w:w="100"/>
              <w:bottom w:type="dxa" w:w="60"/>
              <w:right w:type="dxa" w:w="100"/>
            </w:tcMar>
            <w:vAlign w:val="center"/>
          </w:tcPr>
          <w:p>
            <w:r>
              <w:rPr>
                <w:b/>
                <w:bCs/>
                <w:sz w:val="21"/>
                <w:szCs w:val="21"/>
              </w:rPr>
              <w:t xml:space="preserve">Title</w:t>
            </w:r>
          </w:p>
        </w:tc>
      </w:tr>
      <w:tr>
        <w:tc>
          <w:tcPr>
            <w:tcW w:type="dxa" w:w="1500"/>
            <w:tcMar>
              <w:top w:type="dxa" w:w="60"/>
              <w:left w:type="dxa" w:w="100"/>
              <w:bottom w:type="dxa" w:w="60"/>
              <w:right w:type="dxa" w:w="100"/>
            </w:tcMar>
            <w:vAlign w:val="center"/>
          </w:tcPr>
          <w:p>
            <w:r>
              <w:rPr>
                <w:b/>
                <w:bCs/>
                <w:sz w:val="21"/>
                <w:szCs w:val="21"/>
              </w:rPr>
              <w:t xml:space="preserve">—</w:t>
            </w:r>
          </w:p>
        </w:tc>
        <w:tc>
          <w:tcPr>
            <w:tcW w:type="dxa" w:w="7860"/>
            <w:tcMar>
              <w:top w:type="dxa" w:w="60"/>
              <w:left w:type="dxa" w:w="100"/>
              <w:bottom w:type="dxa" w:w="60"/>
              <w:right w:type="dxa" w:w="100"/>
            </w:tcMar>
            <w:vAlign w:val="center"/>
          </w:tcPr>
          <w:p>
            <w:r>
              <w:rPr>
                <w:sz w:val="21"/>
                <w:szCs w:val="21"/>
              </w:rPr>
              <w:t xml:space="preserve">State Rules and Regulations (6 CCR 1011-1 Chapter 7, Chapter 2, Chapter 24; HCBS Brain Injury Waiver / SLP, 10 CCR 2505-10 § 8.7000 series, including § 8.7550)</w:t>
            </w:r>
          </w:p>
        </w:tc>
      </w:tr>
      <w:tr>
        <w:tc>
          <w:tcPr>
            <w:tcW w:type="dxa" w:w="1500"/>
            <w:tcMar>
              <w:top w:type="dxa" w:w="60"/>
              <w:left w:type="dxa" w:w="100"/>
              <w:bottom w:type="dxa" w:w="60"/>
              <w:right w:type="dxa" w:w="100"/>
            </w:tcMar>
            <w:vAlign w:val="center"/>
          </w:tcPr>
          <w:p>
            <w:r>
              <w:rPr>
                <w:b/>
                <w:bCs/>
                <w:sz w:val="21"/>
                <w:szCs w:val="21"/>
              </w:rPr>
              <w:t xml:space="preserve">—</w:t>
            </w:r>
          </w:p>
        </w:tc>
        <w:tc>
          <w:tcPr>
            <w:tcW w:type="dxa" w:w="7860"/>
            <w:tcMar>
              <w:top w:type="dxa" w:w="60"/>
              <w:left w:type="dxa" w:w="100"/>
              <w:bottom w:type="dxa" w:w="60"/>
              <w:right w:type="dxa" w:w="100"/>
            </w:tcMar>
            <w:vAlign w:val="center"/>
          </w:tcPr>
          <w:p>
            <w:r>
              <w:rPr>
                <w:sz w:val="21"/>
                <w:szCs w:val="21"/>
              </w:rPr>
              <w:t xml:space="preserve">Yearly Policy Check Report by Administrator</w:t>
            </w:r>
          </w:p>
        </w:tc>
      </w:tr>
    </w:tbl>
    <w:p>
      <w:pPr>
        <w:pBdr>
          <w:bottom w:val="single" w:color="1F3864" w:sz="6"/>
        </w:pBdr>
        <w:spacing w:after="100" w:before="240"/>
      </w:pPr>
      <w:r>
        <w:rPr>
          <w:b/>
          <w:bCs/>
          <w:color w:val="1F3864"/>
          <w:sz w:val="24"/>
          <w:szCs w:val="24"/>
        </w:rPr>
        <w:t xml:space="preserve">Section 1 — Staff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F2F2F2" w:color="auto" w:val="clear"/>
            <w:tcMar>
              <w:top w:type="dxa" w:w="60"/>
              <w:left w:type="dxa" w:w="100"/>
              <w:bottom w:type="dxa" w:w="60"/>
              <w:right w:type="dxa" w:w="100"/>
            </w:tcMar>
            <w:vAlign w:val="center"/>
          </w:tcPr>
          <w:p>
            <w:r>
              <w:rPr>
                <w:b/>
                <w:bCs/>
                <w:sz w:val="21"/>
                <w:szCs w:val="21"/>
              </w:rPr>
              <w:t xml:space="preserve">Policy</w:t>
            </w:r>
          </w:p>
        </w:tc>
        <w:tc>
          <w:tcPr>
            <w:tcW w:type="dxa" w:w="7860"/>
            <w:shd w:fill="F2F2F2" w:color="auto" w:val="clear"/>
            <w:tcMar>
              <w:top w:type="dxa" w:w="60"/>
              <w:left w:type="dxa" w:w="100"/>
              <w:bottom w:type="dxa" w:w="60"/>
              <w:right w:type="dxa" w:w="100"/>
            </w:tcMar>
            <w:vAlign w:val="center"/>
          </w:tcPr>
          <w:p>
            <w:r>
              <w:rPr>
                <w:b/>
                <w:bCs/>
                <w:sz w:val="21"/>
                <w:szCs w:val="21"/>
              </w:rPr>
              <w:t xml:space="preserve">Title</w:t>
            </w:r>
          </w:p>
        </w:tc>
      </w:tr>
      <w:tr>
        <w:tc>
          <w:tcPr>
            <w:tcW w:type="dxa" w:w="1500"/>
            <w:tcMar>
              <w:top w:type="dxa" w:w="60"/>
              <w:left w:type="dxa" w:w="100"/>
              <w:bottom w:type="dxa" w:w="60"/>
              <w:right w:type="dxa" w:w="100"/>
            </w:tcMar>
            <w:vAlign w:val="center"/>
          </w:tcPr>
          <w:p>
            <w:r>
              <w:rPr>
                <w:b/>
                <w:bCs/>
                <w:sz w:val="21"/>
                <w:szCs w:val="21"/>
              </w:rPr>
              <w:t xml:space="preserve">00.01</w:t>
            </w:r>
          </w:p>
        </w:tc>
        <w:tc>
          <w:tcPr>
            <w:tcW w:type="dxa" w:w="7860"/>
            <w:tcMar>
              <w:top w:type="dxa" w:w="60"/>
              <w:left w:type="dxa" w:w="100"/>
              <w:bottom w:type="dxa" w:w="60"/>
              <w:right w:type="dxa" w:w="100"/>
            </w:tcMar>
            <w:vAlign w:val="center"/>
          </w:tcPr>
          <w:p>
            <w:r>
              <w:rPr>
                <w:sz w:val="21"/>
                <w:szCs w:val="21"/>
              </w:rPr>
              <w:t xml:space="preserve">Residential Facilities Weather Policy</w:t>
            </w:r>
          </w:p>
        </w:tc>
      </w:tr>
      <w:tr>
        <w:tc>
          <w:tcPr>
            <w:tcW w:type="dxa" w:w="1500"/>
            <w:tcMar>
              <w:top w:type="dxa" w:w="60"/>
              <w:left w:type="dxa" w:w="100"/>
              <w:bottom w:type="dxa" w:w="60"/>
              <w:right w:type="dxa" w:w="100"/>
            </w:tcMar>
            <w:vAlign w:val="center"/>
          </w:tcPr>
          <w:p>
            <w:r>
              <w:rPr>
                <w:b/>
                <w:bCs/>
                <w:sz w:val="21"/>
                <w:szCs w:val="21"/>
              </w:rPr>
              <w:t xml:space="preserve">00.02</w:t>
            </w:r>
          </w:p>
        </w:tc>
        <w:tc>
          <w:tcPr>
            <w:tcW w:type="dxa" w:w="7860"/>
            <w:tcMar>
              <w:top w:type="dxa" w:w="60"/>
              <w:left w:type="dxa" w:w="100"/>
              <w:bottom w:type="dxa" w:w="60"/>
              <w:right w:type="dxa" w:w="100"/>
            </w:tcMar>
            <w:vAlign w:val="center"/>
          </w:tcPr>
          <w:p>
            <w:r>
              <w:rPr>
                <w:sz w:val="21"/>
                <w:szCs w:val="21"/>
              </w:rPr>
              <w:t xml:space="preserve">Personnel Policy</w:t>
            </w:r>
          </w:p>
        </w:tc>
      </w:tr>
      <w:tr>
        <w:tc>
          <w:tcPr>
            <w:tcW w:type="dxa" w:w="1500"/>
            <w:tcMar>
              <w:top w:type="dxa" w:w="60"/>
              <w:left w:type="dxa" w:w="100"/>
              <w:bottom w:type="dxa" w:w="60"/>
              <w:right w:type="dxa" w:w="100"/>
            </w:tcMar>
            <w:vAlign w:val="center"/>
          </w:tcPr>
          <w:p>
            <w:r>
              <w:rPr>
                <w:b/>
                <w:bCs/>
                <w:sz w:val="21"/>
                <w:szCs w:val="21"/>
              </w:rPr>
              <w:t xml:space="preserve">00.03</w:t>
            </w:r>
          </w:p>
        </w:tc>
        <w:tc>
          <w:tcPr>
            <w:tcW w:type="dxa" w:w="7860"/>
            <w:tcMar>
              <w:top w:type="dxa" w:w="60"/>
              <w:left w:type="dxa" w:w="100"/>
              <w:bottom w:type="dxa" w:w="60"/>
              <w:right w:type="dxa" w:w="100"/>
            </w:tcMar>
            <w:vAlign w:val="center"/>
          </w:tcPr>
          <w:p>
            <w:r>
              <w:rPr>
                <w:sz w:val="21"/>
                <w:szCs w:val="21"/>
              </w:rPr>
              <w:t xml:space="preserve">QMAP Verification and Professional Licensure Disclosure Policy</w:t>
            </w:r>
          </w:p>
        </w:tc>
      </w:tr>
      <w:tr>
        <w:tc>
          <w:tcPr>
            <w:tcW w:type="dxa" w:w="1500"/>
            <w:tcMar>
              <w:top w:type="dxa" w:w="60"/>
              <w:left w:type="dxa" w:w="100"/>
              <w:bottom w:type="dxa" w:w="60"/>
              <w:right w:type="dxa" w:w="100"/>
            </w:tcMar>
            <w:vAlign w:val="center"/>
          </w:tcPr>
          <w:p>
            <w:r>
              <w:rPr>
                <w:b/>
                <w:bCs/>
                <w:sz w:val="21"/>
                <w:szCs w:val="21"/>
              </w:rPr>
              <w:t xml:space="preserve">00.04</w:t>
            </w:r>
          </w:p>
        </w:tc>
        <w:tc>
          <w:tcPr>
            <w:tcW w:type="dxa" w:w="7860"/>
            <w:tcMar>
              <w:top w:type="dxa" w:w="60"/>
              <w:left w:type="dxa" w:w="100"/>
              <w:bottom w:type="dxa" w:w="60"/>
              <w:right w:type="dxa" w:w="100"/>
            </w:tcMar>
            <w:vAlign w:val="center"/>
          </w:tcPr>
          <w:p>
            <w:r>
              <w:rPr>
                <w:sz w:val="21"/>
                <w:szCs w:val="21"/>
              </w:rPr>
              <w:t xml:space="preserve">Shift Call-Off and Scheduling Policy</w:t>
            </w:r>
          </w:p>
        </w:tc>
      </w:tr>
      <w:tr>
        <w:tc>
          <w:tcPr>
            <w:tcW w:type="dxa" w:w="1500"/>
            <w:tcMar>
              <w:top w:type="dxa" w:w="60"/>
              <w:left w:type="dxa" w:w="100"/>
              <w:bottom w:type="dxa" w:w="60"/>
              <w:right w:type="dxa" w:w="100"/>
            </w:tcMar>
            <w:vAlign w:val="center"/>
          </w:tcPr>
          <w:p>
            <w:r>
              <w:rPr>
                <w:b/>
                <w:bCs/>
                <w:sz w:val="21"/>
                <w:szCs w:val="21"/>
              </w:rPr>
              <w:t xml:space="preserve">00.05</w:t>
            </w:r>
          </w:p>
        </w:tc>
        <w:tc>
          <w:tcPr>
            <w:tcW w:type="dxa" w:w="7860"/>
            <w:tcMar>
              <w:top w:type="dxa" w:w="60"/>
              <w:left w:type="dxa" w:w="100"/>
              <w:bottom w:type="dxa" w:w="60"/>
              <w:right w:type="dxa" w:w="100"/>
            </w:tcMar>
            <w:vAlign w:val="center"/>
          </w:tcPr>
          <w:p>
            <w:r>
              <w:rPr>
                <w:sz w:val="21"/>
                <w:szCs w:val="21"/>
              </w:rPr>
              <w:t xml:space="preserve">Manager-On-Call Policy</w:t>
            </w:r>
          </w:p>
        </w:tc>
      </w:tr>
      <w:tr>
        <w:tc>
          <w:tcPr>
            <w:tcW w:type="dxa" w:w="1500"/>
            <w:tcMar>
              <w:top w:type="dxa" w:w="60"/>
              <w:left w:type="dxa" w:w="100"/>
              <w:bottom w:type="dxa" w:w="60"/>
              <w:right w:type="dxa" w:w="100"/>
            </w:tcMar>
            <w:vAlign w:val="center"/>
          </w:tcPr>
          <w:p>
            <w:r>
              <w:rPr>
                <w:b/>
                <w:bCs/>
                <w:sz w:val="21"/>
                <w:szCs w:val="21"/>
              </w:rPr>
              <w:t xml:space="preserve">00.06</w:t>
            </w:r>
          </w:p>
        </w:tc>
        <w:tc>
          <w:tcPr>
            <w:tcW w:type="dxa" w:w="7860"/>
            <w:tcMar>
              <w:top w:type="dxa" w:w="60"/>
              <w:left w:type="dxa" w:w="100"/>
              <w:bottom w:type="dxa" w:w="60"/>
              <w:right w:type="dxa" w:w="100"/>
            </w:tcMar>
            <w:vAlign w:val="center"/>
          </w:tcPr>
          <w:p>
            <w:r>
              <w:rPr>
                <w:sz w:val="21"/>
                <w:szCs w:val="21"/>
              </w:rPr>
              <w:t xml:space="preserve">Training Policy</w:t>
            </w:r>
          </w:p>
        </w:tc>
      </w:tr>
      <w:tr>
        <w:tc>
          <w:tcPr>
            <w:tcW w:type="dxa" w:w="1500"/>
            <w:tcMar>
              <w:top w:type="dxa" w:w="60"/>
              <w:left w:type="dxa" w:w="100"/>
              <w:bottom w:type="dxa" w:w="60"/>
              <w:right w:type="dxa" w:w="100"/>
            </w:tcMar>
            <w:vAlign w:val="center"/>
          </w:tcPr>
          <w:p>
            <w:r>
              <w:rPr>
                <w:b/>
                <w:bCs/>
                <w:sz w:val="21"/>
                <w:szCs w:val="21"/>
              </w:rPr>
              <w:t xml:space="preserve">00.07</w:t>
            </w:r>
          </w:p>
        </w:tc>
        <w:tc>
          <w:tcPr>
            <w:tcW w:type="dxa" w:w="7860"/>
            <w:tcMar>
              <w:top w:type="dxa" w:w="60"/>
              <w:left w:type="dxa" w:w="100"/>
              <w:bottom w:type="dxa" w:w="60"/>
              <w:right w:type="dxa" w:w="100"/>
            </w:tcMar>
            <w:vAlign w:val="center"/>
          </w:tcPr>
          <w:p>
            <w:r>
              <w:rPr>
                <w:sz w:val="21"/>
                <w:szCs w:val="21"/>
              </w:rPr>
              <w:t xml:space="preserve">Quality Management Program Policy</w:t>
            </w:r>
          </w:p>
        </w:tc>
      </w:tr>
      <w:tr>
        <w:tc>
          <w:tcPr>
            <w:tcW w:type="dxa" w:w="1500"/>
            <w:tcMar>
              <w:top w:type="dxa" w:w="60"/>
              <w:left w:type="dxa" w:w="100"/>
              <w:bottom w:type="dxa" w:w="60"/>
              <w:right w:type="dxa" w:w="100"/>
            </w:tcMar>
            <w:vAlign w:val="center"/>
          </w:tcPr>
          <w:p>
            <w:r>
              <w:rPr>
                <w:b/>
                <w:bCs/>
                <w:sz w:val="21"/>
                <w:szCs w:val="21"/>
              </w:rPr>
              <w:t xml:space="preserve">00.08</w:t>
            </w:r>
          </w:p>
        </w:tc>
        <w:tc>
          <w:tcPr>
            <w:tcW w:type="dxa" w:w="7860"/>
            <w:tcMar>
              <w:top w:type="dxa" w:w="60"/>
              <w:left w:type="dxa" w:w="100"/>
              <w:bottom w:type="dxa" w:w="60"/>
              <w:right w:type="dxa" w:w="100"/>
            </w:tcMar>
            <w:vAlign w:val="center"/>
          </w:tcPr>
          <w:p>
            <w:r>
              <w:rPr>
                <w:sz w:val="21"/>
                <w:szCs w:val="21"/>
              </w:rPr>
              <w:t xml:space="preserve">COVID-19 Vaccination Policy</w:t>
            </w:r>
          </w:p>
        </w:tc>
      </w:tr>
      <w:tr>
        <w:tc>
          <w:tcPr>
            <w:tcW w:type="dxa" w:w="1500"/>
            <w:tcMar>
              <w:top w:type="dxa" w:w="60"/>
              <w:left w:type="dxa" w:w="100"/>
              <w:bottom w:type="dxa" w:w="60"/>
              <w:right w:type="dxa" w:w="100"/>
            </w:tcMar>
            <w:vAlign w:val="center"/>
          </w:tcPr>
          <w:p>
            <w:r>
              <w:rPr>
                <w:b/>
                <w:bCs/>
                <w:sz w:val="21"/>
                <w:szCs w:val="21"/>
              </w:rPr>
              <w:t xml:space="preserve">00.09</w:t>
            </w:r>
          </w:p>
        </w:tc>
        <w:tc>
          <w:tcPr>
            <w:tcW w:type="dxa" w:w="7860"/>
            <w:tcMar>
              <w:top w:type="dxa" w:w="60"/>
              <w:left w:type="dxa" w:w="100"/>
              <w:bottom w:type="dxa" w:w="60"/>
              <w:right w:type="dxa" w:w="100"/>
            </w:tcMar>
            <w:vAlign w:val="center"/>
          </w:tcPr>
          <w:p>
            <w:r>
              <w:rPr>
                <w:sz w:val="21"/>
                <w:szCs w:val="21"/>
              </w:rPr>
              <w:t xml:space="preserve">COVID-19 Prevention and Response Plan Policy</w:t>
            </w:r>
          </w:p>
        </w:tc>
      </w:tr>
      <w:tr>
        <w:tc>
          <w:tcPr>
            <w:tcW w:type="dxa" w:w="1500"/>
            <w:tcMar>
              <w:top w:type="dxa" w:w="60"/>
              <w:left w:type="dxa" w:w="100"/>
              <w:bottom w:type="dxa" w:w="60"/>
              <w:right w:type="dxa" w:w="100"/>
            </w:tcMar>
            <w:vAlign w:val="center"/>
          </w:tcPr>
          <w:p>
            <w:r>
              <w:rPr>
                <w:b/>
                <w:bCs/>
                <w:sz w:val="21"/>
                <w:szCs w:val="21"/>
              </w:rPr>
              <w:t xml:space="preserve">3.00</w:t>
            </w:r>
          </w:p>
        </w:tc>
        <w:tc>
          <w:tcPr>
            <w:tcW w:type="dxa" w:w="7860"/>
            <w:tcMar>
              <w:top w:type="dxa" w:w="60"/>
              <w:left w:type="dxa" w:w="100"/>
              <w:bottom w:type="dxa" w:w="60"/>
              <w:right w:type="dxa" w:w="100"/>
            </w:tcMar>
            <w:vAlign w:val="center"/>
          </w:tcPr>
          <w:p>
            <w:r>
              <w:rPr>
                <w:sz w:val="21"/>
                <w:szCs w:val="21"/>
              </w:rPr>
              <w:t xml:space="preserve">Health Information Management Policy</w:t>
            </w:r>
          </w:p>
        </w:tc>
      </w:tr>
    </w:tbl>
    <w:p>
      <w:pPr>
        <w:pBdr>
          <w:bottom w:val="single" w:color="1F3864" w:sz="6"/>
        </w:pBdr>
        <w:spacing w:after="100" w:before="240"/>
      </w:pPr>
      <w:r>
        <w:rPr>
          <w:b/>
          <w:bCs/>
          <w:color w:val="1F3864"/>
          <w:sz w:val="24"/>
          <w:szCs w:val="24"/>
        </w:rPr>
        <w:t xml:space="preserve">Section 2 — Participant Rights / Rules / Procedures and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F2F2F2" w:color="auto" w:val="clear"/>
            <w:tcMar>
              <w:top w:type="dxa" w:w="60"/>
              <w:left w:type="dxa" w:w="100"/>
              <w:bottom w:type="dxa" w:w="60"/>
              <w:right w:type="dxa" w:w="100"/>
            </w:tcMar>
            <w:vAlign w:val="center"/>
          </w:tcPr>
          <w:p>
            <w:r>
              <w:rPr>
                <w:b/>
                <w:bCs/>
                <w:sz w:val="21"/>
                <w:szCs w:val="21"/>
              </w:rPr>
              <w:t xml:space="preserve">Policy</w:t>
            </w:r>
          </w:p>
        </w:tc>
        <w:tc>
          <w:tcPr>
            <w:tcW w:type="dxa" w:w="7860"/>
            <w:shd w:fill="F2F2F2" w:color="auto" w:val="clear"/>
            <w:tcMar>
              <w:top w:type="dxa" w:w="60"/>
              <w:left w:type="dxa" w:w="100"/>
              <w:bottom w:type="dxa" w:w="60"/>
              <w:right w:type="dxa" w:w="100"/>
            </w:tcMar>
            <w:vAlign w:val="center"/>
          </w:tcPr>
          <w:p>
            <w:r>
              <w:rPr>
                <w:b/>
                <w:bCs/>
                <w:sz w:val="21"/>
                <w:szCs w:val="21"/>
              </w:rPr>
              <w:t xml:space="preserve">Title</w:t>
            </w:r>
          </w:p>
        </w:tc>
      </w:tr>
      <w:tr>
        <w:tc>
          <w:tcPr>
            <w:tcW w:type="dxa" w:w="1500"/>
            <w:tcMar>
              <w:top w:type="dxa" w:w="60"/>
              <w:left w:type="dxa" w:w="100"/>
              <w:bottom w:type="dxa" w:w="60"/>
              <w:right w:type="dxa" w:w="100"/>
            </w:tcMar>
            <w:vAlign w:val="center"/>
          </w:tcPr>
          <w:p>
            <w:r>
              <w:rPr>
                <w:b/>
                <w:bCs/>
                <w:sz w:val="21"/>
                <w:szCs w:val="21"/>
              </w:rPr>
              <w:t xml:space="preserve">1.00</w:t>
            </w:r>
          </w:p>
        </w:tc>
        <w:tc>
          <w:tcPr>
            <w:tcW w:type="dxa" w:w="7860"/>
            <w:tcMar>
              <w:top w:type="dxa" w:w="60"/>
              <w:left w:type="dxa" w:w="100"/>
              <w:bottom w:type="dxa" w:w="60"/>
              <w:right w:type="dxa" w:w="100"/>
            </w:tcMar>
            <w:vAlign w:val="center"/>
          </w:tcPr>
          <w:p>
            <w:r>
              <w:rPr>
                <w:sz w:val="21"/>
                <w:szCs w:val="21"/>
              </w:rPr>
              <w:t xml:space="preserve">Participant and Human Rights Policy</w:t>
            </w:r>
          </w:p>
        </w:tc>
      </w:tr>
      <w:tr>
        <w:tc>
          <w:tcPr>
            <w:tcW w:type="dxa" w:w="1500"/>
            <w:tcMar>
              <w:top w:type="dxa" w:w="60"/>
              <w:left w:type="dxa" w:w="100"/>
              <w:bottom w:type="dxa" w:w="60"/>
              <w:right w:type="dxa" w:w="100"/>
            </w:tcMar>
            <w:vAlign w:val="center"/>
          </w:tcPr>
          <w:p>
            <w:r>
              <w:rPr>
                <w:b/>
                <w:bCs/>
                <w:sz w:val="21"/>
                <w:szCs w:val="21"/>
              </w:rPr>
              <w:t xml:space="preserve">1.01</w:t>
            </w:r>
          </w:p>
        </w:tc>
        <w:tc>
          <w:tcPr>
            <w:tcW w:type="dxa" w:w="7860"/>
            <w:tcMar>
              <w:top w:type="dxa" w:w="60"/>
              <w:left w:type="dxa" w:w="100"/>
              <w:bottom w:type="dxa" w:w="60"/>
              <w:right w:type="dxa" w:w="100"/>
            </w:tcMar>
            <w:vAlign w:val="center"/>
          </w:tcPr>
          <w:p>
            <w:r>
              <w:rPr>
                <w:sz w:val="21"/>
                <w:szCs w:val="21"/>
              </w:rPr>
              <w:t xml:space="preserve">Participant and Human Rights Picture Form</w:t>
            </w:r>
          </w:p>
        </w:tc>
      </w:tr>
      <w:tr>
        <w:tc>
          <w:tcPr>
            <w:tcW w:type="dxa" w:w="1500"/>
            <w:tcMar>
              <w:top w:type="dxa" w:w="60"/>
              <w:left w:type="dxa" w:w="100"/>
              <w:bottom w:type="dxa" w:w="60"/>
              <w:right w:type="dxa" w:w="100"/>
            </w:tcMar>
            <w:vAlign w:val="center"/>
          </w:tcPr>
          <w:p>
            <w:r>
              <w:rPr>
                <w:b/>
                <w:bCs/>
                <w:sz w:val="21"/>
                <w:szCs w:val="21"/>
              </w:rPr>
              <w:t xml:space="preserve">1.02</w:t>
            </w:r>
          </w:p>
        </w:tc>
        <w:tc>
          <w:tcPr>
            <w:tcW w:type="dxa" w:w="7860"/>
            <w:tcMar>
              <w:top w:type="dxa" w:w="60"/>
              <w:left w:type="dxa" w:w="100"/>
              <w:bottom w:type="dxa" w:w="60"/>
              <w:right w:type="dxa" w:w="100"/>
            </w:tcMar>
            <w:vAlign w:val="center"/>
          </w:tcPr>
          <w:p>
            <w:r>
              <w:rPr>
                <w:sz w:val="21"/>
                <w:szCs w:val="21"/>
              </w:rPr>
              <w:t xml:space="preserve">Feedback Mechanism and Participant Meetings Policy</w:t>
            </w:r>
          </w:p>
        </w:tc>
      </w:tr>
      <w:tr>
        <w:tc>
          <w:tcPr>
            <w:tcW w:type="dxa" w:w="1500"/>
            <w:tcMar>
              <w:top w:type="dxa" w:w="60"/>
              <w:left w:type="dxa" w:w="100"/>
              <w:bottom w:type="dxa" w:w="60"/>
              <w:right w:type="dxa" w:w="100"/>
            </w:tcMar>
            <w:vAlign w:val="center"/>
          </w:tcPr>
          <w:p>
            <w:r>
              <w:rPr>
                <w:b/>
                <w:bCs/>
                <w:sz w:val="21"/>
                <w:szCs w:val="21"/>
              </w:rPr>
              <w:t xml:space="preserve">1.03</w:t>
            </w:r>
          </w:p>
        </w:tc>
        <w:tc>
          <w:tcPr>
            <w:tcW w:type="dxa" w:w="7860"/>
            <w:tcMar>
              <w:top w:type="dxa" w:w="60"/>
              <w:left w:type="dxa" w:w="100"/>
              <w:bottom w:type="dxa" w:w="60"/>
              <w:right w:type="dxa" w:w="100"/>
            </w:tcMar>
            <w:vAlign w:val="center"/>
          </w:tcPr>
          <w:p>
            <w:r>
              <w:rPr>
                <w:sz w:val="21"/>
                <w:szCs w:val="21"/>
              </w:rPr>
              <w:t xml:space="preserve">Participant Residency Agreement Policy</w:t>
            </w:r>
          </w:p>
        </w:tc>
      </w:tr>
      <w:tr>
        <w:tc>
          <w:tcPr>
            <w:tcW w:type="dxa" w:w="1500"/>
            <w:tcMar>
              <w:top w:type="dxa" w:w="60"/>
              <w:left w:type="dxa" w:w="100"/>
              <w:bottom w:type="dxa" w:w="60"/>
              <w:right w:type="dxa" w:w="100"/>
            </w:tcMar>
            <w:vAlign w:val="center"/>
          </w:tcPr>
          <w:p>
            <w:r>
              <w:rPr>
                <w:b/>
                <w:bCs/>
                <w:sz w:val="21"/>
                <w:szCs w:val="21"/>
              </w:rPr>
              <w:t xml:space="preserve">1.04</w:t>
            </w:r>
          </w:p>
        </w:tc>
        <w:tc>
          <w:tcPr>
            <w:tcW w:type="dxa" w:w="7860"/>
            <w:tcMar>
              <w:top w:type="dxa" w:w="60"/>
              <w:left w:type="dxa" w:w="100"/>
              <w:bottom w:type="dxa" w:w="60"/>
              <w:right w:type="dxa" w:w="100"/>
            </w:tcMar>
            <w:vAlign w:val="center"/>
          </w:tcPr>
          <w:p>
            <w:r>
              <w:rPr>
                <w:sz w:val="21"/>
                <w:szCs w:val="21"/>
              </w:rPr>
              <w:t xml:space="preserve">Management of Participant Funds and Property Policy</w:t>
            </w:r>
          </w:p>
        </w:tc>
      </w:tr>
      <w:tr>
        <w:tc>
          <w:tcPr>
            <w:tcW w:type="dxa" w:w="1500"/>
            <w:tcMar>
              <w:top w:type="dxa" w:w="60"/>
              <w:left w:type="dxa" w:w="100"/>
              <w:bottom w:type="dxa" w:w="60"/>
              <w:right w:type="dxa" w:w="100"/>
            </w:tcMar>
            <w:vAlign w:val="center"/>
          </w:tcPr>
          <w:p>
            <w:r>
              <w:rPr>
                <w:b/>
                <w:bCs/>
                <w:sz w:val="21"/>
                <w:szCs w:val="21"/>
              </w:rPr>
              <w:t xml:space="preserve">1.05</w:t>
            </w:r>
          </w:p>
        </w:tc>
        <w:tc>
          <w:tcPr>
            <w:tcW w:type="dxa" w:w="7860"/>
            <w:tcMar>
              <w:top w:type="dxa" w:w="60"/>
              <w:left w:type="dxa" w:w="100"/>
              <w:bottom w:type="dxa" w:w="60"/>
              <w:right w:type="dxa" w:w="100"/>
            </w:tcMar>
            <w:vAlign w:val="center"/>
          </w:tcPr>
          <w:p>
            <w:r>
              <w:rPr>
                <w:sz w:val="21"/>
                <w:szCs w:val="21"/>
              </w:rPr>
              <w:t xml:space="preserve">Non-Discrimination and Accessibility Policy</w:t>
            </w:r>
          </w:p>
        </w:tc>
      </w:tr>
      <w:tr>
        <w:tc>
          <w:tcPr>
            <w:tcW w:type="dxa" w:w="1500"/>
            <w:tcMar>
              <w:top w:type="dxa" w:w="60"/>
              <w:left w:type="dxa" w:w="100"/>
              <w:bottom w:type="dxa" w:w="60"/>
              <w:right w:type="dxa" w:w="100"/>
            </w:tcMar>
            <w:vAlign w:val="center"/>
          </w:tcPr>
          <w:p>
            <w:r>
              <w:rPr>
                <w:b/>
                <w:bCs/>
                <w:sz w:val="21"/>
                <w:szCs w:val="21"/>
              </w:rPr>
              <w:t xml:space="preserve">1.06</w:t>
            </w:r>
          </w:p>
        </w:tc>
        <w:tc>
          <w:tcPr>
            <w:tcW w:type="dxa" w:w="7860"/>
            <w:tcMar>
              <w:top w:type="dxa" w:w="60"/>
              <w:left w:type="dxa" w:w="100"/>
              <w:bottom w:type="dxa" w:w="60"/>
              <w:right w:type="dxa" w:w="100"/>
            </w:tcMar>
            <w:vAlign w:val="center"/>
          </w:tcPr>
          <w:p>
            <w:r>
              <w:rPr>
                <w:sz w:val="21"/>
                <w:szCs w:val="21"/>
              </w:rPr>
              <w:t xml:space="preserve">Residential Admissions Policy</w:t>
            </w:r>
          </w:p>
        </w:tc>
      </w:tr>
      <w:tr>
        <w:tc>
          <w:tcPr>
            <w:tcW w:type="dxa" w:w="1500"/>
            <w:tcMar>
              <w:top w:type="dxa" w:w="60"/>
              <w:left w:type="dxa" w:w="100"/>
              <w:bottom w:type="dxa" w:w="60"/>
              <w:right w:type="dxa" w:w="100"/>
            </w:tcMar>
            <w:vAlign w:val="center"/>
          </w:tcPr>
          <w:p>
            <w:r>
              <w:rPr>
                <w:b/>
                <w:bCs/>
                <w:sz w:val="21"/>
                <w:szCs w:val="21"/>
              </w:rPr>
              <w:t xml:space="preserve">1.07</w:t>
            </w:r>
          </w:p>
        </w:tc>
        <w:tc>
          <w:tcPr>
            <w:tcW w:type="dxa" w:w="7860"/>
            <w:tcMar>
              <w:top w:type="dxa" w:w="60"/>
              <w:left w:type="dxa" w:w="100"/>
              <w:bottom w:type="dxa" w:w="60"/>
              <w:right w:type="dxa" w:w="100"/>
            </w:tcMar>
            <w:vAlign w:val="center"/>
          </w:tcPr>
          <w:p>
            <w:r>
              <w:rPr>
                <w:sz w:val="21"/>
                <w:szCs w:val="21"/>
              </w:rPr>
              <w:t xml:space="preserve">Discharge from Facility Policy</w:t>
            </w:r>
          </w:p>
        </w:tc>
      </w:tr>
      <w:tr>
        <w:tc>
          <w:tcPr>
            <w:tcW w:type="dxa" w:w="1500"/>
            <w:tcMar>
              <w:top w:type="dxa" w:w="60"/>
              <w:left w:type="dxa" w:w="100"/>
              <w:bottom w:type="dxa" w:w="60"/>
              <w:right w:type="dxa" w:w="100"/>
            </w:tcMar>
            <w:vAlign w:val="center"/>
          </w:tcPr>
          <w:p>
            <w:r>
              <w:rPr>
                <w:b/>
                <w:bCs/>
                <w:sz w:val="21"/>
                <w:szCs w:val="21"/>
              </w:rPr>
              <w:t xml:space="preserve">1.07A</w:t>
            </w:r>
          </w:p>
        </w:tc>
        <w:tc>
          <w:tcPr>
            <w:tcW w:type="dxa" w:w="7860"/>
            <w:tcMar>
              <w:top w:type="dxa" w:w="60"/>
              <w:left w:type="dxa" w:w="100"/>
              <w:bottom w:type="dxa" w:w="60"/>
              <w:right w:type="dxa" w:w="100"/>
            </w:tcMar>
            <w:vAlign w:val="center"/>
          </w:tcPr>
          <w:p>
            <w:r>
              <w:rPr>
                <w:sz w:val="21"/>
                <w:szCs w:val="21"/>
              </w:rPr>
              <w:t xml:space="preserve">Involuntary Discharge Grievance Policy</w:t>
            </w:r>
          </w:p>
        </w:tc>
      </w:tr>
      <w:tr>
        <w:tc>
          <w:tcPr>
            <w:tcW w:type="dxa" w:w="1500"/>
            <w:tcMar>
              <w:top w:type="dxa" w:w="60"/>
              <w:left w:type="dxa" w:w="100"/>
              <w:bottom w:type="dxa" w:w="60"/>
              <w:right w:type="dxa" w:w="100"/>
            </w:tcMar>
            <w:vAlign w:val="center"/>
          </w:tcPr>
          <w:p>
            <w:r>
              <w:rPr>
                <w:b/>
                <w:bCs/>
                <w:sz w:val="21"/>
                <w:szCs w:val="21"/>
              </w:rPr>
              <w:t xml:space="preserve">1.08</w:t>
            </w:r>
          </w:p>
        </w:tc>
        <w:tc>
          <w:tcPr>
            <w:tcW w:type="dxa" w:w="7860"/>
            <w:tcMar>
              <w:top w:type="dxa" w:w="60"/>
              <w:left w:type="dxa" w:w="100"/>
              <w:bottom w:type="dxa" w:w="60"/>
              <w:right w:type="dxa" w:w="100"/>
            </w:tcMar>
            <w:vAlign w:val="center"/>
          </w:tcPr>
          <w:p>
            <w:r>
              <w:rPr>
                <w:sz w:val="21"/>
                <w:szCs w:val="21"/>
              </w:rPr>
              <w:t xml:space="preserve">Participant Facility-to-Facility Moves Policy</w:t>
            </w:r>
          </w:p>
        </w:tc>
      </w:tr>
      <w:tr>
        <w:tc>
          <w:tcPr>
            <w:tcW w:type="dxa" w:w="1500"/>
            <w:tcMar>
              <w:top w:type="dxa" w:w="60"/>
              <w:left w:type="dxa" w:w="100"/>
              <w:bottom w:type="dxa" w:w="60"/>
              <w:right w:type="dxa" w:w="100"/>
            </w:tcMar>
            <w:vAlign w:val="center"/>
          </w:tcPr>
          <w:p>
            <w:r>
              <w:rPr>
                <w:b/>
                <w:bCs/>
                <w:sz w:val="21"/>
                <w:szCs w:val="21"/>
              </w:rPr>
              <w:t xml:space="preserve">1.09</w:t>
            </w:r>
          </w:p>
        </w:tc>
        <w:tc>
          <w:tcPr>
            <w:tcW w:type="dxa" w:w="7860"/>
            <w:tcMar>
              <w:top w:type="dxa" w:w="60"/>
              <w:left w:type="dxa" w:w="100"/>
              <w:bottom w:type="dxa" w:w="60"/>
              <w:right w:type="dxa" w:w="100"/>
            </w:tcMar>
            <w:vAlign w:val="center"/>
          </w:tcPr>
          <w:p>
            <w:r>
              <w:rPr>
                <w:sz w:val="21"/>
                <w:szCs w:val="21"/>
              </w:rPr>
              <w:t xml:space="preserve">Room Hold Policy</w:t>
            </w:r>
          </w:p>
        </w:tc>
      </w:tr>
      <w:tr>
        <w:tc>
          <w:tcPr>
            <w:tcW w:type="dxa" w:w="1500"/>
            <w:tcMar>
              <w:top w:type="dxa" w:w="60"/>
              <w:left w:type="dxa" w:w="100"/>
              <w:bottom w:type="dxa" w:w="60"/>
              <w:right w:type="dxa" w:w="100"/>
            </w:tcMar>
            <w:vAlign w:val="center"/>
          </w:tcPr>
          <w:p>
            <w:r>
              <w:rPr>
                <w:b/>
                <w:bCs/>
                <w:sz w:val="21"/>
                <w:szCs w:val="21"/>
              </w:rPr>
              <w:t xml:space="preserve">1.11</w:t>
            </w:r>
          </w:p>
        </w:tc>
        <w:tc>
          <w:tcPr>
            <w:tcW w:type="dxa" w:w="7860"/>
            <w:tcMar>
              <w:top w:type="dxa" w:w="60"/>
              <w:left w:type="dxa" w:w="100"/>
              <w:bottom w:type="dxa" w:w="60"/>
              <w:right w:type="dxa" w:w="100"/>
            </w:tcMar>
            <w:vAlign w:val="center"/>
          </w:tcPr>
          <w:p>
            <w:r>
              <w:rPr>
                <w:sz w:val="21"/>
                <w:szCs w:val="21"/>
              </w:rPr>
              <w:t xml:space="preserve">Facility Rules Policy</w:t>
            </w:r>
          </w:p>
        </w:tc>
      </w:tr>
      <w:tr>
        <w:tc>
          <w:tcPr>
            <w:tcW w:type="dxa" w:w="1500"/>
            <w:tcMar>
              <w:top w:type="dxa" w:w="60"/>
              <w:left w:type="dxa" w:w="100"/>
              <w:bottom w:type="dxa" w:w="60"/>
              <w:right w:type="dxa" w:w="100"/>
            </w:tcMar>
            <w:vAlign w:val="center"/>
          </w:tcPr>
          <w:p>
            <w:r>
              <w:rPr>
                <w:b/>
                <w:bCs/>
                <w:sz w:val="21"/>
                <w:szCs w:val="21"/>
              </w:rPr>
              <w:t xml:space="preserve">1.12</w:t>
            </w:r>
          </w:p>
        </w:tc>
        <w:tc>
          <w:tcPr>
            <w:tcW w:type="dxa" w:w="7860"/>
            <w:tcMar>
              <w:top w:type="dxa" w:w="60"/>
              <w:left w:type="dxa" w:w="100"/>
              <w:bottom w:type="dxa" w:w="60"/>
              <w:right w:type="dxa" w:w="100"/>
            </w:tcMar>
            <w:vAlign w:val="center"/>
          </w:tcPr>
          <w:p>
            <w:r>
              <w:rPr>
                <w:sz w:val="21"/>
                <w:szCs w:val="21"/>
              </w:rPr>
              <w:t xml:space="preserve">Pornography Policy</w:t>
            </w:r>
          </w:p>
        </w:tc>
      </w:tr>
      <w:tr>
        <w:tc>
          <w:tcPr>
            <w:tcW w:type="dxa" w:w="1500"/>
            <w:tcMar>
              <w:top w:type="dxa" w:w="60"/>
              <w:left w:type="dxa" w:w="100"/>
              <w:bottom w:type="dxa" w:w="60"/>
              <w:right w:type="dxa" w:w="100"/>
            </w:tcMar>
            <w:vAlign w:val="center"/>
          </w:tcPr>
          <w:p>
            <w:r>
              <w:rPr>
                <w:b/>
                <w:bCs/>
                <w:sz w:val="21"/>
                <w:szCs w:val="21"/>
              </w:rPr>
              <w:t xml:space="preserve">1.13</w:t>
            </w:r>
          </w:p>
        </w:tc>
        <w:tc>
          <w:tcPr>
            <w:tcW w:type="dxa" w:w="7860"/>
            <w:tcMar>
              <w:top w:type="dxa" w:w="60"/>
              <w:left w:type="dxa" w:w="100"/>
              <w:bottom w:type="dxa" w:w="60"/>
              <w:right w:type="dxa" w:w="100"/>
            </w:tcMar>
            <w:vAlign w:val="center"/>
          </w:tcPr>
          <w:p>
            <w:r>
              <w:rPr>
                <w:sz w:val="21"/>
                <w:szCs w:val="21"/>
              </w:rPr>
              <w:t xml:space="preserve">General Smoking Policy</w:t>
            </w:r>
          </w:p>
        </w:tc>
      </w:tr>
      <w:tr>
        <w:tc>
          <w:tcPr>
            <w:tcW w:type="dxa" w:w="1500"/>
            <w:tcMar>
              <w:top w:type="dxa" w:w="60"/>
              <w:left w:type="dxa" w:w="100"/>
              <w:bottom w:type="dxa" w:w="60"/>
              <w:right w:type="dxa" w:w="100"/>
            </w:tcMar>
            <w:vAlign w:val="center"/>
          </w:tcPr>
          <w:p>
            <w:r>
              <w:rPr>
                <w:b/>
                <w:bCs/>
                <w:sz w:val="21"/>
                <w:szCs w:val="21"/>
              </w:rPr>
              <w:t xml:space="preserve">1.14</w:t>
            </w:r>
          </w:p>
        </w:tc>
        <w:tc>
          <w:tcPr>
            <w:tcW w:type="dxa" w:w="7860"/>
            <w:tcMar>
              <w:top w:type="dxa" w:w="60"/>
              <w:left w:type="dxa" w:w="100"/>
              <w:bottom w:type="dxa" w:w="60"/>
              <w:right w:type="dxa" w:w="100"/>
            </w:tcMar>
            <w:vAlign w:val="center"/>
          </w:tcPr>
          <w:p>
            <w:r>
              <w:rPr>
                <w:sz w:val="21"/>
                <w:szCs w:val="21"/>
              </w:rPr>
              <w:t xml:space="preserve">Substance Abuse Policy</w:t>
            </w:r>
          </w:p>
        </w:tc>
      </w:tr>
      <w:tr>
        <w:tc>
          <w:tcPr>
            <w:tcW w:type="dxa" w:w="1500"/>
            <w:tcMar>
              <w:top w:type="dxa" w:w="60"/>
              <w:left w:type="dxa" w:w="100"/>
              <w:bottom w:type="dxa" w:w="60"/>
              <w:right w:type="dxa" w:w="100"/>
            </w:tcMar>
            <w:vAlign w:val="center"/>
          </w:tcPr>
          <w:p>
            <w:r>
              <w:rPr>
                <w:b/>
                <w:bCs/>
                <w:sz w:val="21"/>
                <w:szCs w:val="21"/>
              </w:rPr>
              <w:t xml:space="preserve">1.15</w:t>
            </w:r>
          </w:p>
        </w:tc>
        <w:tc>
          <w:tcPr>
            <w:tcW w:type="dxa" w:w="7860"/>
            <w:tcMar>
              <w:top w:type="dxa" w:w="60"/>
              <w:left w:type="dxa" w:w="100"/>
              <w:bottom w:type="dxa" w:w="60"/>
              <w:right w:type="dxa" w:w="100"/>
            </w:tcMar>
            <w:vAlign w:val="center"/>
          </w:tcPr>
          <w:p>
            <w:r>
              <w:rPr>
                <w:sz w:val="21"/>
                <w:szCs w:val="21"/>
              </w:rPr>
              <w:t xml:space="preserve">Activity Policy</w:t>
            </w:r>
          </w:p>
        </w:tc>
      </w:tr>
      <w:tr>
        <w:tc>
          <w:tcPr>
            <w:tcW w:type="dxa" w:w="1500"/>
            <w:tcMar>
              <w:top w:type="dxa" w:w="60"/>
              <w:left w:type="dxa" w:w="100"/>
              <w:bottom w:type="dxa" w:w="60"/>
              <w:right w:type="dxa" w:w="100"/>
            </w:tcMar>
            <w:vAlign w:val="center"/>
          </w:tcPr>
          <w:p>
            <w:r>
              <w:rPr>
                <w:b/>
                <w:bCs/>
                <w:sz w:val="21"/>
                <w:szCs w:val="21"/>
              </w:rPr>
              <w:t xml:space="preserve">1.16</w:t>
            </w:r>
          </w:p>
        </w:tc>
        <w:tc>
          <w:tcPr>
            <w:tcW w:type="dxa" w:w="7860"/>
            <w:tcMar>
              <w:top w:type="dxa" w:w="60"/>
              <w:left w:type="dxa" w:w="100"/>
              <w:bottom w:type="dxa" w:w="60"/>
              <w:right w:type="dxa" w:w="100"/>
            </w:tcMar>
            <w:vAlign w:val="center"/>
          </w:tcPr>
          <w:p>
            <w:r>
              <w:rPr>
                <w:sz w:val="21"/>
                <w:szCs w:val="21"/>
              </w:rPr>
              <w:t xml:space="preserve">Pet Policy</w:t>
            </w:r>
          </w:p>
        </w:tc>
      </w:tr>
      <w:tr>
        <w:tc>
          <w:tcPr>
            <w:tcW w:type="dxa" w:w="1500"/>
            <w:tcMar>
              <w:top w:type="dxa" w:w="60"/>
              <w:left w:type="dxa" w:w="100"/>
              <w:bottom w:type="dxa" w:w="60"/>
              <w:right w:type="dxa" w:w="100"/>
            </w:tcMar>
            <w:vAlign w:val="center"/>
          </w:tcPr>
          <w:p>
            <w:r>
              <w:rPr>
                <w:b/>
                <w:bCs/>
                <w:sz w:val="21"/>
                <w:szCs w:val="21"/>
              </w:rPr>
              <w:t xml:space="preserve">1.17</w:t>
            </w:r>
          </w:p>
        </w:tc>
        <w:tc>
          <w:tcPr>
            <w:tcW w:type="dxa" w:w="7860"/>
            <w:tcMar>
              <w:top w:type="dxa" w:w="60"/>
              <w:left w:type="dxa" w:w="100"/>
              <w:bottom w:type="dxa" w:w="60"/>
              <w:right w:type="dxa" w:w="100"/>
            </w:tcMar>
            <w:vAlign w:val="center"/>
          </w:tcPr>
          <w:p>
            <w:r>
              <w:rPr>
                <w:sz w:val="21"/>
                <w:szCs w:val="21"/>
              </w:rPr>
              <w:t xml:space="preserve">Visitation Policy</w:t>
            </w:r>
          </w:p>
        </w:tc>
      </w:tr>
    </w:tbl>
    <w:p>
      <w:pPr>
        <w:pBdr>
          <w:bottom w:val="single" w:color="1F3864" w:sz="6"/>
        </w:pBdr>
        <w:spacing w:after="100" w:before="240"/>
      </w:pPr>
      <w:r>
        <w:rPr>
          <w:b/>
          <w:bCs/>
          <w:color w:val="1F3864"/>
          <w:sz w:val="24"/>
          <w:szCs w:val="24"/>
        </w:rPr>
        <w:t xml:space="preserve">Section 3 — Environmental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F2F2F2" w:color="auto" w:val="clear"/>
            <w:tcMar>
              <w:top w:type="dxa" w:w="60"/>
              <w:left w:type="dxa" w:w="100"/>
              <w:bottom w:type="dxa" w:w="60"/>
              <w:right w:type="dxa" w:w="100"/>
            </w:tcMar>
            <w:vAlign w:val="center"/>
          </w:tcPr>
          <w:p>
            <w:r>
              <w:rPr>
                <w:b/>
                <w:bCs/>
                <w:sz w:val="21"/>
                <w:szCs w:val="21"/>
              </w:rPr>
              <w:t xml:space="preserve">Policy</w:t>
            </w:r>
          </w:p>
        </w:tc>
        <w:tc>
          <w:tcPr>
            <w:tcW w:type="dxa" w:w="7860"/>
            <w:shd w:fill="F2F2F2" w:color="auto" w:val="clear"/>
            <w:tcMar>
              <w:top w:type="dxa" w:w="60"/>
              <w:left w:type="dxa" w:w="100"/>
              <w:bottom w:type="dxa" w:w="60"/>
              <w:right w:type="dxa" w:w="100"/>
            </w:tcMar>
            <w:vAlign w:val="center"/>
          </w:tcPr>
          <w:p>
            <w:r>
              <w:rPr>
                <w:b/>
                <w:bCs/>
                <w:sz w:val="21"/>
                <w:szCs w:val="21"/>
              </w:rPr>
              <w:t xml:space="preserve">Title</w:t>
            </w:r>
          </w:p>
        </w:tc>
      </w:tr>
      <w:tr>
        <w:tc>
          <w:tcPr>
            <w:tcW w:type="dxa" w:w="1500"/>
            <w:tcMar>
              <w:top w:type="dxa" w:w="60"/>
              <w:left w:type="dxa" w:w="100"/>
              <w:bottom w:type="dxa" w:w="60"/>
              <w:right w:type="dxa" w:w="100"/>
            </w:tcMar>
            <w:vAlign w:val="center"/>
          </w:tcPr>
          <w:p>
            <w:r>
              <w:rPr>
                <w:b/>
                <w:bCs/>
                <w:sz w:val="21"/>
                <w:szCs w:val="21"/>
              </w:rPr>
              <w:t xml:space="preserve">2.00</w:t>
            </w:r>
          </w:p>
        </w:tc>
        <w:tc>
          <w:tcPr>
            <w:tcW w:type="dxa" w:w="7860"/>
            <w:tcMar>
              <w:top w:type="dxa" w:w="60"/>
              <w:left w:type="dxa" w:w="100"/>
              <w:bottom w:type="dxa" w:w="60"/>
              <w:right w:type="dxa" w:w="100"/>
            </w:tcMar>
            <w:vAlign w:val="center"/>
          </w:tcPr>
          <w:p>
            <w:r>
              <w:rPr>
                <w:sz w:val="21"/>
                <w:szCs w:val="21"/>
              </w:rPr>
              <w:t xml:space="preserve">Infection Control Policy</w:t>
            </w:r>
          </w:p>
        </w:tc>
      </w:tr>
      <w:tr>
        <w:tc>
          <w:tcPr>
            <w:tcW w:type="dxa" w:w="1500"/>
            <w:tcMar>
              <w:top w:type="dxa" w:w="60"/>
              <w:left w:type="dxa" w:w="100"/>
              <w:bottom w:type="dxa" w:w="60"/>
              <w:right w:type="dxa" w:w="100"/>
            </w:tcMar>
            <w:vAlign w:val="center"/>
          </w:tcPr>
          <w:p>
            <w:r>
              <w:rPr>
                <w:b/>
                <w:bCs/>
                <w:sz w:val="21"/>
                <w:szCs w:val="21"/>
              </w:rPr>
              <w:t xml:space="preserve">2.01</w:t>
            </w:r>
          </w:p>
        </w:tc>
        <w:tc>
          <w:tcPr>
            <w:tcW w:type="dxa" w:w="7860"/>
            <w:tcMar>
              <w:top w:type="dxa" w:w="60"/>
              <w:left w:type="dxa" w:w="100"/>
              <w:bottom w:type="dxa" w:w="60"/>
              <w:right w:type="dxa" w:w="100"/>
            </w:tcMar>
            <w:vAlign w:val="center"/>
          </w:tcPr>
          <w:p>
            <w:r>
              <w:rPr>
                <w:sz w:val="21"/>
                <w:szCs w:val="21"/>
              </w:rPr>
              <w:t xml:space="preserve">Waste Disposal and Environmental Policy</w:t>
            </w:r>
          </w:p>
        </w:tc>
      </w:tr>
      <w:tr>
        <w:tc>
          <w:tcPr>
            <w:tcW w:type="dxa" w:w="1500"/>
            <w:tcMar>
              <w:top w:type="dxa" w:w="60"/>
              <w:left w:type="dxa" w:w="100"/>
              <w:bottom w:type="dxa" w:w="60"/>
              <w:right w:type="dxa" w:w="100"/>
            </w:tcMar>
            <w:vAlign w:val="center"/>
          </w:tcPr>
          <w:p>
            <w:r>
              <w:rPr>
                <w:b/>
                <w:bCs/>
                <w:sz w:val="21"/>
                <w:szCs w:val="21"/>
              </w:rPr>
              <w:t xml:space="preserve">2.02</w:t>
            </w:r>
          </w:p>
        </w:tc>
        <w:tc>
          <w:tcPr>
            <w:tcW w:type="dxa" w:w="7860"/>
            <w:tcMar>
              <w:top w:type="dxa" w:w="60"/>
              <w:left w:type="dxa" w:w="100"/>
              <w:bottom w:type="dxa" w:w="60"/>
              <w:right w:type="dxa" w:w="100"/>
            </w:tcMar>
            <w:vAlign w:val="center"/>
          </w:tcPr>
          <w:p>
            <w:r>
              <w:rPr>
                <w:sz w:val="21"/>
                <w:szCs w:val="21"/>
              </w:rPr>
              <w:t xml:space="preserve">Pest Control Policy</w:t>
            </w:r>
          </w:p>
        </w:tc>
      </w:tr>
    </w:tbl>
    <w:p>
      <w:pPr>
        <w:pBdr>
          <w:bottom w:val="single" w:color="1F3864" w:sz="6"/>
        </w:pBdr>
        <w:spacing w:after="100" w:before="240"/>
      </w:pPr>
      <w:r>
        <w:rPr>
          <w:b/>
          <w:bCs/>
          <w:color w:val="1F3864"/>
          <w:sz w:val="24"/>
          <w:szCs w:val="24"/>
        </w:rPr>
        <w:t xml:space="preserve">Section 4 — Health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F2F2F2" w:color="auto" w:val="clear"/>
            <w:tcMar>
              <w:top w:type="dxa" w:w="60"/>
              <w:left w:type="dxa" w:w="100"/>
              <w:bottom w:type="dxa" w:w="60"/>
              <w:right w:type="dxa" w:w="100"/>
            </w:tcMar>
            <w:vAlign w:val="center"/>
          </w:tcPr>
          <w:p>
            <w:r>
              <w:rPr>
                <w:b/>
                <w:bCs/>
                <w:sz w:val="21"/>
                <w:szCs w:val="21"/>
              </w:rPr>
              <w:t xml:space="preserve">Policy</w:t>
            </w:r>
          </w:p>
        </w:tc>
        <w:tc>
          <w:tcPr>
            <w:tcW w:type="dxa" w:w="7860"/>
            <w:shd w:fill="F2F2F2" w:color="auto" w:val="clear"/>
            <w:tcMar>
              <w:top w:type="dxa" w:w="60"/>
              <w:left w:type="dxa" w:w="100"/>
              <w:bottom w:type="dxa" w:w="60"/>
              <w:right w:type="dxa" w:w="100"/>
            </w:tcMar>
            <w:vAlign w:val="center"/>
          </w:tcPr>
          <w:p>
            <w:r>
              <w:rPr>
                <w:b/>
                <w:bCs/>
                <w:sz w:val="21"/>
                <w:szCs w:val="21"/>
              </w:rPr>
              <w:t xml:space="preserve">Title</w:t>
            </w:r>
          </w:p>
        </w:tc>
      </w:tr>
      <w:tr>
        <w:tc>
          <w:tcPr>
            <w:tcW w:type="dxa" w:w="1500"/>
            <w:tcMar>
              <w:top w:type="dxa" w:w="60"/>
              <w:left w:type="dxa" w:w="100"/>
              <w:bottom w:type="dxa" w:w="60"/>
              <w:right w:type="dxa" w:w="100"/>
            </w:tcMar>
            <w:vAlign w:val="center"/>
          </w:tcPr>
          <w:p>
            <w:r>
              <w:rPr>
                <w:b/>
                <w:bCs/>
                <w:sz w:val="21"/>
                <w:szCs w:val="21"/>
              </w:rPr>
              <w:t xml:space="preserve">3.01</w:t>
            </w:r>
          </w:p>
        </w:tc>
        <w:tc>
          <w:tcPr>
            <w:tcW w:type="dxa" w:w="7860"/>
            <w:tcMar>
              <w:top w:type="dxa" w:w="60"/>
              <w:left w:type="dxa" w:w="100"/>
              <w:bottom w:type="dxa" w:w="60"/>
              <w:right w:type="dxa" w:w="100"/>
            </w:tcMar>
            <w:vAlign w:val="center"/>
          </w:tcPr>
          <w:p>
            <w:r>
              <w:rPr>
                <w:sz w:val="21"/>
                <w:szCs w:val="21"/>
              </w:rPr>
              <w:t xml:space="preserve">Physician Assessments / Change of Condition Policy</w:t>
            </w:r>
          </w:p>
        </w:tc>
      </w:tr>
      <w:tr>
        <w:tc>
          <w:tcPr>
            <w:tcW w:type="dxa" w:w="1500"/>
            <w:tcMar>
              <w:top w:type="dxa" w:w="60"/>
              <w:left w:type="dxa" w:w="100"/>
              <w:bottom w:type="dxa" w:w="60"/>
              <w:right w:type="dxa" w:w="100"/>
            </w:tcMar>
            <w:vAlign w:val="center"/>
          </w:tcPr>
          <w:p>
            <w:r>
              <w:rPr>
                <w:b/>
                <w:bCs/>
                <w:sz w:val="21"/>
                <w:szCs w:val="21"/>
              </w:rPr>
              <w:t xml:space="preserve">3.02</w:t>
            </w:r>
          </w:p>
        </w:tc>
        <w:tc>
          <w:tcPr>
            <w:tcW w:type="dxa" w:w="7860"/>
            <w:tcMar>
              <w:top w:type="dxa" w:w="60"/>
              <w:left w:type="dxa" w:w="100"/>
              <w:bottom w:type="dxa" w:w="60"/>
              <w:right w:type="dxa" w:w="100"/>
            </w:tcMar>
            <w:vAlign w:val="center"/>
          </w:tcPr>
          <w:p>
            <w:r>
              <w:rPr>
                <w:sz w:val="21"/>
                <w:szCs w:val="21"/>
              </w:rPr>
              <w:t xml:space="preserve">Hospice and Palliative Care Policy</w:t>
            </w:r>
          </w:p>
        </w:tc>
      </w:tr>
      <w:tr>
        <w:tc>
          <w:tcPr>
            <w:tcW w:type="dxa" w:w="1500"/>
            <w:tcMar>
              <w:top w:type="dxa" w:w="60"/>
              <w:left w:type="dxa" w:w="100"/>
              <w:bottom w:type="dxa" w:w="60"/>
              <w:right w:type="dxa" w:w="100"/>
            </w:tcMar>
            <w:vAlign w:val="center"/>
          </w:tcPr>
          <w:p>
            <w:r>
              <w:rPr>
                <w:b/>
                <w:bCs/>
                <w:sz w:val="21"/>
                <w:szCs w:val="21"/>
              </w:rPr>
              <w:t xml:space="preserve">3.03</w:t>
            </w:r>
          </w:p>
        </w:tc>
        <w:tc>
          <w:tcPr>
            <w:tcW w:type="dxa" w:w="7860"/>
            <w:tcMar>
              <w:top w:type="dxa" w:w="60"/>
              <w:left w:type="dxa" w:w="100"/>
              <w:bottom w:type="dxa" w:w="60"/>
              <w:right w:type="dxa" w:w="100"/>
            </w:tcMar>
            <w:vAlign w:val="center"/>
          </w:tcPr>
          <w:p>
            <w:r>
              <w:rPr>
                <w:sz w:val="21"/>
                <w:szCs w:val="21"/>
              </w:rPr>
              <w:t xml:space="preserve">Participant Suicidal Ideation or Suicide Attempt Policy</w:t>
            </w:r>
          </w:p>
        </w:tc>
      </w:tr>
      <w:tr>
        <w:tc>
          <w:tcPr>
            <w:tcW w:type="dxa" w:w="1500"/>
            <w:tcMar>
              <w:top w:type="dxa" w:w="60"/>
              <w:left w:type="dxa" w:w="100"/>
              <w:bottom w:type="dxa" w:w="60"/>
              <w:right w:type="dxa" w:w="100"/>
            </w:tcMar>
            <w:vAlign w:val="center"/>
          </w:tcPr>
          <w:p>
            <w:r>
              <w:rPr>
                <w:b/>
                <w:bCs/>
                <w:sz w:val="21"/>
                <w:szCs w:val="21"/>
              </w:rPr>
              <w:t xml:space="preserve">3.04</w:t>
            </w:r>
          </w:p>
        </w:tc>
        <w:tc>
          <w:tcPr>
            <w:tcW w:type="dxa" w:w="7860"/>
            <w:tcMar>
              <w:top w:type="dxa" w:w="60"/>
              <w:left w:type="dxa" w:w="100"/>
              <w:bottom w:type="dxa" w:w="60"/>
              <w:right w:type="dxa" w:w="100"/>
            </w:tcMar>
            <w:vAlign w:val="center"/>
          </w:tcPr>
          <w:p>
            <w:r>
              <w:rPr>
                <w:sz w:val="21"/>
                <w:szCs w:val="21"/>
              </w:rPr>
              <w:t xml:space="preserve">Use of Physical Restraints Policy</w:t>
            </w:r>
          </w:p>
        </w:tc>
      </w:tr>
      <w:tr>
        <w:tc>
          <w:tcPr>
            <w:tcW w:type="dxa" w:w="1500"/>
            <w:tcMar>
              <w:top w:type="dxa" w:w="60"/>
              <w:left w:type="dxa" w:w="100"/>
              <w:bottom w:type="dxa" w:w="60"/>
              <w:right w:type="dxa" w:w="100"/>
            </w:tcMar>
            <w:vAlign w:val="center"/>
          </w:tcPr>
          <w:p>
            <w:r>
              <w:rPr>
                <w:b/>
                <w:bCs/>
                <w:sz w:val="21"/>
                <w:szCs w:val="21"/>
              </w:rPr>
              <w:t xml:space="preserve">3.05</w:t>
            </w:r>
          </w:p>
        </w:tc>
        <w:tc>
          <w:tcPr>
            <w:tcW w:type="dxa" w:w="7860"/>
            <w:tcMar>
              <w:top w:type="dxa" w:w="60"/>
              <w:left w:type="dxa" w:w="100"/>
              <w:bottom w:type="dxa" w:w="60"/>
              <w:right w:type="dxa" w:w="100"/>
            </w:tcMar>
            <w:vAlign w:val="center"/>
          </w:tcPr>
          <w:p>
            <w:r>
              <w:rPr>
                <w:sz w:val="21"/>
                <w:szCs w:val="21"/>
              </w:rPr>
              <w:t xml:space="preserve">Use of Restrictive Egress Alert Devices Policy</w:t>
            </w:r>
          </w:p>
        </w:tc>
      </w:tr>
      <w:tr>
        <w:tc>
          <w:tcPr>
            <w:tcW w:type="dxa" w:w="1500"/>
            <w:tcMar>
              <w:top w:type="dxa" w:w="60"/>
              <w:left w:type="dxa" w:w="100"/>
              <w:bottom w:type="dxa" w:w="60"/>
              <w:right w:type="dxa" w:w="100"/>
            </w:tcMar>
            <w:vAlign w:val="center"/>
          </w:tcPr>
          <w:p>
            <w:r>
              <w:rPr>
                <w:b/>
                <w:bCs/>
                <w:sz w:val="21"/>
                <w:szCs w:val="21"/>
              </w:rPr>
              <w:t xml:space="preserve">3.06</w:t>
            </w:r>
          </w:p>
        </w:tc>
        <w:tc>
          <w:tcPr>
            <w:tcW w:type="dxa" w:w="7860"/>
            <w:tcMar>
              <w:top w:type="dxa" w:w="60"/>
              <w:left w:type="dxa" w:w="100"/>
              <w:bottom w:type="dxa" w:w="60"/>
              <w:right w:type="dxa" w:w="100"/>
            </w:tcMar>
            <w:vAlign w:val="center"/>
          </w:tcPr>
          <w:p>
            <w:r>
              <w:rPr>
                <w:sz w:val="21"/>
                <w:szCs w:val="21"/>
              </w:rPr>
              <w:t xml:space="preserve">Investigation of Abuse and Neglect Policy</w:t>
            </w:r>
          </w:p>
        </w:tc>
      </w:tr>
      <w:tr>
        <w:tc>
          <w:tcPr>
            <w:tcW w:type="dxa" w:w="1500"/>
            <w:tcMar>
              <w:top w:type="dxa" w:w="60"/>
              <w:left w:type="dxa" w:w="100"/>
              <w:bottom w:type="dxa" w:w="60"/>
              <w:right w:type="dxa" w:w="100"/>
            </w:tcMar>
            <w:vAlign w:val="center"/>
          </w:tcPr>
          <w:p>
            <w:r>
              <w:rPr>
                <w:b/>
                <w:bCs/>
                <w:sz w:val="21"/>
                <w:szCs w:val="21"/>
              </w:rPr>
              <w:t xml:space="preserve">3.07</w:t>
            </w:r>
          </w:p>
        </w:tc>
        <w:tc>
          <w:tcPr>
            <w:tcW w:type="dxa" w:w="7860"/>
            <w:tcMar>
              <w:top w:type="dxa" w:w="60"/>
              <w:left w:type="dxa" w:w="100"/>
              <w:bottom w:type="dxa" w:w="60"/>
              <w:right w:type="dxa" w:w="100"/>
            </w:tcMar>
            <w:vAlign w:val="center"/>
          </w:tcPr>
          <w:p>
            <w:r>
              <w:rPr>
                <w:sz w:val="21"/>
                <w:szCs w:val="21"/>
              </w:rPr>
              <w:t xml:space="preserve">CPR / Advance Directives Policy</w:t>
            </w:r>
          </w:p>
        </w:tc>
      </w:tr>
      <w:tr>
        <w:tc>
          <w:tcPr>
            <w:tcW w:type="dxa" w:w="1500"/>
            <w:tcMar>
              <w:top w:type="dxa" w:w="60"/>
              <w:left w:type="dxa" w:w="100"/>
              <w:bottom w:type="dxa" w:w="60"/>
              <w:right w:type="dxa" w:w="100"/>
            </w:tcMar>
            <w:vAlign w:val="center"/>
          </w:tcPr>
          <w:p>
            <w:r>
              <w:rPr>
                <w:b/>
                <w:bCs/>
                <w:sz w:val="21"/>
                <w:szCs w:val="21"/>
              </w:rPr>
              <w:t xml:space="preserve">3.08</w:t>
            </w:r>
          </w:p>
        </w:tc>
        <w:tc>
          <w:tcPr>
            <w:tcW w:type="dxa" w:w="7860"/>
            <w:tcMar>
              <w:top w:type="dxa" w:w="60"/>
              <w:left w:type="dxa" w:w="100"/>
              <w:bottom w:type="dxa" w:w="60"/>
              <w:right w:type="dxa" w:w="100"/>
            </w:tcMar>
            <w:vAlign w:val="center"/>
          </w:tcPr>
          <w:p>
            <w:r>
              <w:rPr>
                <w:sz w:val="21"/>
                <w:szCs w:val="21"/>
              </w:rPr>
              <w:t xml:space="preserve">Lift Assistance Policy</w:t>
            </w:r>
          </w:p>
        </w:tc>
      </w:tr>
      <w:tr>
        <w:tc>
          <w:tcPr>
            <w:tcW w:type="dxa" w:w="1500"/>
            <w:tcMar>
              <w:top w:type="dxa" w:w="60"/>
              <w:left w:type="dxa" w:w="100"/>
              <w:bottom w:type="dxa" w:w="60"/>
              <w:right w:type="dxa" w:w="100"/>
            </w:tcMar>
            <w:vAlign w:val="center"/>
          </w:tcPr>
          <w:p>
            <w:r>
              <w:rPr>
                <w:b/>
                <w:bCs/>
                <w:sz w:val="21"/>
                <w:szCs w:val="21"/>
              </w:rPr>
              <w:t xml:space="preserve">3.09</w:t>
            </w:r>
          </w:p>
        </w:tc>
        <w:tc>
          <w:tcPr>
            <w:tcW w:type="dxa" w:w="7860"/>
            <w:tcMar>
              <w:top w:type="dxa" w:w="60"/>
              <w:left w:type="dxa" w:w="100"/>
              <w:bottom w:type="dxa" w:w="60"/>
              <w:right w:type="dxa" w:w="100"/>
            </w:tcMar>
            <w:vAlign w:val="center"/>
          </w:tcPr>
          <w:p>
            <w:r>
              <w:rPr>
                <w:sz w:val="21"/>
                <w:szCs w:val="21"/>
              </w:rPr>
              <w:t xml:space="preserve">Fall Management Program Policy</w:t>
            </w:r>
          </w:p>
        </w:tc>
      </w:tr>
      <w:tr>
        <w:tc>
          <w:tcPr>
            <w:tcW w:type="dxa" w:w="1500"/>
            <w:tcMar>
              <w:top w:type="dxa" w:w="60"/>
              <w:left w:type="dxa" w:w="100"/>
              <w:bottom w:type="dxa" w:w="60"/>
              <w:right w:type="dxa" w:w="100"/>
            </w:tcMar>
            <w:vAlign w:val="center"/>
          </w:tcPr>
          <w:p>
            <w:r>
              <w:rPr>
                <w:b/>
                <w:bCs/>
                <w:sz w:val="21"/>
                <w:szCs w:val="21"/>
              </w:rPr>
              <w:t xml:space="preserve">3.10</w:t>
            </w:r>
          </w:p>
        </w:tc>
        <w:tc>
          <w:tcPr>
            <w:tcW w:type="dxa" w:w="7860"/>
            <w:tcMar>
              <w:top w:type="dxa" w:w="60"/>
              <w:left w:type="dxa" w:w="100"/>
              <w:bottom w:type="dxa" w:w="60"/>
              <w:right w:type="dxa" w:w="100"/>
            </w:tcMar>
            <w:vAlign w:val="center"/>
          </w:tcPr>
          <w:p>
            <w:r>
              <w:rPr>
                <w:sz w:val="21"/>
                <w:szCs w:val="21"/>
              </w:rPr>
              <w:t xml:space="preserve">Diet Policy (Diet Protocol, Diabetic, Mechanical Soft, Half Portion)</w:t>
            </w:r>
          </w:p>
        </w:tc>
      </w:tr>
      <w:tr>
        <w:tc>
          <w:tcPr>
            <w:tcW w:type="dxa" w:w="1500"/>
            <w:tcMar>
              <w:top w:type="dxa" w:w="60"/>
              <w:left w:type="dxa" w:w="100"/>
              <w:bottom w:type="dxa" w:w="60"/>
              <w:right w:type="dxa" w:w="100"/>
            </w:tcMar>
            <w:vAlign w:val="center"/>
          </w:tcPr>
          <w:p>
            <w:r>
              <w:rPr>
                <w:b/>
                <w:bCs/>
                <w:sz w:val="21"/>
                <w:szCs w:val="21"/>
              </w:rPr>
              <w:t xml:space="preserve">3.11</w:t>
            </w:r>
          </w:p>
        </w:tc>
        <w:tc>
          <w:tcPr>
            <w:tcW w:type="dxa" w:w="7860"/>
            <w:tcMar>
              <w:top w:type="dxa" w:w="60"/>
              <w:left w:type="dxa" w:w="100"/>
              <w:bottom w:type="dxa" w:w="60"/>
              <w:right w:type="dxa" w:w="100"/>
            </w:tcMar>
            <w:vAlign w:val="center"/>
          </w:tcPr>
          <w:p>
            <w:r>
              <w:rPr>
                <w:sz w:val="21"/>
                <w:szCs w:val="21"/>
              </w:rPr>
              <w:t xml:space="preserve">Food Handling Policy (Coffee Protocol, Grilling Protocol)</w:t>
            </w:r>
          </w:p>
        </w:tc>
      </w:tr>
    </w:tbl>
    <w:p>
      <w:pPr>
        <w:pBdr>
          <w:bottom w:val="single" w:color="1F3864" w:sz="6"/>
        </w:pBdr>
        <w:spacing w:after="100" w:before="240"/>
      </w:pPr>
      <w:r>
        <w:rPr>
          <w:b/>
          <w:bCs/>
          <w:color w:val="1F3864"/>
          <w:sz w:val="24"/>
          <w:szCs w:val="24"/>
        </w:rPr>
        <w:t xml:space="preserve">Section 5 — Medication Policies and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F2F2F2" w:color="auto" w:val="clear"/>
            <w:tcMar>
              <w:top w:type="dxa" w:w="60"/>
              <w:left w:type="dxa" w:w="100"/>
              <w:bottom w:type="dxa" w:w="60"/>
              <w:right w:type="dxa" w:w="100"/>
            </w:tcMar>
            <w:vAlign w:val="center"/>
          </w:tcPr>
          <w:p>
            <w:r>
              <w:rPr>
                <w:b/>
                <w:bCs/>
                <w:sz w:val="21"/>
                <w:szCs w:val="21"/>
              </w:rPr>
              <w:t xml:space="preserve">Policy</w:t>
            </w:r>
          </w:p>
        </w:tc>
        <w:tc>
          <w:tcPr>
            <w:tcW w:type="dxa" w:w="7860"/>
            <w:shd w:fill="F2F2F2" w:color="auto" w:val="clear"/>
            <w:tcMar>
              <w:top w:type="dxa" w:w="60"/>
              <w:left w:type="dxa" w:w="100"/>
              <w:bottom w:type="dxa" w:w="60"/>
              <w:right w:type="dxa" w:w="100"/>
            </w:tcMar>
            <w:vAlign w:val="center"/>
          </w:tcPr>
          <w:p>
            <w:r>
              <w:rPr>
                <w:b/>
                <w:bCs/>
                <w:sz w:val="21"/>
                <w:szCs w:val="21"/>
              </w:rPr>
              <w:t xml:space="preserve">Title</w:t>
            </w:r>
          </w:p>
        </w:tc>
      </w:tr>
      <w:tr>
        <w:tc>
          <w:tcPr>
            <w:tcW w:type="dxa" w:w="1500"/>
            <w:tcMar>
              <w:top w:type="dxa" w:w="60"/>
              <w:left w:type="dxa" w:w="100"/>
              <w:bottom w:type="dxa" w:w="60"/>
              <w:right w:type="dxa" w:w="100"/>
            </w:tcMar>
            <w:vAlign w:val="center"/>
          </w:tcPr>
          <w:p>
            <w:r>
              <w:rPr>
                <w:b/>
                <w:bCs/>
                <w:sz w:val="21"/>
                <w:szCs w:val="21"/>
              </w:rPr>
              <w:t xml:space="preserve">4.00</w:t>
            </w:r>
          </w:p>
        </w:tc>
        <w:tc>
          <w:tcPr>
            <w:tcW w:type="dxa" w:w="7860"/>
            <w:tcMar>
              <w:top w:type="dxa" w:w="60"/>
              <w:left w:type="dxa" w:w="100"/>
              <w:bottom w:type="dxa" w:w="60"/>
              <w:right w:type="dxa" w:w="100"/>
            </w:tcMar>
            <w:vAlign w:val="center"/>
          </w:tcPr>
          <w:p>
            <w:r>
              <w:rPr>
                <w:sz w:val="21"/>
                <w:szCs w:val="21"/>
              </w:rPr>
              <w:t xml:space="preserve">Medication Administration Policy</w:t>
            </w:r>
          </w:p>
        </w:tc>
      </w:tr>
      <w:tr>
        <w:tc>
          <w:tcPr>
            <w:tcW w:type="dxa" w:w="1500"/>
            <w:tcMar>
              <w:top w:type="dxa" w:w="60"/>
              <w:left w:type="dxa" w:w="100"/>
              <w:bottom w:type="dxa" w:w="60"/>
              <w:right w:type="dxa" w:w="100"/>
            </w:tcMar>
            <w:vAlign w:val="center"/>
          </w:tcPr>
          <w:p>
            <w:r>
              <w:rPr>
                <w:b/>
                <w:bCs/>
                <w:sz w:val="21"/>
                <w:szCs w:val="21"/>
              </w:rPr>
              <w:t xml:space="preserve">4.01</w:t>
            </w:r>
          </w:p>
        </w:tc>
        <w:tc>
          <w:tcPr>
            <w:tcW w:type="dxa" w:w="7860"/>
            <w:tcMar>
              <w:top w:type="dxa" w:w="60"/>
              <w:left w:type="dxa" w:w="100"/>
              <w:bottom w:type="dxa" w:w="60"/>
              <w:right w:type="dxa" w:w="100"/>
            </w:tcMar>
            <w:vAlign w:val="center"/>
          </w:tcPr>
          <w:p>
            <w:r>
              <w:rPr>
                <w:sz w:val="21"/>
                <w:szCs w:val="21"/>
              </w:rPr>
              <w:t xml:space="preserve">Medication Administration Competencies Policy (Competencies Form, Management Competency Quiz)</w:t>
            </w:r>
          </w:p>
        </w:tc>
      </w:tr>
      <w:tr>
        <w:tc>
          <w:tcPr>
            <w:tcW w:type="dxa" w:w="1500"/>
            <w:tcMar>
              <w:top w:type="dxa" w:w="60"/>
              <w:left w:type="dxa" w:w="100"/>
              <w:bottom w:type="dxa" w:w="60"/>
              <w:right w:type="dxa" w:w="100"/>
            </w:tcMar>
            <w:vAlign w:val="center"/>
          </w:tcPr>
          <w:p>
            <w:r>
              <w:rPr>
                <w:b/>
                <w:bCs/>
                <w:sz w:val="21"/>
                <w:szCs w:val="21"/>
              </w:rPr>
              <w:t xml:space="preserve">4.02</w:t>
            </w:r>
          </w:p>
        </w:tc>
        <w:tc>
          <w:tcPr>
            <w:tcW w:type="dxa" w:w="7860"/>
            <w:tcMar>
              <w:top w:type="dxa" w:w="60"/>
              <w:left w:type="dxa" w:w="100"/>
              <w:bottom w:type="dxa" w:w="60"/>
              <w:right w:type="dxa" w:w="100"/>
            </w:tcMar>
            <w:vAlign w:val="center"/>
          </w:tcPr>
          <w:p>
            <w:r>
              <w:rPr>
                <w:sz w:val="21"/>
                <w:szCs w:val="21"/>
              </w:rPr>
              <w:t xml:space="preserve">Medication Audits Policy</w:t>
            </w:r>
          </w:p>
        </w:tc>
      </w:tr>
    </w:tbl>
    <w:p>
      <w:r>
        <w:br w:type="page"/>
      </w:r>
    </w:p>
    <w:p>
      <w:pPr>
        <w:spacing w:after="120" w:before="3000"/>
        <w:jc w:val="center"/>
      </w:pPr>
      <w:r>
        <w:rPr>
          <w:b/>
          <w:bCs/>
          <w:color w:val="1F3864"/>
          <w:sz w:val="30"/>
          <w:szCs w:val="30"/>
        </w:rPr>
        <w:t xml:space="preserve">SECTION 1 — STAFF POLICIES</w:t>
      </w:r>
    </w:p>
    <w:p>
      <w:pPr>
        <w:spacing w:after="400" w:before="0"/>
        <w:jc w:val="center"/>
      </w:pPr>
      <w:r>
        <w:rPr>
          <w:color w:val="595959"/>
          <w:sz w:val="24"/>
          <w:szCs w:val="24"/>
        </w:rPr>
        <w:t xml:space="preserve">Policies 00.01 – 00.09 and 3.00</w:t>
      </w:r>
    </w:p>
    <w:p>
      <w:pPr>
        <w:spacing w:after="60" w:before="0"/>
        <w:jc w:val="center"/>
      </w:pPr>
      <w:r>
        <w:rPr>
          <w:color w:val="595959"/>
          <w:sz w:val="20"/>
          <w:szCs w:val="20"/>
        </w:rPr>
        <w:t xml:space="preserve">Regulatory basis: 6 CCR 1011-1 Chapter 7; Chapter 24 (Medication Administration);</w:t>
      </w:r>
    </w:p>
    <w:p>
      <w:pPr>
        <w:spacing w:after="60" w:before="0"/>
        <w:jc w:val="center"/>
      </w:pPr>
      <w:r>
        <w:rPr>
          <w:color w:val="595959"/>
          <w:sz w:val="20"/>
          <w:szCs w:val="20"/>
        </w:rPr>
        <w:t xml:space="preserve">C.R.S. 25-1.5-301 through 303; HCBS Brain Injury Waiver / SLP, 10 CCR 2505-10 § 8.7000 series (§ 8.7550).</w:t>
      </w:r>
    </w:p>
    <w:p>
      <w:r>
        <w:br w:type="page"/>
      </w:r>
    </w:p>
    <w:p>
      <w:pPr>
        <w:pStyle w:val="Heading1"/>
        <w:spacing w:after="40"/>
      </w:pPr>
      <w:r>
        <w:rPr>
          <w:b/>
          <w:bCs/>
          <w:color w:val="1F3864"/>
          <w:sz w:val="28"/>
          <w:szCs w:val="28"/>
        </w:rPr>
        <w:t xml:space="preserve">Policy 00.01 — Residential Facilities Weather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Residential Facilities Weather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Staff / Emergency Preparedness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10.1–10.6, 10.11–10.12, 5.2; SLP service 10 CCR 2505-10 § 8.7550; HCBS Brain Injury Waiver § 8.7000 series.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protect participant safety and maintain continuity of care before, during, and after severe weather and related emergencies — including tornado, flooding, extreme heat or cold, and long-term power failure — with individualized planning for participants whose brain injury affects mobility, cognition, safety awareness, or medication needs. Written to comply with 6 CCR 1011-1 Chapter 7, Part 10.</w:t>
      </w:r>
    </w:p>
    <w:p>
      <w:pPr>
        <w:spacing w:after="80" w:before="160"/>
      </w:pPr>
      <w:r>
        <w:rPr>
          <w:b/>
          <w:bCs/>
          <w:caps/>
          <w:color w:val="1F3864"/>
          <w:sz w:val="22"/>
          <w:szCs w:val="22"/>
        </w:rPr>
        <w:t xml:space="preserve">Definitions</w:t>
      </w:r>
    </w:p>
    <w:p>
      <w:pPr>
        <w:spacing w:after="80" w:line="276"/>
      </w:pPr>
      <w:r>
        <w:rPr>
          <w:b/>
          <w:bCs/>
          <w:sz w:val="22"/>
          <w:szCs w:val="22"/>
        </w:rPr>
        <w:t xml:space="preserve">Participant — </w:t>
      </w:r>
      <w:r>
        <w:rPr>
          <w:sz w:val="22"/>
          <w:szCs w:val="22"/>
        </w:rPr>
        <w:t xml:space="preserve">an individual receiving residential supportive living services at [Facility Name].</w:t>
      </w:r>
    </w:p>
    <w:p>
      <w:pPr>
        <w:spacing w:after="80" w:line="276"/>
      </w:pPr>
      <w:r>
        <w:rPr>
          <w:b/>
          <w:bCs/>
          <w:sz w:val="22"/>
          <w:szCs w:val="22"/>
        </w:rPr>
        <w:t xml:space="preserve">Severe weather event — </w:t>
      </w:r>
      <w:r>
        <w:rPr>
          <w:sz w:val="22"/>
          <w:szCs w:val="22"/>
        </w:rPr>
        <w:t xml:space="preserve">any natural weather condition that threatens participant health or safety, including tornado, flooding, extreme heat or cold, and weather-related power failure.</w:t>
      </w:r>
    </w:p>
    <w:p>
      <w:pPr>
        <w:spacing w:after="80" w:line="276"/>
      </w:pPr>
      <w:r>
        <w:rPr>
          <w:b/>
          <w:bCs/>
          <w:sz w:val="22"/>
          <w:szCs w:val="22"/>
        </w:rPr>
        <w:t xml:space="preserve">Shelter-in-place — </w:t>
      </w:r>
      <w:r>
        <w:rPr>
          <w:sz w:val="22"/>
          <w:szCs w:val="22"/>
        </w:rPr>
        <w:t xml:space="preserve">keeping participants safely within the residence during an event rather than evacuating.</w:t>
      </w:r>
    </w:p>
    <w:p>
      <w:pPr>
        <w:spacing w:after="80" w:line="276"/>
      </w:pPr>
      <w:r>
        <w:rPr>
          <w:b/>
          <w:bCs/>
          <w:sz w:val="22"/>
          <w:szCs w:val="22"/>
        </w:rPr>
        <w:t xml:space="preserve">Individualized emergency plan — </w:t>
      </w:r>
      <w:r>
        <w:rPr>
          <w:sz w:val="22"/>
          <w:szCs w:val="22"/>
        </w:rPr>
        <w:t xml:space="preserve">the participant-specific shelter and evacuation approach documented in the person-centered care/support plan.</w:t>
      </w:r>
    </w:p>
    <w:p>
      <w:pPr>
        <w:spacing w:after="80" w:before="160"/>
      </w:pPr>
      <w:r>
        <w:rPr>
          <w:b/>
          <w:bCs/>
          <w:caps/>
          <w:color w:val="1F3864"/>
          <w:sz w:val="22"/>
          <w:szCs w:val="22"/>
        </w:rPr>
        <w:t xml:space="preserve">Policy</w:t>
      </w:r>
    </w:p>
    <w:p>
      <w:pPr>
        <w:spacing w:after="120" w:line="276"/>
      </w:pPr>
      <w:r>
        <w:rPr>
          <w:sz w:val="22"/>
          <w:szCs w:val="22"/>
        </w:rPr>
        <w:t xml:space="preserve">[Facility Name] maintains weather-related emergency policies as part of its all-hazards emergency preparedness program, tailored to its geographic location and the participants it serves (Parts 10.2, 10.4). The residence maintains a current roster of participants with room assignments and emergency contacts, along with a facility diagram showing room locations (Part 10.1), and ensures continuation of necessary care for at least 72 hours following any emergency, including long-term power failure (Part 10.3).</w:t>
      </w:r>
    </w:p>
    <w:p>
      <w:pPr>
        <w:spacing w:after="120" w:line="276"/>
      </w:pPr>
      <w:r>
        <w:rPr>
          <w:sz w:val="22"/>
          <w:szCs w:val="22"/>
        </w:rPr>
        <w:t xml:space="preserve">Because participants certified under the Supported Living Program (10 CCR 2505-10 § 8.7550) frequently have brain-injury-related limitations — impaired safety awareness, reduced mobility, seizure disorders, communication deficits, and dependence on anticonvulsant or other time-sensitive medication — the residence individualizes each participant's shelter and evacuation approach rather than relying on a single plan.</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[Facility Name] completes and at least annually updates an all-hazards risk assessment identifying weather risks and preparedness measures (Part 10.2).</w:t>
      </w:r>
    </w:p>
    <w:p>
      <w:pPr>
        <w:spacing w:after="80" w:line="276"/>
        <w:ind w:left="720" w:hanging="360"/>
      </w:pPr>
      <w:r>
        <w:rPr>
          <w:b/>
          <w:bCs/>
          <w:sz w:val="22"/>
          <w:szCs w:val="22"/>
        </w:rPr>
        <w:t xml:space="preserve">2.  </w:t>
      </w:r>
      <w:r>
        <w:rPr>
          <w:sz w:val="22"/>
          <w:szCs w:val="22"/>
        </w:rPr>
        <w:t xml:space="preserve">Each participant's individualized emergency plan — reflecting mobility, cognitive, behavioral, seizure, and medication needs — is documented in the person-centered care/support plan and communicated to all staff.</w:t>
      </w:r>
    </w:p>
    <w:p>
      <w:pPr>
        <w:spacing w:after="80" w:line="276"/>
        <w:ind w:left="720" w:hanging="360"/>
      </w:pPr>
      <w:r>
        <w:rPr>
          <w:b/>
          <w:bCs/>
          <w:sz w:val="22"/>
          <w:szCs w:val="22"/>
        </w:rPr>
        <w:t xml:space="preserve">3.  </w:t>
      </w:r>
      <w:r>
        <w:rPr>
          <w:sz w:val="22"/>
          <w:szCs w:val="22"/>
        </w:rPr>
        <w:t xml:space="preserve">Written instructions for each identified risk are kept readily available 24 hours a day in more than one location, with all staff aware of the locations (Part 10.6(A)); a schematic showing evacuation routes, exits, and fire equipment is posted (Part 10.6(B)).</w:t>
      </w:r>
    </w:p>
    <w:p>
      <w:pPr>
        <w:spacing w:after="80" w:line="276"/>
        <w:ind w:left="720" w:hanging="360"/>
      </w:pPr>
      <w:r>
        <w:rPr>
          <w:b/>
          <w:bCs/>
          <w:sz w:val="22"/>
          <w:szCs w:val="22"/>
        </w:rPr>
        <w:t xml:space="preserve">4.  </w:t>
      </w:r>
      <w:r>
        <w:rPr>
          <w:sz w:val="22"/>
          <w:szCs w:val="22"/>
        </w:rPr>
        <w:t xml:space="preserve">Staff shelter participants in place or evacuate per the plan, using a triage approach to assess the most vulnerable participants first (Part 10.6(G)), while maintaining awareness of each participant's whereabouts as part of protective oversight (Part 12.1(D)).</w:t>
      </w:r>
    </w:p>
    <w:p>
      <w:pPr>
        <w:spacing w:after="80" w:line="276"/>
        <w:ind w:left="720" w:hanging="360"/>
      </w:pPr>
      <w:r>
        <w:rPr>
          <w:b/>
          <w:bCs/>
          <w:sz w:val="22"/>
          <w:szCs w:val="22"/>
        </w:rPr>
        <w:t xml:space="preserve">5.  </w:t>
      </w:r>
      <w:r>
        <w:rPr>
          <w:sz w:val="22"/>
          <w:szCs w:val="22"/>
        </w:rPr>
        <w:t xml:space="preserve">The residence ensures backup power or access for essential functions and any participant-required medical devices or auxiliary aids (Part 10.6(E)), a battery- or generator-powered lighting system (Part 10.12), and at least one telephone not dependent on household electrical current (Part 10.11).</w:t>
      </w:r>
    </w:p>
    <w:p>
      <w:pPr>
        <w:spacing w:after="80" w:line="276"/>
        <w:ind w:left="720" w:hanging="360"/>
      </w:pPr>
      <w:r>
        <w:rPr>
          <w:b/>
          <w:bCs/>
          <w:sz w:val="22"/>
          <w:szCs w:val="22"/>
        </w:rPr>
        <w:t xml:space="preserve">6.  </w:t>
      </w:r>
      <w:r>
        <w:rPr>
          <w:sz w:val="22"/>
          <w:szCs w:val="22"/>
        </w:rPr>
        <w:t xml:space="preserve">Staff ensure continuity of time-sensitive medications, including anticonvulsants, and appropriate storage and preservation of medications during the event (Part 10.6(F)).</w:t>
      </w:r>
    </w:p>
    <w:p>
      <w:pPr>
        <w:spacing w:after="80" w:line="276"/>
        <w:ind w:left="720" w:hanging="360"/>
      </w:pPr>
      <w:r>
        <w:rPr>
          <w:b/>
          <w:bCs/>
          <w:sz w:val="22"/>
          <w:szCs w:val="22"/>
        </w:rPr>
        <w:t xml:space="preserve">7.  </w:t>
      </w:r>
      <w:r>
        <w:rPr>
          <w:sz w:val="22"/>
          <w:szCs w:val="22"/>
        </w:rPr>
        <w:t xml:space="preserve">If any portion of the residence becomes uninhabitable and participants relocate, [Facility Name] notifies the Department within 48 hours (Part 5.2) and coordinates with each participant's Case Management Agency.</w:t>
      </w:r>
    </w:p>
    <w:p>
      <w:pPr>
        <w:spacing w:after="80" w:line="276"/>
        <w:ind w:left="720" w:hanging="360"/>
      </w:pPr>
      <w:r>
        <w:rPr>
          <w:b/>
          <w:bCs/>
          <w:sz w:val="22"/>
          <w:szCs w:val="22"/>
        </w:rPr>
        <w:t xml:space="preserve">8.  </w:t>
      </w:r>
      <w:r>
        <w:rPr>
          <w:sz w:val="22"/>
          <w:szCs w:val="22"/>
        </w:rPr>
        <w:t xml:space="preserve">Staff document the event, actions taken, and participant status in progress notes (Part 18.8(D)), and the residence reviews the response through its Quality Management Program.</w:t>
      </w:r>
    </w:p>
    <w:p>
      <w:pPr>
        <w:spacing w:after="80" w:before="160"/>
      </w:pPr>
      <w:r>
        <w:rPr>
          <w:b/>
          <w:bCs/>
          <w:caps/>
          <w:color w:val="1F3864"/>
          <w:sz w:val="22"/>
          <w:szCs w:val="22"/>
        </w:rPr>
        <w:t xml:space="preserve">Related Forms</w:t>
      </w:r>
    </w:p>
    <w:p>
      <w:pPr>
        <w:spacing w:after="120" w:line="276"/>
      </w:pPr>
      <w:r>
        <w:rPr>
          <w:sz w:val="22"/>
          <w:szCs w:val="22"/>
        </w:rPr>
        <w:t xml:space="preserve">All-Hazards Risk Assessment  ·  Individualized Emergency/Evacuation Plan  ·  Participant Roster &amp; Facility Diagram  ·  Post-Event Documentation Form</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00.02 — Personnel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Personnel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Staff / Human Resources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Part 7 (§§ 7.1–7.22) and Part 6; SLP service 10 CCR 2505-10 § 8.7550; HCBS Brain Injury Waiver § 8.7000 series (Provider Agency, § 8.7001.A.12-B).</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establish requirements for recruiting, screening, qualifying, supervising, and retaining staff and volunteers who provide care to participants with brain injury in a certified Supportive Living Program, consistent with 6 CCR 1011-1 Chapter 7, Part 7, and the residence's obligations as a certified SLP provider.</w:t>
      </w:r>
    </w:p>
    <w:p>
      <w:pPr>
        <w:spacing w:after="80" w:before="160"/>
      </w:pPr>
      <w:r>
        <w:rPr>
          <w:b/>
          <w:bCs/>
          <w:caps/>
          <w:color w:val="1F3864"/>
          <w:sz w:val="22"/>
          <w:szCs w:val="22"/>
        </w:rPr>
        <w:t xml:space="preserve">Definitions</w:t>
      </w:r>
    </w:p>
    <w:p>
      <w:pPr>
        <w:spacing w:after="80" w:line="276"/>
      </w:pPr>
      <w:r>
        <w:rPr>
          <w:b/>
          <w:bCs/>
          <w:sz w:val="22"/>
          <w:szCs w:val="22"/>
        </w:rPr>
        <w:t xml:space="preserve">Participant — </w:t>
      </w:r>
      <w:r>
        <w:rPr>
          <w:sz w:val="22"/>
          <w:szCs w:val="22"/>
        </w:rPr>
        <w:t xml:space="preserve">an individual receiving residential supportive living services at [Facility Name].</w:t>
      </w:r>
    </w:p>
    <w:p>
      <w:pPr>
        <w:spacing w:after="80" w:line="276"/>
      </w:pPr>
      <w:r>
        <w:rPr>
          <w:b/>
          <w:bCs/>
          <w:sz w:val="22"/>
          <w:szCs w:val="22"/>
        </w:rPr>
        <w:t xml:space="preserve">Staff — </w:t>
      </w:r>
      <w:r>
        <w:rPr>
          <w:sz w:val="22"/>
          <w:szCs w:val="22"/>
        </w:rPr>
        <w:t xml:space="preserve">employees and contracted individuals who provide or support personal services (Part 2.58).</w:t>
      </w:r>
    </w:p>
    <w:p>
      <w:pPr>
        <w:spacing w:after="80" w:line="276"/>
      </w:pPr>
      <w:r>
        <w:rPr>
          <w:b/>
          <w:bCs/>
          <w:sz w:val="22"/>
          <w:szCs w:val="22"/>
        </w:rPr>
        <w:t xml:space="preserve">Personal care worker — </w:t>
      </w:r>
      <w:r>
        <w:rPr>
          <w:sz w:val="22"/>
          <w:szCs w:val="22"/>
        </w:rPr>
        <w:t xml:space="preserve">an individual who provides personal services and is not acting in a licensed health-care capacity (Part 2.44).</w:t>
      </w:r>
    </w:p>
    <w:p>
      <w:pPr>
        <w:spacing w:after="80" w:line="276"/>
      </w:pPr>
      <w:r>
        <w:rPr>
          <w:b/>
          <w:bCs/>
          <w:sz w:val="22"/>
          <w:szCs w:val="22"/>
        </w:rPr>
        <w:t xml:space="preserve">Direct-care worker — </w:t>
      </w:r>
      <w:r>
        <w:rPr>
          <w:sz w:val="22"/>
          <w:szCs w:val="22"/>
        </w:rPr>
        <w:t xml:space="preserve">an employee who provides hands-on care, services, and support to participants (Part 7.9(D)(1)).</w:t>
      </w:r>
    </w:p>
    <w:p>
      <w:pPr>
        <w:spacing w:after="80" w:before="160"/>
      </w:pPr>
      <w:r>
        <w:rPr>
          <w:b/>
          <w:bCs/>
          <w:caps/>
          <w:color w:val="1F3864"/>
          <w:sz w:val="22"/>
          <w:szCs w:val="22"/>
        </w:rPr>
        <w:t xml:space="preserve">Policy</w:t>
      </w:r>
    </w:p>
    <w:p>
      <w:pPr>
        <w:spacing w:after="120" w:line="276"/>
      </w:pPr>
      <w:r>
        <w:rPr>
          <w:sz w:val="22"/>
          <w:szCs w:val="22"/>
        </w:rPr>
        <w:t xml:space="preserve">[Facility Name] develops and maintains written personnel policies, job descriptions, and conditions of employment (Part 7.10). Because the residence is certified to provide the Supported Living Program (10 CCR 2505-10 § 8.7550) for participants with brain injury, staff are selected and supported to deliver brain-injury-specific care — self-care and independent-living-skills training, behavioral management, and cognitive supports. The residence, at minimum:</w:t>
      </w:r>
    </w:p>
    <w:p>
      <w:pPr>
        <w:pStyle w:val="ListParagraph"/>
        <w:numPr>
          <w:ilvl w:val="0"/>
          <w:numId w:val="2"/>
        </w:numPr>
        <w:spacing w:after="80" w:line="276"/>
      </w:pPr>
      <w:r>
        <w:rPr>
          <w:sz w:val="22"/>
          <w:szCs w:val="22"/>
        </w:rPr>
        <w:t xml:space="preserve">Requests background checks — a name-based criminal history record check and a Colorado Adult Protective Services data-system check — prior to staff hire or volunteer onboarding, and follows its written screening policy based on results (Parts 7.1–7.4).</w:t>
      </w:r>
    </w:p>
    <w:p>
      <w:pPr>
        <w:pStyle w:val="ListParagraph"/>
        <w:numPr>
          <w:ilvl w:val="0"/>
          <w:numId w:val="2"/>
        </w:numPr>
        <w:spacing w:after="80" w:line="276"/>
      </w:pPr>
      <w:r>
        <w:rPr>
          <w:sz w:val="22"/>
          <w:szCs w:val="22"/>
        </w:rPr>
        <w:t xml:space="preserve">Selects direct-care staff based on the ability to read, write, carry out directions, communicate, and demonstrate competency (Part 7.6), and ensures each staff member and volunteer is physically and mentally able to safely perform all functions essential to participant care (Part 7.5).</w:t>
      </w:r>
    </w:p>
    <w:p>
      <w:pPr>
        <w:pStyle w:val="ListParagraph"/>
        <w:numPr>
          <w:ilvl w:val="0"/>
          <w:numId w:val="2"/>
        </w:numPr>
        <w:spacing w:after="80" w:line="276"/>
      </w:pPr>
      <w:r>
        <w:rPr>
          <w:sz w:val="22"/>
          <w:szCs w:val="22"/>
        </w:rPr>
        <w:t xml:space="preserve">Establishes written pre-employment physical and employee-health policies, including tuberculosis testing before direct participant contact and work restrictions for staff with communicable illness (Part 7.7).</w:t>
      </w:r>
    </w:p>
    <w:p>
      <w:pPr>
        <w:pStyle w:val="ListParagraph"/>
        <w:numPr>
          <w:ilvl w:val="0"/>
          <w:numId w:val="2"/>
        </w:numPr>
        <w:spacing w:after="80" w:line="276"/>
      </w:pPr>
      <w:r>
        <w:rPr>
          <w:sz w:val="22"/>
          <w:szCs w:val="22"/>
        </w:rPr>
        <w:t xml:space="preserve">Maintains a personnel file for each staff member and volunteer, kept on site and available for Department review, and retained for at least three years following separation (Parts 7.11–7.15).</w:t>
      </w:r>
    </w:p>
    <w:p>
      <w:pPr>
        <w:pStyle w:val="ListParagraph"/>
        <w:numPr>
          <w:ilvl w:val="0"/>
          <w:numId w:val="2"/>
        </w:numPr>
        <w:spacing w:after="80" w:line="276"/>
      </w:pPr>
      <w:r>
        <w:rPr>
          <w:sz w:val="22"/>
          <w:szCs w:val="22"/>
        </w:rPr>
        <w:t xml:space="preserve">Supervises personal care workers through a designated administrator, nurse, or other capable individual; limits their tasks to those with a chronic, stable, predictable outcome that do not require routine nurse assessment; and verifies competency before and during assignment (Parts 7.16–7.22).</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Maintain current job descriptions and conditions of employment for every position (Part 7.10).</w:t>
      </w:r>
    </w:p>
    <w:p>
      <w:pPr>
        <w:spacing w:after="80" w:line="276"/>
        <w:ind w:left="720" w:hanging="360"/>
      </w:pPr>
      <w:r>
        <w:rPr>
          <w:b/>
          <w:bCs/>
          <w:sz w:val="22"/>
          <w:szCs w:val="22"/>
        </w:rPr>
        <w:t xml:space="preserve">2.  </w:t>
      </w:r>
      <w:r>
        <w:rPr>
          <w:sz w:val="22"/>
          <w:szCs w:val="22"/>
        </w:rPr>
        <w:t xml:space="preserve">Complete required background checks before hire or onboarding and document the results and any follow-up in the personnel file (Parts 7.1–7.4, 7.13).</w:t>
      </w:r>
    </w:p>
    <w:p>
      <w:pPr>
        <w:spacing w:after="80" w:line="276"/>
        <w:ind w:left="720" w:hanging="360"/>
      </w:pPr>
      <w:r>
        <w:rPr>
          <w:b/>
          <w:bCs/>
          <w:sz w:val="22"/>
          <w:szCs w:val="22"/>
        </w:rPr>
        <w:t xml:space="preserve">3.  </w:t>
      </w:r>
      <w:r>
        <w:rPr>
          <w:sz w:val="22"/>
          <w:szCs w:val="22"/>
        </w:rPr>
        <w:t xml:space="preserve">Verify each staff member's ability to perform essential functions and complete pre-employment health screening and tuberculosis testing before direct participant contact (Parts 7.5–7.7).</w:t>
      </w:r>
    </w:p>
    <w:p>
      <w:pPr>
        <w:spacing w:after="80" w:line="276"/>
        <w:ind w:left="720" w:hanging="360"/>
      </w:pPr>
      <w:r>
        <w:rPr>
          <w:b/>
          <w:bCs/>
          <w:sz w:val="22"/>
          <w:szCs w:val="22"/>
        </w:rPr>
        <w:t xml:space="preserve">4.  </w:t>
      </w:r>
      <w:r>
        <w:rPr>
          <w:sz w:val="22"/>
          <w:szCs w:val="22"/>
        </w:rPr>
        <w:t xml:space="preserve">Assemble each personnel file to include the items required at Part 7.13 (duties, dates, orientation and training, license/certification verification, background-check results), plus QMAP documentation where applicable (Part 7.14).</w:t>
      </w:r>
    </w:p>
    <w:p>
      <w:pPr>
        <w:spacing w:after="80" w:line="276"/>
        <w:ind w:left="720" w:hanging="360"/>
      </w:pPr>
      <w:r>
        <w:rPr>
          <w:b/>
          <w:bCs/>
          <w:sz w:val="22"/>
          <w:szCs w:val="22"/>
        </w:rPr>
        <w:t xml:space="preserve">5.  </w:t>
      </w:r>
      <w:r>
        <w:rPr>
          <w:sz w:val="22"/>
          <w:szCs w:val="22"/>
        </w:rPr>
        <w:t xml:space="preserve">Designate a supervisor for each personal care worker, evaluate competency before assignment and at least annually, and repeat competency checks for each new task (Parts 7.18, 7.21).</w:t>
      </w:r>
    </w:p>
    <w:p>
      <w:pPr>
        <w:spacing w:after="80" w:line="276"/>
        <w:ind w:left="720" w:hanging="360"/>
      </w:pPr>
      <w:r>
        <w:rPr>
          <w:b/>
          <w:bCs/>
          <w:sz w:val="22"/>
          <w:szCs w:val="22"/>
        </w:rPr>
        <w:t xml:space="preserve">6.  </w:t>
      </w:r>
      <w:r>
        <w:rPr>
          <w:sz w:val="22"/>
          <w:szCs w:val="22"/>
        </w:rPr>
        <w:t xml:space="preserve">Where a registered nurse delegates a task, ensure delegation complies with the Nursing Practice Act and the nurse serves as the supervising nurse (Part 7.22(B)).</w:t>
      </w:r>
    </w:p>
    <w:p>
      <w:pPr>
        <w:spacing w:after="80" w:line="276"/>
        <w:ind w:left="720" w:hanging="360"/>
      </w:pPr>
      <w:r>
        <w:rPr>
          <w:b/>
          <w:bCs/>
          <w:sz w:val="22"/>
          <w:szCs w:val="22"/>
        </w:rPr>
        <w:t xml:space="preserve">7.  </w:t>
      </w:r>
      <w:r>
        <w:rPr>
          <w:sz w:val="22"/>
          <w:szCs w:val="22"/>
        </w:rPr>
        <w:t xml:space="preserve">Ensure all staff are prepared to deliver the brain-injury supports required by the SLP service (10 CCR 2505-10 § 8.7550) through the Training Policy (00.06).</w:t>
      </w:r>
    </w:p>
    <w:p>
      <w:pPr>
        <w:spacing w:after="80" w:before="160"/>
      </w:pPr>
      <w:r>
        <w:rPr>
          <w:b/>
          <w:bCs/>
          <w:caps/>
          <w:color w:val="1F3864"/>
          <w:sz w:val="22"/>
          <w:szCs w:val="22"/>
        </w:rPr>
        <w:t xml:space="preserve">Related Forms</w:t>
      </w:r>
    </w:p>
    <w:p>
      <w:pPr>
        <w:spacing w:after="120" w:line="276"/>
      </w:pPr>
      <w:r>
        <w:rPr>
          <w:sz w:val="22"/>
          <w:szCs w:val="22"/>
        </w:rPr>
        <w:t xml:space="preserve">Job Descriptions  ·  Background Check Authorization  ·  Personnel File Checklist  ·  Personal Care Worker Competency Evaluation</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00.03 — QMAP Verification and Professional Licensure Disclosure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QMAP Verification and Professional Licensure Disclosure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Staff / Medication Administration</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14.1, 14.3, 14.5, 14.13, 7.14, 6.4, 2.52; 6 CCR 1011-1 Chapter 24; C.R.S. 25-1.5-301 through 303; C.R.S. 25-27-102(10.5);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that only qualified, verified individuals administer or assist with medication for participants, that each qualified medication administration person (QMAP) meets the statutory definition, and that each QMAP discloses any professional license revocation — consistent with 6 CCR 1011-1 Chapter 7 and Chapter 24.</w:t>
      </w:r>
    </w:p>
    <w:p>
      <w:pPr>
        <w:spacing w:after="80" w:before="160"/>
      </w:pPr>
      <w:r>
        <w:rPr>
          <w:b/>
          <w:bCs/>
          <w:caps/>
          <w:color w:val="1F3864"/>
          <w:sz w:val="22"/>
          <w:szCs w:val="22"/>
        </w:rPr>
        <w:t xml:space="preserve">Definitions</w:t>
      </w:r>
    </w:p>
    <w:p>
      <w:pPr>
        <w:spacing w:after="80" w:line="276"/>
      </w:pPr>
      <w:r>
        <w:rPr>
          <w:b/>
          <w:bCs/>
          <w:sz w:val="22"/>
          <w:szCs w:val="22"/>
        </w:rPr>
        <w:t xml:space="preserve">QMAP — </w:t>
      </w:r>
      <w:r>
        <w:rPr>
          <w:sz w:val="22"/>
          <w:szCs w:val="22"/>
        </w:rPr>
        <w:t xml:space="preserve">a qualified medication administration person who meets the definition at Part 2.52 and C.R.S. 25-27-102(10.5).</w:t>
      </w:r>
    </w:p>
    <w:p>
      <w:pPr>
        <w:spacing w:after="80" w:line="276"/>
      </w:pPr>
      <w:r>
        <w:rPr>
          <w:b/>
          <w:bCs/>
          <w:sz w:val="22"/>
          <w:szCs w:val="22"/>
        </w:rPr>
        <w:t xml:space="preserve">CNA-Med — </w:t>
      </w:r>
      <w:r>
        <w:rPr>
          <w:sz w:val="22"/>
          <w:szCs w:val="22"/>
        </w:rPr>
        <w:t xml:space="preserve">a certified nurse medication aide who meets the qualifications at Part 2.13 and is currently certified with medication-aide authority by the State Board of Nursing.</w:t>
      </w:r>
    </w:p>
    <w:p>
      <w:pPr>
        <w:spacing w:after="80" w:line="276"/>
      </w:pPr>
      <w:r>
        <w:rPr>
          <w:b/>
          <w:bCs/>
          <w:sz w:val="22"/>
          <w:szCs w:val="22"/>
        </w:rPr>
        <w:t xml:space="preserve">Practitioner — </w:t>
      </w:r>
      <w:r>
        <w:rPr>
          <w:sz w:val="22"/>
          <w:szCs w:val="22"/>
        </w:rPr>
        <w:t xml:space="preserve">a physician, physician assistant, or advanced practice nurse with a current, unrestricted license acting within scope (Part 2.49).</w:t>
      </w:r>
    </w:p>
    <w:p>
      <w:pPr>
        <w:spacing w:after="80" w:before="160"/>
      </w:pPr>
      <w:r>
        <w:rPr>
          <w:b/>
          <w:bCs/>
          <w:caps/>
          <w:color w:val="1F3864"/>
          <w:sz w:val="22"/>
          <w:szCs w:val="22"/>
        </w:rPr>
        <w:t xml:space="preserve">Policy</w:t>
      </w:r>
    </w:p>
    <w:p>
      <w:pPr>
        <w:spacing w:after="120" w:line="276"/>
      </w:pPr>
      <w:r>
        <w:rPr>
          <w:sz w:val="22"/>
          <w:szCs w:val="22"/>
        </w:rPr>
        <w:t xml:space="preserve">[Facility Name] allows only a practitioner, nurse, QMAP, or certified nurse medication aide acting within his or her scope to administer or assist with the administration of medication to a participant (Part 14.1). Each QMAP meets the definition at Part 2.52 and complies with Chapter 24 and C.R.S. 25-1.5-301 through 303, in addition to Part 14 (Part 14.5).</w:t>
      </w:r>
    </w:p>
    <w:p>
      <w:pPr>
        <w:spacing w:after="120" w:line="276"/>
      </w:pPr>
      <w:r>
        <w:rPr>
          <w:sz w:val="22"/>
          <w:szCs w:val="22"/>
        </w:rPr>
        <w:t xml:space="preserve">For each QMAP, the personnel file contains documentation that the individual meets the QMAP definition at Part 2.52 and a signed disclosure that the individual has not had a professional medical, nursing, or pharmacy license revoked in this or any other state for reasons directly related to the administration of medications (Part 7.14).</w:t>
      </w:r>
    </w:p>
    <w:p>
      <w:pPr>
        <w:spacing w:after="120" w:line="276"/>
      </w:pPr>
      <w:r>
        <w:rPr>
          <w:sz w:val="22"/>
          <w:szCs w:val="22"/>
        </w:rPr>
        <w:t xml:space="preserve">The residence designates a QMAP supervisor who is a nurse, practitioner, or QMAP and who conducts a competency assessment with direct observation of all assigned medication-administration tasks before initial assignment, and again whenever a QMAP is assigned a new task (Part 14.13). The administrator ensures QMAPs comply with the medication-administration requirements of Chapter 24 (Part 6.4).</w:t>
      </w:r>
    </w:p>
    <w:p>
      <w:pPr>
        <w:spacing w:after="120" w:line="276"/>
      </w:pPr>
      <w:r>
        <w:rPr>
          <w:sz w:val="22"/>
          <w:szCs w:val="22"/>
        </w:rPr>
        <w:t xml:space="preserve">Because participants served under the Supported Living Program (10 CCR 2505-10 § 8.7550) frequently take anticonvulsant and psychotropic medications and may require cueing or behavioral support during administration, [Facility Name] ensures QMAPs are competent to administer medication safely with a participant who is able to consent and participate in the administration (Part 14.3).</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Before assigning any medication task, verify and document that the individual meets the QMAP definition at Part 2.52 (or CNA-Med qualifications at Part 2.13) and place the verification in the personnel file (Part 7.14(A)).</w:t>
      </w:r>
    </w:p>
    <w:p>
      <w:pPr>
        <w:spacing w:after="80" w:line="276"/>
        <w:ind w:left="720" w:hanging="360"/>
      </w:pPr>
      <w:r>
        <w:rPr>
          <w:b/>
          <w:bCs/>
          <w:sz w:val="22"/>
          <w:szCs w:val="22"/>
        </w:rPr>
        <w:t xml:space="preserve">2.  </w:t>
      </w:r>
      <w:r>
        <w:rPr>
          <w:sz w:val="22"/>
          <w:szCs w:val="22"/>
        </w:rPr>
        <w:t xml:space="preserve">Obtain and retain a signed professional licensure disclosure confirming no license revocation related to medication administration (Part 7.14(B)).</w:t>
      </w:r>
    </w:p>
    <w:p>
      <w:pPr>
        <w:spacing w:after="80" w:line="276"/>
        <w:ind w:left="720" w:hanging="360"/>
      </w:pPr>
      <w:r>
        <w:rPr>
          <w:b/>
          <w:bCs/>
          <w:sz w:val="22"/>
          <w:szCs w:val="22"/>
        </w:rPr>
        <w:t xml:space="preserve">3.  </w:t>
      </w:r>
      <w:r>
        <w:rPr>
          <w:sz w:val="22"/>
          <w:szCs w:val="22"/>
        </w:rPr>
        <w:t xml:space="preserve">Have the designated QMAP supervisor complete a documented competency assessment, with direct observation, before initial assignment (Part 14.13(A)).</w:t>
      </w:r>
    </w:p>
    <w:p>
      <w:pPr>
        <w:spacing w:after="80" w:line="276"/>
        <w:ind w:left="720" w:hanging="360"/>
      </w:pPr>
      <w:r>
        <w:rPr>
          <w:b/>
          <w:bCs/>
          <w:sz w:val="22"/>
          <w:szCs w:val="22"/>
        </w:rPr>
        <w:t xml:space="preserve">4.  </w:t>
      </w:r>
      <w:r>
        <w:rPr>
          <w:sz w:val="22"/>
          <w:szCs w:val="22"/>
        </w:rPr>
        <w:t xml:space="preserve">Repeat the competency assessment for each new or additional medication-administration task the QMAP is assigned (Part 14.13(A)(1)).</w:t>
      </w:r>
    </w:p>
    <w:p>
      <w:pPr>
        <w:spacing w:after="80" w:line="276"/>
        <w:ind w:left="720" w:hanging="360"/>
      </w:pPr>
      <w:r>
        <w:rPr>
          <w:b/>
          <w:bCs/>
          <w:sz w:val="22"/>
          <w:szCs w:val="22"/>
        </w:rPr>
        <w:t xml:space="preserve">5.  </w:t>
      </w:r>
      <w:r>
        <w:rPr>
          <w:sz w:val="22"/>
          <w:szCs w:val="22"/>
        </w:rPr>
        <w:t xml:space="preserve">Confirm the participant is able to consent and participate before a QMAP assists with administration; involve a nurse or practitioner where judgment, assessment, or excluded tasks are required (Parts 14.3, 14.10).</w:t>
      </w:r>
    </w:p>
    <w:p>
      <w:pPr>
        <w:spacing w:after="80" w:line="276"/>
        <w:ind w:left="720" w:hanging="360"/>
      </w:pPr>
      <w:r>
        <w:rPr>
          <w:b/>
          <w:bCs/>
          <w:sz w:val="22"/>
          <w:szCs w:val="22"/>
        </w:rPr>
        <w:t xml:space="preserve">6.  </w:t>
      </w:r>
      <w:r>
        <w:rPr>
          <w:sz w:val="22"/>
          <w:szCs w:val="22"/>
        </w:rPr>
        <w:t xml:space="preserve">Maintain ongoing verification of current QMAP status and Chapter 24 compliance, and address any lapse before the individual administers medication (Parts 6.4, 14.5).</w:t>
      </w:r>
    </w:p>
    <w:p>
      <w:pPr>
        <w:spacing w:after="80" w:before="160"/>
      </w:pPr>
      <w:r>
        <w:rPr>
          <w:b/>
          <w:bCs/>
          <w:caps/>
          <w:color w:val="1F3864"/>
          <w:sz w:val="22"/>
          <w:szCs w:val="22"/>
        </w:rPr>
        <w:t xml:space="preserve">Related Forms</w:t>
      </w:r>
    </w:p>
    <w:p>
      <w:pPr>
        <w:spacing w:after="120" w:line="276"/>
      </w:pPr>
      <w:r>
        <w:rPr>
          <w:sz w:val="22"/>
          <w:szCs w:val="22"/>
        </w:rPr>
        <w:t xml:space="preserve">QMAP Verification Record  ·  Professional Licensure Disclosure Form  ·  QMAP Competency Assessment</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00.04 — Shift Call-Off and Scheduling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Shift Call-Off and Scheduling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Staff / Scheduling</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Part 8 (§§ 8.1–8.4), §§ 6.8(L)(3), 12.1(D); SLP service 10 CCR 2505-10 § 8.7550 (24-hour oversight); § 8.7100 (complex behavior).</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adequate, qualified staffing at all times to meet participant needs and the 24-hour oversight that defines the Supported Living Program, and to set out procedures for scheduling, shift call-offs, and coverage.</w:t>
      </w:r>
    </w:p>
    <w:p>
      <w:pPr>
        <w:spacing w:after="80" w:before="160"/>
      </w:pPr>
      <w:r>
        <w:rPr>
          <w:b/>
          <w:bCs/>
          <w:caps/>
          <w:color w:val="1F3864"/>
          <w:sz w:val="22"/>
          <w:szCs w:val="22"/>
        </w:rPr>
        <w:t xml:space="preserve">Definitions</w:t>
      </w:r>
    </w:p>
    <w:p>
      <w:pPr>
        <w:spacing w:after="80" w:line="276"/>
      </w:pPr>
      <w:r>
        <w:rPr>
          <w:b/>
          <w:bCs/>
          <w:sz w:val="22"/>
          <w:szCs w:val="22"/>
        </w:rPr>
        <w:t xml:space="preserve">Protective oversight — </w:t>
      </w:r>
      <w:r>
        <w:rPr>
          <w:sz w:val="22"/>
          <w:szCs w:val="22"/>
        </w:rPr>
        <w:t xml:space="preserve">guidance and monitoring of a participant as required by the participant's needs, including awareness of general whereabouts and monitoring of health, safety, and well-being (Part 2.51).</w:t>
      </w:r>
    </w:p>
    <w:p>
      <w:pPr>
        <w:spacing w:after="80" w:line="276"/>
      </w:pPr>
      <w:r>
        <w:rPr>
          <w:b/>
          <w:bCs/>
          <w:sz w:val="22"/>
          <w:szCs w:val="22"/>
        </w:rPr>
        <w:t xml:space="preserve">Qualified designee — </w:t>
      </w:r>
      <w:r>
        <w:rPr>
          <w:sz w:val="22"/>
          <w:szCs w:val="22"/>
        </w:rPr>
        <w:t xml:space="preserve">an individual appointed and supervised by the administrator who is capable of fulfilling the administrator's duties when the administrator is unavailable (Part 6.8(L)).</w:t>
      </w:r>
    </w:p>
    <w:p>
      <w:pPr>
        <w:spacing w:after="80" w:before="160"/>
      </w:pPr>
      <w:r>
        <w:rPr>
          <w:b/>
          <w:bCs/>
          <w:caps/>
          <w:color w:val="1F3864"/>
          <w:sz w:val="22"/>
          <w:szCs w:val="22"/>
        </w:rPr>
        <w:t xml:space="preserve">Policy</w:t>
      </w:r>
    </w:p>
    <w:p>
      <w:pPr>
        <w:spacing w:after="120" w:line="276"/>
      </w:pPr>
      <w:r>
        <w:rPr>
          <w:sz w:val="22"/>
          <w:szCs w:val="22"/>
        </w:rPr>
        <w:t xml:space="preserve">Staffing at [Facility Name] is sufficient in number and qualification to meet the needs of the participants and to provide the personal services, protective oversight, and regular supervision required (Parts 8.1, 12.1(D)).</w:t>
      </w:r>
    </w:p>
    <w:p>
      <w:pPr>
        <w:spacing w:after="120" w:line="276"/>
      </w:pPr>
      <w:r>
        <w:rPr>
          <w:sz w:val="22"/>
          <w:szCs w:val="22"/>
        </w:rPr>
        <w:t xml:space="preserve">Because 24-hour oversight is a defining element of the Supported Living Program service (10 CCR 2505-10 § 8.7550), [Facility Name] schedules staffing to ensure there is no lapse in required supervision, including behavioral-support coverage for participants with complex behavior (§ 8.7100). Continuity of familiar staff is prioritized where possible, because participants with brain injury may be sensitive to disruptions in routine.</w:t>
      </w:r>
    </w:p>
    <w:p>
      <w:pPr>
        <w:spacing w:after="120" w:line="276"/>
      </w:pPr>
      <w:r>
        <w:rPr>
          <w:sz w:val="22"/>
          <w:szCs w:val="22"/>
        </w:rPr>
        <w:t xml:space="preserve">When a qualified designee acts as administrator in a residence licensed for more than 12 beds, at least one other staff member whose primary responsibility is the daily care of participants is on duty (Part 6.8(L)(3)).</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Prepare and post a master schedule that meets required staffing levels for each shift (Part 8.1).</w:t>
      </w:r>
    </w:p>
    <w:p>
      <w:pPr>
        <w:spacing w:after="80" w:line="276"/>
        <w:ind w:left="720" w:hanging="360"/>
      </w:pPr>
      <w:r>
        <w:rPr>
          <w:b/>
          <w:bCs/>
          <w:sz w:val="22"/>
          <w:szCs w:val="22"/>
        </w:rPr>
        <w:t xml:space="preserve">2.  </w:t>
      </w:r>
      <w:r>
        <w:rPr>
          <w:sz w:val="22"/>
          <w:szCs w:val="22"/>
        </w:rPr>
        <w:t xml:space="preserve">Staff report a call-off to [designated scheduler/manager-on-call] as soon as possible and no later than [X] hours before the shift.</w:t>
      </w:r>
    </w:p>
    <w:p>
      <w:pPr>
        <w:spacing w:after="80" w:line="276"/>
        <w:ind w:left="720" w:hanging="360"/>
      </w:pPr>
      <w:r>
        <w:rPr>
          <w:b/>
          <w:bCs/>
          <w:sz w:val="22"/>
          <w:szCs w:val="22"/>
        </w:rPr>
        <w:t xml:space="preserve">3.  </w:t>
      </w:r>
      <w:r>
        <w:rPr>
          <w:sz w:val="22"/>
          <w:szCs w:val="22"/>
        </w:rPr>
        <w:t xml:space="preserve">The [scheduler/manager-on-call] arranges qualified coverage before the shift begins, ensuring no lapse in the 24-hour oversight required by the SLP service.</w:t>
      </w:r>
    </w:p>
    <w:p>
      <w:pPr>
        <w:spacing w:after="80" w:line="276"/>
        <w:ind w:left="720" w:hanging="360"/>
      </w:pPr>
      <w:r>
        <w:rPr>
          <w:b/>
          <w:bCs/>
          <w:sz w:val="22"/>
          <w:szCs w:val="22"/>
        </w:rPr>
        <w:t xml:space="preserve">4.  </w:t>
      </w:r>
      <w:r>
        <w:rPr>
          <w:sz w:val="22"/>
          <w:szCs w:val="22"/>
        </w:rPr>
        <w:t xml:space="preserve">Confirm required night coverage and any awake-staff arrangements (Part 8.2).</w:t>
      </w:r>
    </w:p>
    <w:p>
      <w:pPr>
        <w:spacing w:after="80" w:line="276"/>
        <w:ind w:left="720" w:hanging="360"/>
      </w:pPr>
      <w:r>
        <w:rPr>
          <w:b/>
          <w:bCs/>
          <w:sz w:val="22"/>
          <w:szCs w:val="22"/>
        </w:rPr>
        <w:t xml:space="preserve">5.  </w:t>
      </w:r>
      <w:r>
        <w:rPr>
          <w:sz w:val="22"/>
          <w:szCs w:val="22"/>
        </w:rPr>
        <w:t xml:space="preserve">Document each call-off and the coverage provided in the shift call-off log.</w:t>
      </w:r>
    </w:p>
    <w:p>
      <w:pPr>
        <w:spacing w:after="80" w:line="276"/>
        <w:ind w:left="720" w:hanging="360"/>
      </w:pPr>
      <w:r>
        <w:rPr>
          <w:b/>
          <w:bCs/>
          <w:sz w:val="22"/>
          <w:szCs w:val="22"/>
        </w:rPr>
        <w:t xml:space="preserve">6.  </w:t>
      </w:r>
      <w:r>
        <w:rPr>
          <w:sz w:val="22"/>
          <w:szCs w:val="22"/>
        </w:rPr>
        <w:t xml:space="preserve">Escalate uncovered shifts to the administrator or manager-on-call under the Manager-On-Call Policy (00.05).</w:t>
      </w:r>
    </w:p>
    <w:p>
      <w:pPr>
        <w:spacing w:after="80" w:before="160"/>
      </w:pPr>
      <w:r>
        <w:rPr>
          <w:b/>
          <w:bCs/>
          <w:caps/>
          <w:color w:val="1F3864"/>
          <w:sz w:val="22"/>
          <w:szCs w:val="22"/>
        </w:rPr>
        <w:t xml:space="preserve">Related Forms</w:t>
      </w:r>
    </w:p>
    <w:p>
      <w:pPr>
        <w:spacing w:after="120" w:line="276"/>
      </w:pPr>
      <w:r>
        <w:rPr>
          <w:sz w:val="22"/>
          <w:szCs w:val="22"/>
        </w:rPr>
        <w:t xml:space="preserve">Master Schedule  ·  Shift Call-Off Log  ·  Coverage/Replacement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00.05 — Manager-On-Call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Manager-On-Call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Staff / Administration</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4.5, 6.8(L); SLP service 10 CCR 2505-10 § 8.7550; § 8.7100 (complex behavior).</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a qualified administrator or designee is reachable and accessible at all times to support staff and respond to participant needs — including the after-hours behavioral, medical, and safety escalations common in a brain-injury residence.</w:t>
      </w:r>
    </w:p>
    <w:p>
      <w:pPr>
        <w:spacing w:after="80" w:before="160"/>
      </w:pPr>
      <w:r>
        <w:rPr>
          <w:b/>
          <w:bCs/>
          <w:caps/>
          <w:color w:val="1F3864"/>
          <w:sz w:val="22"/>
          <w:szCs w:val="22"/>
        </w:rPr>
        <w:t xml:space="preserve">Definitions</w:t>
      </w:r>
    </w:p>
    <w:p>
      <w:pPr>
        <w:spacing w:after="80" w:line="276"/>
      </w:pPr>
      <w:r>
        <w:rPr>
          <w:b/>
          <w:bCs/>
          <w:sz w:val="22"/>
          <w:szCs w:val="22"/>
        </w:rPr>
        <w:t xml:space="preserve">Manager-on-call — </w:t>
      </w:r>
      <w:r>
        <w:rPr>
          <w:sz w:val="22"/>
          <w:szCs w:val="22"/>
        </w:rPr>
        <w:t xml:space="preserve">the administrator or qualified designee who is available and accessible to staff to make decisions when the administrator is not on site.</w:t>
      </w:r>
    </w:p>
    <w:p>
      <w:pPr>
        <w:spacing w:after="80" w:line="276"/>
      </w:pPr>
      <w:r>
        <w:rPr>
          <w:b/>
          <w:bCs/>
          <w:sz w:val="22"/>
          <w:szCs w:val="22"/>
        </w:rPr>
        <w:t xml:space="preserve">Escalation chain — </w:t>
      </w:r>
      <w:r>
        <w:rPr>
          <w:sz w:val="22"/>
          <w:szCs w:val="22"/>
        </w:rPr>
        <w:t xml:space="preserve">the defined order in which staff seek guidance and authorization during an urgent situation.</w:t>
      </w:r>
    </w:p>
    <w:p>
      <w:pPr>
        <w:spacing w:after="80" w:before="160"/>
      </w:pPr>
      <w:r>
        <w:rPr>
          <w:b/>
          <w:bCs/>
          <w:caps/>
          <w:color w:val="1F3864"/>
          <w:sz w:val="22"/>
          <w:szCs w:val="22"/>
        </w:rPr>
        <w:t xml:space="preserve">Policy</w:t>
      </w:r>
    </w:p>
    <w:p>
      <w:pPr>
        <w:spacing w:after="120" w:line="276"/>
      </w:pPr>
      <w:r>
        <w:rPr>
          <w:sz w:val="22"/>
          <w:szCs w:val="22"/>
        </w:rPr>
        <w:t xml:space="preserve">The name and contact information for the administrator or qualified designee on duty is always readily available to participants and the public (Part 6.8(L)(1)), and the administrator or qualified designee is always readily accessible to staff whether on or off site (Part 6.8(L)(2)).</w:t>
      </w:r>
    </w:p>
    <w:p>
      <w:pPr>
        <w:spacing w:after="120" w:line="276"/>
      </w:pPr>
      <w:r>
        <w:rPr>
          <w:sz w:val="22"/>
          <w:szCs w:val="22"/>
        </w:rPr>
        <w:t xml:space="preserve">[Facility Name] appoints and supervises a qualified designee capable of satisfactorily fulfilling the administrator's duties when the administrator is unavailable (Part 6.8(L); Part 4.5).</w:t>
      </w:r>
    </w:p>
    <w:p>
      <w:pPr>
        <w:spacing w:after="120" w:line="276"/>
      </w:pPr>
      <w:r>
        <w:rPr>
          <w:sz w:val="22"/>
          <w:szCs w:val="22"/>
        </w:rPr>
        <w:t xml:space="preserve">Because participants served under the Supported Living Program (10 CCR 2505-10 § 8.7550) may experience seizures, changes in condition from baseline, or complex behavior (§ 8.7100) that require prompt decisions, [Facility Name] maintains a clear on-call escalation chain so staff always know whom to contact and when to call the participant's practitioner or 9-1-1.</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Post the current administrator/designee contact information where it is available to participants, staff, and the public (Part 6.8(L)(1)).</w:t>
      </w:r>
    </w:p>
    <w:p>
      <w:pPr>
        <w:spacing w:after="80" w:line="276"/>
        <w:ind w:left="720" w:hanging="360"/>
      </w:pPr>
      <w:r>
        <w:rPr>
          <w:b/>
          <w:bCs/>
          <w:sz w:val="22"/>
          <w:szCs w:val="22"/>
        </w:rPr>
        <w:t xml:space="preserve">2.  </w:t>
      </w:r>
      <w:r>
        <w:rPr>
          <w:sz w:val="22"/>
          <w:szCs w:val="22"/>
        </w:rPr>
        <w:t xml:space="preserve">Maintain a manager-on-call rotation so a qualified designee is reachable at all times (Part 6.8(L)(2)).</w:t>
      </w:r>
    </w:p>
    <w:p>
      <w:pPr>
        <w:spacing w:after="80" w:line="276"/>
        <w:ind w:left="720" w:hanging="360"/>
      </w:pPr>
      <w:r>
        <w:rPr>
          <w:b/>
          <w:bCs/>
          <w:sz w:val="22"/>
          <w:szCs w:val="22"/>
        </w:rPr>
        <w:t xml:space="preserve">3.  </w:t>
      </w:r>
      <w:r>
        <w:rPr>
          <w:sz w:val="22"/>
          <w:szCs w:val="22"/>
        </w:rPr>
        <w:t xml:space="preserve">Follow the escalation chain during urgent events: direct-care staff → manager-on-call → participant's practitioner and/or 9-1-1, consistent with the participant's care/support plan and advance directive.</w:t>
      </w:r>
    </w:p>
    <w:p>
      <w:pPr>
        <w:spacing w:after="80" w:line="276"/>
        <w:ind w:left="720" w:hanging="360"/>
      </w:pPr>
      <w:r>
        <w:rPr>
          <w:b/>
          <w:bCs/>
          <w:sz w:val="22"/>
          <w:szCs w:val="22"/>
        </w:rPr>
        <w:t xml:space="preserve">4.  </w:t>
      </w:r>
      <w:r>
        <w:rPr>
          <w:sz w:val="22"/>
          <w:szCs w:val="22"/>
        </w:rPr>
        <w:t xml:space="preserve">For a fall, follow the lift-assistance protocol; for a change from baseline, request a practitioner assessment (Parts 12.16–12.18, 12.5).</w:t>
      </w:r>
    </w:p>
    <w:p>
      <w:pPr>
        <w:spacing w:after="80" w:line="276"/>
        <w:ind w:left="720" w:hanging="360"/>
      </w:pPr>
      <w:r>
        <w:rPr>
          <w:b/>
          <w:bCs/>
          <w:sz w:val="22"/>
          <w:szCs w:val="22"/>
        </w:rPr>
        <w:t xml:space="preserve">5.  </w:t>
      </w:r>
      <w:r>
        <w:rPr>
          <w:sz w:val="22"/>
          <w:szCs w:val="22"/>
        </w:rPr>
        <w:t xml:space="preserve">Document each on-call contact, the decision made, and the outcome in the escalation/response log and, where a participant is affected, in progress notes (Part 18.8(D)).</w:t>
      </w:r>
    </w:p>
    <w:p>
      <w:pPr>
        <w:spacing w:after="80" w:before="160"/>
      </w:pPr>
      <w:r>
        <w:rPr>
          <w:b/>
          <w:bCs/>
          <w:caps/>
          <w:color w:val="1F3864"/>
          <w:sz w:val="22"/>
          <w:szCs w:val="22"/>
        </w:rPr>
        <w:t xml:space="preserve">Related Forms</w:t>
      </w:r>
    </w:p>
    <w:p>
      <w:pPr>
        <w:spacing w:after="120" w:line="276"/>
      </w:pPr>
      <w:r>
        <w:rPr>
          <w:sz w:val="22"/>
          <w:szCs w:val="22"/>
        </w:rPr>
        <w:t xml:space="preserve">Manager-On-Call Schedule  ·  On-Call Contact Posting  ·  Escalation/Response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00.06 — Training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Training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Staff / Training</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7.9, 6.5–6.7, 7.13(C), 6.7; SLP service 10 CCR 2505-10 § 8.7550; HCBS Brain Injury Waiver § 8.7100 (brain injury and complex behavior); Independent Living Skills Training § 8.7529.</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all staff and volunteers receive orientation and ongoing training that prepares them to provide safe, competent, person-centered care to participants with brain injury — meeting 6 CCR 1011-1 Chapter 7 requirements and the competencies required to deliver the Supported Living Program.</w:t>
      </w:r>
    </w:p>
    <w:p>
      <w:pPr>
        <w:spacing w:after="80" w:before="160"/>
      </w:pPr>
      <w:r>
        <w:rPr>
          <w:b/>
          <w:bCs/>
          <w:caps/>
          <w:color w:val="1F3864"/>
          <w:sz w:val="22"/>
          <w:szCs w:val="22"/>
        </w:rPr>
        <w:t xml:space="preserve">Definitions</w:t>
      </w:r>
    </w:p>
    <w:p>
      <w:pPr>
        <w:spacing w:after="80" w:line="276"/>
      </w:pPr>
      <w:r>
        <w:rPr>
          <w:b/>
          <w:bCs/>
          <w:sz w:val="22"/>
          <w:szCs w:val="22"/>
        </w:rPr>
        <w:t xml:space="preserve">Brain injury — </w:t>
      </w:r>
      <w:r>
        <w:rPr>
          <w:sz w:val="22"/>
          <w:szCs w:val="22"/>
        </w:rPr>
        <w:t xml:space="preserve">an injury to the brain of traumatic or acquired origin that results in residual physical, cognitive, emotional, and behavioral difficulties of a non-progressive nature (10 CCR 2505-10 § 8.7100).</w:t>
      </w:r>
    </w:p>
    <w:p>
      <w:pPr>
        <w:spacing w:after="80" w:line="276"/>
      </w:pPr>
      <w:r>
        <w:rPr>
          <w:b/>
          <w:bCs/>
          <w:sz w:val="22"/>
          <w:szCs w:val="22"/>
        </w:rPr>
        <w:t xml:space="preserve">Complex behavior — </w:t>
      </w:r>
      <w:r>
        <w:rPr>
          <w:sz w:val="22"/>
          <w:szCs w:val="22"/>
        </w:rPr>
        <w:t xml:space="preserve">behavior related to a diagnosis that includes one or more substantial disorders of cognitive, volitional, or emotional process that grossly impairs judgment or the capacity to recognize reality or control behavior (§ 8.7100).</w:t>
      </w:r>
    </w:p>
    <w:p>
      <w:pPr>
        <w:spacing w:after="80" w:line="276"/>
      </w:pPr>
      <w:r>
        <w:rPr>
          <w:b/>
          <w:bCs/>
          <w:sz w:val="22"/>
          <w:szCs w:val="22"/>
        </w:rPr>
        <w:t xml:space="preserve">Direct-care staff member — </w:t>
      </w:r>
      <w:r>
        <w:rPr>
          <w:sz w:val="22"/>
          <w:szCs w:val="22"/>
        </w:rPr>
        <w:t xml:space="preserve">a staff member caring for the physical, emotional, or mental-health needs of participants whose work involves regular contact with participants (Part 7.9(B)(2)).</w:t>
      </w:r>
    </w:p>
    <w:p>
      <w:pPr>
        <w:spacing w:after="80" w:before="160"/>
      </w:pPr>
      <w:r>
        <w:rPr>
          <w:b/>
          <w:bCs/>
          <w:caps/>
          <w:color w:val="1F3864"/>
          <w:sz w:val="22"/>
          <w:szCs w:val="22"/>
        </w:rPr>
        <w:t xml:space="preserve">Policy</w:t>
      </w:r>
    </w:p>
    <w:p>
      <w:pPr>
        <w:spacing w:after="120" w:line="276"/>
      </w:pPr>
      <w:r>
        <w:rPr>
          <w:sz w:val="22"/>
          <w:szCs w:val="22"/>
        </w:rPr>
        <w:t xml:space="preserve">Each staff member and volunteer completes initial orientation before providing any care or services to a participant, covering the topics required at Part 7.9(A), including care and services provided, assigned duties, hand hygiene and infection control, emergency response, participant rights, reporting requirements, house rules, locating advance directives, and how to access the residence's policies and procedures.</w:t>
      </w:r>
    </w:p>
    <w:p>
      <w:pPr>
        <w:spacing w:after="120" w:line="276"/>
      </w:pPr>
      <w:r>
        <w:rPr>
          <w:sz w:val="22"/>
          <w:szCs w:val="22"/>
        </w:rPr>
        <w:t xml:space="preserve">Direct-care staff meet the dementia-training requirements at Part 7.9(B) and the role-specific training at Part 7.9(C), including recognizing and managing behavioral expression, fall prevention, and communicating with participants who have hearing loss, limited English proficiency, or cognitive or communication impairments. The administrator completes 40 hours of administrator training meeting Parts 6.5–6.7.</w:t>
      </w:r>
    </w:p>
    <w:p>
      <w:pPr>
        <w:spacing w:after="120" w:line="276"/>
      </w:pPr>
      <w:r>
        <w:rPr>
          <w:sz w:val="22"/>
          <w:szCs w:val="22"/>
        </w:rPr>
        <w:t xml:space="preserve">Because [Facility Name] is certified to deliver the Supported Living Program (10 CCR 2505-10 § 8.7550), and beyond the Chapter 7 minimums, staff are trained in brain-injury-specific competencies:</w:t>
      </w:r>
    </w:p>
    <w:p>
      <w:pPr>
        <w:pStyle w:val="ListParagraph"/>
        <w:numPr>
          <w:ilvl w:val="0"/>
          <w:numId w:val="2"/>
        </w:numPr>
        <w:spacing w:after="80" w:line="276"/>
      </w:pPr>
      <w:r>
        <w:rPr>
          <w:sz w:val="22"/>
          <w:szCs w:val="22"/>
        </w:rPr>
        <w:t xml:space="preserve">The nature of traumatic and acquired brain injury and its cognitive, physical, emotional, and behavioral effects (§ 8.7100);</w:t>
      </w:r>
    </w:p>
    <w:p>
      <w:pPr>
        <w:pStyle w:val="ListParagraph"/>
        <w:numPr>
          <w:ilvl w:val="0"/>
          <w:numId w:val="2"/>
        </w:numPr>
        <w:spacing w:after="80" w:line="276"/>
      </w:pPr>
      <w:r>
        <w:rPr>
          <w:sz w:val="22"/>
          <w:szCs w:val="22"/>
        </w:rPr>
        <w:t xml:space="preserve">Independent living skills and self-care training approaches (§§ 8.7529, 8.7550);</w:t>
      </w:r>
    </w:p>
    <w:p>
      <w:pPr>
        <w:pStyle w:val="ListParagraph"/>
        <w:numPr>
          <w:ilvl w:val="0"/>
          <w:numId w:val="2"/>
        </w:numPr>
        <w:spacing w:after="80" w:line="276"/>
      </w:pPr>
      <w:r>
        <w:rPr>
          <w:sz w:val="22"/>
          <w:szCs w:val="22"/>
        </w:rPr>
        <w:t xml:space="preserve">Behavioral management for complex behavior (§ 8.7100), including de-escalation and positive behavior support;</w:t>
      </w:r>
    </w:p>
    <w:p>
      <w:pPr>
        <w:pStyle w:val="ListParagraph"/>
        <w:numPr>
          <w:ilvl w:val="0"/>
          <w:numId w:val="2"/>
        </w:numPr>
        <w:spacing w:after="80" w:line="276"/>
      </w:pPr>
      <w:r>
        <w:rPr>
          <w:sz w:val="22"/>
          <w:szCs w:val="22"/>
        </w:rPr>
        <w:t xml:space="preserve">Cognitive supports and compensatory strategies, such as memory aids, structure, and cueing;</w:t>
      </w:r>
    </w:p>
    <w:p>
      <w:pPr>
        <w:pStyle w:val="ListParagraph"/>
        <w:numPr>
          <w:ilvl w:val="0"/>
          <w:numId w:val="2"/>
        </w:numPr>
        <w:spacing w:after="80" w:line="276"/>
      </w:pPr>
      <w:r>
        <w:rPr>
          <w:sz w:val="22"/>
          <w:szCs w:val="22"/>
        </w:rPr>
        <w:t xml:space="preserve">Seizure recognition and response;</w:t>
      </w:r>
    </w:p>
    <w:p>
      <w:pPr>
        <w:pStyle w:val="ListParagraph"/>
        <w:numPr>
          <w:ilvl w:val="0"/>
          <w:numId w:val="2"/>
        </w:numPr>
        <w:spacing w:after="80" w:line="276"/>
      </w:pPr>
      <w:r>
        <w:rPr>
          <w:sz w:val="22"/>
          <w:szCs w:val="22"/>
        </w:rPr>
        <w:t xml:space="preserve">Communication strategies for aphasia and cognitive-communication deficits; and</w:t>
      </w:r>
    </w:p>
    <w:p>
      <w:pPr>
        <w:pStyle w:val="ListParagraph"/>
        <w:numPr>
          <w:ilvl w:val="0"/>
          <w:numId w:val="2"/>
        </w:numPr>
        <w:spacing w:after="80" w:line="276"/>
      </w:pPr>
      <w:r>
        <w:rPr>
          <w:sz w:val="22"/>
          <w:szCs w:val="22"/>
        </w:rPr>
        <w:t xml:space="preserve">Person-centered support planning.</w:t>
      </w:r>
    </w:p>
    <w:p>
      <w:pPr>
        <w:spacing w:after="120" w:line="276"/>
      </w:pPr>
      <w:r>
        <w:rPr>
          <w:sz w:val="22"/>
          <w:szCs w:val="22"/>
        </w:rPr>
        <w:t xml:space="preserve">Training completion is documented in each personnel file (Part 7.13(C)), and competency is demonstrated through testing (Part 6.7).</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Provide initial orientation covering all Part 7.9(A) topics before the staff member or volunteer works independently.</w:t>
      </w:r>
    </w:p>
    <w:p>
      <w:pPr>
        <w:spacing w:after="80" w:line="276"/>
        <w:ind w:left="720" w:hanging="360"/>
      </w:pPr>
      <w:r>
        <w:rPr>
          <w:b/>
          <w:bCs/>
          <w:sz w:val="22"/>
          <w:szCs w:val="22"/>
        </w:rPr>
        <w:t xml:space="preserve">2.  </w:t>
      </w:r>
      <w:r>
        <w:rPr>
          <w:sz w:val="22"/>
          <w:szCs w:val="22"/>
        </w:rPr>
        <w:t xml:space="preserve">Provide dementia training (Part 7.9(B)) and role-specific training (Part 7.9(C)) to direct-care staff, accepting valid portable training only where the Part 7.9(D) conditions are met.</w:t>
      </w:r>
    </w:p>
    <w:p>
      <w:pPr>
        <w:spacing w:after="80" w:line="276"/>
        <w:ind w:left="720" w:hanging="360"/>
      </w:pPr>
      <w:r>
        <w:rPr>
          <w:b/>
          <w:bCs/>
          <w:sz w:val="22"/>
          <w:szCs w:val="22"/>
        </w:rPr>
        <w:t xml:space="preserve">3.  </w:t>
      </w:r>
      <w:r>
        <w:rPr>
          <w:sz w:val="22"/>
          <w:szCs w:val="22"/>
        </w:rPr>
        <w:t xml:space="preserve">Deliver the brain-injury-specific curriculum above so staff can competently provide the SLP supports (10 CCR 2505-10 § 8.7550).</w:t>
      </w:r>
    </w:p>
    <w:p>
      <w:pPr>
        <w:spacing w:after="80" w:line="276"/>
        <w:ind w:left="720" w:hanging="360"/>
      </w:pPr>
      <w:r>
        <w:rPr>
          <w:b/>
          <w:bCs/>
          <w:sz w:val="22"/>
          <w:szCs w:val="22"/>
        </w:rPr>
        <w:t xml:space="preserve">4.  </w:t>
      </w:r>
      <w:r>
        <w:rPr>
          <w:sz w:val="22"/>
          <w:szCs w:val="22"/>
        </w:rPr>
        <w:t xml:space="preserve">Test competency to confirm an evidence-based understanding of the regulations and topics (Part 6.7).</w:t>
      </w:r>
    </w:p>
    <w:p>
      <w:pPr>
        <w:spacing w:after="80" w:line="276"/>
        <w:ind w:left="720" w:hanging="360"/>
      </w:pPr>
      <w:r>
        <w:rPr>
          <w:b/>
          <w:bCs/>
          <w:sz w:val="22"/>
          <w:szCs w:val="22"/>
        </w:rPr>
        <w:t xml:space="preserve">5.  </w:t>
      </w:r>
      <w:r>
        <w:rPr>
          <w:sz w:val="22"/>
          <w:szCs w:val="22"/>
        </w:rPr>
        <w:t xml:space="preserve">Ensure the administrator completes and documents 40 hours of administrator training (Parts 6.5–6.7).</w:t>
      </w:r>
    </w:p>
    <w:p>
      <w:pPr>
        <w:spacing w:after="80" w:line="276"/>
        <w:ind w:left="720" w:hanging="360"/>
      </w:pPr>
      <w:r>
        <w:rPr>
          <w:b/>
          <w:bCs/>
          <w:sz w:val="22"/>
          <w:szCs w:val="22"/>
        </w:rPr>
        <w:t xml:space="preserve">6.  </w:t>
      </w:r>
      <w:r>
        <w:rPr>
          <w:sz w:val="22"/>
          <w:szCs w:val="22"/>
        </w:rPr>
        <w:t xml:space="preserve">Record hours, dates, and instructor/entity for all training in each personnel file (Parts 7.13(C), 7.13(G)).</w:t>
      </w:r>
    </w:p>
    <w:p>
      <w:pPr>
        <w:spacing w:after="80" w:before="160"/>
      </w:pPr>
      <w:r>
        <w:rPr>
          <w:b/>
          <w:bCs/>
          <w:caps/>
          <w:color w:val="1F3864"/>
          <w:sz w:val="22"/>
          <w:szCs w:val="22"/>
        </w:rPr>
        <w:t xml:space="preserve">Related Forms</w:t>
      </w:r>
    </w:p>
    <w:p>
      <w:pPr>
        <w:spacing w:after="120" w:line="276"/>
      </w:pPr>
      <w:r>
        <w:rPr>
          <w:sz w:val="22"/>
          <w:szCs w:val="22"/>
        </w:rPr>
        <w:t xml:space="preserve">Orientation Checklist  ·  Brain-Injury Competency Curriculum &amp; Test  ·  Training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00.07 — Quality Management Program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Quality Management Program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Staff / Quality Management</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6.6(B)(4)(h), 5.3, 9.1, 12.18, 13.12, 14.31; HCBS Brain Injury Waiver § 8.7000 series (Provider Agency requirements and critical-incident reporting to the Case Management Agency and the Department of Health Care Policy and Financing).</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establish a Quality Management Program (QMP) that monitors care quality and participant safety, reviews incidents and outcomes, and drives improvement — integrating both Chapter 7 requirements and the residence's quality obligations as a certified brain-injury (SLP) provider.</w:t>
      </w:r>
    </w:p>
    <w:p>
      <w:pPr>
        <w:spacing w:after="80" w:before="160"/>
      </w:pPr>
      <w:r>
        <w:rPr>
          <w:b/>
          <w:bCs/>
          <w:caps/>
          <w:color w:val="1F3864"/>
          <w:sz w:val="22"/>
          <w:szCs w:val="22"/>
        </w:rPr>
        <w:t xml:space="preserve">Definitions</w:t>
      </w:r>
    </w:p>
    <w:p>
      <w:pPr>
        <w:spacing w:after="80" w:line="276"/>
      </w:pPr>
      <w:r>
        <w:rPr>
          <w:b/>
          <w:bCs/>
          <w:sz w:val="22"/>
          <w:szCs w:val="22"/>
        </w:rPr>
        <w:t xml:space="preserve">Occurrence — </w:t>
      </w:r>
      <w:r>
        <w:rPr>
          <w:sz w:val="22"/>
          <w:szCs w:val="22"/>
        </w:rPr>
        <w:t xml:space="preserve">an event that the residence must investigate to determine circumstances and institute measures to prevent recurrence (Part 5.3).</w:t>
      </w:r>
    </w:p>
    <w:p>
      <w:pPr>
        <w:spacing w:after="80" w:line="276"/>
      </w:pPr>
      <w:r>
        <w:rPr>
          <w:b/>
          <w:bCs/>
          <w:sz w:val="22"/>
          <w:szCs w:val="22"/>
        </w:rPr>
        <w:t xml:space="preserve">Critical incident — </w:t>
      </w:r>
      <w:r>
        <w:rPr>
          <w:sz w:val="22"/>
          <w:szCs w:val="22"/>
        </w:rPr>
        <w:t xml:space="preserve">an event affecting a participant's health, safety, or welfare that a Home and Community-Based Services provider must report to the Case Management Agency and the Department.</w:t>
      </w:r>
    </w:p>
    <w:p>
      <w:pPr>
        <w:spacing w:after="80" w:before="160"/>
      </w:pPr>
      <w:r>
        <w:rPr>
          <w:b/>
          <w:bCs/>
          <w:caps/>
          <w:color w:val="1F3864"/>
          <w:sz w:val="22"/>
          <w:szCs w:val="22"/>
        </w:rPr>
        <w:t xml:space="preserve">Policy</w:t>
      </w:r>
    </w:p>
    <w:p>
      <w:pPr>
        <w:spacing w:after="120" w:line="276"/>
      </w:pPr>
      <w:r>
        <w:rPr>
          <w:sz w:val="22"/>
          <w:szCs w:val="22"/>
        </w:rPr>
        <w:t xml:space="preserve">[Facility Name] operates a Quality Management Program that reviews, at minimum: occurrences and investigations (Part 5.3); injuries of unknown origin (Part 13.12); medication administration, controlled-substance, and disposal audits (Part 14.31); fall data (Part 12.18); and the annual review of all policies and procedures (Part 9.1).</w:t>
      </w:r>
    </w:p>
    <w:p>
      <w:pPr>
        <w:spacing w:after="120" w:line="276"/>
      </w:pPr>
      <w:r>
        <w:rPr>
          <w:sz w:val="22"/>
          <w:szCs w:val="22"/>
        </w:rPr>
        <w:t xml:space="preserve">As a certified Supported Living Program provider under the HCBS Brain Injury waiver (10 CCR 2505-10 § 8.7000 series), [Facility Name] also reports critical incidents to the participant's Case Management Agency and the Department of Health Care Policy and Financing as required, and tracks participant-specific outcomes.</w:t>
      </w:r>
    </w:p>
    <w:p>
      <w:pPr>
        <w:spacing w:after="120" w:line="276"/>
      </w:pPr>
      <w:r>
        <w:rPr>
          <w:sz w:val="22"/>
          <w:szCs w:val="22"/>
        </w:rPr>
        <w:t xml:space="preserve">The QMP gives particular attention to events characteristic of the brain-injury population — behavioral incidents, elopement or egress-alert events, falls, and medication errors — and uses the data to strengthen cognitive and behavioral supports and reduce recurrence.</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Collect QMP data from occurrence reports, injury-of-unknown-origin investigations, medication audits, and fall reviews (Parts 5.3, 13.12, 14.31, 12.18).</w:t>
      </w:r>
    </w:p>
    <w:p>
      <w:pPr>
        <w:spacing w:after="80" w:line="276"/>
        <w:ind w:left="720" w:hanging="360"/>
      </w:pPr>
      <w:r>
        <w:rPr>
          <w:b/>
          <w:bCs/>
          <w:sz w:val="22"/>
          <w:szCs w:val="22"/>
        </w:rPr>
        <w:t xml:space="preserve">2.  </w:t>
      </w:r>
      <w:r>
        <w:rPr>
          <w:sz w:val="22"/>
          <w:szCs w:val="22"/>
        </w:rPr>
        <w:t xml:space="preserve">Convene a QMP review at least [quarterly] to analyze trends and identify improvement opportunities (Part 6.6(B)(4)(h)).</w:t>
      </w:r>
    </w:p>
    <w:p>
      <w:pPr>
        <w:spacing w:after="80" w:line="276"/>
        <w:ind w:left="720" w:hanging="360"/>
      </w:pPr>
      <w:r>
        <w:rPr>
          <w:b/>
          <w:bCs/>
          <w:sz w:val="22"/>
          <w:szCs w:val="22"/>
        </w:rPr>
        <w:t xml:space="preserve">3.  </w:t>
      </w:r>
      <w:r>
        <w:rPr>
          <w:sz w:val="22"/>
          <w:szCs w:val="22"/>
        </w:rPr>
        <w:t xml:space="preserve">Report critical incidents to the Case Management Agency and the Department of Health Care Policy and Financing within required timeframes.</w:t>
      </w:r>
    </w:p>
    <w:p>
      <w:pPr>
        <w:spacing w:after="80" w:line="276"/>
        <w:ind w:left="720" w:hanging="360"/>
      </w:pPr>
      <w:r>
        <w:rPr>
          <w:b/>
          <w:bCs/>
          <w:sz w:val="22"/>
          <w:szCs w:val="22"/>
        </w:rPr>
        <w:t xml:space="preserve">4.  </w:t>
      </w:r>
      <w:r>
        <w:rPr>
          <w:sz w:val="22"/>
          <w:szCs w:val="22"/>
        </w:rPr>
        <w:t xml:space="preserve">Develop and track corrective-action plans, assigning responsibility and target dates.</w:t>
      </w:r>
    </w:p>
    <w:p>
      <w:pPr>
        <w:spacing w:after="80" w:line="276"/>
        <w:ind w:left="720" w:hanging="360"/>
      </w:pPr>
      <w:r>
        <w:rPr>
          <w:b/>
          <w:bCs/>
          <w:sz w:val="22"/>
          <w:szCs w:val="22"/>
        </w:rPr>
        <w:t xml:space="preserve">5.  </w:t>
      </w:r>
      <w:r>
        <w:rPr>
          <w:sz w:val="22"/>
          <w:szCs w:val="22"/>
        </w:rPr>
        <w:t xml:space="preserve">Review all policies and procedures at least annually and revise as needed (Part 9.1).</w:t>
      </w:r>
    </w:p>
    <w:p>
      <w:pPr>
        <w:spacing w:after="80" w:line="276"/>
        <w:ind w:left="720" w:hanging="360"/>
      </w:pPr>
      <w:r>
        <w:rPr>
          <w:b/>
          <w:bCs/>
          <w:sz w:val="22"/>
          <w:szCs w:val="22"/>
        </w:rPr>
        <w:t xml:space="preserve">6.  </w:t>
      </w:r>
      <w:r>
        <w:rPr>
          <w:sz w:val="22"/>
          <w:szCs w:val="22"/>
        </w:rPr>
        <w:t xml:space="preserve">Maintain QMP records, including forms and meeting documentation, and make them available for Department review.</w:t>
      </w:r>
    </w:p>
    <w:p>
      <w:pPr>
        <w:spacing w:after="80" w:before="160"/>
      </w:pPr>
      <w:r>
        <w:rPr>
          <w:b/>
          <w:bCs/>
          <w:caps/>
          <w:color w:val="1F3864"/>
          <w:sz w:val="22"/>
          <w:szCs w:val="22"/>
        </w:rPr>
        <w:t xml:space="preserve">Related Forms</w:t>
      </w:r>
    </w:p>
    <w:p>
      <w:pPr>
        <w:spacing w:after="120" w:line="276"/>
      </w:pPr>
      <w:r>
        <w:rPr>
          <w:sz w:val="22"/>
          <w:szCs w:val="22"/>
        </w:rPr>
        <w:t xml:space="preserve">QMP Review Log  ·  Critical Incident Report  ·  Corrective Action Plan  ·  QMP Forms</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00.08 — COVID-19 Vaccination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COVID-19 Vaccination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Staff / Infection Control</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Part 19 (§§ 19.1–19.3), §§ 7.7, 9.1(K), 13.1; 6 CCR 1009-1 (Epidemic and Communicable Disease Control).</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set out [Facility Name]'s approach to COVID-19 vaccination for participants and staff as part of its infection control program, in a person-centered manner that respects participant choice and decisional capacity. Because vaccination requirements and public-health guidance change frequently, [Facility Name] adapts this policy to current CDPHE, CMS, and local public-health guidance.</w:t>
      </w:r>
    </w:p>
    <w:p>
      <w:pPr>
        <w:spacing w:after="80" w:before="160"/>
      </w:pPr>
      <w:r>
        <w:rPr>
          <w:b/>
          <w:bCs/>
          <w:caps/>
          <w:color w:val="1F3864"/>
          <w:sz w:val="22"/>
          <w:szCs w:val="22"/>
        </w:rPr>
        <w:t xml:space="preserve">Definitions</w:t>
      </w:r>
    </w:p>
    <w:p>
      <w:pPr>
        <w:spacing w:after="80" w:line="276"/>
      </w:pPr>
      <w:r>
        <w:rPr>
          <w:b/>
          <w:bCs/>
          <w:sz w:val="22"/>
          <w:szCs w:val="22"/>
        </w:rPr>
        <w:t xml:space="preserve">Legal representative — </w:t>
      </w:r>
      <w:r>
        <w:rPr>
          <w:sz w:val="22"/>
          <w:szCs w:val="22"/>
        </w:rPr>
        <w:t xml:space="preserve">a participant's guardian, agent under a medical power of attorney, proxy decision-maker, or conservator, as applicable (Part 2.54).</w:t>
      </w:r>
    </w:p>
    <w:p>
      <w:pPr>
        <w:spacing w:after="80" w:line="276"/>
      </w:pPr>
      <w:r>
        <w:rPr>
          <w:b/>
          <w:bCs/>
          <w:sz w:val="22"/>
          <w:szCs w:val="22"/>
        </w:rPr>
        <w:t xml:space="preserve">Informed consent or refusal — </w:t>
      </w:r>
      <w:r>
        <w:rPr>
          <w:sz w:val="22"/>
          <w:szCs w:val="22"/>
        </w:rPr>
        <w:t xml:space="preserve">a documented decision made after the participant or representative receives clear information about the vaccine.</w:t>
      </w:r>
    </w:p>
    <w:p>
      <w:pPr>
        <w:spacing w:after="80" w:before="160"/>
      </w:pPr>
      <w:r>
        <w:rPr>
          <w:b/>
          <w:bCs/>
          <w:caps/>
          <w:color w:val="1F3864"/>
          <w:sz w:val="22"/>
          <w:szCs w:val="22"/>
        </w:rPr>
        <w:t xml:space="preserve">Policy</w:t>
      </w:r>
    </w:p>
    <w:p>
      <w:pPr>
        <w:spacing w:after="120" w:line="276"/>
      </w:pPr>
      <w:r>
        <w:rPr>
          <w:sz w:val="22"/>
          <w:szCs w:val="22"/>
        </w:rPr>
        <w:t xml:space="preserve">As part of its infection control program (Part 19.1), [Facility Name] provides participants and staff with current information about COVID-19 vaccination and access to vaccination consistent with applicable public-health guidance and 6 CCR 1009-1.</w:t>
      </w:r>
    </w:p>
    <w:p>
      <w:pPr>
        <w:spacing w:after="120" w:line="276"/>
      </w:pPr>
      <w:r>
        <w:rPr>
          <w:sz w:val="22"/>
          <w:szCs w:val="22"/>
        </w:rPr>
        <w:t xml:space="preserve">Vaccination decisions for participants are made in a person-centered manner that honors the participant's rights (Part 13.1). Because some participants with brain injury may have limited decisional capacity, the residence involves the participant's legal representative as appropriate and documents informed consent or refusal.</w:t>
      </w:r>
    </w:p>
    <w:p>
      <w:pPr>
        <w:spacing w:after="120" w:line="276"/>
      </w:pPr>
      <w:r>
        <w:rPr>
          <w:sz w:val="22"/>
          <w:szCs w:val="22"/>
        </w:rPr>
        <w:t xml:space="preserve">Staff immunization and communicable-disease work restrictions follow Part 7.7. [Facility Name] reviews and updates this policy whenever CDPHE, CMS, or local public-health guidance changes.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Provide current vaccination information to participants, representatives, and staff.</w:t>
      </w:r>
    </w:p>
    <w:p>
      <w:pPr>
        <w:spacing w:after="80" w:line="276"/>
        <w:ind w:left="720" w:hanging="360"/>
      </w:pPr>
      <w:r>
        <w:rPr>
          <w:b/>
          <w:bCs/>
          <w:sz w:val="22"/>
          <w:szCs w:val="22"/>
        </w:rPr>
        <w:t xml:space="preserve">2.  </w:t>
      </w:r>
      <w:r>
        <w:rPr>
          <w:sz w:val="22"/>
          <w:szCs w:val="22"/>
        </w:rPr>
        <w:t xml:space="preserve">Offer access to vaccination consistent with public-health guidance and 6 CCR 1009-1.</w:t>
      </w:r>
    </w:p>
    <w:p>
      <w:pPr>
        <w:spacing w:after="80" w:line="276"/>
        <w:ind w:left="720" w:hanging="360"/>
      </w:pPr>
      <w:r>
        <w:rPr>
          <w:b/>
          <w:bCs/>
          <w:sz w:val="22"/>
          <w:szCs w:val="22"/>
        </w:rPr>
        <w:t xml:space="preserve">3.  </w:t>
      </w:r>
      <w:r>
        <w:rPr>
          <w:sz w:val="22"/>
          <w:szCs w:val="22"/>
        </w:rPr>
        <w:t xml:space="preserve">Obtain and document informed consent or refusal for each participant, involving the legal representative where the participant's decisional capacity is limited.</w:t>
      </w:r>
    </w:p>
    <w:p>
      <w:pPr>
        <w:spacing w:after="80" w:line="276"/>
        <w:ind w:left="720" w:hanging="360"/>
      </w:pPr>
      <w:r>
        <w:rPr>
          <w:b/>
          <w:bCs/>
          <w:sz w:val="22"/>
          <w:szCs w:val="22"/>
        </w:rPr>
        <w:t xml:space="preserve">4.  </w:t>
      </w:r>
      <w:r>
        <w:rPr>
          <w:sz w:val="22"/>
          <w:szCs w:val="22"/>
        </w:rPr>
        <w:t xml:space="preserve">Maintain staff immunization records and apply communicable-disease work restrictions where required (Part 7.7).</w:t>
      </w:r>
    </w:p>
    <w:p>
      <w:pPr>
        <w:spacing w:after="80" w:line="276"/>
        <w:ind w:left="720" w:hanging="360"/>
      </w:pPr>
      <w:r>
        <w:rPr>
          <w:b/>
          <w:bCs/>
          <w:sz w:val="22"/>
          <w:szCs w:val="22"/>
        </w:rPr>
        <w:t xml:space="preserve">5.  </w:t>
      </w:r>
      <w:r>
        <w:rPr>
          <w:sz w:val="22"/>
          <w:szCs w:val="22"/>
        </w:rPr>
        <w:t xml:space="preserve">Review this policy against current CDPHE, CMS, and local guidance at least [annually] and after any material change in guidance.</w:t>
      </w:r>
    </w:p>
    <w:p>
      <w:pPr>
        <w:spacing w:after="80" w:before="160"/>
      </w:pPr>
      <w:r>
        <w:rPr>
          <w:b/>
          <w:bCs/>
          <w:caps/>
          <w:color w:val="1F3864"/>
          <w:sz w:val="22"/>
          <w:szCs w:val="22"/>
        </w:rPr>
        <w:t xml:space="preserve">Related Forms</w:t>
      </w:r>
    </w:p>
    <w:p>
      <w:pPr>
        <w:spacing w:after="120" w:line="276"/>
      </w:pPr>
      <w:r>
        <w:rPr>
          <w:sz w:val="22"/>
          <w:szCs w:val="22"/>
        </w:rPr>
        <w:t xml:space="preserve">Vaccination Information &amp; Consent/Refusal Record  ·  Staff Immunization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00.09 — COVID-19 Prevention and Response Plan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COVID-19 Prevention and Response Plan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Staff / Infection Control</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Part 19 (§§ 19.1–19.4), §§ 9.2(F)–(G), 16.6–16.7, 7.7(B), 5.2; 6 CCR 1009-1 (Epidemic and Communicable Disease Control).</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prevent and respond to COVID-19 and other communicable-disease transmission in a manner that protects participants and staff while accounting for the cognitive and behavioral realities of a brain-injury residence.</w:t>
      </w:r>
    </w:p>
    <w:p>
      <w:pPr>
        <w:spacing w:after="80" w:before="160"/>
      </w:pPr>
      <w:r>
        <w:rPr>
          <w:b/>
          <w:bCs/>
          <w:caps/>
          <w:color w:val="1F3864"/>
          <w:sz w:val="22"/>
          <w:szCs w:val="22"/>
        </w:rPr>
        <w:t xml:space="preserve">Definitions</w:t>
      </w:r>
    </w:p>
    <w:p>
      <w:pPr>
        <w:spacing w:after="80" w:line="276"/>
      </w:pPr>
      <w:r>
        <w:rPr>
          <w:b/>
          <w:bCs/>
          <w:sz w:val="22"/>
          <w:szCs w:val="22"/>
        </w:rPr>
        <w:t xml:space="preserve">Communicable disease — </w:t>
      </w:r>
      <w:r>
        <w:rPr>
          <w:sz w:val="22"/>
          <w:szCs w:val="22"/>
        </w:rPr>
        <w:t xml:space="preserve">a disease with a significant risk of transmission to other persons, as addressed under 6 CCR 1009-1 (Part 2.14).</w:t>
      </w:r>
    </w:p>
    <w:p>
      <w:pPr>
        <w:spacing w:after="80" w:line="276"/>
      </w:pPr>
      <w:r>
        <w:rPr>
          <w:b/>
          <w:bCs/>
          <w:sz w:val="22"/>
          <w:szCs w:val="22"/>
        </w:rPr>
        <w:t xml:space="preserve">Infectious waste — </w:t>
      </w:r>
      <w:r>
        <w:rPr>
          <w:sz w:val="22"/>
          <w:szCs w:val="22"/>
        </w:rPr>
        <w:t xml:space="preserve">any item containing blood, body fluid, or body waste from a participant with a contagious condition (Part 19.4).</w:t>
      </w:r>
    </w:p>
    <w:p>
      <w:pPr>
        <w:spacing w:after="80" w:before="160"/>
      </w:pPr>
      <w:r>
        <w:rPr>
          <w:b/>
          <w:bCs/>
          <w:caps/>
          <w:color w:val="1F3864"/>
          <w:sz w:val="22"/>
          <w:szCs w:val="22"/>
        </w:rPr>
        <w:t xml:space="preserve">Policy</w:t>
      </w:r>
    </w:p>
    <w:p>
      <w:pPr>
        <w:spacing w:after="120" w:line="276"/>
      </w:pPr>
      <w:r>
        <w:rPr>
          <w:sz w:val="22"/>
          <w:szCs w:val="22"/>
        </w:rPr>
        <w:t xml:space="preserve">[Facility Name] maintains and follows written policies to address the transmission of communicable diseases with significant transmission risk and to report diseases to the state and/or local health department under 6 CCR 1009-1 (Part 19.2), based on nationally recognized guidelines such as the CDC, WHO, and APIC (Part 19.2(A)).</w:t>
      </w:r>
    </w:p>
    <w:p>
      <w:pPr>
        <w:spacing w:after="120" w:line="276"/>
      </w:pPr>
      <w:r>
        <w:rPr>
          <w:sz w:val="22"/>
          <w:szCs w:val="22"/>
        </w:rPr>
        <w:t xml:space="preserve">The program includes methods for monitoring employee wellness, tracking infection patterns and initiating a response, determining when to seek assistance from a medical professional or the local health department, isolation techniques, and appropriate handling of linens and clothing of participants with communicable infections (Part 19.3). Infectious waste is handled and disposed of per Part 19.4.</w:t>
      </w:r>
    </w:p>
    <w:p>
      <w:pPr>
        <w:spacing w:after="120" w:line="276"/>
      </w:pPr>
      <w:r>
        <w:rPr>
          <w:sz w:val="22"/>
          <w:szCs w:val="22"/>
        </w:rPr>
        <w:t xml:space="preserve">Because participants with brain injury may have impaired safety awareness or impulsivity that makes masking or isolation difficult, [Facility Name] uses individualized, least-restrictive strategies and preserves routine and engagement to the extent safe. During periods of heightened transmission, visitation limits follow Parts 9.2(F)–(G); food-handler illness follows Parts 16.6–16.7; and staff work restrictions follow Part 7.7(B). If relocation of participants becomes necessary, the residence notifies the Department within 48 hours (Part 5.2).</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Implement routine prevention measures — hand hygiene, cleaning and disinfection, and employee-wellness monitoring — based on nationally recognized guidelines (Parts 19.1–19.3).</w:t>
      </w:r>
    </w:p>
    <w:p>
      <w:pPr>
        <w:spacing w:after="80" w:line="276"/>
        <w:ind w:left="720" w:hanging="360"/>
      </w:pPr>
      <w:r>
        <w:rPr>
          <w:b/>
          <w:bCs/>
          <w:sz w:val="22"/>
          <w:szCs w:val="22"/>
        </w:rPr>
        <w:t xml:space="preserve">2.  </w:t>
      </w:r>
      <w:r>
        <w:rPr>
          <w:sz w:val="22"/>
          <w:szCs w:val="22"/>
        </w:rPr>
        <w:t xml:space="preserve">Screen for symptoms and track infection patterns; initiate a response and seek medical or public-health assistance when indicated (Part 19.3).</w:t>
      </w:r>
    </w:p>
    <w:p>
      <w:pPr>
        <w:spacing w:after="80" w:line="276"/>
        <w:ind w:left="720" w:hanging="360"/>
      </w:pPr>
      <w:r>
        <w:rPr>
          <w:b/>
          <w:bCs/>
          <w:sz w:val="22"/>
          <w:szCs w:val="22"/>
        </w:rPr>
        <w:t xml:space="preserve">3.  </w:t>
      </w:r>
      <w:r>
        <w:rPr>
          <w:sz w:val="22"/>
          <w:szCs w:val="22"/>
        </w:rPr>
        <w:t xml:space="preserve">During an outbreak, apply isolation using individualized, least-restrictive supports appropriate to each participant's cognition and behavior, preserving routine and engagement where safe.</w:t>
      </w:r>
    </w:p>
    <w:p>
      <w:pPr>
        <w:spacing w:after="80" w:line="276"/>
        <w:ind w:left="720" w:hanging="360"/>
      </w:pPr>
      <w:r>
        <w:rPr>
          <w:b/>
          <w:bCs/>
          <w:sz w:val="22"/>
          <w:szCs w:val="22"/>
        </w:rPr>
        <w:t xml:space="preserve">4.  </w:t>
      </w:r>
      <w:r>
        <w:rPr>
          <w:sz w:val="22"/>
          <w:szCs w:val="22"/>
        </w:rPr>
        <w:t xml:space="preserve">Report communicable diseases to the state and/or local health department as required under 6 CCR 1009-1 (Part 19.2).</w:t>
      </w:r>
    </w:p>
    <w:p>
      <w:pPr>
        <w:spacing w:after="80" w:line="276"/>
        <w:ind w:left="720" w:hanging="360"/>
      </w:pPr>
      <w:r>
        <w:rPr>
          <w:b/>
          <w:bCs/>
          <w:sz w:val="22"/>
          <w:szCs w:val="22"/>
        </w:rPr>
        <w:t xml:space="preserve">5.  </w:t>
      </w:r>
      <w:r>
        <w:rPr>
          <w:sz w:val="22"/>
          <w:szCs w:val="22"/>
        </w:rPr>
        <w:t xml:space="preserve">Apply visitation limits (Parts 9.2(F)–(G)), food-handler restrictions (Parts 16.6–16.7), and staff work restrictions (Part 7.7(B)) as needed.</w:t>
      </w:r>
    </w:p>
    <w:p>
      <w:pPr>
        <w:spacing w:after="80" w:line="276"/>
        <w:ind w:left="720" w:hanging="360"/>
      </w:pPr>
      <w:r>
        <w:rPr>
          <w:b/>
          <w:bCs/>
          <w:sz w:val="22"/>
          <w:szCs w:val="22"/>
        </w:rPr>
        <w:t xml:space="preserve">6.  </w:t>
      </w:r>
      <w:r>
        <w:rPr>
          <w:sz w:val="22"/>
          <w:szCs w:val="22"/>
        </w:rPr>
        <w:t xml:space="preserve">Handle and dispose of infectious waste per Part 19.4, and notify the Department within 48 hours if relocation becomes necessary (Part 5.2).</w:t>
      </w:r>
    </w:p>
    <w:p>
      <w:pPr>
        <w:spacing w:after="80" w:line="276"/>
        <w:ind w:left="720" w:hanging="360"/>
      </w:pPr>
      <w:r>
        <w:rPr>
          <w:b/>
          <w:bCs/>
          <w:sz w:val="22"/>
          <w:szCs w:val="22"/>
        </w:rPr>
        <w:t xml:space="preserve">7.  </w:t>
      </w:r>
      <w:r>
        <w:rPr>
          <w:sz w:val="22"/>
          <w:szCs w:val="22"/>
        </w:rPr>
        <w:t xml:space="preserve">Document exposures, outbreaks, and the response, and review through the Quality Management Program.</w:t>
      </w:r>
    </w:p>
    <w:p>
      <w:pPr>
        <w:spacing w:after="80" w:before="160"/>
      </w:pPr>
      <w:r>
        <w:rPr>
          <w:b/>
          <w:bCs/>
          <w:caps/>
          <w:color w:val="1F3864"/>
          <w:sz w:val="22"/>
          <w:szCs w:val="22"/>
        </w:rPr>
        <w:t xml:space="preserve">Related Forms</w:t>
      </w:r>
    </w:p>
    <w:p>
      <w:pPr>
        <w:spacing w:after="120" w:line="276"/>
      </w:pPr>
      <w:r>
        <w:rPr>
          <w:sz w:val="22"/>
          <w:szCs w:val="22"/>
        </w:rPr>
        <w:t xml:space="preserve">Communicable Disease Response Plan  ·  Exposure/Outbreak Log  ·  Isolation Support Plan</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3.00 — Health Information Management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Health Information Management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Staff / Health Information</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Part 18 (§§ 18.1–18.13), §§ 9.1(M), 18.8(D); C.R.S. 25-1-801; 45 C.F.R. Parts 160 and 164 (HIPAA); SLP service 10 CCR 2505-10 § 8.7550; HCBS Brain Injury Waiver § 8.7000 series (person-centered support plan and service documentation).</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each participant has an accurate, confidential, and complete health information record that supports continuity of care, meets Chapter 7 recordkeeping requirements, and supports documentation of Supported Living Program services.</w:t>
      </w:r>
    </w:p>
    <w:p>
      <w:pPr>
        <w:spacing w:after="80" w:before="160"/>
      </w:pPr>
      <w:r>
        <w:rPr>
          <w:b/>
          <w:bCs/>
          <w:caps/>
          <w:color w:val="1F3864"/>
          <w:sz w:val="22"/>
          <w:szCs w:val="22"/>
        </w:rPr>
        <w:t xml:space="preserve">Definitions</w:t>
      </w:r>
    </w:p>
    <w:p>
      <w:pPr>
        <w:spacing w:after="80" w:line="276"/>
      </w:pPr>
      <w:r>
        <w:rPr>
          <w:b/>
          <w:bCs/>
          <w:sz w:val="22"/>
          <w:szCs w:val="22"/>
        </w:rPr>
        <w:t xml:space="preserve">Health information record — </w:t>
      </w:r>
      <w:r>
        <w:rPr>
          <w:sz w:val="22"/>
          <w:szCs w:val="22"/>
        </w:rPr>
        <w:t xml:space="preserve">the confidential record maintained for each participant under Part 18.</w:t>
      </w:r>
    </w:p>
    <w:p>
      <w:pPr>
        <w:spacing w:after="80" w:line="276"/>
      </w:pPr>
      <w:r>
        <w:rPr>
          <w:b/>
          <w:bCs/>
          <w:sz w:val="22"/>
          <w:szCs w:val="22"/>
        </w:rPr>
        <w:t xml:space="preserve">Face sheet — </w:t>
      </w:r>
      <w:r>
        <w:rPr>
          <w:sz w:val="22"/>
          <w:szCs w:val="22"/>
        </w:rPr>
        <w:t xml:space="preserve">the summary record page containing the identifying and contact information listed in Part 18.9, updated at least annually.</w:t>
      </w:r>
    </w:p>
    <w:p>
      <w:pPr>
        <w:spacing w:after="80" w:line="276"/>
      </w:pPr>
      <w:r>
        <w:rPr>
          <w:b/>
          <w:bCs/>
          <w:sz w:val="22"/>
          <w:szCs w:val="22"/>
        </w:rPr>
        <w:t xml:space="preserve">Person-centered support plan — </w:t>
      </w:r>
      <w:r>
        <w:rPr>
          <w:sz w:val="22"/>
          <w:szCs w:val="22"/>
        </w:rPr>
        <w:t xml:space="preserve">the individualized plan documenting the participant's brain-injury supports and services.</w:t>
      </w:r>
    </w:p>
    <w:p>
      <w:pPr>
        <w:spacing w:after="80" w:before="160"/>
      </w:pPr>
      <w:r>
        <w:rPr>
          <w:b/>
          <w:bCs/>
          <w:caps/>
          <w:color w:val="1F3864"/>
          <w:sz w:val="22"/>
          <w:szCs w:val="22"/>
        </w:rPr>
        <w:t xml:space="preserve">Policy</w:t>
      </w:r>
    </w:p>
    <w:p>
      <w:pPr>
        <w:spacing w:after="120" w:line="276"/>
      </w:pPr>
      <w:r>
        <w:rPr>
          <w:sz w:val="22"/>
          <w:szCs w:val="22"/>
        </w:rPr>
        <w:t xml:space="preserve">[Facility Name] maintains a confidential health information record for each participant, kept on site and maintained in a manner that ensures accuracy (Parts 18.1–18.2), using a paper-based or electronic information-management system with a method for integration that allows effective continuity of care (Part 18.3).</w:t>
      </w:r>
    </w:p>
    <w:p>
      <w:pPr>
        <w:spacing w:after="120" w:line="276"/>
      </w:pPr>
      <w:r>
        <w:rPr>
          <w:sz w:val="22"/>
          <w:szCs w:val="22"/>
        </w:rPr>
        <w:t xml:space="preserve">Each record contains, at minimum, the items in Parts 18.4 and 18.8 — face sheet, practitioner orders, individualized care/support plan, progress notes, medication administration record, documentation of external services, advance directives, and final disposition — and the face sheet is updated at least annually with the information in Part 18.9. Confidentiality is protected under Part 18.6, C.R.S. 25-1-801, and HIPAA, and participants and authorized individuals may inspect records under Part 18.7.</w:t>
      </w:r>
    </w:p>
    <w:p>
      <w:pPr>
        <w:spacing w:after="120" w:line="276"/>
      </w:pPr>
      <w:r>
        <w:rPr>
          <w:sz w:val="22"/>
          <w:szCs w:val="22"/>
        </w:rPr>
        <w:t xml:space="preserve">Records transfer with the participant on transfer of care (Part 18.10) and are retained for at least three years, and kept on site for at least six months, following termination of the participant's stay (Parts 18.12–18.13).</w:t>
      </w:r>
    </w:p>
    <w:p>
      <w:pPr>
        <w:spacing w:after="120" w:line="276"/>
      </w:pPr>
      <w:r>
        <w:rPr>
          <w:sz w:val="22"/>
          <w:szCs w:val="22"/>
        </w:rPr>
        <w:t xml:space="preserve">Because [Facility Name] delivers the Supported Living Program (10 CCR 2505-10 § 8.7550), the record also documents the person-centered support plan and the services supporting the participant's brain-injury needs, available to the Case Management Agency as required. Staff document any out-of-the-ordinary event affecting a participant's physical, behavioral, cognitive, or functional condition — and the action taken — in progress notes before the end of their shift (Part 18.8(D)(1)), with particular attention to cognitive and behavioral status changes, independent-living-skills progress, and seizure activity.</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Establish the health information record at admission with the items required at Part 18.4 (face sheet, practitioner orders, individualized care/support plan, advance directives, signed resident agreement).</w:t>
      </w:r>
    </w:p>
    <w:p>
      <w:pPr>
        <w:spacing w:after="80" w:line="276"/>
        <w:ind w:left="720" w:hanging="360"/>
      </w:pPr>
      <w:r>
        <w:rPr>
          <w:b/>
          <w:bCs/>
          <w:sz w:val="22"/>
          <w:szCs w:val="22"/>
        </w:rPr>
        <w:t xml:space="preserve">2.  </w:t>
      </w:r>
      <w:r>
        <w:rPr>
          <w:sz w:val="22"/>
          <w:szCs w:val="22"/>
        </w:rPr>
        <w:t xml:space="preserve">Maintain record content per Part 18.8 and update the face sheet at least annually per Part 18.9.</w:t>
      </w:r>
    </w:p>
    <w:p>
      <w:pPr>
        <w:spacing w:after="80" w:line="276"/>
        <w:ind w:left="720" w:hanging="360"/>
      </w:pPr>
      <w:r>
        <w:rPr>
          <w:b/>
          <w:bCs/>
          <w:sz w:val="22"/>
          <w:szCs w:val="22"/>
        </w:rPr>
        <w:t xml:space="preserve">3.  </w:t>
      </w:r>
      <w:r>
        <w:rPr>
          <w:sz w:val="22"/>
          <w:szCs w:val="22"/>
        </w:rPr>
        <w:t xml:space="preserve">Document out-of-the-ordinary events and the action taken in progress notes before end of shift (Part 18.8(D)(1)), including cognitive/behavioral changes, ILST progress, and seizures.</w:t>
      </w:r>
    </w:p>
    <w:p>
      <w:pPr>
        <w:spacing w:after="80" w:line="276"/>
        <w:ind w:left="720" w:hanging="360"/>
      </w:pPr>
      <w:r>
        <w:rPr>
          <w:b/>
          <w:bCs/>
          <w:sz w:val="22"/>
          <w:szCs w:val="22"/>
        </w:rPr>
        <w:t xml:space="preserve">4.  </w:t>
      </w:r>
      <w:r>
        <w:rPr>
          <w:sz w:val="22"/>
          <w:szCs w:val="22"/>
        </w:rPr>
        <w:t xml:space="preserve">Protect confidentiality under Part 18.6, C.R.S. 25-1-801, and HIPAA, and honor participant and authorized-individual access under Part 18.7.</w:t>
      </w:r>
    </w:p>
    <w:p>
      <w:pPr>
        <w:spacing w:after="80" w:line="276"/>
        <w:ind w:left="720" w:hanging="360"/>
      </w:pPr>
      <w:r>
        <w:rPr>
          <w:b/>
          <w:bCs/>
          <w:sz w:val="22"/>
          <w:szCs w:val="22"/>
        </w:rPr>
        <w:t xml:space="preserve">5.  </w:t>
      </w:r>
      <w:r>
        <w:rPr>
          <w:sz w:val="22"/>
          <w:szCs w:val="22"/>
        </w:rPr>
        <w:t xml:space="preserve">On transfer of care, send the face sheet, individualized care/support plan, and current medication administration record with the participant (Part 18.10).</w:t>
      </w:r>
    </w:p>
    <w:p>
      <w:pPr>
        <w:spacing w:after="80" w:line="276"/>
        <w:ind w:left="720" w:hanging="360"/>
      </w:pPr>
      <w:r>
        <w:rPr>
          <w:b/>
          <w:bCs/>
          <w:sz w:val="22"/>
          <w:szCs w:val="22"/>
        </w:rPr>
        <w:t xml:space="preserve">6.  </w:t>
      </w:r>
      <w:r>
        <w:rPr>
          <w:sz w:val="22"/>
          <w:szCs w:val="22"/>
        </w:rPr>
        <w:t xml:space="preserve">Retain records at least three years, and keep them on site at least six months, after the participant's stay ends (Parts 18.12–18.13).</w:t>
      </w:r>
    </w:p>
    <w:p>
      <w:pPr>
        <w:spacing w:after="80" w:before="160"/>
      </w:pPr>
      <w:r>
        <w:rPr>
          <w:b/>
          <w:bCs/>
          <w:caps/>
          <w:color w:val="1F3864"/>
          <w:sz w:val="22"/>
          <w:szCs w:val="22"/>
        </w:rPr>
        <w:t xml:space="preserve">Related Forms</w:t>
      </w:r>
    </w:p>
    <w:p>
      <w:pPr>
        <w:spacing w:after="120" w:line="276"/>
      </w:pPr>
      <w:r>
        <w:rPr>
          <w:sz w:val="22"/>
          <w:szCs w:val="22"/>
        </w:rPr>
        <w:t xml:space="preserve">Face Sheet  ·  Individualized Care/Support Plan  ·  Progress Note  ·  Records Access Request</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spacing w:after="120" w:before="3000"/>
        <w:jc w:val="center"/>
      </w:pPr>
      <w:r>
        <w:rPr>
          <w:b/>
          <w:bCs/>
          <w:color w:val="1F3864"/>
          <w:sz w:val="30"/>
          <w:szCs w:val="30"/>
        </w:rPr>
        <w:t xml:space="preserve">SECTION 2 — PARTICIPANT RIGHTS / RULES / PROCEDURES AND PROTOCOLS</w:t>
      </w:r>
    </w:p>
    <w:p>
      <w:pPr>
        <w:spacing w:after="400" w:before="0"/>
        <w:jc w:val="center"/>
      </w:pPr>
      <w:r>
        <w:rPr>
          <w:color w:val="595959"/>
          <w:sz w:val="24"/>
          <w:szCs w:val="24"/>
        </w:rPr>
        <w:t xml:space="preserve">Policies 1.00 – 1.17</w:t>
      </w:r>
    </w:p>
    <w:p>
      <w:pPr>
        <w:spacing w:after="60" w:before="0"/>
        <w:jc w:val="center"/>
      </w:pPr>
      <w:r>
        <w:rPr>
          <w:color w:val="595959"/>
          <w:sz w:val="20"/>
          <w:szCs w:val="20"/>
        </w:rPr>
        <w:t xml:space="preserve">Regulatory basis: 6 CCR 1011-1 Chapter 7, Parts 9, 11, 12, 13, 22;</w:t>
      </w:r>
    </w:p>
    <w:p>
      <w:pPr>
        <w:spacing w:after="60" w:before="0"/>
        <w:jc w:val="center"/>
      </w:pPr>
      <w:r>
        <w:rPr>
          <w:color w:val="595959"/>
          <w:sz w:val="20"/>
          <w:szCs w:val="20"/>
        </w:rPr>
        <w:t xml:space="preserve">HCBS Brain Injury Waiver / SLP, 10 CCR 2505-10 § 8.7000 series (§§ 8.7550, 8.7101.E, 8.7001).</w:t>
      </w:r>
    </w:p>
    <w:p>
      <w:r>
        <w:br w:type="page"/>
      </w:r>
    </w:p>
    <w:p>
      <w:pPr>
        <w:pStyle w:val="Heading1"/>
        <w:spacing w:after="40"/>
      </w:pPr>
      <w:r>
        <w:rPr>
          <w:b/>
          <w:bCs/>
          <w:color w:val="1F3864"/>
          <w:sz w:val="28"/>
          <w:szCs w:val="28"/>
        </w:rPr>
        <w:t xml:space="preserve">Policy 1.00 — Participant and Human Rights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Participant and Human Rights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Part 13 (§ 13.1), §§ 14.14–14.16, 13.2; HCBS Member Rights 10 CCR 2505-10 § 8.7001; SLP service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affirm and protect the rights of every participant and ensure staff observe those rights in all care, treatment, and oversight — consistent with 6 CCR 1011-1 Chapter 7, Part 13, and the Member rights that apply under the HCBS Brain Injury waiver — recognizing that a brain injury does not diminish a participant's rights.</w:t>
      </w:r>
    </w:p>
    <w:p>
      <w:pPr>
        <w:spacing w:after="80" w:before="160"/>
      </w:pPr>
      <w:r>
        <w:rPr>
          <w:b/>
          <w:bCs/>
          <w:caps/>
          <w:color w:val="1F3864"/>
          <w:sz w:val="22"/>
          <w:szCs w:val="22"/>
        </w:rPr>
        <w:t xml:space="preserve">Definitions</w:t>
      </w:r>
    </w:p>
    <w:p>
      <w:pPr>
        <w:spacing w:after="80" w:line="276"/>
      </w:pPr>
      <w:r>
        <w:rPr>
          <w:b/>
          <w:bCs/>
          <w:sz w:val="22"/>
          <w:szCs w:val="22"/>
        </w:rPr>
        <w:t xml:space="preserve">Participant — </w:t>
      </w:r>
      <w:r>
        <w:rPr>
          <w:sz w:val="22"/>
          <w:szCs w:val="22"/>
        </w:rPr>
        <w:t xml:space="preserve">an individual receiving residential supportive living services at [Facility Name].</w:t>
      </w:r>
    </w:p>
    <w:p>
      <w:pPr>
        <w:spacing w:after="80" w:line="276"/>
      </w:pPr>
      <w:r>
        <w:rPr>
          <w:b/>
          <w:bCs/>
          <w:sz w:val="22"/>
          <w:szCs w:val="22"/>
        </w:rPr>
        <w:t xml:space="preserve">Legal representative — </w:t>
      </w:r>
      <w:r>
        <w:rPr>
          <w:sz w:val="22"/>
          <w:szCs w:val="22"/>
        </w:rPr>
        <w:t xml:space="preserve">a participant's guardian, agent under a medical power of attorney, proxy decision-maker, or conservator, as applicable (Part 2.54).</w:t>
      </w:r>
    </w:p>
    <w:p>
      <w:pPr>
        <w:spacing w:after="80" w:line="276"/>
      </w:pPr>
      <w:r>
        <w:rPr>
          <w:b/>
          <w:bCs/>
          <w:sz w:val="22"/>
          <w:szCs w:val="22"/>
        </w:rPr>
        <w:t xml:space="preserve">Supported decision-making — </w:t>
      </w:r>
      <w:r>
        <w:rPr>
          <w:sz w:val="22"/>
          <w:szCs w:val="22"/>
        </w:rPr>
        <w:t xml:space="preserve">assisting a participant to understand information and express choices so the participant can exercise rights to the greatest extent possible.</w:t>
      </w:r>
    </w:p>
    <w:p>
      <w:pPr>
        <w:spacing w:after="80" w:before="160"/>
      </w:pPr>
      <w:r>
        <w:rPr>
          <w:b/>
          <w:bCs/>
          <w:caps/>
          <w:color w:val="1F3864"/>
          <w:sz w:val="22"/>
          <w:szCs w:val="22"/>
        </w:rPr>
        <w:t xml:space="preserve">Policy</w:t>
      </w:r>
    </w:p>
    <w:p>
      <w:pPr>
        <w:spacing w:after="120" w:line="276"/>
      </w:pPr>
      <w:r>
        <w:rPr>
          <w:sz w:val="22"/>
          <w:szCs w:val="22"/>
        </w:rPr>
        <w:t xml:space="preserve">[Facility Name] adopts and posts, in a publicly visible location, a statement of participant rights and responsibilities, and staff observe these rights in the care, treatment, and oversight of participants (Part 13.1). The statement includes, at minimum, the rights in Part 13.1:</w:t>
      </w:r>
    </w:p>
    <w:p>
      <w:pPr>
        <w:pStyle w:val="ListParagraph"/>
        <w:numPr>
          <w:ilvl w:val="0"/>
          <w:numId w:val="2"/>
        </w:numPr>
        <w:spacing w:after="80" w:line="276"/>
      </w:pPr>
      <w:r>
        <w:rPr>
          <w:sz w:val="22"/>
          <w:szCs w:val="22"/>
        </w:rPr>
        <w:t xml:space="preserve">Privacy and confidentiality — private and unrestricted communications, private telephone or electronic communication, unopened mail, visitors, and private consensual sexual activity (Part 13.1(A));</w:t>
      </w:r>
    </w:p>
    <w:p>
      <w:pPr>
        <w:pStyle w:val="ListParagraph"/>
        <w:numPr>
          <w:ilvl w:val="0"/>
          <w:numId w:val="2"/>
        </w:numPr>
        <w:spacing w:after="80" w:line="276"/>
      </w:pPr>
      <w:r>
        <w:rPr>
          <w:sz w:val="22"/>
          <w:szCs w:val="22"/>
        </w:rPr>
        <w:t xml:space="preserve">Civil and religious liberties — dignity and respect; freedom from sexual, verbal, physical, or emotional abuse, humiliation, intimidation, or punishment; freedom from neglect; freedom from financial exploitation, restraint, and involuntary confinement except as allowed by the secure-environment rules; the right to vote; religious choice; clothing choice; and care not conditioned on disability, sexual orientation, ethnicity, or personal preferences (Part 13.1(B));</w:t>
      </w:r>
    </w:p>
    <w:p>
      <w:pPr>
        <w:pStyle w:val="ListParagraph"/>
        <w:numPr>
          <w:ilvl w:val="0"/>
          <w:numId w:val="2"/>
        </w:numPr>
        <w:spacing w:after="80" w:line="276"/>
      </w:pPr>
      <w:r>
        <w:rPr>
          <w:sz w:val="22"/>
          <w:szCs w:val="22"/>
        </w:rPr>
        <w:t xml:space="preserve">Personal and community engagement — socializing and using common areas, participating in meetings and voicing grievances without reprisal, participating in outside activities with transportation assistance, and telephone use (Part 13.1(C));</w:t>
      </w:r>
    </w:p>
    <w:p>
      <w:pPr>
        <w:pStyle w:val="ListParagraph"/>
        <w:numPr>
          <w:ilvl w:val="0"/>
          <w:numId w:val="2"/>
        </w:numPr>
        <w:spacing w:after="80" w:line="276"/>
      </w:pPr>
      <w:r>
        <w:rPr>
          <w:sz w:val="22"/>
          <w:szCs w:val="22"/>
        </w:rPr>
        <w:t xml:space="preserve">Choice and personal involvement in care and services — informed participation in decisions, advance directives, choice of health-care provider, management of personal affairs and funds, and 30 calendar days' written notice of changes in services (Part 13.1(D)); and</w:t>
      </w:r>
    </w:p>
    <w:p>
      <w:pPr>
        <w:pStyle w:val="ListParagraph"/>
        <w:numPr>
          <w:ilvl w:val="0"/>
          <w:numId w:val="2"/>
        </w:numPr>
        <w:spacing w:after="80" w:line="276"/>
      </w:pPr>
      <w:r>
        <w:rPr>
          <w:sz w:val="22"/>
          <w:szCs w:val="22"/>
        </w:rPr>
        <w:t xml:space="preserve">The right to designate individuals to be notified in an emergency or involuntary discharge, and visitation in compliance with Part 9.2 (Part 13.1(E)).</w:t>
      </w:r>
    </w:p>
    <w:p>
      <w:pPr>
        <w:spacing w:after="120" w:line="276"/>
      </w:pPr>
      <w:r>
        <w:rPr>
          <w:sz w:val="22"/>
          <w:szCs w:val="22"/>
        </w:rPr>
        <w:t xml:space="preserve">Participants retain all rights regarding medication: personal medication is the participant's property; no participant surrenders the right to possess or self-administer unless a practitioner determines the participant lacks the decisional capacity to do so safely; and each participant has the right to privacy and dignity and the right to refuse medication (Parts 14.14–14.16).</w:t>
      </w:r>
    </w:p>
    <w:p>
      <w:pPr>
        <w:spacing w:after="120" w:line="276"/>
      </w:pPr>
      <w:r>
        <w:rPr>
          <w:sz w:val="22"/>
          <w:szCs w:val="22"/>
        </w:rPr>
        <w:t xml:space="preserve">Because a brain injury may affect cognition or communication, [Facility Name] supports each participant in understanding and exercising these rights through accessible communication and supported decision-making, and involves the legal representative only as authorized — without overriding the participant's own voice. Member rights under the HCBS Brain Injury waiver (10 CCR 2505-10 § 8.7001) are honored in addition to these rights.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Post the participant rights statement in a publicly visible location (Part 13.1).</w:t>
      </w:r>
    </w:p>
    <w:p>
      <w:pPr>
        <w:spacing w:after="80" w:line="276"/>
        <w:ind w:left="720" w:hanging="360"/>
      </w:pPr>
      <w:r>
        <w:rPr>
          <w:b/>
          <w:bCs/>
          <w:sz w:val="22"/>
          <w:szCs w:val="22"/>
        </w:rPr>
        <w:t xml:space="preserve">2.  </w:t>
      </w:r>
      <w:r>
        <w:rPr>
          <w:sz w:val="22"/>
          <w:szCs w:val="22"/>
        </w:rPr>
        <w:t xml:space="preserve">Provide the rights statement at admission in an accessible format, including the picture-based form (Policy 1.01), and document acknowledgment.</w:t>
      </w:r>
    </w:p>
    <w:p>
      <w:pPr>
        <w:spacing w:after="80" w:line="276"/>
        <w:ind w:left="720" w:hanging="360"/>
      </w:pPr>
      <w:r>
        <w:rPr>
          <w:b/>
          <w:bCs/>
          <w:sz w:val="22"/>
          <w:szCs w:val="22"/>
        </w:rPr>
        <w:t xml:space="preserve">3.  </w:t>
      </w:r>
      <w:r>
        <w:rPr>
          <w:sz w:val="22"/>
          <w:szCs w:val="22"/>
        </w:rPr>
        <w:t xml:space="preserve">Train staff to observe participant rights in all care and oversight.</w:t>
      </w:r>
    </w:p>
    <w:p>
      <w:pPr>
        <w:spacing w:after="80" w:line="276"/>
        <w:ind w:left="720" w:hanging="360"/>
      </w:pPr>
      <w:r>
        <w:rPr>
          <w:b/>
          <w:bCs/>
          <w:sz w:val="22"/>
          <w:szCs w:val="22"/>
        </w:rPr>
        <w:t xml:space="preserve">4.  </w:t>
      </w:r>
      <w:r>
        <w:rPr>
          <w:sz w:val="22"/>
          <w:szCs w:val="22"/>
        </w:rPr>
        <w:t xml:space="preserve">Honor medication rights, including possession, self-administration, privacy, and refusal (Parts 14.14–14.16).</w:t>
      </w:r>
    </w:p>
    <w:p>
      <w:pPr>
        <w:spacing w:after="80" w:line="276"/>
        <w:ind w:left="720" w:hanging="360"/>
      </w:pPr>
      <w:r>
        <w:rPr>
          <w:b/>
          <w:bCs/>
          <w:sz w:val="22"/>
          <w:szCs w:val="22"/>
        </w:rPr>
        <w:t xml:space="preserve">5.  </w:t>
      </w:r>
      <w:r>
        <w:rPr>
          <w:sz w:val="22"/>
          <w:szCs w:val="22"/>
        </w:rPr>
        <w:t xml:space="preserve">Use supported decision-making and involve the legal representative only as authorized.</w:t>
      </w:r>
    </w:p>
    <w:p>
      <w:pPr>
        <w:spacing w:after="80" w:line="276"/>
        <w:ind w:left="720" w:hanging="360"/>
      </w:pPr>
      <w:r>
        <w:rPr>
          <w:b/>
          <w:bCs/>
          <w:sz w:val="22"/>
          <w:szCs w:val="22"/>
        </w:rPr>
        <w:t xml:space="preserve">6.  </w:t>
      </w:r>
      <w:r>
        <w:rPr>
          <w:sz w:val="22"/>
          <w:szCs w:val="22"/>
        </w:rPr>
        <w:t xml:space="preserve">Respond to any alleged rights violation through the grievance process (Policy 1.02) and the abuse/neglect investigation policy (Policy 3.06).</w:t>
      </w:r>
    </w:p>
    <w:p>
      <w:pPr>
        <w:spacing w:after="80" w:before="160"/>
      </w:pPr>
      <w:r>
        <w:rPr>
          <w:b/>
          <w:bCs/>
          <w:caps/>
          <w:color w:val="1F3864"/>
          <w:sz w:val="22"/>
          <w:szCs w:val="22"/>
        </w:rPr>
        <w:t xml:space="preserve">Related Forms</w:t>
      </w:r>
    </w:p>
    <w:p>
      <w:pPr>
        <w:spacing w:after="120" w:line="276"/>
      </w:pPr>
      <w:r>
        <w:rPr>
          <w:sz w:val="22"/>
          <w:szCs w:val="22"/>
        </w:rPr>
        <w:t xml:space="preserve">Participant Rights Statement  ·  Rights Acknowledgment  ·  Participant &amp; Human Rights Picture Form (Policy 1.01)</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1.01 — Participant and Human Rights Picture Form</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Participant and Human Rights Picture Form</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13.1, §§ 13.1(D)(4)(a), 12.7(D);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provide the statement of participant rights in an accessible, picture-based format so that participants whose brain injury affects reading, language, or cognition can understand and exercise their rights. Companion to Policy 1.00.</w:t>
      </w:r>
    </w:p>
    <w:p>
      <w:pPr>
        <w:spacing w:after="80" w:before="160"/>
      </w:pPr>
      <w:r>
        <w:rPr>
          <w:b/>
          <w:bCs/>
          <w:caps/>
          <w:color w:val="1F3864"/>
          <w:sz w:val="22"/>
          <w:szCs w:val="22"/>
        </w:rPr>
        <w:t xml:space="preserve">Definitions</w:t>
      </w:r>
    </w:p>
    <w:p>
      <w:pPr>
        <w:spacing w:after="80" w:line="276"/>
      </w:pPr>
      <w:r>
        <w:rPr>
          <w:b/>
          <w:bCs/>
          <w:sz w:val="22"/>
          <w:szCs w:val="22"/>
        </w:rPr>
        <w:t xml:space="preserve">Picture form — </w:t>
      </w:r>
      <w:r>
        <w:rPr>
          <w:sz w:val="22"/>
          <w:szCs w:val="22"/>
        </w:rPr>
        <w:t xml:space="preserve">a plain-language, image-supported version of the participant rights statement.</w:t>
      </w:r>
    </w:p>
    <w:p>
      <w:pPr>
        <w:spacing w:after="80" w:line="276"/>
      </w:pPr>
      <w:r>
        <w:rPr>
          <w:b/>
          <w:bCs/>
          <w:sz w:val="22"/>
          <w:szCs w:val="22"/>
        </w:rPr>
        <w:t xml:space="preserve">Cognitive-communication deficit — </w:t>
      </w:r>
      <w:r>
        <w:rPr>
          <w:sz w:val="22"/>
          <w:szCs w:val="22"/>
        </w:rPr>
        <w:t xml:space="preserve">difficulty with communication resulting from impaired cognition, common after a brain injury.</w:t>
      </w:r>
    </w:p>
    <w:p>
      <w:pPr>
        <w:spacing w:after="80" w:before="160"/>
      </w:pPr>
      <w:r>
        <w:rPr>
          <w:b/>
          <w:bCs/>
          <w:caps/>
          <w:color w:val="1F3864"/>
          <w:sz w:val="22"/>
          <w:szCs w:val="22"/>
        </w:rPr>
        <w:t xml:space="preserve">Policy</w:t>
      </w:r>
    </w:p>
    <w:p>
      <w:pPr>
        <w:spacing w:after="120" w:line="276"/>
      </w:pPr>
      <w:r>
        <w:rPr>
          <w:sz w:val="22"/>
          <w:szCs w:val="22"/>
        </w:rPr>
        <w:t xml:space="preserve">[Facility Name] maintains a picture-based version of the participant rights statement that presents each right from Part 13.1 in plain language supported by images or symbols, so participants with aphasia, cognitive-communication deficits, or limited literacy can understand their rights.</w:t>
      </w:r>
    </w:p>
    <w:p>
      <w:pPr>
        <w:spacing w:after="120" w:line="276"/>
      </w:pPr>
      <w:r>
        <w:rPr>
          <w:sz w:val="22"/>
          <w:szCs w:val="22"/>
        </w:rPr>
        <w:t xml:space="preserve">The residence facilitates communication of rights and care needs for participants with communication impairments (Parts 13.1(D)(4)(a), 12.7(D)), reviews the picture form with the participant at admission and as needed, and involves the legal representative as appropriate. The picture form is kept consistent with the current rights statement (Policy 1.00).</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Maintain a picture-based rights form aligned to the Participant Rights Statement (Policy 1.00).</w:t>
      </w:r>
    </w:p>
    <w:p>
      <w:pPr>
        <w:spacing w:after="80" w:line="276"/>
        <w:ind w:left="720" w:hanging="360"/>
      </w:pPr>
      <w:r>
        <w:rPr>
          <w:b/>
          <w:bCs/>
          <w:sz w:val="22"/>
          <w:szCs w:val="22"/>
        </w:rPr>
        <w:t xml:space="preserve">2.  </w:t>
      </w:r>
      <w:r>
        <w:rPr>
          <w:sz w:val="22"/>
          <w:szCs w:val="22"/>
        </w:rPr>
        <w:t xml:space="preserve">Review the picture form with each participant at admission and periodically thereafter.</w:t>
      </w:r>
    </w:p>
    <w:p>
      <w:pPr>
        <w:spacing w:after="80" w:line="276"/>
        <w:ind w:left="720" w:hanging="360"/>
      </w:pPr>
      <w:r>
        <w:rPr>
          <w:b/>
          <w:bCs/>
          <w:sz w:val="22"/>
          <w:szCs w:val="22"/>
        </w:rPr>
        <w:t xml:space="preserve">3.  </w:t>
      </w:r>
      <w:r>
        <w:rPr>
          <w:sz w:val="22"/>
          <w:szCs w:val="22"/>
        </w:rPr>
        <w:t xml:space="preserve">Document the participant's review and understanding, involving the representative as appropriate.</w:t>
      </w:r>
    </w:p>
    <w:p>
      <w:pPr>
        <w:spacing w:after="80" w:line="276"/>
        <w:ind w:left="720" w:hanging="360"/>
      </w:pPr>
      <w:r>
        <w:rPr>
          <w:b/>
          <w:bCs/>
          <w:sz w:val="22"/>
          <w:szCs w:val="22"/>
        </w:rPr>
        <w:t xml:space="preserve">4.  </w:t>
      </w:r>
      <w:r>
        <w:rPr>
          <w:sz w:val="22"/>
          <w:szCs w:val="22"/>
        </w:rPr>
        <w:t xml:space="preserve">Make the picture form readily available to participants.</w:t>
      </w:r>
    </w:p>
    <w:p>
      <w:pPr>
        <w:spacing w:after="80" w:line="276"/>
        <w:ind w:left="720" w:hanging="360"/>
      </w:pPr>
      <w:r>
        <w:rPr>
          <w:b/>
          <w:bCs/>
          <w:sz w:val="22"/>
          <w:szCs w:val="22"/>
        </w:rPr>
        <w:t xml:space="preserve">5.  </w:t>
      </w:r>
      <w:r>
        <w:rPr>
          <w:sz w:val="22"/>
          <w:szCs w:val="22"/>
        </w:rPr>
        <w:t xml:space="preserve">Update the picture form whenever the rights statement changes.</w:t>
      </w:r>
    </w:p>
    <w:p>
      <w:pPr>
        <w:spacing w:after="80" w:before="160"/>
      </w:pPr>
      <w:r>
        <w:rPr>
          <w:b/>
          <w:bCs/>
          <w:caps/>
          <w:color w:val="1F3864"/>
          <w:sz w:val="22"/>
          <w:szCs w:val="22"/>
        </w:rPr>
        <w:t xml:space="preserve">Related Forms</w:t>
      </w:r>
    </w:p>
    <w:p>
      <w:pPr>
        <w:spacing w:after="120" w:line="276"/>
      </w:pPr>
      <w:r>
        <w:rPr>
          <w:sz w:val="22"/>
          <w:szCs w:val="22"/>
        </w:rPr>
        <w:t xml:space="preserve">Participant &amp; Human Rights Picture Form  ·  Picture-Form Review Acknowledgment</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1.02 — Feedback Mechanism and Participant Meetings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Feedback Mechanism and Participant Meetings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13.5–13.10;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give participants, families, and advocates regular, accessible ways to voice concerns and recommend changes, and to ensure the prompt, routine handling of grievances and complaints — consistent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Grievance — </w:t>
      </w:r>
      <w:r>
        <w:rPr>
          <w:sz w:val="22"/>
          <w:szCs w:val="22"/>
        </w:rPr>
        <w:t xml:space="preserve">a concern or complaint brought by a participant, family member, or advocate regarding care, services, or the exercise of rights.</w:t>
      </w:r>
    </w:p>
    <w:p>
      <w:pPr>
        <w:spacing w:after="80" w:line="276"/>
      </w:pPr>
      <w:r>
        <w:rPr>
          <w:b/>
          <w:bCs/>
          <w:sz w:val="22"/>
          <w:szCs w:val="22"/>
        </w:rPr>
        <w:t xml:space="preserve">Advocate — </w:t>
      </w:r>
      <w:r>
        <w:rPr>
          <w:sz w:val="22"/>
          <w:szCs w:val="22"/>
        </w:rPr>
        <w:t xml:space="preserve">a person or organization, including the ombudsman, whose purpose includes rendering assistance to participants.</w:t>
      </w:r>
    </w:p>
    <w:p>
      <w:pPr>
        <w:spacing w:after="80" w:before="160"/>
      </w:pPr>
      <w:r>
        <w:rPr>
          <w:b/>
          <w:bCs/>
          <w:caps/>
          <w:color w:val="1F3864"/>
          <w:sz w:val="22"/>
          <w:szCs w:val="22"/>
        </w:rPr>
        <w:t xml:space="preserve">Policy</w:t>
      </w:r>
    </w:p>
    <w:p>
      <w:pPr>
        <w:spacing w:after="120" w:line="276"/>
      </w:pPr>
      <w:r>
        <w:rPr>
          <w:sz w:val="22"/>
          <w:szCs w:val="22"/>
        </w:rPr>
        <w:t xml:space="preserve">[Facility Name] holds regular meetings with participants, staff, family, and friends — at least quarterly, with more frequent meetings available on request — so all have the opportunity to voice concerns and recommend changes to care, services, activities, policies, and procedures; written minutes are maintained and made available for review (Parts 13.5–13.7). Staff respond in writing to suggestions or issues raised before the next scheduled meeting (Part 13.8), and participants and families may also meet without staff present (Part 13.9).</w:t>
      </w:r>
    </w:p>
    <w:p>
      <w:pPr>
        <w:spacing w:after="120" w:line="276"/>
      </w:pPr>
      <w:r>
        <w:rPr>
          <w:sz w:val="22"/>
          <w:szCs w:val="22"/>
        </w:rPr>
        <w:t xml:space="preserve">The residence maintains an internal process for the routine, prompt handling of grievances and complaints, posted on site with full contact information for the state and local long-term care ombudsman, the county Adult Protection Services, the Area Agency on Aging, the Colorado Department of Public Health and Environment, and — where the residence is licensed to serve persons with intellectual and developmental disabilities — the Department of Health Care Policy and Financing (Part 13.10).</w:t>
      </w:r>
    </w:p>
    <w:p>
      <w:pPr>
        <w:spacing w:after="120" w:line="276"/>
      </w:pPr>
      <w:r>
        <w:rPr>
          <w:sz w:val="22"/>
          <w:szCs w:val="22"/>
        </w:rPr>
        <w:t xml:space="preserve">Because a brain injury may affect communication, [Facility Name] offers accessible feedback methods — verbal, written, picture-supported, or representative-assisted — so every participant can be heard.</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Schedule and hold participant meetings at least quarterly, with more frequent meetings on request (Parts 13.5–13.6).</w:t>
      </w:r>
    </w:p>
    <w:p>
      <w:pPr>
        <w:spacing w:after="80" w:line="276"/>
        <w:ind w:left="720" w:hanging="360"/>
      </w:pPr>
      <w:r>
        <w:rPr>
          <w:b/>
          <w:bCs/>
          <w:sz w:val="22"/>
          <w:szCs w:val="22"/>
        </w:rPr>
        <w:t xml:space="preserve">2.  </w:t>
      </w:r>
      <w:r>
        <w:rPr>
          <w:sz w:val="22"/>
          <w:szCs w:val="22"/>
        </w:rPr>
        <w:t xml:space="preserve">Maintain written minutes and make them available to participants and families (Part 13.7).</w:t>
      </w:r>
    </w:p>
    <w:p>
      <w:pPr>
        <w:spacing w:after="80" w:line="276"/>
        <w:ind w:left="720" w:hanging="360"/>
      </w:pPr>
      <w:r>
        <w:rPr>
          <w:b/>
          <w:bCs/>
          <w:sz w:val="22"/>
          <w:szCs w:val="22"/>
        </w:rPr>
        <w:t xml:space="preserve">3.  </w:t>
      </w:r>
      <w:r>
        <w:rPr>
          <w:sz w:val="22"/>
          <w:szCs w:val="22"/>
        </w:rPr>
        <w:t xml:space="preserve">Respond in writing to suggestions or issues before the next meeting (Part 13.8), and allow meetings without staff present (Part 13.9).</w:t>
      </w:r>
    </w:p>
    <w:p>
      <w:pPr>
        <w:spacing w:after="80" w:line="276"/>
        <w:ind w:left="720" w:hanging="360"/>
      </w:pPr>
      <w:r>
        <w:rPr>
          <w:b/>
          <w:bCs/>
          <w:sz w:val="22"/>
          <w:szCs w:val="22"/>
        </w:rPr>
        <w:t xml:space="preserve">4.  </w:t>
      </w:r>
      <w:r>
        <w:rPr>
          <w:sz w:val="22"/>
          <w:szCs w:val="22"/>
        </w:rPr>
        <w:t xml:space="preserve">Post the grievance process and full agency contact information on site (Part 13.10).</w:t>
      </w:r>
    </w:p>
    <w:p>
      <w:pPr>
        <w:spacing w:after="80" w:line="276"/>
        <w:ind w:left="720" w:hanging="360"/>
      </w:pPr>
      <w:r>
        <w:rPr>
          <w:b/>
          <w:bCs/>
          <w:sz w:val="22"/>
          <w:szCs w:val="22"/>
        </w:rPr>
        <w:t xml:space="preserve">5.  </w:t>
      </w:r>
      <w:r>
        <w:rPr>
          <w:sz w:val="22"/>
          <w:szCs w:val="22"/>
        </w:rPr>
        <w:t xml:space="preserve">Offer accessible feedback methods appropriate to each participant's communication needs.</w:t>
      </w:r>
    </w:p>
    <w:p>
      <w:pPr>
        <w:spacing w:after="80" w:line="276"/>
        <w:ind w:left="720" w:hanging="360"/>
      </w:pPr>
      <w:r>
        <w:rPr>
          <w:b/>
          <w:bCs/>
          <w:sz w:val="22"/>
          <w:szCs w:val="22"/>
        </w:rPr>
        <w:t xml:space="preserve">6.  </w:t>
      </w:r>
      <w:r>
        <w:rPr>
          <w:sz w:val="22"/>
          <w:szCs w:val="22"/>
        </w:rPr>
        <w:t xml:space="preserve">Route and document grievances; handle involuntary-discharge grievances under Policy 1.07A.</w:t>
      </w:r>
    </w:p>
    <w:p>
      <w:pPr>
        <w:spacing w:after="80" w:before="160"/>
      </w:pPr>
      <w:r>
        <w:rPr>
          <w:b/>
          <w:bCs/>
          <w:caps/>
          <w:color w:val="1F3864"/>
          <w:sz w:val="22"/>
          <w:szCs w:val="22"/>
        </w:rPr>
        <w:t xml:space="preserve">Related Forms</w:t>
      </w:r>
    </w:p>
    <w:p>
      <w:pPr>
        <w:spacing w:after="120" w:line="276"/>
      </w:pPr>
      <w:r>
        <w:rPr>
          <w:sz w:val="22"/>
          <w:szCs w:val="22"/>
        </w:rPr>
        <w:t xml:space="preserve">Participant Meeting Minutes  ·  Grievance/Complaint Form  ·  Agency Contact Posting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1.03 — Participant Residency Agreement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Participant Residency Agreement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11.3–11.6;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each participant, or legal representative, receives, understands, and signs a written residency agreement that accurately describes charges, services, and terms — consistent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Residency agreement — </w:t>
      </w:r>
      <w:r>
        <w:rPr>
          <w:sz w:val="22"/>
          <w:szCs w:val="22"/>
        </w:rPr>
        <w:t xml:space="preserve">the written agreement between [Facility Name] and the participant setting out charges, services, and terms of residency.</w:t>
      </w:r>
    </w:p>
    <w:p>
      <w:pPr>
        <w:spacing w:after="80" w:line="276"/>
      </w:pPr>
      <w:r>
        <w:rPr>
          <w:b/>
          <w:bCs/>
          <w:sz w:val="22"/>
          <w:szCs w:val="22"/>
        </w:rPr>
        <w:t xml:space="preserve">Room and board — </w:t>
      </w:r>
      <w:r>
        <w:rPr>
          <w:sz w:val="22"/>
          <w:szCs w:val="22"/>
        </w:rPr>
        <w:t xml:space="preserve">lodging and meals, which the participant is responsible for paying under the Supported Living Program.</w:t>
      </w:r>
    </w:p>
    <w:p>
      <w:pPr>
        <w:spacing w:after="80" w:before="160"/>
      </w:pPr>
      <w:r>
        <w:rPr>
          <w:b/>
          <w:bCs/>
          <w:caps/>
          <w:color w:val="1F3864"/>
          <w:sz w:val="22"/>
          <w:szCs w:val="22"/>
        </w:rPr>
        <w:t xml:space="preserve">Policy</w:t>
      </w:r>
    </w:p>
    <w:p>
      <w:pPr>
        <w:spacing w:after="120" w:line="276"/>
      </w:pPr>
      <w:r>
        <w:rPr>
          <w:sz w:val="22"/>
          <w:szCs w:val="22"/>
        </w:rPr>
        <w:t xml:space="preserve">At move-in, [Facility Name] ensures the participant and/or legal representative has received a copy of the written residency agreement, agreed to its terms, and signed and dated it (Part 11.3). The agreement's terms do not alter or relieve the residence of any legal obligation (Part 11.4). Agreements are reviewed at least annually and amended as needed, and a change of ownership triggers acknowledgment of, or a new, agreement (Part 11.5).</w:t>
      </w:r>
    </w:p>
    <w:p>
      <w:pPr>
        <w:spacing w:after="120" w:line="276"/>
      </w:pPr>
      <w:r>
        <w:rPr>
          <w:sz w:val="22"/>
          <w:szCs w:val="22"/>
        </w:rPr>
        <w:t xml:space="preserve">The agreement specifies, at minimum, the items in Part 11.6: charges, refunds, and deposits; the general type of services and activities provided and not provided; an itemized list of included and optional services with charges; any bed-hold fee and when it is charged; responsibility for linens, hygiene supplies, furnishings, and auxiliary aids; the security-deposit guarantee on closure; and the reasons the residence could pursue involuntary discharge (Parts 11.11–11.12).</w:t>
      </w:r>
    </w:p>
    <w:p>
      <w:pPr>
        <w:spacing w:after="120" w:line="276"/>
      </w:pPr>
      <w:r>
        <w:rPr>
          <w:sz w:val="22"/>
          <w:szCs w:val="22"/>
        </w:rPr>
        <w:t xml:space="preserve">Because [Facility Name] delivers the Supported Living Program (10 CCR 2505-10 § 8.7550), the agreement makes clear that the participant is responsible for room and board while the HCBS Brain Injury waiver covers the authorized SLP services, and the agreement is explained in an accessible manner with representative signature where the participant's capacity requires.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Present the residency agreement at move-in and obtain signatures from the participant and/or representative (Part 11.3).</w:t>
      </w:r>
    </w:p>
    <w:p>
      <w:pPr>
        <w:spacing w:after="80" w:line="276"/>
        <w:ind w:left="720" w:hanging="360"/>
      </w:pPr>
      <w:r>
        <w:rPr>
          <w:b/>
          <w:bCs/>
          <w:sz w:val="22"/>
          <w:szCs w:val="22"/>
        </w:rPr>
        <w:t xml:space="preserve">2.  </w:t>
      </w:r>
      <w:r>
        <w:rPr>
          <w:sz w:val="22"/>
          <w:szCs w:val="22"/>
        </w:rPr>
        <w:t xml:space="preserve">Explain the agreement in an accessible manner appropriate to the participant's cognition and communication.</w:t>
      </w:r>
    </w:p>
    <w:p>
      <w:pPr>
        <w:spacing w:after="80" w:line="276"/>
        <w:ind w:left="720" w:hanging="360"/>
      </w:pPr>
      <w:r>
        <w:rPr>
          <w:b/>
          <w:bCs/>
          <w:sz w:val="22"/>
          <w:szCs w:val="22"/>
        </w:rPr>
        <w:t xml:space="preserve">3.  </w:t>
      </w:r>
      <w:r>
        <w:rPr>
          <w:sz w:val="22"/>
          <w:szCs w:val="22"/>
        </w:rPr>
        <w:t xml:space="preserve">Include all content required at Part 11.6, including the room-and-board and waiver-service distinction.</w:t>
      </w:r>
    </w:p>
    <w:p>
      <w:pPr>
        <w:spacing w:after="80" w:line="276"/>
        <w:ind w:left="720" w:hanging="360"/>
      </w:pPr>
      <w:r>
        <w:rPr>
          <w:b/>
          <w:bCs/>
          <w:sz w:val="22"/>
          <w:szCs w:val="22"/>
        </w:rPr>
        <w:t xml:space="preserve">4.  </w:t>
      </w:r>
      <w:r>
        <w:rPr>
          <w:sz w:val="22"/>
          <w:szCs w:val="22"/>
        </w:rPr>
        <w:t xml:space="preserve">Review the agreement at least annually and amend as needed, with signatures on amendments (Part 11.5).</w:t>
      </w:r>
    </w:p>
    <w:p>
      <w:pPr>
        <w:spacing w:after="80" w:line="276"/>
        <w:ind w:left="720" w:hanging="360"/>
      </w:pPr>
      <w:r>
        <w:rPr>
          <w:b/>
          <w:bCs/>
          <w:sz w:val="22"/>
          <w:szCs w:val="22"/>
        </w:rPr>
        <w:t xml:space="preserve">5.  </w:t>
      </w:r>
      <w:r>
        <w:rPr>
          <w:sz w:val="22"/>
          <w:szCs w:val="22"/>
        </w:rPr>
        <w:t xml:space="preserve">On a change of ownership, obtain acknowledgment of, or establish a new, agreement (Part 11.5(A)).</w:t>
      </w:r>
    </w:p>
    <w:p>
      <w:pPr>
        <w:spacing w:after="80" w:line="276"/>
        <w:ind w:left="720" w:hanging="360"/>
      </w:pPr>
      <w:r>
        <w:rPr>
          <w:b/>
          <w:bCs/>
          <w:sz w:val="22"/>
          <w:szCs w:val="22"/>
        </w:rPr>
        <w:t xml:space="preserve">6.  </w:t>
      </w:r>
      <w:r>
        <w:rPr>
          <w:sz w:val="22"/>
          <w:szCs w:val="22"/>
        </w:rPr>
        <w:t xml:space="preserve">Retain the signed agreement in the participant's record.</w:t>
      </w:r>
    </w:p>
    <w:p>
      <w:pPr>
        <w:spacing w:after="80" w:before="160"/>
      </w:pPr>
      <w:r>
        <w:rPr>
          <w:b/>
          <w:bCs/>
          <w:caps/>
          <w:color w:val="1F3864"/>
          <w:sz w:val="22"/>
          <w:szCs w:val="22"/>
        </w:rPr>
        <w:t xml:space="preserve">Related Forms</w:t>
      </w:r>
    </w:p>
    <w:p>
      <w:pPr>
        <w:spacing w:after="120" w:line="276"/>
      </w:pPr>
      <w:r>
        <w:rPr>
          <w:sz w:val="22"/>
          <w:szCs w:val="22"/>
        </w:rPr>
        <w:t xml:space="preserve">Participant Residency Agreement  ·  Annual Review/Amendment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1.04 — Management of Participant Funds and Property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Management of Participant Funds and Property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11.8–11.10, 9.1(R), 13.1(B)(4), 2.26, 5.1, 13.11;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protect participant funds and property and prevent financial exploitation, defining when and how the residence may handle funds — consistent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Exploitation — </w:t>
      </w:r>
      <w:r>
        <w:rPr>
          <w:sz w:val="22"/>
          <w:szCs w:val="22"/>
        </w:rPr>
        <w:t xml:space="preserve">an act or omission that deprives an at-risk person of the use or benefit of anything of value, or misuses an at-risk person's property (Part 2.26).</w:t>
      </w:r>
    </w:p>
    <w:p>
      <w:pPr>
        <w:spacing w:after="80" w:line="276"/>
      </w:pPr>
      <w:r>
        <w:rPr>
          <w:b/>
          <w:bCs/>
          <w:sz w:val="22"/>
          <w:szCs w:val="22"/>
        </w:rPr>
        <w:t xml:space="preserve">Fiduciary responsibility — </w:t>
      </w:r>
      <w:r>
        <w:rPr>
          <w:sz w:val="22"/>
          <w:szCs w:val="22"/>
        </w:rPr>
        <w:t xml:space="preserve">the duty to manage a participant's funds solely for the participant's benefit.</w:t>
      </w:r>
    </w:p>
    <w:p>
      <w:pPr>
        <w:spacing w:after="80" w:before="160"/>
      </w:pPr>
      <w:r>
        <w:rPr>
          <w:b/>
          <w:bCs/>
          <w:caps/>
          <w:color w:val="1F3864"/>
          <w:sz w:val="22"/>
          <w:szCs w:val="22"/>
        </w:rPr>
        <w:t xml:space="preserve">Policy</w:t>
      </w:r>
    </w:p>
    <w:p>
      <w:pPr>
        <w:spacing w:after="120" w:line="276"/>
      </w:pPr>
      <w:r>
        <w:rPr>
          <w:sz w:val="22"/>
          <w:szCs w:val="22"/>
        </w:rPr>
        <w:t xml:space="preserve">[Facility Name] does not assume power of attorney or guardianship over a participant unless by court order, and does not require a participant to execute or assign a loan, advance, financial interest, mortgage, or other property in exchange for future services (Part 11.8). The residence is not required to handle participant funds or property (Part 11.9).</w:t>
      </w:r>
    </w:p>
    <w:p>
      <w:pPr>
        <w:spacing w:after="120" w:line="276"/>
      </w:pPr>
      <w:r>
        <w:rPr>
          <w:sz w:val="22"/>
          <w:szCs w:val="22"/>
        </w:rPr>
        <w:t xml:space="preserve">If the residence chooses to handle participant funds or property, it complies with Part 11.10: a written, notarized authorization signed by the participant or representative; fiduciary responsibility, with any funds over $500 held in a separate interest-bearing account with interest accruing to the participant; a surety bond sufficient to protect participant funds; a continuous, dated record of all transactions kept at least three years and available for Department review; and a receipt at each disbursement together with a quarterly report of beginning and ending balances and all transactions.</w:t>
      </w:r>
    </w:p>
    <w:p>
      <w:pPr>
        <w:spacing w:after="120" w:line="276"/>
      </w:pPr>
      <w:r>
        <w:rPr>
          <w:sz w:val="22"/>
          <w:szCs w:val="22"/>
        </w:rPr>
        <w:t xml:space="preserve">Because participants with brain injury may be vulnerable to financial exploitation, [Facility Name] safeguards participant funds and treats any suspected exploitation as mistreatment subject to mandatory reporting and investigation (Parts 13.1(B)(4), 2.26, 5.1, 13.11).</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Default to not handling participant funds or property (Part 11.9).</w:t>
      </w:r>
    </w:p>
    <w:p>
      <w:pPr>
        <w:spacing w:after="80" w:line="276"/>
        <w:ind w:left="720" w:hanging="360"/>
      </w:pPr>
      <w:r>
        <w:rPr>
          <w:b/>
          <w:bCs/>
          <w:sz w:val="22"/>
          <w:szCs w:val="22"/>
        </w:rPr>
        <w:t xml:space="preserve">2.  </w:t>
      </w:r>
      <w:r>
        <w:rPr>
          <w:sz w:val="22"/>
          <w:szCs w:val="22"/>
        </w:rPr>
        <w:t xml:space="preserve">If handling funds, obtain a notarized written authorization (Part 11.10(A)).</w:t>
      </w:r>
    </w:p>
    <w:p>
      <w:pPr>
        <w:spacing w:after="80" w:line="276"/>
        <w:ind w:left="720" w:hanging="360"/>
      </w:pPr>
      <w:r>
        <w:rPr>
          <w:b/>
          <w:bCs/>
          <w:sz w:val="22"/>
          <w:szCs w:val="22"/>
        </w:rPr>
        <w:t xml:space="preserve">3.  </w:t>
      </w:r>
      <w:r>
        <w:rPr>
          <w:sz w:val="22"/>
          <w:szCs w:val="22"/>
        </w:rPr>
        <w:t xml:space="preserve">Hold funds over $500 in a separate interest-bearing account and maintain a sufficient surety bond (Parts 11.10(B)–(C)).</w:t>
      </w:r>
    </w:p>
    <w:p>
      <w:pPr>
        <w:spacing w:after="80" w:line="276"/>
        <w:ind w:left="720" w:hanging="360"/>
      </w:pPr>
      <w:r>
        <w:rPr>
          <w:b/>
          <w:bCs/>
          <w:sz w:val="22"/>
          <w:szCs w:val="22"/>
        </w:rPr>
        <w:t xml:space="preserve">4.  </w:t>
      </w:r>
      <w:r>
        <w:rPr>
          <w:sz w:val="22"/>
          <w:szCs w:val="22"/>
        </w:rPr>
        <w:t xml:space="preserve">Keep a continuous dated transaction record for at least three years, available for Department review (Part 11.10(D)).</w:t>
      </w:r>
    </w:p>
    <w:p>
      <w:pPr>
        <w:spacing w:after="80" w:line="276"/>
        <w:ind w:left="720" w:hanging="360"/>
      </w:pPr>
      <w:r>
        <w:rPr>
          <w:b/>
          <w:bCs/>
          <w:sz w:val="22"/>
          <w:szCs w:val="22"/>
        </w:rPr>
        <w:t xml:space="preserve">5.  </w:t>
      </w:r>
      <w:r>
        <w:rPr>
          <w:sz w:val="22"/>
          <w:szCs w:val="22"/>
        </w:rPr>
        <w:t xml:space="preserve">Provide a receipt at each disbursement and a quarterly balance-and-transaction report (Part 11.10(E)).</w:t>
      </w:r>
    </w:p>
    <w:p>
      <w:pPr>
        <w:spacing w:after="80" w:line="276"/>
        <w:ind w:left="720" w:hanging="360"/>
      </w:pPr>
      <w:r>
        <w:rPr>
          <w:b/>
          <w:bCs/>
          <w:sz w:val="22"/>
          <w:szCs w:val="22"/>
        </w:rPr>
        <w:t xml:space="preserve">6.  </w:t>
      </w:r>
      <w:r>
        <w:rPr>
          <w:sz w:val="22"/>
          <w:szCs w:val="22"/>
        </w:rPr>
        <w:t xml:space="preserve">Report and investigate any suspected financial exploitation (Parts 5.1, 13.11).</w:t>
      </w:r>
    </w:p>
    <w:p>
      <w:pPr>
        <w:spacing w:after="80" w:before="160"/>
      </w:pPr>
      <w:r>
        <w:rPr>
          <w:b/>
          <w:bCs/>
          <w:caps/>
          <w:color w:val="1F3864"/>
          <w:sz w:val="22"/>
          <w:szCs w:val="22"/>
        </w:rPr>
        <w:t xml:space="preserve">Related Forms</w:t>
      </w:r>
    </w:p>
    <w:p>
      <w:pPr>
        <w:spacing w:after="120" w:line="276"/>
      </w:pPr>
      <w:r>
        <w:rPr>
          <w:sz w:val="22"/>
          <w:szCs w:val="22"/>
        </w:rPr>
        <w:t xml:space="preserve">Financial Management Authorization  ·  Participant Funds Ledger  ·  Quarterly Funds Report</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1.05 — Non-Discrimination and Accessibility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Non-Discrimination and Accessibility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13.1(B)(8), 13.1(D)(4)(a), 12.7(D), 9.2, 22.11, 22.25, 22.26;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care and services are provided without discrimination and that the residence is accessible to participants with physical, cognitive, and communication disabilities — consistent with 6 CCR 1011-1 Chapter 7 and applicable civil-rights law.</w:t>
      </w:r>
    </w:p>
    <w:p>
      <w:pPr>
        <w:spacing w:after="80" w:before="160"/>
      </w:pPr>
      <w:r>
        <w:rPr>
          <w:b/>
          <w:bCs/>
          <w:caps/>
          <w:color w:val="1F3864"/>
          <w:sz w:val="22"/>
          <w:szCs w:val="22"/>
        </w:rPr>
        <w:t xml:space="preserve">Definitions</w:t>
      </w:r>
    </w:p>
    <w:p>
      <w:pPr>
        <w:spacing w:after="80" w:line="276"/>
      </w:pPr>
      <w:r>
        <w:rPr>
          <w:b/>
          <w:bCs/>
          <w:sz w:val="22"/>
          <w:szCs w:val="22"/>
        </w:rPr>
        <w:t xml:space="preserve">Auxiliary aid — </w:t>
      </w:r>
      <w:r>
        <w:rPr>
          <w:sz w:val="22"/>
          <w:szCs w:val="22"/>
        </w:rPr>
        <w:t xml:space="preserve">any device used to overcome a physical disability, including a wheelchair, walker, or orthopedic appliance (Part 2.9).</w:t>
      </w:r>
    </w:p>
    <w:p>
      <w:pPr>
        <w:spacing w:after="80" w:line="276"/>
      </w:pPr>
      <w:r>
        <w:rPr>
          <w:b/>
          <w:bCs/>
          <w:sz w:val="22"/>
          <w:szCs w:val="22"/>
        </w:rPr>
        <w:t xml:space="preserve">Reasonable accommodation — </w:t>
      </w:r>
      <w:r>
        <w:rPr>
          <w:sz w:val="22"/>
          <w:szCs w:val="22"/>
        </w:rPr>
        <w:t xml:space="preserve">an individualized adjustment that enables a participant to access care, services, and the environment.</w:t>
      </w:r>
    </w:p>
    <w:p>
      <w:pPr>
        <w:spacing w:after="80" w:before="160"/>
      </w:pPr>
      <w:r>
        <w:rPr>
          <w:b/>
          <w:bCs/>
          <w:caps/>
          <w:color w:val="1F3864"/>
          <w:sz w:val="22"/>
          <w:szCs w:val="22"/>
        </w:rPr>
        <w:t xml:space="preserve">Policy</w:t>
      </w:r>
    </w:p>
    <w:p>
      <w:pPr>
        <w:spacing w:after="120" w:line="276"/>
      </w:pPr>
      <w:r>
        <w:rPr>
          <w:sz w:val="22"/>
          <w:szCs w:val="22"/>
        </w:rPr>
        <w:t xml:space="preserve">[Facility Name] provides care and services that are not conditioned or limited because of a participant's disability, sexual orientation, ethnicity, or personal preferences (Part 13.1(B)(8)).</w:t>
      </w:r>
    </w:p>
    <w:p>
      <w:pPr>
        <w:spacing w:after="120" w:line="276"/>
      </w:pPr>
      <w:r>
        <w:rPr>
          <w:sz w:val="22"/>
          <w:szCs w:val="22"/>
        </w:rPr>
        <w:t xml:space="preserve">For participants with limited English proficiency or impairments that inhibit communication, the residence finds a way to facilitate communication of care needs (Parts 13.1(D)(4)(a), 12.7(D)), including accessible-format materials such as the picture-based rights form (Policy 1.01).</w:t>
      </w:r>
    </w:p>
    <w:p>
      <w:pPr>
        <w:spacing w:after="120" w:line="276"/>
      </w:pPr>
      <w:r>
        <w:rPr>
          <w:sz w:val="22"/>
          <w:szCs w:val="22"/>
        </w:rPr>
        <w:t xml:space="preserve">The residence maintains physical accessibility for participants using auxiliary aids: accessible common and dining areas and doorways, at least one accessible full bathroom, and properly installed grab bars as indicated by participant needs (Parts 22.11, 22.25, 22.26). Visitation rights are provided consistent with Part 9.2.</w:t>
      </w:r>
    </w:p>
    <w:p>
      <w:pPr>
        <w:spacing w:after="120" w:line="276"/>
      </w:pPr>
      <w:r>
        <w:rPr>
          <w:sz w:val="22"/>
          <w:szCs w:val="22"/>
        </w:rPr>
        <w:t xml:space="preserve">Because brain injury commonly produces cognitive, communication, motor, and perceptual impairments, [Facility Name] individualizes accommodations to each participant and documents them in the care/support plan.</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Apply non-discrimination in admission, care, and services (Part 13.1(B)(8)).</w:t>
      </w:r>
    </w:p>
    <w:p>
      <w:pPr>
        <w:spacing w:after="80" w:line="276"/>
        <w:ind w:left="720" w:hanging="360"/>
      </w:pPr>
      <w:r>
        <w:rPr>
          <w:b/>
          <w:bCs/>
          <w:sz w:val="22"/>
          <w:szCs w:val="22"/>
        </w:rPr>
        <w:t xml:space="preserve">2.  </w:t>
      </w:r>
      <w:r>
        <w:rPr>
          <w:sz w:val="22"/>
          <w:szCs w:val="22"/>
        </w:rPr>
        <w:t xml:space="preserve">Provide communication accommodations, including accessible-format materials, for participants with communication impairments (Parts 13.1(D)(4)(a), 12.7(D)).</w:t>
      </w:r>
    </w:p>
    <w:p>
      <w:pPr>
        <w:spacing w:after="80" w:line="276"/>
        <w:ind w:left="720" w:hanging="360"/>
      </w:pPr>
      <w:r>
        <w:rPr>
          <w:b/>
          <w:bCs/>
          <w:sz w:val="22"/>
          <w:szCs w:val="22"/>
        </w:rPr>
        <w:t xml:space="preserve">3.  </w:t>
      </w:r>
      <w:r>
        <w:rPr>
          <w:sz w:val="22"/>
          <w:szCs w:val="22"/>
        </w:rPr>
        <w:t xml:space="preserve">Maintain physical accessibility and auxiliary-aid access (Parts 22.11, 22.25, 22.26).</w:t>
      </w:r>
    </w:p>
    <w:p>
      <w:pPr>
        <w:spacing w:after="80" w:line="276"/>
        <w:ind w:left="720" w:hanging="360"/>
      </w:pPr>
      <w:r>
        <w:rPr>
          <w:b/>
          <w:bCs/>
          <w:sz w:val="22"/>
          <w:szCs w:val="22"/>
        </w:rPr>
        <w:t xml:space="preserve">4.  </w:t>
      </w:r>
      <w:r>
        <w:rPr>
          <w:sz w:val="22"/>
          <w:szCs w:val="22"/>
        </w:rPr>
        <w:t xml:space="preserve">Individualize accommodations and document them in the care/support plan.</w:t>
      </w:r>
    </w:p>
    <w:p>
      <w:pPr>
        <w:spacing w:after="80" w:line="276"/>
        <w:ind w:left="720" w:hanging="360"/>
      </w:pPr>
      <w:r>
        <w:rPr>
          <w:b/>
          <w:bCs/>
          <w:sz w:val="22"/>
          <w:szCs w:val="22"/>
        </w:rPr>
        <w:t xml:space="preserve">5.  </w:t>
      </w:r>
      <w:r>
        <w:rPr>
          <w:sz w:val="22"/>
          <w:szCs w:val="22"/>
        </w:rPr>
        <w:t xml:space="preserve">Route any discrimination or accessibility complaint through the grievance process (Policy 1.02).</w:t>
      </w:r>
    </w:p>
    <w:p>
      <w:pPr>
        <w:spacing w:after="80" w:before="160"/>
      </w:pPr>
      <w:r>
        <w:rPr>
          <w:b/>
          <w:bCs/>
          <w:caps/>
          <w:color w:val="1F3864"/>
          <w:sz w:val="22"/>
          <w:szCs w:val="22"/>
        </w:rPr>
        <w:t xml:space="preserve">Related Forms</w:t>
      </w:r>
    </w:p>
    <w:p>
      <w:pPr>
        <w:spacing w:after="120" w:line="276"/>
      </w:pPr>
      <w:r>
        <w:rPr>
          <w:sz w:val="22"/>
          <w:szCs w:val="22"/>
        </w:rPr>
        <w:t xml:space="preserve">Accessibility/Accommodation Plan  ·  Non-Discrimination Notice</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1.06 — Residential Admissions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Residential Admissions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11.1, 11.2, 12.6–12.9; SLP eligibility 10 CCR 2505-10 § 8.7101.E, service § 8.7550, § 8.7100 (brain injury).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the residence admits only participants whose needs it can fully meet, and that admission is based on a comprehensive assessment — consistent with 6 CCR 1011-1 Chapter 7 and the eligibility framework of the Brain Injury waiver and Supported Living Program.</w:t>
      </w:r>
    </w:p>
    <w:p>
      <w:pPr>
        <w:spacing w:after="80" w:before="160"/>
      </w:pPr>
      <w:r>
        <w:rPr>
          <w:b/>
          <w:bCs/>
          <w:caps/>
          <w:color w:val="1F3864"/>
          <w:sz w:val="22"/>
          <w:szCs w:val="22"/>
        </w:rPr>
        <w:t xml:space="preserve">Definitions</w:t>
      </w:r>
    </w:p>
    <w:p>
      <w:pPr>
        <w:spacing w:after="80" w:line="276"/>
      </w:pPr>
      <w:r>
        <w:rPr>
          <w:b/>
          <w:bCs/>
          <w:sz w:val="22"/>
          <w:szCs w:val="22"/>
        </w:rPr>
        <w:t xml:space="preserve">Comprehensive pre-admission assessment — </w:t>
      </w:r>
      <w:r>
        <w:rPr>
          <w:sz w:val="22"/>
          <w:szCs w:val="22"/>
        </w:rPr>
        <w:t xml:space="preserve">the assessment of a prospective participant's physical, mental, and social needs used to determine whether the residence can meet those needs (Part 11.1).</w:t>
      </w:r>
    </w:p>
    <w:p>
      <w:pPr>
        <w:spacing w:after="80" w:line="276"/>
      </w:pPr>
      <w:r>
        <w:rPr>
          <w:b/>
          <w:bCs/>
          <w:sz w:val="22"/>
          <w:szCs w:val="22"/>
        </w:rPr>
        <w:t xml:space="preserve">Person-centered support plan — </w:t>
      </w:r>
      <w:r>
        <w:rPr>
          <w:sz w:val="22"/>
          <w:szCs w:val="22"/>
        </w:rPr>
        <w:t xml:space="preserve">the plan, developed through the Case Management Agency, that authorizes the participant's waiver services.</w:t>
      </w:r>
    </w:p>
    <w:p>
      <w:pPr>
        <w:spacing w:after="80" w:before="160"/>
      </w:pPr>
      <w:r>
        <w:rPr>
          <w:b/>
          <w:bCs/>
          <w:caps/>
          <w:color w:val="1F3864"/>
          <w:sz w:val="22"/>
          <w:szCs w:val="22"/>
        </w:rPr>
        <w:t xml:space="preserve">Policy</w:t>
      </w:r>
    </w:p>
    <w:p>
      <w:pPr>
        <w:spacing w:after="120" w:line="276"/>
      </w:pPr>
      <w:r>
        <w:rPr>
          <w:sz w:val="22"/>
          <w:szCs w:val="22"/>
        </w:rPr>
        <w:t xml:space="preserve">[Facility Name] accepts only those persons whose needs can be fully met by the existing staff, physical environment, and services, based on a comprehensive pre-admission assessment of physical, mental, and social needs; cultural, religious, and activity needs; preferences; and capacity for self-care (Part 11.1).</w:t>
      </w:r>
    </w:p>
    <w:p>
      <w:pPr>
        <w:spacing w:after="120" w:line="276"/>
      </w:pPr>
      <w:r>
        <w:rPr>
          <w:sz w:val="22"/>
          <w:szCs w:val="22"/>
        </w:rPr>
        <w:t xml:space="preserve">The residence does not admit any person who meets a move-in restriction in Part 11.2 — for example, a person who needs regular 24-hour medical or nursing care; is incapable of self-administering medication without licensed or qualified staff; has an unmanageable acute illness; has unmanageable incontinence; has a stage 3 or 4 pressure sore outside Part 12.4; is profoundly disoriented and requires a secure environment the residence does not provide; has disclosed dangerous conduct that cannot be managed through therapeutic approaches; or needs restraints except as statutorily allowed.</w:t>
      </w:r>
    </w:p>
    <w:p>
      <w:pPr>
        <w:spacing w:after="120" w:line="276"/>
      </w:pPr>
      <w:r>
        <w:rPr>
          <w:sz w:val="22"/>
          <w:szCs w:val="22"/>
        </w:rPr>
        <w:t xml:space="preserve">At move-in, the residence completes a comprehensive assessment (Parts 12.6–12.9) used to establish the individualized care/support plan.</w:t>
      </w:r>
    </w:p>
    <w:p>
      <w:pPr>
        <w:spacing w:after="120" w:line="276"/>
      </w:pPr>
      <w:r>
        <w:rPr>
          <w:sz w:val="22"/>
          <w:szCs w:val="22"/>
        </w:rPr>
        <w:t xml:space="preserve">Because the residence is a certified Supported Living Program (10 CCR 2505-10 § 8.7550), admission also confirms that the participant is enrolled in the HCBS Brain Injury waiver and meets its target criteria (§§ 8.7101.E, 8.7100), with SLP services authorized on the person-centered support plan through the Case Management Agency.</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Complete a comprehensive pre-admission assessment of the prospective participant's needs (Part 11.1).</w:t>
      </w:r>
    </w:p>
    <w:p>
      <w:pPr>
        <w:spacing w:after="80" w:line="276"/>
        <w:ind w:left="720" w:hanging="360"/>
      </w:pPr>
      <w:r>
        <w:rPr>
          <w:b/>
          <w:bCs/>
          <w:sz w:val="22"/>
          <w:szCs w:val="22"/>
        </w:rPr>
        <w:t xml:space="preserve">2.  </w:t>
      </w:r>
      <w:r>
        <w:rPr>
          <w:sz w:val="22"/>
          <w:szCs w:val="22"/>
        </w:rPr>
        <w:t xml:space="preserve">Screen the prospective participant against every move-in restriction in Part 11.2.</w:t>
      </w:r>
    </w:p>
    <w:p>
      <w:pPr>
        <w:spacing w:after="80" w:line="276"/>
        <w:ind w:left="720" w:hanging="360"/>
      </w:pPr>
      <w:r>
        <w:rPr>
          <w:b/>
          <w:bCs/>
          <w:sz w:val="22"/>
          <w:szCs w:val="22"/>
        </w:rPr>
        <w:t xml:space="preserve">3.  </w:t>
      </w:r>
      <w:r>
        <w:rPr>
          <w:sz w:val="22"/>
          <w:szCs w:val="22"/>
        </w:rPr>
        <w:t xml:space="preserve">Confirm HCBS Brain Injury waiver enrollment, target-criteria eligibility, and SLP authorization with the Case Management Agency (§§ 8.7101.E, 8.7550).</w:t>
      </w:r>
    </w:p>
    <w:p>
      <w:pPr>
        <w:spacing w:after="80" w:line="276"/>
        <w:ind w:left="720" w:hanging="360"/>
      </w:pPr>
      <w:r>
        <w:rPr>
          <w:b/>
          <w:bCs/>
          <w:sz w:val="22"/>
          <w:szCs w:val="22"/>
        </w:rPr>
        <w:t xml:space="preserve">4.  </w:t>
      </w:r>
      <w:r>
        <w:rPr>
          <w:sz w:val="22"/>
          <w:szCs w:val="22"/>
        </w:rPr>
        <w:t xml:space="preserve">Complete the comprehensive assessment and build the individualized care/support plan (Parts 12.6–12.9).</w:t>
      </w:r>
    </w:p>
    <w:p>
      <w:pPr>
        <w:spacing w:after="80" w:line="276"/>
        <w:ind w:left="720" w:hanging="360"/>
      </w:pPr>
      <w:r>
        <w:rPr>
          <w:b/>
          <w:bCs/>
          <w:sz w:val="22"/>
          <w:szCs w:val="22"/>
        </w:rPr>
        <w:t xml:space="preserve">5.  </w:t>
      </w:r>
      <w:r>
        <w:rPr>
          <w:sz w:val="22"/>
          <w:szCs w:val="22"/>
        </w:rPr>
        <w:t xml:space="preserve">Document the admission decision and basis in the participant record.</w:t>
      </w:r>
    </w:p>
    <w:p>
      <w:pPr>
        <w:spacing w:after="80" w:before="160"/>
      </w:pPr>
      <w:r>
        <w:rPr>
          <w:b/>
          <w:bCs/>
          <w:caps/>
          <w:color w:val="1F3864"/>
          <w:sz w:val="22"/>
          <w:szCs w:val="22"/>
        </w:rPr>
        <w:t xml:space="preserve">Related Forms</w:t>
      </w:r>
    </w:p>
    <w:p>
      <w:pPr>
        <w:spacing w:after="120" w:line="276"/>
      </w:pPr>
      <w:r>
        <w:rPr>
          <w:sz w:val="22"/>
          <w:szCs w:val="22"/>
        </w:rPr>
        <w:t xml:space="preserve">Pre-Admission Assessment  ·  Move-In Screening Checklist  ·  Comprehensive Assessment</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1.07 — Discharge from Facility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Discharge from Facility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11.11–11.16, 12.4;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define when and how a participant is discharged or transferred, with proper notice and coordination — consistent with 6 CCR 1011-1 Chapter 7. (Involuntary-discharge grievance rights are addressed in Policy 1.07A.)</w:t>
      </w:r>
    </w:p>
    <w:p>
      <w:pPr>
        <w:spacing w:after="80" w:before="160"/>
      </w:pPr>
      <w:r>
        <w:rPr>
          <w:b/>
          <w:bCs/>
          <w:caps/>
          <w:color w:val="1F3864"/>
          <w:sz w:val="22"/>
          <w:szCs w:val="22"/>
        </w:rPr>
        <w:t xml:space="preserve">Definitions</w:t>
      </w:r>
    </w:p>
    <w:p>
      <w:pPr>
        <w:spacing w:after="80" w:line="276"/>
      </w:pPr>
      <w:r>
        <w:rPr>
          <w:b/>
          <w:bCs/>
          <w:sz w:val="22"/>
          <w:szCs w:val="22"/>
        </w:rPr>
        <w:t xml:space="preserve">Discharge — </w:t>
      </w:r>
      <w:r>
        <w:rPr>
          <w:sz w:val="22"/>
          <w:szCs w:val="22"/>
        </w:rPr>
        <w:t xml:space="preserve">termination of the residency agreement and the participant's permanent departure from the residence (Part 2.22).</w:t>
      </w:r>
    </w:p>
    <w:p>
      <w:pPr>
        <w:spacing w:after="80" w:line="276"/>
      </w:pPr>
      <w:r>
        <w:rPr>
          <w:b/>
          <w:bCs/>
          <w:sz w:val="22"/>
          <w:szCs w:val="22"/>
        </w:rPr>
        <w:t xml:space="preserve">Involuntary discharge — </w:t>
      </w:r>
      <w:r>
        <w:rPr>
          <w:sz w:val="22"/>
          <w:szCs w:val="22"/>
        </w:rPr>
        <w:t xml:space="preserve">any discharge initiated by the residence (Part 2.31).</w:t>
      </w:r>
    </w:p>
    <w:p>
      <w:pPr>
        <w:spacing w:after="80" w:before="160"/>
      </w:pPr>
      <w:r>
        <w:rPr>
          <w:b/>
          <w:bCs/>
          <w:caps/>
          <w:color w:val="1F3864"/>
          <w:sz w:val="22"/>
          <w:szCs w:val="22"/>
        </w:rPr>
        <w:t xml:space="preserve">Policy</w:t>
      </w:r>
    </w:p>
    <w:p>
      <w:pPr>
        <w:spacing w:after="120" w:line="276"/>
      </w:pPr>
      <w:r>
        <w:rPr>
          <w:sz w:val="22"/>
          <w:szCs w:val="22"/>
        </w:rPr>
        <w:t xml:space="preserve">[Facility Name] arranges to discharge a participant who meets a criterion in Part 11.11 — for example, an acute illness that cannot be managed through medication or prescribed therapy; mobility limits not compensable by auxiliary aids or intermittent assistance; unmanageable incontinence; profound disorientation requiring a secure environment the residence does not provide; conduct that is a danger to self or others and cannot be addressed through a therapeutic approach; or needs greater than can be routinely provided — or Part 11.12 (nonpayment or failure to comply with a valid residency agreement).</w:t>
      </w:r>
    </w:p>
    <w:p>
      <w:pPr>
        <w:spacing w:after="120" w:line="276"/>
      </w:pPr>
      <w:r>
        <w:rPr>
          <w:sz w:val="22"/>
          <w:szCs w:val="22"/>
        </w:rPr>
        <w:t xml:space="preserve">Where a participant becomes a danger to self or others, the residence implements the interim process in Part 11.13 pending discharge. Discharge is coordinated with the participant, the legal representative, and the appropriate agency, and before discharging for increased care needs the residence makes documented efforts to meet those needs through other means (Part 11.14).</w:t>
      </w:r>
    </w:p>
    <w:p>
      <w:pPr>
        <w:spacing w:after="120" w:line="276"/>
      </w:pPr>
      <w:r>
        <w:rPr>
          <w:sz w:val="22"/>
          <w:szCs w:val="22"/>
        </w:rPr>
        <w:t xml:space="preserve">Written notice of discharge is provided at least 30 calendar days in advance, except where the participant needs a level of care that cannot be met or has demonstrated danger, in which case notice is provided with as much advance time as is reasonable under the circumstances (Part 11.16).</w:t>
      </w:r>
    </w:p>
    <w:p>
      <w:pPr>
        <w:spacing w:after="120" w:line="276"/>
      </w:pPr>
      <w:r>
        <w:rPr>
          <w:sz w:val="22"/>
          <w:szCs w:val="22"/>
        </w:rPr>
        <w:t xml:space="preserve">Because participants are served under the Supported Living Program (10 CCR 2505-10 § 8.7550), the residence coordinates discharge with the Case Management Agency and supports transition to an appropriate brain-injury setting.</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Identify and document the discharge basis under Part 11.11 or 11.12.</w:t>
      </w:r>
    </w:p>
    <w:p>
      <w:pPr>
        <w:spacing w:after="80" w:line="276"/>
        <w:ind w:left="720" w:hanging="360"/>
      </w:pPr>
      <w:r>
        <w:rPr>
          <w:b/>
          <w:bCs/>
          <w:sz w:val="22"/>
          <w:szCs w:val="22"/>
        </w:rPr>
        <w:t xml:space="preserve">2.  </w:t>
      </w:r>
      <w:r>
        <w:rPr>
          <w:sz w:val="22"/>
          <w:szCs w:val="22"/>
        </w:rPr>
        <w:t xml:space="preserve">Before discharging for increased care needs, make and document efforts to meet those needs (Part 11.14).</w:t>
      </w:r>
    </w:p>
    <w:p>
      <w:pPr>
        <w:spacing w:after="80" w:line="276"/>
        <w:ind w:left="720" w:hanging="360"/>
      </w:pPr>
      <w:r>
        <w:rPr>
          <w:b/>
          <w:bCs/>
          <w:sz w:val="22"/>
          <w:szCs w:val="22"/>
        </w:rPr>
        <w:t xml:space="preserve">3.  </w:t>
      </w:r>
      <w:r>
        <w:rPr>
          <w:sz w:val="22"/>
          <w:szCs w:val="22"/>
        </w:rPr>
        <w:t xml:space="preserve">Where a participant is a danger to self or others, implement the Part 11.13 interim process.</w:t>
      </w:r>
    </w:p>
    <w:p>
      <w:pPr>
        <w:spacing w:after="80" w:line="276"/>
        <w:ind w:left="720" w:hanging="360"/>
      </w:pPr>
      <w:r>
        <w:rPr>
          <w:b/>
          <w:bCs/>
          <w:sz w:val="22"/>
          <w:szCs w:val="22"/>
        </w:rPr>
        <w:t xml:space="preserve">4.  </w:t>
      </w:r>
      <w:r>
        <w:rPr>
          <w:sz w:val="22"/>
          <w:szCs w:val="22"/>
        </w:rPr>
        <w:t xml:space="preserve">Coordinate discharge with the participant, representative, and Case Management Agency (Part 11.14).</w:t>
      </w:r>
    </w:p>
    <w:p>
      <w:pPr>
        <w:spacing w:after="80" w:line="276"/>
        <w:ind w:left="720" w:hanging="360"/>
      </w:pPr>
      <w:r>
        <w:rPr>
          <w:b/>
          <w:bCs/>
          <w:sz w:val="22"/>
          <w:szCs w:val="22"/>
        </w:rPr>
        <w:t xml:space="preserve">5.  </w:t>
      </w:r>
      <w:r>
        <w:rPr>
          <w:sz w:val="22"/>
          <w:szCs w:val="22"/>
        </w:rPr>
        <w:t xml:space="preserve">Provide written notice at least 30 days in advance, or as much as reasonable where an exception applies (Part 11.16).</w:t>
      </w:r>
    </w:p>
    <w:p>
      <w:pPr>
        <w:spacing w:after="80" w:line="276"/>
        <w:ind w:left="720" w:hanging="360"/>
      </w:pPr>
      <w:r>
        <w:rPr>
          <w:b/>
          <w:bCs/>
          <w:sz w:val="22"/>
          <w:szCs w:val="22"/>
        </w:rPr>
        <w:t xml:space="preserve">6.  </w:t>
      </w:r>
      <w:r>
        <w:rPr>
          <w:sz w:val="22"/>
          <w:szCs w:val="22"/>
        </w:rPr>
        <w:t xml:space="preserve">Transfer records (Policies 1.08 and 3.00) and support transition to an appropriate setting. Provide involuntary-discharge grievance rights under Policy 1.07A.</w:t>
      </w:r>
    </w:p>
    <w:p>
      <w:pPr>
        <w:spacing w:after="80" w:before="160"/>
      </w:pPr>
      <w:r>
        <w:rPr>
          <w:b/>
          <w:bCs/>
          <w:caps/>
          <w:color w:val="1F3864"/>
          <w:sz w:val="22"/>
          <w:szCs w:val="22"/>
        </w:rPr>
        <w:t xml:space="preserve">Related Forms</w:t>
      </w:r>
    </w:p>
    <w:p>
      <w:pPr>
        <w:spacing w:after="120" w:line="276"/>
      </w:pPr>
      <w:r>
        <w:rPr>
          <w:sz w:val="22"/>
          <w:szCs w:val="22"/>
        </w:rPr>
        <w:t xml:space="preserve">Discharge Notice  ·  Discharge Coordination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1.07A — Involuntary Discharge Grievance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Involuntary Discharge Grievance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9.3, 11.17, 11.18, 13.2; C.R.S. 25-27-104.3;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participants receive proper notice of, and a fair grievance process for, an involuntary discharge — consistent with 6 CCR 1011-1 Chapter 7 and C.R.S. 25-27-104.3.</w:t>
      </w:r>
    </w:p>
    <w:p>
      <w:pPr>
        <w:spacing w:after="80" w:before="160"/>
      </w:pPr>
      <w:r>
        <w:rPr>
          <w:b/>
          <w:bCs/>
          <w:caps/>
          <w:color w:val="1F3864"/>
          <w:sz w:val="22"/>
          <w:szCs w:val="22"/>
        </w:rPr>
        <w:t xml:space="preserve">Definitions</w:t>
      </w:r>
    </w:p>
    <w:p>
      <w:pPr>
        <w:spacing w:after="80" w:line="276"/>
      </w:pPr>
      <w:r>
        <w:rPr>
          <w:b/>
          <w:bCs/>
          <w:sz w:val="22"/>
          <w:szCs w:val="22"/>
        </w:rPr>
        <w:t xml:space="preserve">Involuntary-discharge grievance — </w:t>
      </w:r>
      <w:r>
        <w:rPr>
          <w:sz w:val="22"/>
          <w:szCs w:val="22"/>
        </w:rPr>
        <w:t xml:space="preserve">a grievance challenging an involuntary discharge and/or its stated reasons.</w:t>
      </w:r>
    </w:p>
    <w:p>
      <w:pPr>
        <w:spacing w:after="80" w:line="276"/>
      </w:pPr>
      <w:r>
        <w:rPr>
          <w:b/>
          <w:bCs/>
          <w:sz w:val="22"/>
          <w:szCs w:val="22"/>
        </w:rPr>
        <w:t xml:space="preserve">Ombudsman — </w:t>
      </w:r>
      <w:r>
        <w:rPr>
          <w:sz w:val="22"/>
          <w:szCs w:val="22"/>
        </w:rPr>
        <w:t xml:space="preserve">the state and local long-term care ombudsman, who receives notice of involuntary discharges (Part 13.2).</w:t>
      </w:r>
    </w:p>
    <w:p>
      <w:pPr>
        <w:spacing w:after="80" w:before="160"/>
      </w:pPr>
      <w:r>
        <w:rPr>
          <w:b/>
          <w:bCs/>
          <w:caps/>
          <w:color w:val="1F3864"/>
          <w:sz w:val="22"/>
          <w:szCs w:val="22"/>
        </w:rPr>
        <w:t xml:space="preserve">Policy</w:t>
      </w:r>
    </w:p>
    <w:p>
      <w:pPr>
        <w:spacing w:after="120" w:line="276"/>
      </w:pPr>
      <w:r>
        <w:rPr>
          <w:sz w:val="22"/>
          <w:szCs w:val="22"/>
        </w:rPr>
        <w:t xml:space="preserve">[Facility Name] maintains an involuntary-discharge grievance policy complying with Part 9.3 and C.R.S. 25-27-104.3. Written notice of involuntary discharge includes a detailed explanation of the reasons with supporting facts and a recounting of events and actions taken to avoid discharge; a statement of the right to file a grievance within 14 days; that the residence must respond within 5 business days; the right to appeal to the executive director of the Colorado Department of Public Health and Environment; and contact information for the state and local ombudsman and the Department (Part 11.17).</w:t>
      </w:r>
    </w:p>
    <w:p>
      <w:pPr>
        <w:spacing w:after="120" w:line="276"/>
      </w:pPr>
      <w:r>
        <w:rPr>
          <w:sz w:val="22"/>
          <w:szCs w:val="22"/>
        </w:rPr>
        <w:t xml:space="preserve">A person entitled to notice may file a grievance within 14 calendar days; the designated individual provides a written response within 5 business days, together with an oral explanation, and includes the required appeal statement; the residence takes no punitive or retaliatory action; it continues to assist with discharge or transfer planning while a grievance or appeal is pending; and the participant may return if the conditions in Part 9.3(I) are met (Part 9.3). A copy of any involuntary-discharge notice is sent to the state and local ombudsman within 5 calendar days (Part 11.18).</w:t>
      </w:r>
    </w:p>
    <w:p>
      <w:pPr>
        <w:spacing w:after="120" w:line="276"/>
      </w:pPr>
      <w:r>
        <w:rPr>
          <w:sz w:val="22"/>
          <w:szCs w:val="22"/>
        </w:rPr>
        <w:t xml:space="preserve">Because a brain injury may affect a participant's ability to navigate this process, [Facility Name] offers accessible assistance and involves the legal representative and ombudsman as appropriate.</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Issue a written involuntary-discharge notice containing every element required at Part 11.17.</w:t>
      </w:r>
    </w:p>
    <w:p>
      <w:pPr>
        <w:spacing w:after="80" w:line="276"/>
        <w:ind w:left="720" w:hanging="360"/>
      </w:pPr>
      <w:r>
        <w:rPr>
          <w:b/>
          <w:bCs/>
          <w:sz w:val="22"/>
          <w:szCs w:val="22"/>
        </w:rPr>
        <w:t xml:space="preserve">2.  </w:t>
      </w:r>
      <w:r>
        <w:rPr>
          <w:sz w:val="22"/>
          <w:szCs w:val="22"/>
        </w:rPr>
        <w:t xml:space="preserve">Send a copy of the notice to the state and local ombudsman within 5 calendar days (Part 11.18).</w:t>
      </w:r>
    </w:p>
    <w:p>
      <w:pPr>
        <w:spacing w:after="80" w:line="276"/>
        <w:ind w:left="720" w:hanging="360"/>
      </w:pPr>
      <w:r>
        <w:rPr>
          <w:b/>
          <w:bCs/>
          <w:sz w:val="22"/>
          <w:szCs w:val="22"/>
        </w:rPr>
        <w:t xml:space="preserve">3.  </w:t>
      </w:r>
      <w:r>
        <w:rPr>
          <w:sz w:val="22"/>
          <w:szCs w:val="22"/>
        </w:rPr>
        <w:t xml:space="preserve">Accept a grievance filed within 14 calendar days and provide a written response within 5 business days, with an oral explanation and the appeal statement (Part 9.3(D)–(E)).</w:t>
      </w:r>
    </w:p>
    <w:p>
      <w:pPr>
        <w:spacing w:after="80" w:line="276"/>
        <w:ind w:left="720" w:hanging="360"/>
      </w:pPr>
      <w:r>
        <w:rPr>
          <w:b/>
          <w:bCs/>
          <w:sz w:val="22"/>
          <w:szCs w:val="22"/>
        </w:rPr>
        <w:t xml:space="preserve">4.  </w:t>
      </w:r>
      <w:r>
        <w:rPr>
          <w:sz w:val="22"/>
          <w:szCs w:val="22"/>
        </w:rPr>
        <w:t xml:space="preserve">Take no retaliatory action and continue transition assistance while a grievance or appeal is pending (Parts 9.3(G)–(H)).</w:t>
      </w:r>
    </w:p>
    <w:p>
      <w:pPr>
        <w:spacing w:after="80" w:line="276"/>
        <w:ind w:left="720" w:hanging="360"/>
      </w:pPr>
      <w:r>
        <w:rPr>
          <w:b/>
          <w:bCs/>
          <w:sz w:val="22"/>
          <w:szCs w:val="22"/>
        </w:rPr>
        <w:t xml:space="preserve">5.  </w:t>
      </w:r>
      <w:r>
        <w:rPr>
          <w:sz w:val="22"/>
          <w:szCs w:val="22"/>
        </w:rPr>
        <w:t xml:space="preserve">Allow the participant to return where the Part 9.3(I) conditions are met.</w:t>
      </w:r>
    </w:p>
    <w:p>
      <w:pPr>
        <w:spacing w:after="80" w:line="276"/>
        <w:ind w:left="720" w:hanging="360"/>
      </w:pPr>
      <w:r>
        <w:rPr>
          <w:b/>
          <w:bCs/>
          <w:sz w:val="22"/>
          <w:szCs w:val="22"/>
        </w:rPr>
        <w:t xml:space="preserve">6.  </w:t>
      </w:r>
      <w:r>
        <w:rPr>
          <w:sz w:val="22"/>
          <w:szCs w:val="22"/>
        </w:rPr>
        <w:t xml:space="preserve">Provide accessible assistance and document the process.</w:t>
      </w:r>
    </w:p>
    <w:p>
      <w:pPr>
        <w:spacing w:after="80" w:before="160"/>
      </w:pPr>
      <w:r>
        <w:rPr>
          <w:b/>
          <w:bCs/>
          <w:caps/>
          <w:color w:val="1F3864"/>
          <w:sz w:val="22"/>
          <w:szCs w:val="22"/>
        </w:rPr>
        <w:t xml:space="preserve">Related Forms</w:t>
      </w:r>
    </w:p>
    <w:p>
      <w:pPr>
        <w:spacing w:after="120" w:line="276"/>
      </w:pPr>
      <w:r>
        <w:rPr>
          <w:sz w:val="22"/>
          <w:szCs w:val="22"/>
        </w:rPr>
        <w:t xml:space="preserve">Involuntary Discharge Notice  ·  Grievance Response  ·  Ombudsman Notification</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1.08 — Participant Facility-to-Facility Moves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Participant Facility-to-Facility Moves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11.14, 11.15, 18.10;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safe, coordinated moves between facilities with continuity of care and records — consistent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Transfer of care — </w:t>
      </w:r>
      <w:r>
        <w:rPr>
          <w:sz w:val="22"/>
          <w:szCs w:val="22"/>
        </w:rPr>
        <w:t xml:space="preserve">moving a participant's care to another health facility or agency.</w:t>
      </w:r>
    </w:p>
    <w:p>
      <w:pPr>
        <w:spacing w:after="80" w:line="276"/>
      </w:pPr>
      <w:r>
        <w:rPr>
          <w:b/>
          <w:bCs/>
          <w:sz w:val="22"/>
          <w:szCs w:val="22"/>
        </w:rPr>
        <w:t xml:space="preserve">Continuity of care — </w:t>
      </w:r>
      <w:r>
        <w:rPr>
          <w:sz w:val="22"/>
          <w:szCs w:val="22"/>
        </w:rPr>
        <w:t xml:space="preserve">maintaining consistent, coordinated services and supports across settings.</w:t>
      </w:r>
    </w:p>
    <w:p>
      <w:pPr>
        <w:spacing w:after="80" w:before="160"/>
      </w:pPr>
      <w:r>
        <w:rPr>
          <w:b/>
          <w:bCs/>
          <w:caps/>
          <w:color w:val="1F3864"/>
          <w:sz w:val="22"/>
          <w:szCs w:val="22"/>
        </w:rPr>
        <w:t xml:space="preserve">Policy</w:t>
      </w:r>
    </w:p>
    <w:p>
      <w:pPr>
        <w:spacing w:after="120" w:line="276"/>
      </w:pPr>
      <w:r>
        <w:rPr>
          <w:sz w:val="22"/>
          <w:szCs w:val="22"/>
        </w:rPr>
        <w:t xml:space="preserve">[Facility Name] coordinates any move with the participant, the legal representative, and the appropriate agency (Part 11.14). Where a participant is transferred to another health-care entity for additional care, the residence arranges to evaluate the participant before readmission, or discharges the participant in accordance with the discharge procedures (Part 11.15).</w:t>
      </w:r>
    </w:p>
    <w:p>
      <w:pPr>
        <w:spacing w:after="120" w:line="276"/>
      </w:pPr>
      <w:r>
        <w:rPr>
          <w:sz w:val="22"/>
          <w:szCs w:val="22"/>
        </w:rPr>
        <w:t xml:space="preserve">On transfer of care, the face sheet, individualized care/support plan, and current medication administration record are transferred with the participant (Part 18.10).</w:t>
      </w:r>
    </w:p>
    <w:p>
      <w:pPr>
        <w:spacing w:after="120" w:line="276"/>
      </w:pPr>
      <w:r>
        <w:rPr>
          <w:sz w:val="22"/>
          <w:szCs w:val="22"/>
        </w:rPr>
        <w:t xml:space="preserve">Because participants are served under the Supported Living Program (10 CCR 2505-10 § 8.7550), the residence coordinates with the Case Management Agency to preserve continuity of brain-injury supports across the move.</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Coordinate the move with the participant, representative, and Case Management Agency (Part 11.14).</w:t>
      </w:r>
    </w:p>
    <w:p>
      <w:pPr>
        <w:spacing w:after="80" w:line="276"/>
        <w:ind w:left="720" w:hanging="360"/>
      </w:pPr>
      <w:r>
        <w:rPr>
          <w:b/>
          <w:bCs/>
          <w:sz w:val="22"/>
          <w:szCs w:val="22"/>
        </w:rPr>
        <w:t xml:space="preserve">2.  </w:t>
      </w:r>
      <w:r>
        <w:rPr>
          <w:sz w:val="22"/>
          <w:szCs w:val="22"/>
        </w:rPr>
        <w:t xml:space="preserve">Transfer the face sheet, care/support plan, and current medication administration record (Part 18.10).</w:t>
      </w:r>
    </w:p>
    <w:p>
      <w:pPr>
        <w:spacing w:after="80" w:line="276"/>
        <w:ind w:left="720" w:hanging="360"/>
      </w:pPr>
      <w:r>
        <w:rPr>
          <w:b/>
          <w:bCs/>
          <w:sz w:val="22"/>
          <w:szCs w:val="22"/>
        </w:rPr>
        <w:t xml:space="preserve">3.  </w:t>
      </w:r>
      <w:r>
        <w:rPr>
          <w:sz w:val="22"/>
          <w:szCs w:val="22"/>
        </w:rPr>
        <w:t xml:space="preserve">Evaluate the participant before readmission where applicable, or discharge per procedure (Part 11.15).</w:t>
      </w:r>
    </w:p>
    <w:p>
      <w:pPr>
        <w:spacing w:after="80" w:line="276"/>
        <w:ind w:left="720" w:hanging="360"/>
      </w:pPr>
      <w:r>
        <w:rPr>
          <w:b/>
          <w:bCs/>
          <w:sz w:val="22"/>
          <w:szCs w:val="22"/>
        </w:rPr>
        <w:t xml:space="preserve">4.  </w:t>
      </w:r>
      <w:r>
        <w:rPr>
          <w:sz w:val="22"/>
          <w:szCs w:val="22"/>
        </w:rPr>
        <w:t xml:space="preserve">Document the move and records transferred.</w:t>
      </w:r>
    </w:p>
    <w:p>
      <w:pPr>
        <w:spacing w:after="80" w:before="160"/>
      </w:pPr>
      <w:r>
        <w:rPr>
          <w:b/>
          <w:bCs/>
          <w:caps/>
          <w:color w:val="1F3864"/>
          <w:sz w:val="22"/>
          <w:szCs w:val="22"/>
        </w:rPr>
        <w:t xml:space="preserve">Related Forms</w:t>
      </w:r>
    </w:p>
    <w:p>
      <w:pPr>
        <w:spacing w:after="120" w:line="276"/>
      </w:pPr>
      <w:r>
        <w:rPr>
          <w:sz w:val="22"/>
          <w:szCs w:val="22"/>
        </w:rPr>
        <w:t xml:space="preserve">Transfer Coordination Record  ·  Records Transfer Checklist</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1.09 — Room Hold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Room Hold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11.6(D);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define bed-hold terms when a participant is temporarily absent — consistent with the residency agreement and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Room (bed) hold — </w:t>
      </w:r>
      <w:r>
        <w:rPr>
          <w:sz w:val="22"/>
          <w:szCs w:val="22"/>
        </w:rPr>
        <w:t xml:space="preserve">reserving a participant's place at the residence during a temporary absence.</w:t>
      </w:r>
    </w:p>
    <w:p>
      <w:pPr>
        <w:spacing w:after="80" w:line="276"/>
      </w:pPr>
      <w:r>
        <w:rPr>
          <w:b/>
          <w:bCs/>
          <w:sz w:val="22"/>
          <w:szCs w:val="22"/>
        </w:rPr>
        <w:t xml:space="preserve">Temporary absence — </w:t>
      </w:r>
      <w:r>
        <w:rPr>
          <w:sz w:val="22"/>
          <w:szCs w:val="22"/>
        </w:rPr>
        <w:t xml:space="preserve">a time-limited absence, such as a hospital or rehabilitation stay, after which the participant intends to return.</w:t>
      </w:r>
    </w:p>
    <w:p>
      <w:pPr>
        <w:spacing w:after="80" w:before="160"/>
      </w:pPr>
      <w:r>
        <w:rPr>
          <w:b/>
          <w:bCs/>
          <w:caps/>
          <w:color w:val="1F3864"/>
          <w:sz w:val="22"/>
          <w:szCs w:val="22"/>
        </w:rPr>
        <w:t xml:space="preserve">Policy</w:t>
      </w:r>
    </w:p>
    <w:p>
      <w:pPr>
        <w:spacing w:after="120" w:line="276"/>
      </w:pPr>
      <w:r>
        <w:rPr>
          <w:sz w:val="22"/>
          <w:szCs w:val="22"/>
        </w:rPr>
        <w:t xml:space="preserve">[Facility Name]'s residency agreement specifies the amount of any fee to hold a place for a participant who is absent from the residence and the circumstances under which the fee is charged (Part 11.6(D)).</w:t>
      </w:r>
    </w:p>
    <w:p>
      <w:pPr>
        <w:spacing w:after="120" w:line="276"/>
      </w:pPr>
      <w:r>
        <w:rPr>
          <w:sz w:val="22"/>
          <w:szCs w:val="22"/>
        </w:rPr>
        <w:t xml:space="preserve">Because participants with brain injury may have periodic hospital or neuro-rehabilitation admissions, [Facility Name] applies bed-hold terms consistently, in accordance with the residency agreement and, where applicable, waiver requirements coordinated with the Case Management Agency.</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Define room-hold terms and fees in the residency agreement (Part 11.6(D)).</w:t>
      </w:r>
    </w:p>
    <w:p>
      <w:pPr>
        <w:spacing w:after="80" w:line="276"/>
        <w:ind w:left="720" w:hanging="360"/>
      </w:pPr>
      <w:r>
        <w:rPr>
          <w:b/>
          <w:bCs/>
          <w:sz w:val="22"/>
          <w:szCs w:val="22"/>
        </w:rPr>
        <w:t xml:space="preserve">2.  </w:t>
      </w:r>
      <w:r>
        <w:rPr>
          <w:sz w:val="22"/>
          <w:szCs w:val="22"/>
        </w:rPr>
        <w:t xml:space="preserve">Apply room-hold terms consistently across participants.</w:t>
      </w:r>
    </w:p>
    <w:p>
      <w:pPr>
        <w:spacing w:after="80" w:line="276"/>
        <w:ind w:left="720" w:hanging="360"/>
      </w:pPr>
      <w:r>
        <w:rPr>
          <w:b/>
          <w:bCs/>
          <w:sz w:val="22"/>
          <w:szCs w:val="22"/>
        </w:rPr>
        <w:t xml:space="preserve">3.  </w:t>
      </w:r>
      <w:r>
        <w:rPr>
          <w:sz w:val="22"/>
          <w:szCs w:val="22"/>
        </w:rPr>
        <w:t xml:space="preserve">Coordinate waiver-related holds with the Case Management Agency.</w:t>
      </w:r>
    </w:p>
    <w:p>
      <w:pPr>
        <w:spacing w:after="80" w:line="276"/>
        <w:ind w:left="720" w:hanging="360"/>
      </w:pPr>
      <w:r>
        <w:rPr>
          <w:b/>
          <w:bCs/>
          <w:sz w:val="22"/>
          <w:szCs w:val="22"/>
        </w:rPr>
        <w:t xml:space="preserve">4.  </w:t>
      </w:r>
      <w:r>
        <w:rPr>
          <w:sz w:val="22"/>
          <w:szCs w:val="22"/>
        </w:rPr>
        <w:t xml:space="preserve">Document each absence and hold.</w:t>
      </w:r>
    </w:p>
    <w:p>
      <w:pPr>
        <w:spacing w:after="80" w:before="160"/>
      </w:pPr>
      <w:r>
        <w:rPr>
          <w:b/>
          <w:bCs/>
          <w:caps/>
          <w:color w:val="1F3864"/>
          <w:sz w:val="22"/>
          <w:szCs w:val="22"/>
        </w:rPr>
        <w:t xml:space="preserve">Related Forms</w:t>
      </w:r>
    </w:p>
    <w:p>
      <w:pPr>
        <w:spacing w:after="120" w:line="276"/>
      </w:pPr>
      <w:r>
        <w:rPr>
          <w:sz w:val="22"/>
          <w:szCs w:val="22"/>
        </w:rPr>
        <w:t xml:space="preserve">Room-Hold Agreement Addendum  ·  Absence/Hold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1.11 — Facility Rules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Facility Rules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9.1(F), §§ 13.3–13.4, 9.1;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establish written house rules that support safe communal living without superseding participant rights — consistent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House rules — </w:t>
      </w:r>
      <w:r>
        <w:rPr>
          <w:sz w:val="22"/>
          <w:szCs w:val="22"/>
        </w:rPr>
        <w:t xml:space="preserve">the written rules of the residence governing communal living.</w:t>
      </w:r>
    </w:p>
    <w:p>
      <w:pPr>
        <w:spacing w:after="80" w:line="276"/>
      </w:pPr>
      <w:r>
        <w:rPr>
          <w:b/>
          <w:bCs/>
          <w:sz w:val="22"/>
          <w:szCs w:val="22"/>
        </w:rPr>
        <w:t xml:space="preserve">Participant right — </w:t>
      </w:r>
      <w:r>
        <w:rPr>
          <w:sz w:val="22"/>
          <w:szCs w:val="22"/>
        </w:rPr>
        <w:t xml:space="preserve">any right protected under Part 13, which house rules may not supersede or contradict.</w:t>
      </w:r>
    </w:p>
    <w:p>
      <w:pPr>
        <w:spacing w:after="80" w:before="160"/>
      </w:pPr>
      <w:r>
        <w:rPr>
          <w:b/>
          <w:bCs/>
          <w:caps/>
          <w:color w:val="1F3864"/>
          <w:sz w:val="22"/>
          <w:szCs w:val="22"/>
        </w:rPr>
        <w:t xml:space="preserve">Policy</w:t>
      </w:r>
    </w:p>
    <w:p>
      <w:pPr>
        <w:spacing w:after="120" w:line="276"/>
      </w:pPr>
      <w:r>
        <w:rPr>
          <w:sz w:val="22"/>
          <w:szCs w:val="22"/>
        </w:rPr>
        <w:t xml:space="preserve">[Facility Name] establishes written house rules and places them in a publicly visible location so they are always available to participants and visitors (Part 13.3). House rules list all possible actions the residence may take if a rule is knowingly violated, and do not supersede or contradict any regulation or in any way discourage or hinder a participant's exercise of rights (Part 13.4).</w:t>
      </w:r>
    </w:p>
    <w:p>
      <w:pPr>
        <w:spacing w:after="120" w:line="276"/>
      </w:pPr>
      <w:r>
        <w:rPr>
          <w:sz w:val="22"/>
          <w:szCs w:val="22"/>
        </w:rPr>
        <w:t xml:space="preserve">House rules address, at minimum: smoking, including the use of electronic cigarettes and vaporizers; cooking; protection of valuables; visitors; telephone usage; use of common areas and devices; consumption of alcohol and marijuana; and pets (Part 13.4).</w:t>
      </w:r>
    </w:p>
    <w:p>
      <w:pPr>
        <w:spacing w:after="120" w:line="276"/>
      </w:pPr>
      <w:r>
        <w:rPr>
          <w:sz w:val="22"/>
          <w:szCs w:val="22"/>
        </w:rPr>
        <w:t xml:space="preserve">Because a brain injury may affect memory, comprehension, or impulse control, [Facility Name] presents house rules in an accessible format and applies them in an individualized, supportive manner consistent with each participant's care/support plan — never in a way that punishes a disability.</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Post written house rules where they are available to participants and visitors (Part 13.3).</w:t>
      </w:r>
    </w:p>
    <w:p>
      <w:pPr>
        <w:spacing w:after="80" w:line="276"/>
        <w:ind w:left="720" w:hanging="360"/>
      </w:pPr>
      <w:r>
        <w:rPr>
          <w:b/>
          <w:bCs/>
          <w:sz w:val="22"/>
          <w:szCs w:val="22"/>
        </w:rPr>
        <w:t xml:space="preserve">2.  </w:t>
      </w:r>
      <w:r>
        <w:rPr>
          <w:sz w:val="22"/>
          <w:szCs w:val="22"/>
        </w:rPr>
        <w:t xml:space="preserve">Address all required topics and list possible actions for knowing violations (Part 13.4).</w:t>
      </w:r>
    </w:p>
    <w:p>
      <w:pPr>
        <w:spacing w:after="80" w:line="276"/>
        <w:ind w:left="720" w:hanging="360"/>
      </w:pPr>
      <w:r>
        <w:rPr>
          <w:b/>
          <w:bCs/>
          <w:sz w:val="22"/>
          <w:szCs w:val="22"/>
        </w:rPr>
        <w:t xml:space="preserve">3.  </w:t>
      </w:r>
      <w:r>
        <w:rPr>
          <w:sz w:val="22"/>
          <w:szCs w:val="22"/>
        </w:rPr>
        <w:t xml:space="preserve">Keep house rules subordinate to participant rights (Part 13.4).</w:t>
      </w:r>
    </w:p>
    <w:p>
      <w:pPr>
        <w:spacing w:after="80" w:line="276"/>
        <w:ind w:left="720" w:hanging="360"/>
      </w:pPr>
      <w:r>
        <w:rPr>
          <w:b/>
          <w:bCs/>
          <w:sz w:val="22"/>
          <w:szCs w:val="22"/>
        </w:rPr>
        <w:t xml:space="preserve">4.  </w:t>
      </w:r>
      <w:r>
        <w:rPr>
          <w:sz w:val="22"/>
          <w:szCs w:val="22"/>
        </w:rPr>
        <w:t xml:space="preserve">Present house rules in an accessible format and apply them individually.</w:t>
      </w:r>
    </w:p>
    <w:p>
      <w:pPr>
        <w:spacing w:after="80" w:line="276"/>
        <w:ind w:left="720" w:hanging="360"/>
      </w:pPr>
      <w:r>
        <w:rPr>
          <w:b/>
          <w:bCs/>
          <w:sz w:val="22"/>
          <w:szCs w:val="22"/>
        </w:rPr>
        <w:t xml:space="preserve">5.  </w:t>
      </w:r>
      <w:r>
        <w:rPr>
          <w:sz w:val="22"/>
          <w:szCs w:val="22"/>
        </w:rPr>
        <w:t xml:space="preserve">Review house rules at least annually (Part 9.1).</w:t>
      </w:r>
    </w:p>
    <w:p>
      <w:pPr>
        <w:spacing w:after="80" w:before="160"/>
      </w:pPr>
      <w:r>
        <w:rPr>
          <w:b/>
          <w:bCs/>
          <w:caps/>
          <w:color w:val="1F3864"/>
          <w:sz w:val="22"/>
          <w:szCs w:val="22"/>
        </w:rPr>
        <w:t xml:space="preserve">Related Forms</w:t>
      </w:r>
    </w:p>
    <w:p>
      <w:pPr>
        <w:spacing w:after="120" w:line="276"/>
      </w:pPr>
      <w:r>
        <w:rPr>
          <w:sz w:val="22"/>
          <w:szCs w:val="22"/>
        </w:rPr>
        <w:t xml:space="preserve">House Rules  ·  House Rules Acknowledgment</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1.12 — Pornography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Pornography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13.1(A)(1), 13.1(A)(5), 13.4, 5.1, 13.11;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respect each adult participant's right to privacy and private consensual activity while maintaining a safe and respectful communal environment — consistent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Private space — </w:t>
      </w:r>
      <w:r>
        <w:rPr>
          <w:sz w:val="22"/>
          <w:szCs w:val="22"/>
        </w:rPr>
        <w:t xml:space="preserve">the participant's own room or other area designated for the participant's private use.</w:t>
      </w:r>
    </w:p>
    <w:p>
      <w:pPr>
        <w:spacing w:after="80" w:line="276"/>
      </w:pPr>
      <w:r>
        <w:rPr>
          <w:b/>
          <w:bCs/>
          <w:sz w:val="22"/>
          <w:szCs w:val="22"/>
        </w:rPr>
        <w:t xml:space="preserve">Capacity to consent — </w:t>
      </w:r>
      <w:r>
        <w:rPr>
          <w:sz w:val="22"/>
          <w:szCs w:val="22"/>
        </w:rPr>
        <w:t xml:space="preserve">the participant's ability to understand and voluntarily agree, which a brain injury may affect and which is assessed through the care team.</w:t>
      </w:r>
    </w:p>
    <w:p>
      <w:pPr>
        <w:spacing w:after="80" w:before="160"/>
      </w:pPr>
      <w:r>
        <w:rPr>
          <w:b/>
          <w:bCs/>
          <w:caps/>
          <w:color w:val="1F3864"/>
          <w:sz w:val="22"/>
          <w:szCs w:val="22"/>
        </w:rPr>
        <w:t xml:space="preserve">Policy</w:t>
      </w:r>
    </w:p>
    <w:p>
      <w:pPr>
        <w:spacing w:after="120" w:line="276"/>
      </w:pPr>
      <w:r>
        <w:rPr>
          <w:sz w:val="22"/>
          <w:szCs w:val="22"/>
        </w:rPr>
        <w:t xml:space="preserve">Each adult participant has the right to privacy, including private and unrestricted communications and private consensual sexual activity (Parts 13.1(A)(1), 13.1(A)(5)). [Facility Name] honors these rights within the participant's private space.</w:t>
      </w:r>
    </w:p>
    <w:p>
      <w:pPr>
        <w:spacing w:after="120" w:line="276"/>
      </w:pPr>
      <w:r>
        <w:rPr>
          <w:sz w:val="22"/>
          <w:szCs w:val="22"/>
        </w:rPr>
        <w:t xml:space="preserve">To protect all participants, staff, and visitors, house rules require that access to or use of adult materials occur only in the participant's private space and not in common areas, and not in any manner that exposes others without their consent (Part 13.4).</w:t>
      </w:r>
    </w:p>
    <w:p>
      <w:pPr>
        <w:spacing w:after="120" w:line="276"/>
      </w:pPr>
      <w:r>
        <w:rPr>
          <w:sz w:val="22"/>
          <w:szCs w:val="22"/>
        </w:rPr>
        <w:t xml:space="preserve">Because a brain injury may affect judgment, impulse control, or the capacity to consent, [Facility Name] addresses capacity and consent through the care team and, where appropriate, the participant's practitioner and legal representative, and provides individualized support rather than punishment — while safeguarding the rights and safety of others. Any conduct that harms or exploits another person is addressed under the mandatory-reporting and abuse/neglect policies (Parts 5.1, 13.11).</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Honor the participant's privacy rights within the participant's private space (Parts 13.1(A)(1), 13.1(A)(5)).</w:t>
      </w:r>
    </w:p>
    <w:p>
      <w:pPr>
        <w:spacing w:after="80" w:line="276"/>
        <w:ind w:left="720" w:hanging="360"/>
      </w:pPr>
      <w:r>
        <w:rPr>
          <w:b/>
          <w:bCs/>
          <w:sz w:val="22"/>
          <w:szCs w:val="22"/>
        </w:rPr>
        <w:t xml:space="preserve">2.  </w:t>
      </w:r>
      <w:r>
        <w:rPr>
          <w:sz w:val="22"/>
          <w:szCs w:val="22"/>
        </w:rPr>
        <w:t xml:space="preserve">Apply the common-area house rule so that others are not exposed without consent (Part 13.4).</w:t>
      </w:r>
    </w:p>
    <w:p>
      <w:pPr>
        <w:spacing w:after="80" w:line="276"/>
        <w:ind w:left="720" w:hanging="360"/>
      </w:pPr>
      <w:r>
        <w:rPr>
          <w:b/>
          <w:bCs/>
          <w:sz w:val="22"/>
          <w:szCs w:val="22"/>
        </w:rPr>
        <w:t xml:space="preserve">3.  </w:t>
      </w:r>
      <w:r>
        <w:rPr>
          <w:sz w:val="22"/>
          <w:szCs w:val="22"/>
        </w:rPr>
        <w:t xml:space="preserve">Where capacity or consent is in question, assess through the care team, practitioner, and representative as appropriate.</w:t>
      </w:r>
    </w:p>
    <w:p>
      <w:pPr>
        <w:spacing w:after="80" w:line="276"/>
        <w:ind w:left="720" w:hanging="360"/>
      </w:pPr>
      <w:r>
        <w:rPr>
          <w:b/>
          <w:bCs/>
          <w:sz w:val="22"/>
          <w:szCs w:val="22"/>
        </w:rPr>
        <w:t xml:space="preserve">4.  </w:t>
      </w:r>
      <w:r>
        <w:rPr>
          <w:sz w:val="22"/>
          <w:szCs w:val="22"/>
        </w:rPr>
        <w:t xml:space="preserve">Provide individualized behavioral support rather than punitive measures.</w:t>
      </w:r>
    </w:p>
    <w:p>
      <w:pPr>
        <w:spacing w:after="80" w:line="276"/>
        <w:ind w:left="720" w:hanging="360"/>
      </w:pPr>
      <w:r>
        <w:rPr>
          <w:b/>
          <w:bCs/>
          <w:sz w:val="22"/>
          <w:szCs w:val="22"/>
        </w:rPr>
        <w:t xml:space="preserve">5.  </w:t>
      </w:r>
      <w:r>
        <w:rPr>
          <w:sz w:val="22"/>
          <w:szCs w:val="22"/>
        </w:rPr>
        <w:t xml:space="preserve">Report and investigate any harm or exploitation of another person (Parts 5.1, 13.11).</w:t>
      </w:r>
    </w:p>
    <w:p>
      <w:pPr>
        <w:spacing w:after="80" w:line="276"/>
        <w:ind w:left="720" w:hanging="360"/>
      </w:pPr>
      <w:r>
        <w:rPr>
          <w:b/>
          <w:bCs/>
          <w:sz w:val="22"/>
          <w:szCs w:val="22"/>
        </w:rPr>
        <w:t xml:space="preserve">6.  </w:t>
      </w:r>
      <w:r>
        <w:rPr>
          <w:sz w:val="22"/>
          <w:szCs w:val="22"/>
        </w:rPr>
        <w:t xml:space="preserve">Document the individualized approach in the care/support plan where applicable.</w:t>
      </w:r>
    </w:p>
    <w:p>
      <w:pPr>
        <w:spacing w:after="80" w:before="160"/>
      </w:pPr>
      <w:r>
        <w:rPr>
          <w:b/>
          <w:bCs/>
          <w:caps/>
          <w:color w:val="1F3864"/>
          <w:sz w:val="22"/>
          <w:szCs w:val="22"/>
        </w:rPr>
        <w:t xml:space="preserve">Related Forms</w:t>
      </w:r>
    </w:p>
    <w:p>
      <w:pPr>
        <w:spacing w:after="120" w:line="276"/>
      </w:pPr>
      <w:r>
        <w:rPr>
          <w:sz w:val="22"/>
          <w:szCs w:val="22"/>
        </w:rPr>
        <w:t xml:space="preserve">House Rules (Private-Space Provisions)  ·  Behavioral Support Plan (as applicable)</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1.13 — General Smoking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General Smoking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13.4(A), 11.7(I), 22.4, 22.30, 22.35–22.37; C.R.S. 25-14-201 through 209;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govern smoking safely, including for participants with impaired safety awareness — consistent with 6 CCR 1011-1 Chapter 7 and the Colorado Clean Indoor Air Act.</w:t>
      </w:r>
    </w:p>
    <w:p>
      <w:pPr>
        <w:spacing w:after="80" w:before="160"/>
      </w:pPr>
      <w:r>
        <w:rPr>
          <w:b/>
          <w:bCs/>
          <w:caps/>
          <w:color w:val="1F3864"/>
          <w:sz w:val="22"/>
          <w:szCs w:val="22"/>
        </w:rPr>
        <w:t xml:space="preserve">Definitions</w:t>
      </w:r>
    </w:p>
    <w:p>
      <w:pPr>
        <w:spacing w:after="80" w:line="276"/>
      </w:pPr>
      <w:r>
        <w:rPr>
          <w:b/>
          <w:bCs/>
          <w:sz w:val="22"/>
          <w:szCs w:val="22"/>
        </w:rPr>
        <w:t xml:space="preserve">Smoking — </w:t>
      </w:r>
      <w:r>
        <w:rPr>
          <w:sz w:val="22"/>
          <w:szCs w:val="22"/>
        </w:rPr>
        <w:t xml:space="preserve">the use of any tobacco product, electronic cigarette, or vaporizer.</w:t>
      </w:r>
    </w:p>
    <w:p>
      <w:pPr>
        <w:spacing w:after="80" w:line="276"/>
      </w:pPr>
      <w:r>
        <w:rPr>
          <w:b/>
          <w:bCs/>
          <w:sz w:val="22"/>
          <w:szCs w:val="22"/>
        </w:rPr>
        <w:t xml:space="preserve">Designated smoking area — </w:t>
      </w:r>
      <w:r>
        <w:rPr>
          <w:sz w:val="22"/>
          <w:szCs w:val="22"/>
        </w:rPr>
        <w:t xml:space="preserve">an outdoor area where smoking is permitted, monitored when participants are present.</w:t>
      </w:r>
    </w:p>
    <w:p>
      <w:pPr>
        <w:spacing w:after="80" w:before="160"/>
      </w:pPr>
      <w:r>
        <w:rPr>
          <w:b/>
          <w:bCs/>
          <w:caps/>
          <w:color w:val="1F3864"/>
          <w:sz w:val="22"/>
          <w:szCs w:val="22"/>
        </w:rPr>
        <w:t xml:space="preserve">Policy</w:t>
      </w:r>
    </w:p>
    <w:p>
      <w:pPr>
        <w:spacing w:after="120" w:line="276"/>
      </w:pPr>
      <w:r>
        <w:rPr>
          <w:sz w:val="22"/>
          <w:szCs w:val="22"/>
        </w:rPr>
        <w:t xml:space="preserve">[Facility Name] complies with the Colorado Clean Indoor Air Act (C.R.S. 25-14-201 through 209; Part 22.35). House rules address smoking, including electronic cigarettes and vaporizers (Part 13.4(A)), and the residency disclosure states smoking prohibitions and any designated smoking areas (Part 11.7(I)).</w:t>
      </w:r>
    </w:p>
    <w:p>
      <w:pPr>
        <w:spacing w:after="120" w:line="276"/>
      </w:pPr>
      <w:r>
        <w:rPr>
          <w:sz w:val="22"/>
          <w:szCs w:val="22"/>
        </w:rPr>
        <w:t xml:space="preserve">Designated outdoor smoking areas are monitored whenever participants are present and are equipped with fire-resistant waste-disposal containers (Parts 22.36–22.37); resident rooms occupied by smokers, and designated areas, have fire-resistant wastebaskets (Part 22.4). Smoking is prohibited where oxygen is stored or used, and conspicuous 'No Smoking' signage is posted in those areas (Part 22.30).</w:t>
      </w:r>
    </w:p>
    <w:p>
      <w:pPr>
        <w:spacing w:after="120" w:line="276"/>
      </w:pPr>
      <w:r>
        <w:rPr>
          <w:sz w:val="22"/>
          <w:szCs w:val="22"/>
        </w:rPr>
        <w:t xml:space="preserve">Because a brain injury may impair safety awareness, judgment, or motor control, [Facility Name] individualizes smoking supervision and safety measures in the participant's care/support plan, balancing autonomy with safety.</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Comply with the Colorado Clean Indoor Air Act (Part 22.35).</w:t>
      </w:r>
    </w:p>
    <w:p>
      <w:pPr>
        <w:spacing w:after="80" w:line="276"/>
        <w:ind w:left="720" w:hanging="360"/>
      </w:pPr>
      <w:r>
        <w:rPr>
          <w:b/>
          <w:bCs/>
          <w:sz w:val="22"/>
          <w:szCs w:val="22"/>
        </w:rPr>
        <w:t xml:space="preserve">2.  </w:t>
      </w:r>
      <w:r>
        <w:rPr>
          <w:sz w:val="22"/>
          <w:szCs w:val="22"/>
        </w:rPr>
        <w:t xml:space="preserve">Set smoking house rules, including e-cigarettes and vaporizers, and disclose them in the residency agreement (Parts 13.4(A), 11.7(I)).</w:t>
      </w:r>
    </w:p>
    <w:p>
      <w:pPr>
        <w:spacing w:after="80" w:line="276"/>
        <w:ind w:left="720" w:hanging="360"/>
      </w:pPr>
      <w:r>
        <w:rPr>
          <w:b/>
          <w:bCs/>
          <w:sz w:val="22"/>
          <w:szCs w:val="22"/>
        </w:rPr>
        <w:t xml:space="preserve">3.  </w:t>
      </w:r>
      <w:r>
        <w:rPr>
          <w:sz w:val="22"/>
          <w:szCs w:val="22"/>
        </w:rPr>
        <w:t xml:space="preserve">Designate and monitor outdoor smoking areas with fire-resistant containers (Parts 22.36–22.37, 22.4).</w:t>
      </w:r>
    </w:p>
    <w:p>
      <w:pPr>
        <w:spacing w:after="80" w:line="276"/>
        <w:ind w:left="720" w:hanging="360"/>
      </w:pPr>
      <w:r>
        <w:rPr>
          <w:b/>
          <w:bCs/>
          <w:sz w:val="22"/>
          <w:szCs w:val="22"/>
        </w:rPr>
        <w:t xml:space="preserve">4.  </w:t>
      </w:r>
      <w:r>
        <w:rPr>
          <w:sz w:val="22"/>
          <w:szCs w:val="22"/>
        </w:rPr>
        <w:t xml:space="preserve">Prohibit smoking where oxygen is stored or used and post signage (Part 22.30).</w:t>
      </w:r>
    </w:p>
    <w:p>
      <w:pPr>
        <w:spacing w:after="80" w:line="276"/>
        <w:ind w:left="720" w:hanging="360"/>
      </w:pPr>
      <w:r>
        <w:rPr>
          <w:b/>
          <w:bCs/>
          <w:sz w:val="22"/>
          <w:szCs w:val="22"/>
        </w:rPr>
        <w:t xml:space="preserve">5.  </w:t>
      </w:r>
      <w:r>
        <w:rPr>
          <w:sz w:val="22"/>
          <w:szCs w:val="22"/>
        </w:rPr>
        <w:t xml:space="preserve">Individualize supervision and safety measures for participants with impaired safety awareness.</w:t>
      </w:r>
    </w:p>
    <w:p>
      <w:pPr>
        <w:spacing w:after="80" w:line="276"/>
        <w:ind w:left="720" w:hanging="360"/>
      </w:pPr>
      <w:r>
        <w:rPr>
          <w:b/>
          <w:bCs/>
          <w:sz w:val="22"/>
          <w:szCs w:val="22"/>
        </w:rPr>
        <w:t xml:space="preserve">6.  </w:t>
      </w:r>
      <w:r>
        <w:rPr>
          <w:sz w:val="22"/>
          <w:szCs w:val="22"/>
        </w:rPr>
        <w:t xml:space="preserve">Document the individualized smoking-safety approach in the care/support plan.</w:t>
      </w:r>
    </w:p>
    <w:p>
      <w:pPr>
        <w:spacing w:after="80" w:before="160"/>
      </w:pPr>
      <w:r>
        <w:rPr>
          <w:b/>
          <w:bCs/>
          <w:caps/>
          <w:color w:val="1F3864"/>
          <w:sz w:val="22"/>
          <w:szCs w:val="22"/>
        </w:rPr>
        <w:t xml:space="preserve">Related Forms</w:t>
      </w:r>
    </w:p>
    <w:p>
      <w:pPr>
        <w:spacing w:after="120" w:line="276"/>
      </w:pPr>
      <w:r>
        <w:rPr>
          <w:sz w:val="22"/>
          <w:szCs w:val="22"/>
        </w:rPr>
        <w:t xml:space="preserve">Smoking Policy Disclosure  ·  Individualized Smoking Safety Plan</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1.14 — Substance Abuse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Substance Abuse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13.4(G), 7.8, 11.2; SLP service 10 CCR 2505-10 § 8.7550, § 8.7100 (complex behavior).</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address participant substance use in a manner that protects health and safety while respecting rights — consistent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Substance use — </w:t>
      </w:r>
      <w:r>
        <w:rPr>
          <w:sz w:val="22"/>
          <w:szCs w:val="22"/>
        </w:rPr>
        <w:t xml:space="preserve">the use of alcohol, marijuana, or other substances by a participant.</w:t>
      </w:r>
    </w:p>
    <w:p>
      <w:pPr>
        <w:spacing w:after="80" w:line="276"/>
      </w:pPr>
      <w:r>
        <w:rPr>
          <w:b/>
          <w:bCs/>
          <w:sz w:val="22"/>
          <w:szCs w:val="22"/>
        </w:rPr>
        <w:t xml:space="preserve">Individualized approach — </w:t>
      </w:r>
      <w:r>
        <w:rPr>
          <w:sz w:val="22"/>
          <w:szCs w:val="22"/>
        </w:rPr>
        <w:t xml:space="preserve">a person-centered response coordinated with the participant's practitioner and Case Management Agency.</w:t>
      </w:r>
    </w:p>
    <w:p>
      <w:pPr>
        <w:spacing w:after="80" w:before="160"/>
      </w:pPr>
      <w:r>
        <w:rPr>
          <w:b/>
          <w:bCs/>
          <w:caps/>
          <w:color w:val="1F3864"/>
          <w:sz w:val="22"/>
          <w:szCs w:val="22"/>
        </w:rPr>
        <w:t xml:space="preserve">Policy</w:t>
      </w:r>
    </w:p>
    <w:p>
      <w:pPr>
        <w:spacing w:after="120" w:line="276"/>
      </w:pPr>
      <w:r>
        <w:rPr>
          <w:sz w:val="22"/>
          <w:szCs w:val="22"/>
        </w:rPr>
        <w:t xml:space="preserve">House rules address the consumption of alcohol and marijuana (Part 13.4(G)). [Facility Name] balances participant autonomy and rights with health and safety, recognizing that substance use may interact dangerously with a brain injury and with anticonvulsant or psychotropic medication.</w:t>
      </w:r>
    </w:p>
    <w:p>
      <w:pPr>
        <w:spacing w:after="120" w:line="276"/>
      </w:pPr>
      <w:r>
        <w:rPr>
          <w:sz w:val="22"/>
          <w:szCs w:val="22"/>
        </w:rPr>
        <w:t xml:space="preserve">The residence maintains policies restricting on-site access by staff or volunteers whose drug or alcohol use would adversely affect their ability to provide care and services (Part 7.8).</w:t>
      </w:r>
    </w:p>
    <w:p>
      <w:pPr>
        <w:spacing w:after="120" w:line="276"/>
      </w:pPr>
      <w:r>
        <w:rPr>
          <w:sz w:val="22"/>
          <w:szCs w:val="22"/>
        </w:rPr>
        <w:t xml:space="preserve">The residence addresses participant substance use through an individualized, person-centered approach coordinated with the participant's practitioner and Case Management Agency, and does not admit or retain a participant whose needs it cannot meet (Part 11.2). Complex behavior related to substance use is addressed through behavioral supports (§ 8.7100).</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Set house rules addressing alcohol and marijuana (Part 13.4(G)).</w:t>
      </w:r>
    </w:p>
    <w:p>
      <w:pPr>
        <w:spacing w:after="80" w:line="276"/>
        <w:ind w:left="720" w:hanging="360"/>
      </w:pPr>
      <w:r>
        <w:rPr>
          <w:b/>
          <w:bCs/>
          <w:sz w:val="22"/>
          <w:szCs w:val="22"/>
        </w:rPr>
        <w:t xml:space="preserve">2.  </w:t>
      </w:r>
      <w:r>
        <w:rPr>
          <w:sz w:val="22"/>
          <w:szCs w:val="22"/>
        </w:rPr>
        <w:t xml:space="preserve">Educate participants and staff on interactions between substances, brain injury, and medications.</w:t>
      </w:r>
    </w:p>
    <w:p>
      <w:pPr>
        <w:spacing w:after="80" w:line="276"/>
        <w:ind w:left="720" w:hanging="360"/>
      </w:pPr>
      <w:r>
        <w:rPr>
          <w:b/>
          <w:bCs/>
          <w:sz w:val="22"/>
          <w:szCs w:val="22"/>
        </w:rPr>
        <w:t xml:space="preserve">3.  </w:t>
      </w:r>
      <w:r>
        <w:rPr>
          <w:sz w:val="22"/>
          <w:szCs w:val="22"/>
        </w:rPr>
        <w:t xml:space="preserve">Develop an individualized plan with the participant's practitioner and Case Management Agency.</w:t>
      </w:r>
    </w:p>
    <w:p>
      <w:pPr>
        <w:spacing w:after="80" w:line="276"/>
        <w:ind w:left="720" w:hanging="360"/>
      </w:pPr>
      <w:r>
        <w:rPr>
          <w:b/>
          <w:bCs/>
          <w:sz w:val="22"/>
          <w:szCs w:val="22"/>
        </w:rPr>
        <w:t xml:space="preserve">4.  </w:t>
      </w:r>
      <w:r>
        <w:rPr>
          <w:sz w:val="22"/>
          <w:szCs w:val="22"/>
        </w:rPr>
        <w:t xml:space="preserve">Apply staff and volunteer on-site access restrictions for impairing substance use (Part 7.8).</w:t>
      </w:r>
    </w:p>
    <w:p>
      <w:pPr>
        <w:spacing w:after="80" w:line="276"/>
        <w:ind w:left="720" w:hanging="360"/>
      </w:pPr>
      <w:r>
        <w:rPr>
          <w:b/>
          <w:bCs/>
          <w:sz w:val="22"/>
          <w:szCs w:val="22"/>
        </w:rPr>
        <w:t xml:space="preserve">5.  </w:t>
      </w:r>
      <w:r>
        <w:rPr>
          <w:sz w:val="22"/>
          <w:szCs w:val="22"/>
        </w:rPr>
        <w:t xml:space="preserve">Escalate safety concerns and document the individualized approach.</w:t>
      </w:r>
    </w:p>
    <w:p>
      <w:pPr>
        <w:spacing w:after="80" w:before="160"/>
      </w:pPr>
      <w:r>
        <w:rPr>
          <w:b/>
          <w:bCs/>
          <w:caps/>
          <w:color w:val="1F3864"/>
          <w:sz w:val="22"/>
          <w:szCs w:val="22"/>
        </w:rPr>
        <w:t xml:space="preserve">Related Forms</w:t>
      </w:r>
    </w:p>
    <w:p>
      <w:pPr>
        <w:spacing w:after="120" w:line="276"/>
      </w:pPr>
      <w:r>
        <w:rPr>
          <w:sz w:val="22"/>
          <w:szCs w:val="22"/>
        </w:rPr>
        <w:t xml:space="preserve">Substance-Use Support Plan  ·  House Rules (Alcohol/Marijuana Provisions)</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1.15 — Activity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Activity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12.19–12.32; SLP service 10 CCR 2505-10 § 8.7550; Independent Living Skills Training § 8.7529; § 8.7100.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provide meaningful, individualized engagement that supports each participant's independence, skills, and community participation — consistent with 6 CCR 1011-1 Chapter 7 and the goals of the Supported Living Program.</w:t>
      </w:r>
    </w:p>
    <w:p>
      <w:pPr>
        <w:spacing w:after="80" w:before="160"/>
      </w:pPr>
      <w:r>
        <w:rPr>
          <w:b/>
          <w:bCs/>
          <w:caps/>
          <w:color w:val="1F3864"/>
          <w:sz w:val="22"/>
          <w:szCs w:val="22"/>
        </w:rPr>
        <w:t xml:space="preserve">Definitions</w:t>
      </w:r>
    </w:p>
    <w:p>
      <w:pPr>
        <w:spacing w:after="80" w:line="276"/>
      </w:pPr>
      <w:r>
        <w:rPr>
          <w:b/>
          <w:bCs/>
          <w:sz w:val="22"/>
          <w:szCs w:val="22"/>
        </w:rPr>
        <w:t xml:space="preserve">Resident (participant) engagement — </w:t>
      </w:r>
      <w:r>
        <w:rPr>
          <w:sz w:val="22"/>
          <w:szCs w:val="22"/>
        </w:rPr>
        <w:t xml:space="preserve">structured and spontaneous opportunities that support a participant's interests, skills, and community participation (Part 12.19).</w:t>
      </w:r>
    </w:p>
    <w:p>
      <w:pPr>
        <w:spacing w:after="80" w:line="276"/>
      </w:pPr>
      <w:r>
        <w:rPr>
          <w:b/>
          <w:bCs/>
          <w:sz w:val="22"/>
          <w:szCs w:val="22"/>
        </w:rPr>
        <w:t xml:space="preserve">Independent living skills — </w:t>
      </w:r>
      <w:r>
        <w:rPr>
          <w:sz w:val="22"/>
          <w:szCs w:val="22"/>
        </w:rPr>
        <w:t xml:space="preserve">skills that help a participant sustain themselves physically, emotionally, and economically in the community (10 CCR 2505-10 § 8.7529).</w:t>
      </w:r>
    </w:p>
    <w:p>
      <w:pPr>
        <w:spacing w:after="80" w:before="160"/>
      </w:pPr>
      <w:r>
        <w:rPr>
          <w:b/>
          <w:bCs/>
          <w:caps/>
          <w:color w:val="1F3864"/>
          <w:sz w:val="22"/>
          <w:szCs w:val="22"/>
        </w:rPr>
        <w:t xml:space="preserve">Policy</w:t>
      </w:r>
    </w:p>
    <w:p>
      <w:pPr>
        <w:spacing w:after="120" w:line="276"/>
      </w:pPr>
      <w:r>
        <w:rPr>
          <w:sz w:val="22"/>
          <w:szCs w:val="22"/>
        </w:rPr>
        <w:t xml:space="preserve">[Facility Name] encourages participants to maintain and develop their fullest potential for independent living through individual and group engagement, provides regular structured opportunities, supports each participant's interests, and assists participants, on request, with identifying and accessing outside services and community events (Parts 12.19–12.25).</w:t>
      </w:r>
    </w:p>
    <w:p>
      <w:pPr>
        <w:spacing w:after="120" w:line="276"/>
      </w:pPr>
      <w:r>
        <w:rPr>
          <w:sz w:val="22"/>
          <w:szCs w:val="22"/>
        </w:rPr>
        <w:t xml:space="preserve">The engagement program is organized and evaluated at least quarterly, staffed according to the residence's licensed size (Parts 12.24, 12.27–12.29), and supported by adequate indoor and outdoor space and recreational equipment (Parts 12.31–12.32); planned offerings are posted and records retained for at least six months (Part 12.26).</w:t>
      </w:r>
    </w:p>
    <w:p>
      <w:pPr>
        <w:spacing w:after="120" w:line="276"/>
      </w:pPr>
      <w:r>
        <w:rPr>
          <w:sz w:val="22"/>
          <w:szCs w:val="22"/>
        </w:rPr>
        <w:t xml:space="preserve">Because [Facility Name] delivers the Supported Living Program (10 CCR 2505-10 § 8.7550), engagement is oriented toward independent-living-skills development, cognitive and physical rehabilitation, and community reintegration, and is participant-directed and individualized to each participant's brain-injury goals.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Offer regular individual and group engagement opportunities (Parts 12.19–12.20).</w:t>
      </w:r>
    </w:p>
    <w:p>
      <w:pPr>
        <w:spacing w:after="80" w:line="276"/>
        <w:ind w:left="720" w:hanging="360"/>
      </w:pPr>
      <w:r>
        <w:rPr>
          <w:b/>
          <w:bCs/>
          <w:sz w:val="22"/>
          <w:szCs w:val="22"/>
        </w:rPr>
        <w:t xml:space="preserve">2.  </w:t>
      </w:r>
      <w:r>
        <w:rPr>
          <w:sz w:val="22"/>
          <w:szCs w:val="22"/>
        </w:rPr>
        <w:t xml:space="preserve">Support each participant's interests and assist with community access on request (Parts 12.21, 12.25).</w:t>
      </w:r>
    </w:p>
    <w:p>
      <w:pPr>
        <w:spacing w:after="80" w:line="276"/>
        <w:ind w:left="720" w:hanging="360"/>
      </w:pPr>
      <w:r>
        <w:rPr>
          <w:b/>
          <w:bCs/>
          <w:sz w:val="22"/>
          <w:szCs w:val="22"/>
        </w:rPr>
        <w:t xml:space="preserve">3.  </w:t>
      </w:r>
      <w:r>
        <w:rPr>
          <w:sz w:val="22"/>
          <w:szCs w:val="22"/>
        </w:rPr>
        <w:t xml:space="preserve">Provide adequate space and recreational equipment (Parts 12.31–12.32).</w:t>
      </w:r>
    </w:p>
    <w:p>
      <w:pPr>
        <w:spacing w:after="80" w:line="276"/>
        <w:ind w:left="720" w:hanging="360"/>
      </w:pPr>
      <w:r>
        <w:rPr>
          <w:b/>
          <w:bCs/>
          <w:sz w:val="22"/>
          <w:szCs w:val="22"/>
        </w:rPr>
        <w:t xml:space="preserve">4.  </w:t>
      </w:r>
      <w:r>
        <w:rPr>
          <w:sz w:val="22"/>
          <w:szCs w:val="22"/>
        </w:rPr>
        <w:t xml:space="preserve">Post planned offerings and retain records for at least six months (Part 12.26).</w:t>
      </w:r>
    </w:p>
    <w:p>
      <w:pPr>
        <w:spacing w:after="80" w:line="276"/>
        <w:ind w:left="720" w:hanging="360"/>
      </w:pPr>
      <w:r>
        <w:rPr>
          <w:b/>
          <w:bCs/>
          <w:sz w:val="22"/>
          <w:szCs w:val="22"/>
        </w:rPr>
        <w:t xml:space="preserve">5.  </w:t>
      </w:r>
      <w:r>
        <w:rPr>
          <w:sz w:val="22"/>
          <w:szCs w:val="22"/>
        </w:rPr>
        <w:t xml:space="preserve">Orient activities toward independent-living-skills, cognitive, and physical goals (§§ 8.7550, 8.7529).</w:t>
      </w:r>
    </w:p>
    <w:p>
      <w:pPr>
        <w:spacing w:after="80" w:line="276"/>
        <w:ind w:left="720" w:hanging="360"/>
      </w:pPr>
      <w:r>
        <w:rPr>
          <w:b/>
          <w:bCs/>
          <w:sz w:val="22"/>
          <w:szCs w:val="22"/>
        </w:rPr>
        <w:t xml:space="preserve">6.  </w:t>
      </w:r>
      <w:r>
        <w:rPr>
          <w:sz w:val="22"/>
          <w:szCs w:val="22"/>
        </w:rPr>
        <w:t xml:space="preserve">Evaluate the engagement program at least quarterly and adjust based on participant feedback (Part 12.24).</w:t>
      </w:r>
    </w:p>
    <w:p>
      <w:pPr>
        <w:spacing w:after="80" w:before="160"/>
      </w:pPr>
      <w:r>
        <w:rPr>
          <w:b/>
          <w:bCs/>
          <w:caps/>
          <w:color w:val="1F3864"/>
          <w:sz w:val="22"/>
          <w:szCs w:val="22"/>
        </w:rPr>
        <w:t xml:space="preserve">Related Forms</w:t>
      </w:r>
    </w:p>
    <w:p>
      <w:pPr>
        <w:spacing w:after="120" w:line="276"/>
      </w:pPr>
      <w:r>
        <w:rPr>
          <w:sz w:val="22"/>
          <w:szCs w:val="22"/>
        </w:rPr>
        <w:t xml:space="preserve">Activity Calendar  ·  Individualized Engagement Plan  ·  Engagement Evaluation</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1.16 — Pet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Pet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13.4(H), 12.22(A);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govern pets and animal interaction safely as part of a home-like, engaging environment — consistent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Pet — </w:t>
      </w:r>
      <w:r>
        <w:rPr>
          <w:sz w:val="22"/>
          <w:szCs w:val="22"/>
        </w:rPr>
        <w:t xml:space="preserve">an animal kept at the residence or brought in for participant interaction, subject to house rules.</w:t>
      </w:r>
    </w:p>
    <w:p>
      <w:pPr>
        <w:spacing w:after="80" w:line="276"/>
      </w:pPr>
      <w:r>
        <w:rPr>
          <w:b/>
          <w:bCs/>
          <w:sz w:val="22"/>
          <w:szCs w:val="22"/>
        </w:rPr>
        <w:t xml:space="preserve">Animal interaction — </w:t>
      </w:r>
      <w:r>
        <w:rPr>
          <w:sz w:val="22"/>
          <w:szCs w:val="22"/>
        </w:rPr>
        <w:t xml:space="preserve">engagement with animals as a recreational or therapeutic activity (Part 12.22(A)).</w:t>
      </w:r>
    </w:p>
    <w:p>
      <w:pPr>
        <w:spacing w:after="80" w:before="160"/>
      </w:pPr>
      <w:r>
        <w:rPr>
          <w:b/>
          <w:bCs/>
          <w:caps/>
          <w:color w:val="1F3864"/>
          <w:sz w:val="22"/>
          <w:szCs w:val="22"/>
        </w:rPr>
        <w:t xml:space="preserve">Policy</w:t>
      </w:r>
    </w:p>
    <w:p>
      <w:pPr>
        <w:spacing w:after="120" w:line="276"/>
      </w:pPr>
      <w:r>
        <w:rPr>
          <w:sz w:val="22"/>
          <w:szCs w:val="22"/>
        </w:rPr>
        <w:t xml:space="preserve">House rules address pets (Part 13.4(H)). [Facility Name] supports pet care and animal interaction as an engagement opportunity (Part 12.22(A)) while ensuring the health and safety of all participants.</w:t>
      </w:r>
    </w:p>
    <w:p>
      <w:pPr>
        <w:spacing w:after="120" w:line="276"/>
      </w:pPr>
      <w:r>
        <w:rPr>
          <w:sz w:val="22"/>
          <w:szCs w:val="22"/>
        </w:rPr>
        <w:t xml:space="preserve">Because a brain injury may affect judgment, memory, or physical ability, the residence individualizes pet-related responsibilities and supervision in the participant's care/support plan and addresses allergies, safety, and sanitation for all participants.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Set pet-related house rules (Part 13.4(H)).</w:t>
      </w:r>
    </w:p>
    <w:p>
      <w:pPr>
        <w:spacing w:after="80" w:line="276"/>
        <w:ind w:left="720" w:hanging="360"/>
      </w:pPr>
      <w:r>
        <w:rPr>
          <w:b/>
          <w:bCs/>
          <w:sz w:val="22"/>
          <w:szCs w:val="22"/>
        </w:rPr>
        <w:t xml:space="preserve">2.  </w:t>
      </w:r>
      <w:r>
        <w:rPr>
          <w:sz w:val="22"/>
          <w:szCs w:val="22"/>
        </w:rPr>
        <w:t xml:space="preserve">Support pet care and animal interaction as engagement (Part 12.22(A)).</w:t>
      </w:r>
    </w:p>
    <w:p>
      <w:pPr>
        <w:spacing w:after="80" w:line="276"/>
        <w:ind w:left="720" w:hanging="360"/>
      </w:pPr>
      <w:r>
        <w:rPr>
          <w:b/>
          <w:bCs/>
          <w:sz w:val="22"/>
          <w:szCs w:val="22"/>
        </w:rPr>
        <w:t xml:space="preserve">3.  </w:t>
      </w:r>
      <w:r>
        <w:rPr>
          <w:sz w:val="22"/>
          <w:szCs w:val="22"/>
        </w:rPr>
        <w:t xml:space="preserve">Individualize pet responsibilities and supervision in the care/support plan.</w:t>
      </w:r>
    </w:p>
    <w:p>
      <w:pPr>
        <w:spacing w:after="80" w:line="276"/>
        <w:ind w:left="720" w:hanging="360"/>
      </w:pPr>
      <w:r>
        <w:rPr>
          <w:b/>
          <w:bCs/>
          <w:sz w:val="22"/>
          <w:szCs w:val="22"/>
        </w:rPr>
        <w:t xml:space="preserve">4.  </w:t>
      </w:r>
      <w:r>
        <w:rPr>
          <w:sz w:val="22"/>
          <w:szCs w:val="22"/>
        </w:rPr>
        <w:t xml:space="preserve">Address allergies, safety, and sanitation for all participants.</w:t>
      </w:r>
    </w:p>
    <w:p>
      <w:pPr>
        <w:spacing w:after="80" w:line="276"/>
        <w:ind w:left="720" w:hanging="360"/>
      </w:pPr>
      <w:r>
        <w:rPr>
          <w:b/>
          <w:bCs/>
          <w:sz w:val="22"/>
          <w:szCs w:val="22"/>
        </w:rPr>
        <w:t xml:space="preserve">5.  </w:t>
      </w:r>
      <w:r>
        <w:rPr>
          <w:sz w:val="22"/>
          <w:szCs w:val="22"/>
        </w:rPr>
        <w:t xml:space="preserve">Document pet arrangements and any related supports.</w:t>
      </w:r>
    </w:p>
    <w:p>
      <w:pPr>
        <w:spacing w:after="80" w:before="160"/>
      </w:pPr>
      <w:r>
        <w:rPr>
          <w:b/>
          <w:bCs/>
          <w:caps/>
          <w:color w:val="1F3864"/>
          <w:sz w:val="22"/>
          <w:szCs w:val="22"/>
        </w:rPr>
        <w:t xml:space="preserve">Related Forms</w:t>
      </w:r>
    </w:p>
    <w:p>
      <w:pPr>
        <w:spacing w:after="120" w:line="276"/>
      </w:pPr>
      <w:r>
        <w:rPr>
          <w:sz w:val="22"/>
          <w:szCs w:val="22"/>
        </w:rPr>
        <w:t xml:space="preserve">Pet Policy/Agreement  ·  Individualized Pet-Care Support Plan</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1.17 — Visitation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Visitation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Rights / Rules / Procedures</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9.2, §§ 13.1(A)(4), 13.1(E), 13.2, 9.2(F)–(G); C.R.S. 25-3-125(3)(a);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protect each participant's right to visitation, including support persons and compassionate-care visits — consistent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Compassionate care visit — </w:t>
      </w:r>
      <w:r>
        <w:rPr>
          <w:sz w:val="22"/>
          <w:szCs w:val="22"/>
        </w:rPr>
        <w:t xml:space="preserve">a visit necessary to meet a participant's physical or mental needs when the participant is exhibiting distress (Part 2.15).</w:t>
      </w:r>
    </w:p>
    <w:p>
      <w:pPr>
        <w:spacing w:after="80" w:line="276"/>
      </w:pPr>
      <w:r>
        <w:rPr>
          <w:b/>
          <w:bCs/>
          <w:sz w:val="22"/>
          <w:szCs w:val="22"/>
        </w:rPr>
        <w:t xml:space="preserve">Support person — </w:t>
      </w:r>
      <w:r>
        <w:rPr>
          <w:sz w:val="22"/>
          <w:szCs w:val="22"/>
        </w:rPr>
        <w:t xml:space="preserve">an individual designated by a participant with a disability to support the participant and exercise visitation, even when the participant is incapacitated or unable to communicate (Part 9.2(E)(2)).</w:t>
      </w:r>
    </w:p>
    <w:p>
      <w:pPr>
        <w:spacing w:after="80" w:before="160"/>
      </w:pPr>
      <w:r>
        <w:rPr>
          <w:b/>
          <w:bCs/>
          <w:caps/>
          <w:color w:val="1F3864"/>
          <w:sz w:val="22"/>
          <w:szCs w:val="22"/>
        </w:rPr>
        <w:t xml:space="preserve">Policy</w:t>
      </w:r>
    </w:p>
    <w:p>
      <w:pPr>
        <w:spacing w:after="120" w:line="276"/>
      </w:pPr>
      <w:r>
        <w:rPr>
          <w:sz w:val="22"/>
          <w:szCs w:val="22"/>
        </w:rPr>
        <w:t xml:space="preserve">[Facility Name] maintains written visitation policies consistent with Part 9.2 and C.R.S. 25-3-125(3)(a), including the right of each participant to at least one visitor of the participant's choosing, compassionate-care visits to alleviate physical or mental distress, and — for a participant with a disability — a support person designated by the participant who may exercise visitation even when the participant is incapacitated or unable to communicate (Part 9.2). Participants have the right to have visitors (Part 13.1(A)(4)) and to designate individuals to be notified in an emergency or involuntary discharge (Part 13.1(E)).</w:t>
      </w:r>
    </w:p>
    <w:p>
      <w:pPr>
        <w:spacing w:after="120" w:line="276"/>
      </w:pPr>
      <w:r>
        <w:rPr>
          <w:sz w:val="22"/>
          <w:szCs w:val="22"/>
        </w:rPr>
        <w:t xml:space="preserve">The residence permits access by the state and local long-term care ombudsman (Part 13.2). During periods of heightened communicable-disease transmission, visitation limits follow Parts 9.2(F)–(G) and are consistent with applicable federal and state law.</w:t>
      </w:r>
    </w:p>
    <w:p>
      <w:pPr>
        <w:spacing w:after="120" w:line="276"/>
      </w:pPr>
      <w:r>
        <w:rPr>
          <w:sz w:val="22"/>
          <w:szCs w:val="22"/>
        </w:rPr>
        <w:t xml:space="preserve">Because a brain injury may affect communication or decision-making, [Facility Name] supports the participant's designation of a support person and facilitates visitation in an accessible, person-centered manner.</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Adopt written visitation policies consistent with Part 9.2 and C.R.S. 25-3-125(3)(a).</w:t>
      </w:r>
    </w:p>
    <w:p>
      <w:pPr>
        <w:spacing w:after="80" w:line="276"/>
        <w:ind w:left="720" w:hanging="360"/>
      </w:pPr>
      <w:r>
        <w:rPr>
          <w:b/>
          <w:bCs/>
          <w:sz w:val="22"/>
          <w:szCs w:val="22"/>
        </w:rPr>
        <w:t xml:space="preserve">2.  </w:t>
      </w:r>
      <w:r>
        <w:rPr>
          <w:sz w:val="22"/>
          <w:szCs w:val="22"/>
        </w:rPr>
        <w:t xml:space="preserve">Honor visitor choice, compassionate-care visits, and support-person designations (Part 9.2).</w:t>
      </w:r>
    </w:p>
    <w:p>
      <w:pPr>
        <w:spacing w:after="80" w:line="276"/>
        <w:ind w:left="720" w:hanging="360"/>
      </w:pPr>
      <w:r>
        <w:rPr>
          <w:b/>
          <w:bCs/>
          <w:sz w:val="22"/>
          <w:szCs w:val="22"/>
        </w:rPr>
        <w:t xml:space="preserve">3.  </w:t>
      </w:r>
      <w:r>
        <w:rPr>
          <w:sz w:val="22"/>
          <w:szCs w:val="22"/>
        </w:rPr>
        <w:t xml:space="preserve">Permit access by the state and local ombudsman (Part 13.2).</w:t>
      </w:r>
    </w:p>
    <w:p>
      <w:pPr>
        <w:spacing w:after="80" w:line="276"/>
        <w:ind w:left="720" w:hanging="360"/>
      </w:pPr>
      <w:r>
        <w:rPr>
          <w:b/>
          <w:bCs/>
          <w:sz w:val="22"/>
          <w:szCs w:val="22"/>
        </w:rPr>
        <w:t xml:space="preserve">4.  </w:t>
      </w:r>
      <w:r>
        <w:rPr>
          <w:sz w:val="22"/>
          <w:szCs w:val="22"/>
        </w:rPr>
        <w:t xml:space="preserve">Apply heightened-transmission visitation limits consistent with law when needed (Parts 9.2(F)–(G)).</w:t>
      </w:r>
    </w:p>
    <w:p>
      <w:pPr>
        <w:spacing w:after="80" w:line="276"/>
        <w:ind w:left="720" w:hanging="360"/>
      </w:pPr>
      <w:r>
        <w:rPr>
          <w:b/>
          <w:bCs/>
          <w:sz w:val="22"/>
          <w:szCs w:val="22"/>
        </w:rPr>
        <w:t xml:space="preserve">5.  </w:t>
      </w:r>
      <w:r>
        <w:rPr>
          <w:sz w:val="22"/>
          <w:szCs w:val="22"/>
        </w:rPr>
        <w:t xml:space="preserve">Support participants in designating a support person and facilitate accessible visitation.</w:t>
      </w:r>
    </w:p>
    <w:p>
      <w:pPr>
        <w:spacing w:after="80" w:line="276"/>
        <w:ind w:left="720" w:hanging="360"/>
      </w:pPr>
      <w:r>
        <w:rPr>
          <w:b/>
          <w:bCs/>
          <w:sz w:val="22"/>
          <w:szCs w:val="22"/>
        </w:rPr>
        <w:t xml:space="preserve">6.  </w:t>
      </w:r>
      <w:r>
        <w:rPr>
          <w:sz w:val="22"/>
          <w:szCs w:val="22"/>
        </w:rPr>
        <w:t xml:space="preserve">Document visitation policies and any applied limitations.</w:t>
      </w:r>
    </w:p>
    <w:p>
      <w:pPr>
        <w:spacing w:after="80" w:before="160"/>
      </w:pPr>
      <w:r>
        <w:rPr>
          <w:b/>
          <w:bCs/>
          <w:caps/>
          <w:color w:val="1F3864"/>
          <w:sz w:val="22"/>
          <w:szCs w:val="22"/>
        </w:rPr>
        <w:t xml:space="preserve">Related Forms</w:t>
      </w:r>
    </w:p>
    <w:p>
      <w:pPr>
        <w:spacing w:after="120" w:line="276"/>
      </w:pPr>
      <w:r>
        <w:rPr>
          <w:sz w:val="22"/>
          <w:szCs w:val="22"/>
        </w:rPr>
        <w:t xml:space="preserve">Visitation Policy  ·  Support-Person Designation  ·  Visitor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spacing w:after="120" w:before="3000"/>
        <w:jc w:val="center"/>
      </w:pPr>
      <w:r>
        <w:rPr>
          <w:b/>
          <w:bCs/>
          <w:color w:val="1F3864"/>
          <w:sz w:val="30"/>
          <w:szCs w:val="30"/>
        </w:rPr>
        <w:t xml:space="preserve">SECTION 3 — ENVIRONMENTAL POLICIES</w:t>
      </w:r>
    </w:p>
    <w:p>
      <w:pPr>
        <w:spacing w:after="400" w:before="0"/>
        <w:jc w:val="center"/>
      </w:pPr>
      <w:r>
        <w:rPr>
          <w:color w:val="595959"/>
          <w:sz w:val="24"/>
          <w:szCs w:val="24"/>
        </w:rPr>
        <w:t xml:space="preserve">Policies 2.00 – 2.02</w:t>
      </w:r>
    </w:p>
    <w:p>
      <w:pPr>
        <w:spacing w:after="60" w:before="0"/>
        <w:jc w:val="center"/>
      </w:pPr>
      <w:r>
        <w:rPr>
          <w:color w:val="595959"/>
          <w:sz w:val="20"/>
          <w:szCs w:val="20"/>
        </w:rPr>
        <w:t xml:space="preserve">Regulatory basis: 6 CCR 1011-1 Chapter 7, Parts 19, 22, 23, 24; 6 CCR 1009-1 (Communicable Disease);</w:t>
      </w:r>
    </w:p>
    <w:p>
      <w:pPr>
        <w:spacing w:after="60" w:before="0"/>
        <w:jc w:val="center"/>
      </w:pPr>
      <w:r>
        <w:rPr>
          <w:color w:val="595959"/>
          <w:sz w:val="20"/>
          <w:szCs w:val="20"/>
        </w:rPr>
        <w:t xml:space="preserve">6 CCR 1007-2 (Medical Waste) and 6 CCR 1007-3 (Hazardous Waste); SLP, 10 CCR 2505-10 § 8.7550.</w:t>
      </w:r>
    </w:p>
    <w:p>
      <w:r>
        <w:br w:type="page"/>
      </w:r>
    </w:p>
    <w:p>
      <w:pPr>
        <w:pStyle w:val="Heading1"/>
        <w:spacing w:after="40"/>
      </w:pPr>
      <w:r>
        <w:rPr>
          <w:b/>
          <w:bCs/>
          <w:color w:val="1F3864"/>
          <w:sz w:val="28"/>
          <w:szCs w:val="28"/>
        </w:rPr>
        <w:t xml:space="preserve">Policy 2.00 — Infection Control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Infection Control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Environmental</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Part 19 (§§ 19.1–19.4), §§ 9.1(K), 16.8–16.16, 14.28, 7.7(B), 22.3; 6 CCR 1009-1 (Epidemic and Communicable Disease Control);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prevent and control the transmission of infection and communicable disease among participants, staff, and visitors through an evidence-based infection control program — with individualized approaches for participants whose brain injury affects their ability to follow hygiene or isolation measures. Written to comply with 6 CCR 1011-1 Chapter 7, Part 19.</w:t>
      </w:r>
    </w:p>
    <w:p>
      <w:pPr>
        <w:spacing w:after="80" w:before="160"/>
      </w:pPr>
      <w:r>
        <w:rPr>
          <w:b/>
          <w:bCs/>
          <w:caps/>
          <w:color w:val="1F3864"/>
          <w:sz w:val="22"/>
          <w:szCs w:val="22"/>
        </w:rPr>
        <w:t xml:space="preserve">Definitions</w:t>
      </w:r>
    </w:p>
    <w:p>
      <w:pPr>
        <w:spacing w:after="80" w:line="276"/>
      </w:pPr>
      <w:r>
        <w:rPr>
          <w:b/>
          <w:bCs/>
          <w:sz w:val="22"/>
          <w:szCs w:val="22"/>
        </w:rPr>
        <w:t xml:space="preserve">Communicable disease — </w:t>
      </w:r>
      <w:r>
        <w:rPr>
          <w:sz w:val="22"/>
          <w:szCs w:val="22"/>
        </w:rPr>
        <w:t xml:space="preserve">a disease with a significant risk of transmission to other persons, as addressed under 6 CCR 1009-1 (Part 2.14).</w:t>
      </w:r>
    </w:p>
    <w:p>
      <w:pPr>
        <w:spacing w:after="80" w:line="276"/>
      </w:pPr>
      <w:r>
        <w:rPr>
          <w:b/>
          <w:bCs/>
          <w:sz w:val="22"/>
          <w:szCs w:val="22"/>
        </w:rPr>
        <w:t xml:space="preserve">Infectious waste — </w:t>
      </w:r>
      <w:r>
        <w:rPr>
          <w:sz w:val="22"/>
          <w:szCs w:val="22"/>
        </w:rPr>
        <w:t xml:space="preserve">any item containing blood, body fluid, or body waste from a participant with a contagious condition (Part 19.4).</w:t>
      </w:r>
    </w:p>
    <w:p>
      <w:pPr>
        <w:spacing w:after="80" w:line="276"/>
      </w:pPr>
      <w:r>
        <w:rPr>
          <w:b/>
          <w:bCs/>
          <w:sz w:val="22"/>
          <w:szCs w:val="22"/>
        </w:rPr>
        <w:t xml:space="preserve">Standard precautions — </w:t>
      </w:r>
      <w:r>
        <w:rPr>
          <w:sz w:val="22"/>
          <w:szCs w:val="22"/>
        </w:rPr>
        <w:t xml:space="preserve">the minimum infection-prevention practices applied to the care of all participants regardless of suspected infection status.</w:t>
      </w:r>
    </w:p>
    <w:p>
      <w:pPr>
        <w:spacing w:after="80" w:before="160"/>
      </w:pPr>
      <w:r>
        <w:rPr>
          <w:b/>
          <w:bCs/>
          <w:caps/>
          <w:color w:val="1F3864"/>
          <w:sz w:val="22"/>
          <w:szCs w:val="22"/>
        </w:rPr>
        <w:t xml:space="preserve">Policy</w:t>
      </w:r>
    </w:p>
    <w:p>
      <w:pPr>
        <w:spacing w:after="120" w:line="276"/>
      </w:pPr>
      <w:r>
        <w:rPr>
          <w:sz w:val="22"/>
          <w:szCs w:val="22"/>
        </w:rPr>
        <w:t xml:space="preserve">[Facility Name] maintains an infection control program that provides initial and annual staff training on infection prevention and control, covering modes of transmission; the importance of hand washing and proper technique; use of personal protective equipment, including proper use of disposable gloves; and cleaning and disinfection techniques (Part 19.1).</w:t>
      </w:r>
    </w:p>
    <w:p>
      <w:pPr>
        <w:spacing w:after="120" w:line="276"/>
      </w:pPr>
      <w:r>
        <w:rPr>
          <w:sz w:val="22"/>
          <w:szCs w:val="22"/>
        </w:rPr>
        <w:t xml:space="preserve">The residence has and follows written policies and procedures that address the transmission of communicable diseases with significant transmission risk and reporting to the state and/or local health department under 6 CCR 1009-1 (Part 19.2), based on nationally recognized guidelines such as those of the CDC, WHO, and APIC (Part 19.2(A)). The policies include methods for monitoring and encouraging employee wellness; tracking infection patterns and trends and initiating a response; determining when to seek assistance from a medical professional or the local health department; isolation techniques; and appropriate handling of the linens and clothing of participants with communicable infections (Part 19.3).</w:t>
      </w:r>
    </w:p>
    <w:p>
      <w:pPr>
        <w:spacing w:after="120" w:line="276"/>
      </w:pPr>
      <w:r>
        <w:rPr>
          <w:sz w:val="22"/>
          <w:szCs w:val="22"/>
        </w:rPr>
        <w:t xml:space="preserve">Infection control practices extend across the residence: hand hygiene and food-handler hygiene, glove use, and bare-hand-contact rules in food handling (Parts 16.8–16.16); infection control and prevention when preparing and administering medication (Part 14.28); staff work restrictions for communicable illness (Part 7.7(B)); and clearly labeled, secure storage of cleaning compounds and hazardous substances with an available safety data sheet (Part 22.3). Any item containing blood, body fluid, or body waste from a participant with a contagious condition is presumed infectious waste and handled per Part 19.4 and the Waste Disposal and Environmental Policy (2.01).</w:t>
      </w:r>
    </w:p>
    <w:p>
      <w:pPr>
        <w:spacing w:after="120" w:line="276"/>
      </w:pPr>
      <w:r>
        <w:rPr>
          <w:sz w:val="22"/>
          <w:szCs w:val="22"/>
        </w:rPr>
        <w:t xml:space="preserve">Because a brain injury may impair a participant's memory, judgment, or safety awareness, [Facility Name] uses individualized, least-restrictive approaches to support hand hygiene, cough etiquette, and — when necessary — isolation, preserving dignity and routine to the extent safe.</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Provide initial and annual staff training covering the topics required at Part 19.1.</w:t>
      </w:r>
    </w:p>
    <w:p>
      <w:pPr>
        <w:spacing w:after="80" w:line="276"/>
        <w:ind w:left="720" w:hanging="360"/>
      </w:pPr>
      <w:r>
        <w:rPr>
          <w:b/>
          <w:bCs/>
          <w:sz w:val="22"/>
          <w:szCs w:val="22"/>
        </w:rPr>
        <w:t xml:space="preserve">2.  </w:t>
      </w:r>
      <w:r>
        <w:rPr>
          <w:sz w:val="22"/>
          <w:szCs w:val="22"/>
        </w:rPr>
        <w:t xml:space="preserve">Adopt and follow evidence-based infection-control policies based on nationally recognized guidelines (Part 19.2).</w:t>
      </w:r>
    </w:p>
    <w:p>
      <w:pPr>
        <w:spacing w:after="80" w:line="276"/>
        <w:ind w:left="720" w:hanging="360"/>
      </w:pPr>
      <w:r>
        <w:rPr>
          <w:b/>
          <w:bCs/>
          <w:sz w:val="22"/>
          <w:szCs w:val="22"/>
        </w:rPr>
        <w:t xml:space="preserve">3.  </w:t>
      </w:r>
      <w:r>
        <w:rPr>
          <w:sz w:val="22"/>
          <w:szCs w:val="22"/>
        </w:rPr>
        <w:t xml:space="preserve">Monitor employee wellness; track infection patterns and initiate a response; determine when to seek medical or public-health assistance (Part 19.3).</w:t>
      </w:r>
    </w:p>
    <w:p>
      <w:pPr>
        <w:spacing w:after="80" w:line="276"/>
        <w:ind w:left="720" w:hanging="360"/>
      </w:pPr>
      <w:r>
        <w:rPr>
          <w:b/>
          <w:bCs/>
          <w:sz w:val="22"/>
          <w:szCs w:val="22"/>
        </w:rPr>
        <w:t xml:space="preserve">4.  </w:t>
      </w:r>
      <w:r>
        <w:rPr>
          <w:sz w:val="22"/>
          <w:szCs w:val="22"/>
        </w:rPr>
        <w:t xml:space="preserve">Apply isolation techniques and handle linens and clothing of participants with communicable infections appropriately (Part 19.3(D)–(E)).</w:t>
      </w:r>
    </w:p>
    <w:p>
      <w:pPr>
        <w:spacing w:after="80" w:line="276"/>
        <w:ind w:left="720" w:hanging="360"/>
      </w:pPr>
      <w:r>
        <w:rPr>
          <w:b/>
          <w:bCs/>
          <w:sz w:val="22"/>
          <w:szCs w:val="22"/>
        </w:rPr>
        <w:t xml:space="preserve">5.  </w:t>
      </w:r>
      <w:r>
        <w:rPr>
          <w:sz w:val="22"/>
          <w:szCs w:val="22"/>
        </w:rPr>
        <w:t xml:space="preserve">Maintain hand, food-handler, medication, and glove hygiene across the residence (Parts 16.8–16.16, 14.28), and store hazardous substances securely with a safety data sheet available (Part 22.3).</w:t>
      </w:r>
    </w:p>
    <w:p>
      <w:pPr>
        <w:spacing w:after="80" w:line="276"/>
        <w:ind w:left="720" w:hanging="360"/>
      </w:pPr>
      <w:r>
        <w:rPr>
          <w:b/>
          <w:bCs/>
          <w:sz w:val="22"/>
          <w:szCs w:val="22"/>
        </w:rPr>
        <w:t xml:space="preserve">6.  </w:t>
      </w:r>
      <w:r>
        <w:rPr>
          <w:sz w:val="22"/>
          <w:szCs w:val="22"/>
        </w:rPr>
        <w:t xml:space="preserve">Handle infectious waste per Part 19.4 and the Waste Disposal and Environmental Policy (2.01); apply staff work restrictions for communicable illness (Part 7.7(B)).</w:t>
      </w:r>
    </w:p>
    <w:p>
      <w:pPr>
        <w:spacing w:after="80" w:line="276"/>
        <w:ind w:left="720" w:hanging="360"/>
      </w:pPr>
      <w:r>
        <w:rPr>
          <w:b/>
          <w:bCs/>
          <w:sz w:val="22"/>
          <w:szCs w:val="22"/>
        </w:rPr>
        <w:t xml:space="preserve">7.  </w:t>
      </w:r>
      <w:r>
        <w:rPr>
          <w:sz w:val="22"/>
          <w:szCs w:val="22"/>
        </w:rPr>
        <w:t xml:space="preserve">Support participants individually with hygiene and isolation; report communicable diseases under 6 CCR 1009-1; document and review through the Quality Management Program.</w:t>
      </w:r>
    </w:p>
    <w:p>
      <w:pPr>
        <w:spacing w:after="80" w:before="160"/>
      </w:pPr>
      <w:r>
        <w:rPr>
          <w:b/>
          <w:bCs/>
          <w:caps/>
          <w:color w:val="1F3864"/>
          <w:sz w:val="22"/>
          <w:szCs w:val="22"/>
        </w:rPr>
        <w:t xml:space="preserve">Related Forms</w:t>
      </w:r>
    </w:p>
    <w:p>
      <w:pPr>
        <w:spacing w:after="120" w:line="276"/>
      </w:pPr>
      <w:r>
        <w:rPr>
          <w:sz w:val="22"/>
          <w:szCs w:val="22"/>
        </w:rPr>
        <w:t xml:space="preserve">Infection Control Program Plan  ·  Staff Infection-Control Training Record  ·  Infection Tracking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2.01 — Waste Disposal and Environmental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Waste Disposal and Environmental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Environmental</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Part 24 (§§ 24.1–24.4), §§ 2.34, 19.4, 14.44(B), 22.2, 22.3; 6 CCR 1007-2, Part 1, Section 13 (Medical Waste); 6 CCR 1007-3 (Hazardous Waste);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sewage, garbage, medical waste, and hazardous waste are managed and disposed of safely and lawfully — protecting participants (including those whose brain injury affects safety awareness), staff, and the environment. Written to comply with 6 CCR 1011-1 Chapter 7, Part 24.</w:t>
      </w:r>
    </w:p>
    <w:p>
      <w:pPr>
        <w:spacing w:after="80" w:before="160"/>
      </w:pPr>
      <w:r>
        <w:rPr>
          <w:b/>
          <w:bCs/>
          <w:caps/>
          <w:color w:val="1F3864"/>
          <w:sz w:val="22"/>
          <w:szCs w:val="22"/>
        </w:rPr>
        <w:t xml:space="preserve">Definitions</w:t>
      </w:r>
    </w:p>
    <w:p>
      <w:pPr>
        <w:spacing w:after="80" w:line="276"/>
      </w:pPr>
      <w:r>
        <w:rPr>
          <w:b/>
          <w:bCs/>
          <w:sz w:val="22"/>
          <w:szCs w:val="22"/>
        </w:rPr>
        <w:t xml:space="preserve">Medical waste — </w:t>
      </w:r>
      <w:r>
        <w:rPr>
          <w:sz w:val="22"/>
          <w:szCs w:val="22"/>
        </w:rPr>
        <w:t xml:space="preserve">waste that may contain disease-causing organisms or chemicals presenting potential health hazards, such as discarded surgical gloves, sharps, blood, human tissue, prescription or over-the-counter pharmaceutical waste, and laboratory waste (Part 2.34).</w:t>
      </w:r>
    </w:p>
    <w:p>
      <w:pPr>
        <w:spacing w:after="80" w:line="276"/>
      </w:pPr>
      <w:r>
        <w:rPr>
          <w:b/>
          <w:bCs/>
          <w:sz w:val="22"/>
          <w:szCs w:val="22"/>
        </w:rPr>
        <w:t xml:space="preserve">Infectious waste — </w:t>
      </w:r>
      <w:r>
        <w:rPr>
          <w:sz w:val="22"/>
          <w:szCs w:val="22"/>
        </w:rPr>
        <w:t xml:space="preserve">any item containing blood, body fluid, or body waste from a participant with a contagious condition (Part 19.4).</w:t>
      </w:r>
    </w:p>
    <w:p>
      <w:pPr>
        <w:spacing w:after="80" w:line="276"/>
      </w:pPr>
      <w:r>
        <w:rPr>
          <w:b/>
          <w:bCs/>
          <w:sz w:val="22"/>
          <w:szCs w:val="22"/>
        </w:rPr>
        <w:t xml:space="preserve">Hazardous waste — </w:t>
      </w:r>
      <w:r>
        <w:rPr>
          <w:sz w:val="22"/>
          <w:szCs w:val="22"/>
        </w:rPr>
        <w:t xml:space="preserve">waste requiring management under Part 261 of the state hazardous-waste regulations at 6 CCR 1007-3.</w:t>
      </w:r>
    </w:p>
    <w:p>
      <w:pPr>
        <w:spacing w:after="80" w:before="160"/>
      </w:pPr>
      <w:r>
        <w:rPr>
          <w:b/>
          <w:bCs/>
          <w:caps/>
          <w:color w:val="1F3864"/>
          <w:sz w:val="22"/>
          <w:szCs w:val="22"/>
        </w:rPr>
        <w:t xml:space="preserve">Policy</w:t>
      </w:r>
    </w:p>
    <w:p>
      <w:pPr>
        <w:spacing w:after="120" w:line="276"/>
      </w:pPr>
      <w:r>
        <w:rPr>
          <w:sz w:val="22"/>
          <w:szCs w:val="22"/>
        </w:rPr>
        <w:t xml:space="preserve">Sewage is discharged into a public sewer system or, where unavailable, disposed of in a manner approved by the state and local health authorities and the Colorado Water Quality Control Commission; where a private sewage system is used, maintenance records and system design plans are kept on the premises, and no unprotected exposed sewer line is located directly above working, storage, or eating surfaces in food-service or medical-supply areas (Part 24.1).</w:t>
      </w:r>
    </w:p>
    <w:p>
      <w:pPr>
        <w:spacing w:after="120" w:line="276"/>
      </w:pPr>
      <w:r>
        <w:rPr>
          <w:sz w:val="22"/>
          <w:szCs w:val="22"/>
        </w:rPr>
        <w:t xml:space="preserve">The residence does not transport, manage, or dispose of medical waste except in accordance with 6 CCR 1007-2, Part 1, Section 13, Medical Waste (Part 24.2). The residence makes a hazardous-waste determination under Part 261 of 6 CCR 1007-3 and, if it generates hazardous waste, manages, transports, and disposes of it in accordance with 6 CCR 1007-3 (Part 24.3).</w:t>
      </w:r>
    </w:p>
    <w:p>
      <w:pPr>
        <w:spacing w:after="120" w:line="276"/>
      </w:pPr>
      <w:r>
        <w:rPr>
          <w:sz w:val="22"/>
          <w:szCs w:val="22"/>
        </w:rPr>
        <w:t xml:space="preserve">All garbage and rubbish not disposed of as sewage is collected in impervious containers so as not to become a nuisance or health hazard and is removed to an outside storage area at least once a day; the refuse storage area is kept clean and free from nuisance (Part 24.4).</w:t>
      </w:r>
    </w:p>
    <w:p>
      <w:pPr>
        <w:spacing w:after="120" w:line="276"/>
      </w:pPr>
      <w:r>
        <w:rPr>
          <w:sz w:val="22"/>
          <w:szCs w:val="22"/>
        </w:rPr>
        <w:t xml:space="preserve">Infectious waste is bagged in the room where it is used, re-bagged outside the room, and disposed of consistent with the medical-waste requirements of Parts 24.2–24.3 (Part 19.4). Medications designated for destruction are disposed of in compliance with Parts 24.2–24.3 (Part 14.44(B)). Combustibles such as cleaning rags and compounds are kept in closed metal containers (Part 22.2), and cleaning compounds and other hazardous substances are clearly labeled and stored in a location sufficiently secure to deny access to confused participants except when a staff member is present, with utility rooms storing disinfectants and concentrates kept locked and a safety data sheet available (Part 22.3).</w:t>
      </w:r>
    </w:p>
    <w:p>
      <w:pPr>
        <w:spacing w:after="120" w:line="276"/>
      </w:pPr>
      <w:r>
        <w:rPr>
          <w:sz w:val="22"/>
          <w:szCs w:val="22"/>
        </w:rPr>
        <w:t xml:space="preserve">Because a brain injury may impair a participant's judgment or safety awareness, [Facility Name] stores waste, chemicals, and hazardous substances so they are inaccessible to participants who could be harmed.</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Discharge sewage to a public sewer or an approved alternative; keep private-system records and plans on site (Part 24.1).</w:t>
      </w:r>
    </w:p>
    <w:p>
      <w:pPr>
        <w:spacing w:after="80" w:line="276"/>
        <w:ind w:left="720" w:hanging="360"/>
      </w:pPr>
      <w:r>
        <w:rPr>
          <w:b/>
          <w:bCs/>
          <w:sz w:val="22"/>
          <w:szCs w:val="22"/>
        </w:rPr>
        <w:t xml:space="preserve">2.  </w:t>
      </w:r>
      <w:r>
        <w:rPr>
          <w:sz w:val="22"/>
          <w:szCs w:val="22"/>
        </w:rPr>
        <w:t xml:space="preserve">Manage, transport, and dispose of medical waste only under 6 CCR 1007-2, Part 1, Section 13 (Part 24.2).</w:t>
      </w:r>
    </w:p>
    <w:p>
      <w:pPr>
        <w:spacing w:after="80" w:line="276"/>
        <w:ind w:left="720" w:hanging="360"/>
      </w:pPr>
      <w:r>
        <w:rPr>
          <w:b/>
          <w:bCs/>
          <w:sz w:val="22"/>
          <w:szCs w:val="22"/>
        </w:rPr>
        <w:t xml:space="preserve">3.  </w:t>
      </w:r>
      <w:r>
        <w:rPr>
          <w:sz w:val="22"/>
          <w:szCs w:val="22"/>
        </w:rPr>
        <w:t xml:space="preserve">Make a hazardous-waste determination under 6 CCR 1007-3 and manage any hazardous waste accordingly (Part 24.3).</w:t>
      </w:r>
    </w:p>
    <w:p>
      <w:pPr>
        <w:spacing w:after="80" w:line="276"/>
        <w:ind w:left="720" w:hanging="360"/>
      </w:pPr>
      <w:r>
        <w:rPr>
          <w:b/>
          <w:bCs/>
          <w:sz w:val="22"/>
          <w:szCs w:val="22"/>
        </w:rPr>
        <w:t xml:space="preserve">4.  </w:t>
      </w:r>
      <w:r>
        <w:rPr>
          <w:sz w:val="22"/>
          <w:szCs w:val="22"/>
        </w:rPr>
        <w:t xml:space="preserve">Collect garbage and rubbish in impervious containers and remove to a clean outside storage area at least once a day (Part 24.4).</w:t>
      </w:r>
    </w:p>
    <w:p>
      <w:pPr>
        <w:spacing w:after="80" w:line="276"/>
        <w:ind w:left="720" w:hanging="360"/>
      </w:pPr>
      <w:r>
        <w:rPr>
          <w:b/>
          <w:bCs/>
          <w:sz w:val="22"/>
          <w:szCs w:val="22"/>
        </w:rPr>
        <w:t xml:space="preserve">5.  </w:t>
      </w:r>
      <w:r>
        <w:rPr>
          <w:sz w:val="22"/>
          <w:szCs w:val="22"/>
        </w:rPr>
        <w:t xml:space="preserve">Handle infectious waste (Part 19.4) and medication-destruction waste (Part 14.44(B)) per the medical-waste rules; keep combustibles in closed metal containers (Part 22.2).</w:t>
      </w:r>
    </w:p>
    <w:p>
      <w:pPr>
        <w:spacing w:after="80" w:line="276"/>
        <w:ind w:left="720" w:hanging="360"/>
      </w:pPr>
      <w:r>
        <w:rPr>
          <w:b/>
          <w:bCs/>
          <w:sz w:val="22"/>
          <w:szCs w:val="22"/>
        </w:rPr>
        <w:t xml:space="preserve">6.  </w:t>
      </w:r>
      <w:r>
        <w:rPr>
          <w:sz w:val="22"/>
          <w:szCs w:val="22"/>
        </w:rPr>
        <w:t xml:space="preserve">Label and lock hazardous substances with a safety data sheet available, storing them out of reach of participants who could be harmed (Part 22.3).</w:t>
      </w:r>
    </w:p>
    <w:p>
      <w:pPr>
        <w:spacing w:after="80" w:line="276"/>
        <w:ind w:left="720" w:hanging="360"/>
      </w:pPr>
      <w:r>
        <w:rPr>
          <w:b/>
          <w:bCs/>
          <w:sz w:val="22"/>
          <w:szCs w:val="22"/>
        </w:rPr>
        <w:t xml:space="preserve">7.  </w:t>
      </w:r>
      <w:r>
        <w:rPr>
          <w:sz w:val="22"/>
          <w:szCs w:val="22"/>
        </w:rPr>
        <w:t xml:space="preserve">Document waste practices and review through the Quality Management Program.</w:t>
      </w:r>
    </w:p>
    <w:p>
      <w:pPr>
        <w:spacing w:after="80" w:before="160"/>
      </w:pPr>
      <w:r>
        <w:rPr>
          <w:b/>
          <w:bCs/>
          <w:caps/>
          <w:color w:val="1F3864"/>
          <w:sz w:val="22"/>
          <w:szCs w:val="22"/>
        </w:rPr>
        <w:t xml:space="preserve">Related Forms</w:t>
      </w:r>
    </w:p>
    <w:p>
      <w:pPr>
        <w:spacing w:after="120" w:line="276"/>
      </w:pPr>
      <w:r>
        <w:rPr>
          <w:sz w:val="22"/>
          <w:szCs w:val="22"/>
        </w:rPr>
        <w:t xml:space="preserve">Waste Management Plan  ·  Hazardous-Waste Determination Record  ·  Safety Data Sheet (SDS) Binder Index</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2.02 — Pest Control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Pest Control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Environmental</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Part 23 (§§ 23.1–23.3), § 9.1(P);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provide effective, safe control and eradication of pests while protecting participants — including those whose brain injury affects safety awareness — from exposure to pesticides. Written to comply with 6 CCR 1011-1 Chapter 7, Part 23.</w:t>
      </w:r>
    </w:p>
    <w:p>
      <w:pPr>
        <w:spacing w:after="80" w:before="160"/>
      </w:pPr>
      <w:r>
        <w:rPr>
          <w:b/>
          <w:bCs/>
          <w:caps/>
          <w:color w:val="1F3864"/>
          <w:sz w:val="22"/>
          <w:szCs w:val="22"/>
        </w:rPr>
        <w:t xml:space="preserve">Definitions</w:t>
      </w:r>
    </w:p>
    <w:p>
      <w:pPr>
        <w:spacing w:after="80" w:line="276"/>
      </w:pPr>
      <w:r>
        <w:rPr>
          <w:b/>
          <w:bCs/>
          <w:sz w:val="22"/>
          <w:szCs w:val="22"/>
        </w:rPr>
        <w:t xml:space="preserve">Pest — </w:t>
      </w:r>
      <w:r>
        <w:rPr>
          <w:sz w:val="22"/>
          <w:szCs w:val="22"/>
        </w:rPr>
        <w:t xml:space="preserve">insects, rodents, and other pests requiring control and eradication (Part 23.1).</w:t>
      </w:r>
    </w:p>
    <w:p>
      <w:pPr>
        <w:spacing w:after="80" w:line="276"/>
      </w:pPr>
      <w:r>
        <w:rPr>
          <w:b/>
          <w:bCs/>
          <w:sz w:val="22"/>
          <w:szCs w:val="22"/>
        </w:rPr>
        <w:t xml:space="preserve">Least-toxic approach — </w:t>
      </w:r>
      <w:r>
        <w:rPr>
          <w:sz w:val="22"/>
          <w:szCs w:val="22"/>
        </w:rPr>
        <w:t xml:space="preserve">the use of the least toxic and least flammable effective pesticides (Part 23.2).</w:t>
      </w:r>
    </w:p>
    <w:p>
      <w:pPr>
        <w:spacing w:after="80" w:before="160"/>
      </w:pPr>
      <w:r>
        <w:rPr>
          <w:b/>
          <w:bCs/>
          <w:caps/>
          <w:color w:val="1F3864"/>
          <w:sz w:val="22"/>
          <w:szCs w:val="22"/>
        </w:rPr>
        <w:t xml:space="preserve">Policy</w:t>
      </w:r>
    </w:p>
    <w:p>
      <w:pPr>
        <w:spacing w:after="120" w:line="276"/>
      </w:pPr>
      <w:r>
        <w:rPr>
          <w:sz w:val="22"/>
          <w:szCs w:val="22"/>
        </w:rPr>
        <w:t xml:space="preserve">[Facility Name] maintains written policies and procedures that provide for the effective control and eradication of insects, rodents, and other pests (Part 23.1).</w:t>
      </w:r>
    </w:p>
    <w:p>
      <w:pPr>
        <w:spacing w:after="120" w:line="276"/>
      </w:pPr>
      <w:r>
        <w:rPr>
          <w:sz w:val="22"/>
          <w:szCs w:val="22"/>
        </w:rPr>
        <w:t xml:space="preserve">The residence has a contract with a licensed pest control company, or an effective means for pest control, using the least toxic and least flammable effective pesticides. Pesticides are not stored in participant or food areas, are kept under lock, and are applied only by properly trained, responsible personnel (Part 23.2).</w:t>
      </w:r>
    </w:p>
    <w:p>
      <w:pPr>
        <w:spacing w:after="120" w:line="276"/>
      </w:pPr>
      <w:r>
        <w:rPr>
          <w:sz w:val="22"/>
          <w:szCs w:val="22"/>
        </w:rPr>
        <w:t xml:space="preserve">Screens or other pest control measures are provided on all exterior openings except where prohibited by fire regulations, and doors, door screens, and window screens fit with sufficient tightness at their perimeters to exclude pests (Part 23.3).</w:t>
      </w:r>
    </w:p>
    <w:p>
      <w:pPr>
        <w:spacing w:after="120" w:line="276"/>
      </w:pPr>
      <w:r>
        <w:rPr>
          <w:sz w:val="22"/>
          <w:szCs w:val="22"/>
        </w:rPr>
        <w:t xml:space="preserve">Because a brain injury may impair a participant's judgment or safety awareness, [Facility Name] stores and applies pesticides so they are inaccessible to participants, and schedules and communicates treatments to minimize disruption for participants who are sensitive to changes in routine.</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Maintain written pest-control policies and procedures (Part 23.1).</w:t>
      </w:r>
    </w:p>
    <w:p>
      <w:pPr>
        <w:spacing w:after="80" w:line="276"/>
        <w:ind w:left="720" w:hanging="360"/>
      </w:pPr>
      <w:r>
        <w:rPr>
          <w:b/>
          <w:bCs/>
          <w:sz w:val="22"/>
          <w:szCs w:val="22"/>
        </w:rPr>
        <w:t xml:space="preserve">2.  </w:t>
      </w:r>
      <w:r>
        <w:rPr>
          <w:sz w:val="22"/>
          <w:szCs w:val="22"/>
        </w:rPr>
        <w:t xml:space="preserve">Contract with a licensed pest control company or use an effective means with the least toxic, least flammable pesticides (Part 23.2).</w:t>
      </w:r>
    </w:p>
    <w:p>
      <w:pPr>
        <w:spacing w:after="80" w:line="276"/>
        <w:ind w:left="720" w:hanging="360"/>
      </w:pPr>
      <w:r>
        <w:rPr>
          <w:b/>
          <w:bCs/>
          <w:sz w:val="22"/>
          <w:szCs w:val="22"/>
        </w:rPr>
        <w:t xml:space="preserve">3.  </w:t>
      </w:r>
      <w:r>
        <w:rPr>
          <w:sz w:val="22"/>
          <w:szCs w:val="22"/>
        </w:rPr>
        <w:t xml:space="preserve">Store pesticides locked and away from participant and food areas; allow application only by properly trained personnel (Part 23.2).</w:t>
      </w:r>
    </w:p>
    <w:p>
      <w:pPr>
        <w:spacing w:after="80" w:line="276"/>
        <w:ind w:left="720" w:hanging="360"/>
      </w:pPr>
      <w:r>
        <w:rPr>
          <w:b/>
          <w:bCs/>
          <w:sz w:val="22"/>
          <w:szCs w:val="22"/>
        </w:rPr>
        <w:t xml:space="preserve">4.  </w:t>
      </w:r>
      <w:r>
        <w:rPr>
          <w:sz w:val="22"/>
          <w:szCs w:val="22"/>
        </w:rPr>
        <w:t xml:space="preserve">Provide screens or other measures on exterior openings and ensure tight-fitting doors and screens (Part 23.3).</w:t>
      </w:r>
    </w:p>
    <w:p>
      <w:pPr>
        <w:spacing w:after="80" w:line="276"/>
        <w:ind w:left="720" w:hanging="360"/>
      </w:pPr>
      <w:r>
        <w:rPr>
          <w:b/>
          <w:bCs/>
          <w:sz w:val="22"/>
          <w:szCs w:val="22"/>
        </w:rPr>
        <w:t xml:space="preserve">5.  </w:t>
      </w:r>
      <w:r>
        <w:rPr>
          <w:sz w:val="22"/>
          <w:szCs w:val="22"/>
        </w:rPr>
        <w:t xml:space="preserve">Schedule and communicate treatments to minimize participant disruption.</w:t>
      </w:r>
    </w:p>
    <w:p>
      <w:pPr>
        <w:spacing w:after="80" w:line="276"/>
        <w:ind w:left="720" w:hanging="360"/>
      </w:pPr>
      <w:r>
        <w:rPr>
          <w:b/>
          <w:bCs/>
          <w:sz w:val="22"/>
          <w:szCs w:val="22"/>
        </w:rPr>
        <w:t xml:space="preserve">6.  </w:t>
      </w:r>
      <w:r>
        <w:rPr>
          <w:sz w:val="22"/>
          <w:szCs w:val="22"/>
        </w:rPr>
        <w:t xml:space="preserve">Document pest-control activities and treatments.</w:t>
      </w:r>
    </w:p>
    <w:p>
      <w:pPr>
        <w:spacing w:after="80" w:before="160"/>
      </w:pPr>
      <w:r>
        <w:rPr>
          <w:b/>
          <w:bCs/>
          <w:caps/>
          <w:color w:val="1F3864"/>
          <w:sz w:val="22"/>
          <w:szCs w:val="22"/>
        </w:rPr>
        <w:t xml:space="preserve">Related Forms</w:t>
      </w:r>
    </w:p>
    <w:p>
      <w:pPr>
        <w:spacing w:after="120" w:line="276"/>
      </w:pPr>
      <w:r>
        <w:rPr>
          <w:sz w:val="22"/>
          <w:szCs w:val="22"/>
        </w:rPr>
        <w:t xml:space="preserve">Pest Control Plan/Contract  ·  Pesticide Application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spacing w:after="120" w:before="3000"/>
        <w:jc w:val="center"/>
      </w:pPr>
      <w:r>
        <w:rPr>
          <w:b/>
          <w:bCs/>
          <w:color w:val="1F3864"/>
          <w:sz w:val="30"/>
          <w:szCs w:val="30"/>
        </w:rPr>
        <w:t xml:space="preserve">SECTION 4 — HEALTH POLICIES</w:t>
      </w:r>
    </w:p>
    <w:p>
      <w:pPr>
        <w:spacing w:after="400" w:before="0"/>
        <w:jc w:val="center"/>
      </w:pPr>
      <w:r>
        <w:rPr>
          <w:color w:val="595959"/>
          <w:sz w:val="24"/>
          <w:szCs w:val="24"/>
        </w:rPr>
        <w:t xml:space="preserve">Policies 3.01 – 3.11</w:t>
      </w:r>
    </w:p>
    <w:p>
      <w:pPr>
        <w:spacing w:after="60" w:before="0"/>
        <w:jc w:val="center"/>
      </w:pPr>
      <w:r>
        <w:rPr>
          <w:color w:val="595959"/>
          <w:sz w:val="20"/>
          <w:szCs w:val="20"/>
        </w:rPr>
        <w:t xml:space="preserve">Regulatory basis: 6 CCR 1011-1 Chapter 7, Parts 5, 8, 11, 12, 13, 16, 17, 25;</w:t>
      </w:r>
    </w:p>
    <w:p>
      <w:pPr>
        <w:spacing w:after="60" w:before="0"/>
        <w:jc w:val="center"/>
      </w:pPr>
      <w:r>
        <w:rPr>
          <w:color w:val="595959"/>
          <w:sz w:val="20"/>
          <w:szCs w:val="20"/>
        </w:rPr>
        <w:t xml:space="preserve">HCBS Brain Injury Waiver / SLP, 10 CCR 2505-10 § 8.7000 series (§§ 8.7550, 8.7100).</w:t>
      </w:r>
    </w:p>
    <w:p>
      <w:r>
        <w:br w:type="page"/>
      </w:r>
    </w:p>
    <w:p>
      <w:pPr>
        <w:pStyle w:val="Heading1"/>
        <w:spacing w:after="40"/>
      </w:pPr>
      <w:r>
        <w:rPr>
          <w:b/>
          <w:bCs/>
          <w:color w:val="1F3864"/>
          <w:sz w:val="28"/>
          <w:szCs w:val="28"/>
        </w:rPr>
        <w:t xml:space="preserve">Policy 3.01 — Physician Assessments / Change of Condition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Physician Assessments / Change of Condition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Health</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12.5, 12.12, 11.11, 18.8(D), 12.2–12.4;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timely practitioner assessment when a participant's condition changes, and to define staff responsibilities for recognizing, responding to, and documenting a change from baseline — with attention to the neurological, cognitive, and behavioral changes common after brain injury. Written to comply with 6 CCR 1011-1 Chapter 7, Part 12.5.</w:t>
      </w:r>
    </w:p>
    <w:p>
      <w:pPr>
        <w:spacing w:after="80" w:before="160"/>
      </w:pPr>
      <w:r>
        <w:rPr>
          <w:b/>
          <w:bCs/>
          <w:caps/>
          <w:color w:val="1F3864"/>
          <w:sz w:val="22"/>
          <w:szCs w:val="22"/>
        </w:rPr>
        <w:t xml:space="preserve">Definitions</w:t>
      </w:r>
    </w:p>
    <w:p>
      <w:pPr>
        <w:spacing w:after="80" w:line="276"/>
      </w:pPr>
      <w:r>
        <w:rPr>
          <w:b/>
          <w:bCs/>
          <w:sz w:val="22"/>
          <w:szCs w:val="22"/>
        </w:rPr>
        <w:t xml:space="preserve">Change from baseline — </w:t>
      </w:r>
      <w:r>
        <w:rPr>
          <w:sz w:val="22"/>
          <w:szCs w:val="22"/>
        </w:rPr>
        <w:t xml:space="preserve">a meaningful change in a participant's physical, cognitive, behavioral, or functional status from the participant's usual condition.</w:t>
      </w:r>
    </w:p>
    <w:p>
      <w:pPr>
        <w:spacing w:after="80" w:line="276"/>
      </w:pPr>
      <w:r>
        <w:rPr>
          <w:b/>
          <w:bCs/>
          <w:sz w:val="22"/>
          <w:szCs w:val="22"/>
        </w:rPr>
        <w:t xml:space="preserve">Practitioner — </w:t>
      </w:r>
      <w:r>
        <w:rPr>
          <w:sz w:val="22"/>
          <w:szCs w:val="22"/>
        </w:rPr>
        <w:t xml:space="preserve">a physician, physician assistant, or advanced practice nurse with a current, unrestricted license acting within scope (Part 2.49).</w:t>
      </w:r>
    </w:p>
    <w:p>
      <w:pPr>
        <w:spacing w:after="80" w:before="160"/>
      </w:pPr>
      <w:r>
        <w:rPr>
          <w:b/>
          <w:bCs/>
          <w:caps/>
          <w:color w:val="1F3864"/>
          <w:sz w:val="22"/>
          <w:szCs w:val="22"/>
        </w:rPr>
        <w:t xml:space="preserve">Policy</w:t>
      </w:r>
    </w:p>
    <w:p>
      <w:pPr>
        <w:spacing w:after="120" w:line="276"/>
      </w:pPr>
      <w:r>
        <w:rPr>
          <w:sz w:val="22"/>
          <w:szCs w:val="22"/>
        </w:rPr>
        <w:t xml:space="preserve">[Facility Name] maintains a policy and procedure regarding when a practitioner's assessment of a participant is appropriate. At minimum, the residence contacts the participant's primary practitioner and follows the practitioner's recommendation when the participant experiences a significant change from baseline status; has physical signs of possible infection (such as open sores); sustains an injury or accident; has known exposure to a communicable disease; or develops any condition that would have initially precluded admission (Part 12.5).</w:t>
      </w:r>
    </w:p>
    <w:p>
      <w:pPr>
        <w:spacing w:after="120" w:line="276"/>
      </w:pPr>
      <w:r>
        <w:rPr>
          <w:sz w:val="22"/>
          <w:szCs w:val="22"/>
        </w:rPr>
        <w:t xml:space="preserve">The residence notifies the participant's representative whenever the participant experiences a significant change from baseline (Part 12.12), and documents the change and the action taken in progress notes before the end of shift (Part 18.8(D)). Where a change results in a need for care the residence cannot provide, the discharge criteria in Part 11.11 apply.</w:t>
      </w:r>
    </w:p>
    <w:p>
      <w:pPr>
        <w:spacing w:after="120" w:line="276"/>
      </w:pPr>
      <w:r>
        <w:rPr>
          <w:sz w:val="22"/>
          <w:szCs w:val="22"/>
        </w:rPr>
        <w:t xml:space="preserve">Nurses may provide nursing services to support personal services, and other trained, competency-evaluated staff may assist under nurse supervision, provided the care does not rise to a level requiring discharge or regular 24-hour medical or nursing care (Part 12.2); certain occasionally required services may be provided only by an external service provider or the residence's nurse (Parts 12.3–12.4).</w:t>
      </w:r>
    </w:p>
    <w:p>
      <w:pPr>
        <w:spacing w:after="120" w:line="276"/>
      </w:pPr>
      <w:r>
        <w:rPr>
          <w:sz w:val="22"/>
          <w:szCs w:val="22"/>
        </w:rPr>
        <w:t xml:space="preserve">Because brain injury can produce subtle or fluctuating changes in cognition, behavior, seizure activity, or neurological status, [Facility Name] trains staff to recognize brain-injury-specific changes from baseline and to escalate promptly.</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Define the change-of-condition triggers that require practitioner contact (Part 12.5).</w:t>
      </w:r>
    </w:p>
    <w:p>
      <w:pPr>
        <w:spacing w:after="80" w:line="276"/>
        <w:ind w:left="720" w:hanging="360"/>
      </w:pPr>
      <w:r>
        <w:rPr>
          <w:b/>
          <w:bCs/>
          <w:sz w:val="22"/>
          <w:szCs w:val="22"/>
        </w:rPr>
        <w:t xml:space="preserve">2.  </w:t>
      </w:r>
      <w:r>
        <w:rPr>
          <w:sz w:val="22"/>
          <w:szCs w:val="22"/>
        </w:rPr>
        <w:t xml:space="preserve">Train staff to recognize brain-injury-specific changes from baseline (cognitive, behavioral, seizure, neurological).</w:t>
      </w:r>
    </w:p>
    <w:p>
      <w:pPr>
        <w:spacing w:after="80" w:line="276"/>
        <w:ind w:left="720" w:hanging="360"/>
      </w:pPr>
      <w:r>
        <w:rPr>
          <w:b/>
          <w:bCs/>
          <w:sz w:val="22"/>
          <w:szCs w:val="22"/>
        </w:rPr>
        <w:t xml:space="preserve">3.  </w:t>
      </w:r>
      <w:r>
        <w:rPr>
          <w:sz w:val="22"/>
          <w:szCs w:val="22"/>
        </w:rPr>
        <w:t xml:space="preserve">Contact the participant's practitioner and follow the recommendation when a trigger occurs (Part 12.5).</w:t>
      </w:r>
    </w:p>
    <w:p>
      <w:pPr>
        <w:spacing w:after="80" w:line="276"/>
        <w:ind w:left="720" w:hanging="360"/>
      </w:pPr>
      <w:r>
        <w:rPr>
          <w:b/>
          <w:bCs/>
          <w:sz w:val="22"/>
          <w:szCs w:val="22"/>
        </w:rPr>
        <w:t xml:space="preserve">4.  </w:t>
      </w:r>
      <w:r>
        <w:rPr>
          <w:sz w:val="22"/>
          <w:szCs w:val="22"/>
        </w:rPr>
        <w:t xml:space="preserve">Notify the participant's representative of any significant change from baseline (Part 12.12).</w:t>
      </w:r>
    </w:p>
    <w:p>
      <w:pPr>
        <w:spacing w:after="80" w:line="276"/>
        <w:ind w:left="720" w:hanging="360"/>
      </w:pPr>
      <w:r>
        <w:rPr>
          <w:b/>
          <w:bCs/>
          <w:sz w:val="22"/>
          <w:szCs w:val="22"/>
        </w:rPr>
        <w:t xml:space="preserve">5.  </w:t>
      </w:r>
      <w:r>
        <w:rPr>
          <w:sz w:val="22"/>
          <w:szCs w:val="22"/>
        </w:rPr>
        <w:t xml:space="preserve">Document the change and the action taken in progress notes before the end of shift (Part 18.8(D)).</w:t>
      </w:r>
    </w:p>
    <w:p>
      <w:pPr>
        <w:spacing w:after="80" w:line="276"/>
        <w:ind w:left="720" w:hanging="360"/>
      </w:pPr>
      <w:r>
        <w:rPr>
          <w:b/>
          <w:bCs/>
          <w:sz w:val="22"/>
          <w:szCs w:val="22"/>
        </w:rPr>
        <w:t xml:space="preserve">6.  </w:t>
      </w:r>
      <w:r>
        <w:rPr>
          <w:sz w:val="22"/>
          <w:szCs w:val="22"/>
        </w:rPr>
        <w:t xml:space="preserve">Apply discharge criteria where care needs exceed what the residence can provide (Part 11.11), and coordinate with the Case Management Agency.</w:t>
      </w:r>
    </w:p>
    <w:p>
      <w:pPr>
        <w:spacing w:after="80" w:before="160"/>
      </w:pPr>
      <w:r>
        <w:rPr>
          <w:b/>
          <w:bCs/>
          <w:caps/>
          <w:color w:val="1F3864"/>
          <w:sz w:val="22"/>
          <w:szCs w:val="22"/>
        </w:rPr>
        <w:t xml:space="preserve">Related Forms</w:t>
      </w:r>
    </w:p>
    <w:p>
      <w:pPr>
        <w:spacing w:after="120" w:line="276"/>
      </w:pPr>
      <w:r>
        <w:rPr>
          <w:sz w:val="22"/>
          <w:szCs w:val="22"/>
        </w:rPr>
        <w:t xml:space="preserve">Change of Condition Report  ·  Practitioner Notification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3.02 — Hospice and Palliative Care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Hospice and Palliative Care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Health</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8.13, 8.14, 2.29, 2.42, 9.1(T); 6 CCR 1011-1 Chapter 21 (Hospices);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participants receiving hospice or palliative care do so under a proper written agreement, with coordinated, dignified, person-centered care. Written to comply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Hospice care — </w:t>
      </w:r>
      <w:r>
        <w:rPr>
          <w:sz w:val="22"/>
          <w:szCs w:val="22"/>
        </w:rPr>
        <w:t xml:space="preserve">a comprehensive set of services for the physical, psychosocial, spiritual, and emotional needs of a terminally ill participant, available 24 hours a day, seven days a week per 6 CCR 1011-1, Chapter 21 (Part 2.29).</w:t>
      </w:r>
    </w:p>
    <w:p>
      <w:pPr>
        <w:spacing w:after="80" w:line="276"/>
      </w:pPr>
      <w:r>
        <w:rPr>
          <w:b/>
          <w:bCs/>
          <w:sz w:val="22"/>
          <w:szCs w:val="22"/>
        </w:rPr>
        <w:t xml:space="preserve">Palliative care — </w:t>
      </w:r>
      <w:r>
        <w:rPr>
          <w:sz w:val="22"/>
          <w:szCs w:val="22"/>
        </w:rPr>
        <w:t xml:space="preserve">specialized care focused on relief from the symptoms, pain, and stress of a serious illness, appropriate at any age or stage and provided alongside curative treatment (Part 2.42).</w:t>
      </w:r>
    </w:p>
    <w:p>
      <w:pPr>
        <w:spacing w:after="80" w:before="160"/>
      </w:pPr>
      <w:r>
        <w:rPr>
          <w:b/>
          <w:bCs/>
          <w:caps/>
          <w:color w:val="1F3864"/>
          <w:sz w:val="22"/>
          <w:szCs w:val="22"/>
        </w:rPr>
        <w:t xml:space="preserve">Policy</w:t>
      </w:r>
    </w:p>
    <w:p>
      <w:pPr>
        <w:spacing w:after="120" w:line="276"/>
      </w:pPr>
      <w:r>
        <w:rPr>
          <w:sz w:val="22"/>
          <w:szCs w:val="22"/>
        </w:rPr>
        <w:t xml:space="preserve">When licensed hospice care is provided in the residence, there is a written agreement signed by authorized representatives of the hospice and the residence before care begins. The agreement addresses how the residence and hospice coordinate and communicate; when the residence must immediately notify the hospice (a significant change in status, a need to transfer, or the participant's death); the hospice's responsibility for determining the appropriate course and level of hospice care; and the residence's responsibility to provide 24-hour room and board and the other services required by Chapter 7 (Part 8.13).</w:t>
      </w:r>
    </w:p>
    <w:p>
      <w:pPr>
        <w:spacing w:after="120" w:line="276"/>
      </w:pPr>
      <w:r>
        <w:rPr>
          <w:sz w:val="22"/>
          <w:szCs w:val="22"/>
        </w:rPr>
        <w:t xml:space="preserve">If a hospice provider fails to provide necessary services, the residence follows Part 12.5 regarding a significant change from baseline and requests a practitioner assessment (Part 8.14). The residence provides palliative care in accordance with 6 CCR 1011-1, Chapter 2, Part 4.3, as applicable (Part 9.1(T)).</w:t>
      </w:r>
    </w:p>
    <w:p>
      <w:pPr>
        <w:spacing w:after="120" w:line="276"/>
      </w:pPr>
      <w:r>
        <w:rPr>
          <w:sz w:val="22"/>
          <w:szCs w:val="22"/>
        </w:rPr>
        <w:t xml:space="preserve">Because participants with brain injury may have complex communication and behavioral needs at end of life, [Facility Name] coordinates closely with the hospice and the practitioner to honor each participant's dignity, comfort, and person-centered preferences.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Execute a written hospice agreement, signed by both parties, before hospice care begins (Part 8.13).</w:t>
      </w:r>
    </w:p>
    <w:p>
      <w:pPr>
        <w:spacing w:after="80" w:line="276"/>
        <w:ind w:left="720" w:hanging="360"/>
      </w:pPr>
      <w:r>
        <w:rPr>
          <w:b/>
          <w:bCs/>
          <w:sz w:val="22"/>
          <w:szCs w:val="22"/>
        </w:rPr>
        <w:t xml:space="preserve">2.  </w:t>
      </w:r>
      <w:r>
        <w:rPr>
          <w:sz w:val="22"/>
          <w:szCs w:val="22"/>
        </w:rPr>
        <w:t xml:space="preserve">Coordinate and communicate with the hospice, and notify the hospice of any significant change, transfer need, or death (Part 8.13(B)).</w:t>
      </w:r>
    </w:p>
    <w:p>
      <w:pPr>
        <w:spacing w:after="80" w:line="276"/>
        <w:ind w:left="720" w:hanging="360"/>
      </w:pPr>
      <w:r>
        <w:rPr>
          <w:b/>
          <w:bCs/>
          <w:sz w:val="22"/>
          <w:szCs w:val="22"/>
        </w:rPr>
        <w:t xml:space="preserve">3.  </w:t>
      </w:r>
      <w:r>
        <w:rPr>
          <w:sz w:val="22"/>
          <w:szCs w:val="22"/>
        </w:rPr>
        <w:t xml:space="preserve">Provide 24-hour room and board and the other Chapter 7 services (Part 8.13(D)).</w:t>
      </w:r>
    </w:p>
    <w:p>
      <w:pPr>
        <w:spacing w:after="80" w:line="276"/>
        <w:ind w:left="720" w:hanging="360"/>
      </w:pPr>
      <w:r>
        <w:rPr>
          <w:b/>
          <w:bCs/>
          <w:sz w:val="22"/>
          <w:szCs w:val="22"/>
        </w:rPr>
        <w:t xml:space="preserve">4.  </w:t>
      </w:r>
      <w:r>
        <w:rPr>
          <w:sz w:val="22"/>
          <w:szCs w:val="22"/>
        </w:rPr>
        <w:t xml:space="preserve">Provide palliative care per Chapter 2, Part 4.3, as applicable (Part 9.1(T)).</w:t>
      </w:r>
    </w:p>
    <w:p>
      <w:pPr>
        <w:spacing w:after="80" w:line="276"/>
        <w:ind w:left="720" w:hanging="360"/>
      </w:pPr>
      <w:r>
        <w:rPr>
          <w:b/>
          <w:bCs/>
          <w:sz w:val="22"/>
          <w:szCs w:val="22"/>
        </w:rPr>
        <w:t xml:space="preserve">5.  </w:t>
      </w:r>
      <w:r>
        <w:rPr>
          <w:sz w:val="22"/>
          <w:szCs w:val="22"/>
        </w:rPr>
        <w:t xml:space="preserve">If the hospice fails to provide necessary services, follow Part 12.5 and request a practitioner assessment (Part 8.14).</w:t>
      </w:r>
    </w:p>
    <w:p>
      <w:pPr>
        <w:spacing w:after="80" w:line="276"/>
        <w:ind w:left="720" w:hanging="360"/>
      </w:pPr>
      <w:r>
        <w:rPr>
          <w:b/>
          <w:bCs/>
          <w:sz w:val="22"/>
          <w:szCs w:val="22"/>
        </w:rPr>
        <w:t xml:space="preserve">6.  </w:t>
      </w:r>
      <w:r>
        <w:rPr>
          <w:sz w:val="22"/>
          <w:szCs w:val="22"/>
        </w:rPr>
        <w:t xml:space="preserve">Document coordination and honor the participant's person-centered end-of-life preferences.</w:t>
      </w:r>
    </w:p>
    <w:p>
      <w:pPr>
        <w:spacing w:after="80" w:before="160"/>
      </w:pPr>
      <w:r>
        <w:rPr>
          <w:b/>
          <w:bCs/>
          <w:caps/>
          <w:color w:val="1F3864"/>
          <w:sz w:val="22"/>
          <w:szCs w:val="22"/>
        </w:rPr>
        <w:t xml:space="preserve">Related Forms</w:t>
      </w:r>
    </w:p>
    <w:p>
      <w:pPr>
        <w:spacing w:after="120" w:line="276"/>
      </w:pPr>
      <w:r>
        <w:rPr>
          <w:sz w:val="22"/>
          <w:szCs w:val="22"/>
        </w:rPr>
        <w:t xml:space="preserve">Hospice Coordination Agreement  ·  Palliative Care Plan</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3.03 — Participant Suicidal Ideation or Suicide Attempt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Participant Suicidal Ideation or Suicide Attempt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Health</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11.13, 11.2(H), 11.11, 12.5, 5.3, 18.8(D); SLP service 10 CCR 2505-10 § 8.7550, § 8.7100 (complex behavior).</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define how staff recognize and respond to a participant's suicidal ideation or suicide attempt in a manner that protects the participant's immediate safety and connects the participant to appropriate care — recognizing that brain injury is associated with elevated suicide risk. Written to comply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Suicidal ideation — </w:t>
      </w:r>
      <w:r>
        <w:rPr>
          <w:sz w:val="22"/>
          <w:szCs w:val="22"/>
        </w:rPr>
        <w:t xml:space="preserve">thoughts, expressions, or indications of a wish to end one's life.</w:t>
      </w:r>
    </w:p>
    <w:p>
      <w:pPr>
        <w:spacing w:after="80" w:line="276"/>
      </w:pPr>
      <w:r>
        <w:rPr>
          <w:b/>
          <w:bCs/>
          <w:sz w:val="22"/>
          <w:szCs w:val="22"/>
        </w:rPr>
        <w:t xml:space="preserve">Danger to self — </w:t>
      </w:r>
      <w:r>
        <w:rPr>
          <w:sz w:val="22"/>
          <w:szCs w:val="22"/>
        </w:rPr>
        <w:t xml:space="preserve">a participant's medical, psychiatric, or behavioral condition such that the participant is seriously harming themselves or is at imminent risk of doing so.</w:t>
      </w:r>
    </w:p>
    <w:p>
      <w:pPr>
        <w:spacing w:after="80" w:line="276"/>
      </w:pPr>
      <w:r>
        <w:rPr>
          <w:b/>
          <w:bCs/>
          <w:sz w:val="22"/>
          <w:szCs w:val="22"/>
        </w:rPr>
        <w:t xml:space="preserve">Safety plan — </w:t>
      </w:r>
      <w:r>
        <w:rPr>
          <w:sz w:val="22"/>
          <w:szCs w:val="22"/>
        </w:rPr>
        <w:t xml:space="preserve">an individualized, practitioner-informed plan to monitor and protect a participant at risk.</w:t>
      </w:r>
    </w:p>
    <w:p>
      <w:pPr>
        <w:spacing w:after="80" w:before="160"/>
      </w:pPr>
      <w:r>
        <w:rPr>
          <w:b/>
          <w:bCs/>
          <w:caps/>
          <w:color w:val="1F3864"/>
          <w:sz w:val="22"/>
          <w:szCs w:val="22"/>
        </w:rPr>
        <w:t xml:space="preserve">Policy</w:t>
      </w:r>
    </w:p>
    <w:p>
      <w:pPr>
        <w:spacing w:after="120" w:line="276"/>
      </w:pPr>
      <w:r>
        <w:rPr>
          <w:sz w:val="22"/>
          <w:szCs w:val="22"/>
        </w:rPr>
        <w:t xml:space="preserve">[Facility Name] takes every expression of suicidal ideation and any suicide attempt seriously and responds immediately to protect the participant's safety. Staff provide calm, supportive presence, ensure the participant is not left alone while at risk, take appropriate measures to reduce access to potential means of harm, and promptly contact the participant's practitioner and/or crisis services for evaluation.</w:t>
      </w:r>
    </w:p>
    <w:p>
      <w:pPr>
        <w:spacing w:after="120" w:line="276"/>
      </w:pPr>
      <w:r>
        <w:rPr>
          <w:sz w:val="22"/>
          <w:szCs w:val="22"/>
        </w:rPr>
        <w:t xml:space="preserve">Where a participant has become a danger to self, the residence promptly implements the process in Part 11.13: taking all appropriate measures necessary to protect the participant and others; reassessing the participant and revising the care/support plan to identify current needs and the services the residence will provide; and ensuring all staff are aware of new directives and are trained to provide supervision and act consistently with the plan, pending any needed evaluation or discharge. The residence requests a practitioner assessment (Part 12.5), notifies the participant's representative, and completes occurrence review (Part 5.3) and documentation before the end of shift (Part 18.8(D)). If the participant's needs exceed what the residence can safely provide, the admission and discharge criteria apply (Parts 11.2(H), 11.11).</w:t>
      </w:r>
    </w:p>
    <w:p>
      <w:pPr>
        <w:spacing w:after="120" w:line="276"/>
      </w:pPr>
      <w:r>
        <w:rPr>
          <w:sz w:val="22"/>
          <w:szCs w:val="22"/>
        </w:rPr>
        <w:t xml:space="preserve">Because traumatic and acquired brain injury are associated with elevated suicide risk and with impulsivity and emotional dysregulation, [Facility Name] individualizes behavioral supports and safety planning in coordination with the participant's practitioner, behavioral-health provider, and Case Management Agency (§ 8.7100), and trains staff to recognize warning signs.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Respond immediately; ensure the participant is not left alone while at risk, and provide calm, supportive presence.</w:t>
      </w:r>
    </w:p>
    <w:p>
      <w:pPr>
        <w:spacing w:after="80" w:line="276"/>
        <w:ind w:left="720" w:hanging="360"/>
      </w:pPr>
      <w:r>
        <w:rPr>
          <w:b/>
          <w:bCs/>
          <w:sz w:val="22"/>
          <w:szCs w:val="22"/>
        </w:rPr>
        <w:t xml:space="preserve">2.  </w:t>
      </w:r>
      <w:r>
        <w:rPr>
          <w:sz w:val="22"/>
          <w:szCs w:val="22"/>
        </w:rPr>
        <w:t xml:space="preserve">Take appropriate measures to protect the participant, including reducing access to potential means of harm.</w:t>
      </w:r>
    </w:p>
    <w:p>
      <w:pPr>
        <w:spacing w:after="80" w:line="276"/>
        <w:ind w:left="720" w:hanging="360"/>
      </w:pPr>
      <w:r>
        <w:rPr>
          <w:b/>
          <w:bCs/>
          <w:sz w:val="22"/>
          <w:szCs w:val="22"/>
        </w:rPr>
        <w:t xml:space="preserve">3.  </w:t>
      </w:r>
      <w:r>
        <w:rPr>
          <w:sz w:val="22"/>
          <w:szCs w:val="22"/>
        </w:rPr>
        <w:t xml:space="preserve">Contact the participant's practitioner and/or crisis services without delay; in an emergency call 9-1-1, and use the 988 Suicide and Crisis Lifeline or Colorado Crisis Services as appropriate.</w:t>
      </w:r>
    </w:p>
    <w:p>
      <w:pPr>
        <w:spacing w:after="80" w:line="276"/>
        <w:ind w:left="720" w:hanging="360"/>
      </w:pPr>
      <w:r>
        <w:rPr>
          <w:b/>
          <w:bCs/>
          <w:sz w:val="22"/>
          <w:szCs w:val="22"/>
        </w:rPr>
        <w:t xml:space="preserve">4.  </w:t>
      </w:r>
      <w:r>
        <w:rPr>
          <w:sz w:val="22"/>
          <w:szCs w:val="22"/>
        </w:rPr>
        <w:t xml:space="preserve">Implement the Part 11.13 danger-to-self process: protect, reassess, revise the care/support plan, and inform and train all staff.</w:t>
      </w:r>
    </w:p>
    <w:p>
      <w:pPr>
        <w:spacing w:after="80" w:line="276"/>
        <w:ind w:left="720" w:hanging="360"/>
      </w:pPr>
      <w:r>
        <w:rPr>
          <w:b/>
          <w:bCs/>
          <w:sz w:val="22"/>
          <w:szCs w:val="22"/>
        </w:rPr>
        <w:t xml:space="preserve">5.  </w:t>
      </w:r>
      <w:r>
        <w:rPr>
          <w:sz w:val="22"/>
          <w:szCs w:val="22"/>
        </w:rPr>
        <w:t xml:space="preserve">Notify the participant's representative and coordinate behavioral-health support with the practitioner and Case Management Agency.</w:t>
      </w:r>
    </w:p>
    <w:p>
      <w:pPr>
        <w:spacing w:after="80" w:line="276"/>
        <w:ind w:left="720" w:hanging="360"/>
      </w:pPr>
      <w:r>
        <w:rPr>
          <w:b/>
          <w:bCs/>
          <w:sz w:val="22"/>
          <w:szCs w:val="22"/>
        </w:rPr>
        <w:t xml:space="preserve">6.  </w:t>
      </w:r>
      <w:r>
        <w:rPr>
          <w:sz w:val="22"/>
          <w:szCs w:val="22"/>
        </w:rPr>
        <w:t xml:space="preserve">Complete occurrence review (Part 5.3) and document the event and response before the end of shift (Part 18.8(D)).</w:t>
      </w:r>
    </w:p>
    <w:p>
      <w:pPr>
        <w:spacing w:after="80" w:line="276"/>
        <w:ind w:left="720" w:hanging="360"/>
      </w:pPr>
      <w:r>
        <w:rPr>
          <w:b/>
          <w:bCs/>
          <w:sz w:val="22"/>
          <w:szCs w:val="22"/>
        </w:rPr>
        <w:t xml:space="preserve">7.  </w:t>
      </w:r>
      <w:r>
        <w:rPr>
          <w:sz w:val="22"/>
          <w:szCs w:val="22"/>
        </w:rPr>
        <w:t xml:space="preserve">Where the participant's needs exceed what the residence can safely provide, follow the discharge procedures (Part 11.11).</w:t>
      </w:r>
    </w:p>
    <w:p>
      <w:pPr>
        <w:spacing w:after="80" w:before="160"/>
      </w:pPr>
      <w:r>
        <w:rPr>
          <w:b/>
          <w:bCs/>
          <w:caps/>
          <w:color w:val="1F3864"/>
          <w:sz w:val="22"/>
          <w:szCs w:val="22"/>
        </w:rPr>
        <w:t xml:space="preserve">Related Forms</w:t>
      </w:r>
    </w:p>
    <w:p>
      <w:pPr>
        <w:spacing w:after="120" w:line="276"/>
      </w:pPr>
      <w:r>
        <w:rPr>
          <w:sz w:val="22"/>
          <w:szCs w:val="22"/>
        </w:rPr>
        <w:t xml:space="preserve">Safety/Support Plan  ·  Occurrence Report  ·  Practitioner/Crisis Notification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3.04 — Use of Physical Restraints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Use of Physical Restraints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Health</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12.13, 12.14, 2.55, 11.2(I), 13.1(B)(4), Part 25; SLP service 10 CCR 2505-10 § 8.7550, § 8.7100.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prohibit the use of restraints except as narrowly allowed by law, and to define the strict criteria and documentation for any permitted enabling device — protecting each participant's freedom of movement. Written to comply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Restraint — </w:t>
      </w:r>
      <w:r>
        <w:rPr>
          <w:sz w:val="22"/>
          <w:szCs w:val="22"/>
        </w:rPr>
        <w:t xml:space="preserve">any method or device used to involuntarily limit freedom of movement, including bodily physical force, mechanical devices, chemicals, or confinement (Part 2.55).</w:t>
      </w:r>
    </w:p>
    <w:p>
      <w:pPr>
        <w:spacing w:after="80" w:line="276"/>
      </w:pPr>
      <w:r>
        <w:rPr>
          <w:b/>
          <w:bCs/>
          <w:sz w:val="22"/>
          <w:szCs w:val="22"/>
        </w:rPr>
        <w:t xml:space="preserve">Enabling device — </w:t>
      </w:r>
      <w:r>
        <w:rPr>
          <w:sz w:val="22"/>
          <w:szCs w:val="22"/>
        </w:rPr>
        <w:t xml:space="preserve">a device that facilitates a participant's well-being or independence, permitted only under the narrow criteria at Part 12.14; it is not a restraint.</w:t>
      </w:r>
    </w:p>
    <w:p>
      <w:pPr>
        <w:spacing w:after="80" w:before="160"/>
      </w:pPr>
      <w:r>
        <w:rPr>
          <w:b/>
          <w:bCs/>
          <w:caps/>
          <w:color w:val="1F3864"/>
          <w:sz w:val="22"/>
          <w:szCs w:val="22"/>
        </w:rPr>
        <w:t xml:space="preserve">Policy</w:t>
      </w:r>
    </w:p>
    <w:p>
      <w:pPr>
        <w:spacing w:after="120" w:line="276"/>
      </w:pPr>
      <w:r>
        <w:rPr>
          <w:sz w:val="22"/>
          <w:szCs w:val="22"/>
        </w:rPr>
        <w:t xml:space="preserve">[Facility Name] does not use restraints of any kind, or deprive a participant of liberty for purposes of care or safety, except as allowed by Part 11.2(I) (residences statutorily certified to serve the mentally ill), Part 25 (secure environment), or the narrow enabling-device provision below (Part 12.13). Each participant has the right to live free from restraint except as allowed by the secure-environment requirements (Part 13.1(B)(4)).</w:t>
      </w:r>
    </w:p>
    <w:p>
      <w:pPr>
        <w:spacing w:after="120" w:line="276"/>
      </w:pPr>
      <w:r>
        <w:rPr>
          <w:sz w:val="22"/>
          <w:szCs w:val="22"/>
        </w:rPr>
        <w:t xml:space="preserve">A device that facilitates a participant's well-being or independence may be used only if all of the following are met (Part 12.14): the participant has the functional ability to alter his or her position; the participant is able to remove the device to allow normal movement; the device improves the participant's physical or emotional state and allows participation in activities that would otherwise be difficult or impossible; and there is an order from a practitioner for its use. There must also be interdisciplinary documentation from both the practitioner and a therapist describing the benefits, hazards, and appropriate use of the device; re-evaluation by both at least annually or whenever the participant experiences a significant change in status; and documentation of compliance retained in the participant's care/support plan.</w:t>
      </w:r>
    </w:p>
    <w:p>
      <w:pPr>
        <w:spacing w:after="120" w:line="276"/>
      </w:pPr>
      <w:r>
        <w:rPr>
          <w:sz w:val="22"/>
          <w:szCs w:val="22"/>
        </w:rPr>
        <w:t xml:space="preserve">Because brain injury may produce complex behavior, [Facility Name] addresses behavioral and safety needs through positive behavior support and the least-restrictive effective approach (§ 8.7100), never using restraint as a substitute for adequate supervision or support. Where a secure environment is used, it complies with Part 25 (see Policy 3.05).</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Prohibit restraints of any kind except the narrow exceptions in Part 12.13 (Parts 11.2(I), 25, 12.14).</w:t>
      </w:r>
    </w:p>
    <w:p>
      <w:pPr>
        <w:spacing w:after="80" w:line="276"/>
        <w:ind w:left="720" w:hanging="360"/>
      </w:pPr>
      <w:r>
        <w:rPr>
          <w:b/>
          <w:bCs/>
          <w:sz w:val="22"/>
          <w:szCs w:val="22"/>
        </w:rPr>
        <w:t xml:space="preserve">2.  </w:t>
      </w:r>
      <w:r>
        <w:rPr>
          <w:sz w:val="22"/>
          <w:szCs w:val="22"/>
        </w:rPr>
        <w:t xml:space="preserve">Before any enabling device is used, verify that all four Part 12.14 criteria are met and obtain a practitioner order.</w:t>
      </w:r>
    </w:p>
    <w:p>
      <w:pPr>
        <w:spacing w:after="80" w:line="276"/>
        <w:ind w:left="720" w:hanging="360"/>
      </w:pPr>
      <w:r>
        <w:rPr>
          <w:b/>
          <w:bCs/>
          <w:sz w:val="22"/>
          <w:szCs w:val="22"/>
        </w:rPr>
        <w:t xml:space="preserve">3.  </w:t>
      </w:r>
      <w:r>
        <w:rPr>
          <w:sz w:val="22"/>
          <w:szCs w:val="22"/>
        </w:rPr>
        <w:t xml:space="preserve">Obtain interdisciplinary documentation from the practitioner and a therapist on benefits, hazards, and appropriate use (Part 12.14(D)(1)).</w:t>
      </w:r>
    </w:p>
    <w:p>
      <w:pPr>
        <w:spacing w:after="80" w:line="276"/>
        <w:ind w:left="720" w:hanging="360"/>
      </w:pPr>
      <w:r>
        <w:rPr>
          <w:b/>
          <w:bCs/>
          <w:sz w:val="22"/>
          <w:szCs w:val="22"/>
        </w:rPr>
        <w:t xml:space="preserve">4.  </w:t>
      </w:r>
      <w:r>
        <w:rPr>
          <w:sz w:val="22"/>
          <w:szCs w:val="22"/>
        </w:rPr>
        <w:t xml:space="preserve">Re-evaluate the device by both the practitioner and therapist at least annually or on any significant change (Part 12.14(D)(2)).</w:t>
      </w:r>
    </w:p>
    <w:p>
      <w:pPr>
        <w:spacing w:after="80" w:line="276"/>
        <w:ind w:left="720" w:hanging="360"/>
      </w:pPr>
      <w:r>
        <w:rPr>
          <w:b/>
          <w:bCs/>
          <w:sz w:val="22"/>
          <w:szCs w:val="22"/>
        </w:rPr>
        <w:t xml:space="preserve">5.  </w:t>
      </w:r>
      <w:r>
        <w:rPr>
          <w:sz w:val="22"/>
          <w:szCs w:val="22"/>
        </w:rPr>
        <w:t xml:space="preserve">Retain documentation of compliance in the participant's care/support plan (Part 12.14(D)(3)).</w:t>
      </w:r>
    </w:p>
    <w:p>
      <w:pPr>
        <w:spacing w:after="80" w:line="276"/>
        <w:ind w:left="720" w:hanging="360"/>
      </w:pPr>
      <w:r>
        <w:rPr>
          <w:b/>
          <w:bCs/>
          <w:sz w:val="22"/>
          <w:szCs w:val="22"/>
        </w:rPr>
        <w:t xml:space="preserve">6.  </w:t>
      </w:r>
      <w:r>
        <w:rPr>
          <w:sz w:val="22"/>
          <w:szCs w:val="22"/>
        </w:rPr>
        <w:t xml:space="preserve">Address behavioral and safety needs through least-restrictive positive behavior support; comply with Part 25 for any secure environment.</w:t>
      </w:r>
    </w:p>
    <w:p>
      <w:pPr>
        <w:spacing w:after="80" w:before="160"/>
      </w:pPr>
      <w:r>
        <w:rPr>
          <w:b/>
          <w:bCs/>
          <w:caps/>
          <w:color w:val="1F3864"/>
          <w:sz w:val="22"/>
          <w:szCs w:val="22"/>
        </w:rPr>
        <w:t xml:space="preserve">Related Forms</w:t>
      </w:r>
    </w:p>
    <w:p>
      <w:pPr>
        <w:spacing w:after="120" w:line="276"/>
      </w:pPr>
      <w:r>
        <w:rPr>
          <w:sz w:val="22"/>
          <w:szCs w:val="22"/>
        </w:rPr>
        <w:t xml:space="preserve">Enabling Device Authorization &amp; Interdisciplinary Documentation  ·  Behavioral Support Plan</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3.05 — Use of Restrictive Egress Alert Devices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Use of Restrictive Egress Alert Devices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Health</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2.23, 2.56, 11.7(E), Part 25 (§§ 25.1–25.5, 25.9, 25.11–25.13, 25.23–25.24); SLP service 10 CCR 2505-10 § 8.7550, § 8.7100.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govern the use of egress alert devices to protect participants at risk of unsafe wandering or elopement while preserving freedom of movement, and to distinguish egress alert devices from a secure environment. Written to comply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Egress alert device — </w:t>
      </w:r>
      <w:r>
        <w:rPr>
          <w:sz w:val="22"/>
          <w:szCs w:val="22"/>
        </w:rPr>
        <w:t xml:space="preserve">a device affixed to a structure or worn by a participant that triggers a visual or auditory alarm when the participant leaves the building or grounds; used only to assist staff in redirecting the participant back into the residence, not to restrict free movement (Part 2.23).</w:t>
      </w:r>
    </w:p>
    <w:p>
      <w:pPr>
        <w:spacing w:after="80" w:line="276"/>
      </w:pPr>
      <w:r>
        <w:rPr>
          <w:b/>
          <w:bCs/>
          <w:sz w:val="22"/>
          <w:szCs w:val="22"/>
        </w:rPr>
        <w:t xml:space="preserve">Secure environment — </w:t>
      </w:r>
      <w:r>
        <w:rPr>
          <w:sz w:val="22"/>
          <w:szCs w:val="22"/>
        </w:rPr>
        <w:t xml:space="preserve">any grounds, building or part thereof, method, or device that prohibits free egress of participants; an environment is secure when a participant's right to move outside during any hours is limited (Part 2.56).</w:t>
      </w:r>
    </w:p>
    <w:p>
      <w:pPr>
        <w:spacing w:after="80" w:before="160"/>
      </w:pPr>
      <w:r>
        <w:rPr>
          <w:b/>
          <w:bCs/>
          <w:caps/>
          <w:color w:val="1F3864"/>
          <w:sz w:val="22"/>
          <w:szCs w:val="22"/>
        </w:rPr>
        <w:t xml:space="preserve">Policy</w:t>
      </w:r>
    </w:p>
    <w:p>
      <w:pPr>
        <w:spacing w:after="120" w:line="276"/>
      </w:pPr>
      <w:r>
        <w:rPr>
          <w:sz w:val="22"/>
          <w:szCs w:val="22"/>
        </w:rPr>
        <w:t xml:space="preserve">[Facility Name] uses egress alert devices only to assist staff in redirecting a participant back into the residence when staff are alerted to the participant's departure, and not to restrict the free movement of participants (Part 2.23). An egress alert device is not a restraint and is not, by itself, a secure environment.</w:t>
      </w:r>
    </w:p>
    <w:p>
      <w:pPr>
        <w:spacing w:after="120" w:line="276"/>
      </w:pPr>
      <w:r>
        <w:rPr>
          <w:sz w:val="22"/>
          <w:szCs w:val="22"/>
        </w:rPr>
        <w:t xml:space="preserve">If the residence uses egress alert devices, it discloses to each participant and legal representative at move-in whether it uses such devices and details about when and where they are used (Part 11.7(E)).</w:t>
      </w:r>
    </w:p>
    <w:p>
      <w:pPr>
        <w:spacing w:after="120" w:line="276"/>
      </w:pPr>
      <w:r>
        <w:rPr>
          <w:sz w:val="22"/>
          <w:szCs w:val="22"/>
        </w:rPr>
        <w:t xml:space="preserve">If the residence prohibits free egress of one or more participants — for example, through locked or otherwise restricted egress — it operates a secure environment and complies with Part 25 in addition to the rest of Chapter 7. This includes the additional pre-admission disclosures (Part 25.4); an enhanced pre-admission assessment that adds a licensed-practitioner evaluation, within the previous 90 days, of the participant's medical condition and cognitive deficits contributing to wandering and compromised safety awareness (Part 25.5); an enhanced care plan and re-assessment of the continued need for a secure environment every six months and on any change from baseline (Parts 25.9, 25.11); secure-environment staff training, including the response to a missing participant (Parts 25.12–25.13); storage of hazardous items inaccessible to participants; monthly testing of all securing equipment and devices; a secure fenced outdoor area; freedom of movement to common and personal spaces (Part 25.24); and the discharge protections when moving a participant out of the secure environment (Part 25.23).</w:t>
      </w:r>
    </w:p>
    <w:p>
      <w:pPr>
        <w:spacing w:after="120" w:line="276"/>
      </w:pPr>
      <w:r>
        <w:rPr>
          <w:sz w:val="22"/>
          <w:szCs w:val="22"/>
        </w:rPr>
        <w:t xml:space="preserve">Because participants with brain injury may have compromised safety awareness that leads to unsafe wandering or elopement, [Facility Name] individualizes the use of egress alert devices — and any secure environment — to each participant's assessed needs, using the least-restrictive effective approach (§ 8.7100).</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Use egress alert devices only to alert staff and redirect participants, never to restrict free movement (Part 2.23).</w:t>
      </w:r>
    </w:p>
    <w:p>
      <w:pPr>
        <w:spacing w:after="80" w:line="276"/>
        <w:ind w:left="720" w:hanging="360"/>
      </w:pPr>
      <w:r>
        <w:rPr>
          <w:b/>
          <w:bCs/>
          <w:sz w:val="22"/>
          <w:szCs w:val="22"/>
        </w:rPr>
        <w:t xml:space="preserve">2.  </w:t>
      </w:r>
      <w:r>
        <w:rPr>
          <w:sz w:val="22"/>
          <w:szCs w:val="22"/>
        </w:rPr>
        <w:t xml:space="preserve">Disclose egress-alert-device use, including when and where, to each participant and representative at move-in (Part 11.7(E)).</w:t>
      </w:r>
    </w:p>
    <w:p>
      <w:pPr>
        <w:spacing w:after="80" w:line="276"/>
        <w:ind w:left="720" w:hanging="360"/>
      </w:pPr>
      <w:r>
        <w:rPr>
          <w:b/>
          <w:bCs/>
          <w:sz w:val="22"/>
          <w:szCs w:val="22"/>
        </w:rPr>
        <w:t xml:space="preserve">3.  </w:t>
      </w:r>
      <w:r>
        <w:rPr>
          <w:sz w:val="22"/>
          <w:szCs w:val="22"/>
        </w:rPr>
        <w:t xml:space="preserve">If free egress is prohibited, comply fully with Part 25: additional disclosures (25.4); enhanced assessment with practitioner wandering/cognitive evaluation (25.5); enhanced care plan and six-month re-assessment (25.9, 25.11).</w:t>
      </w:r>
    </w:p>
    <w:p>
      <w:pPr>
        <w:spacing w:after="80" w:line="276"/>
        <w:ind w:left="720" w:hanging="360"/>
      </w:pPr>
      <w:r>
        <w:rPr>
          <w:b/>
          <w:bCs/>
          <w:sz w:val="22"/>
          <w:szCs w:val="22"/>
        </w:rPr>
        <w:t xml:space="preserve">4.  </w:t>
      </w:r>
      <w:r>
        <w:rPr>
          <w:sz w:val="22"/>
          <w:szCs w:val="22"/>
        </w:rPr>
        <w:t xml:space="preserve">Provide secure-environment staff training, including missing-participant response (25.12–25.13); store hazardous items inaccessibly; test securing equipment monthly; maintain a secure fenced outdoor area.</w:t>
      </w:r>
    </w:p>
    <w:p>
      <w:pPr>
        <w:spacing w:after="80" w:line="276"/>
        <w:ind w:left="720" w:hanging="360"/>
      </w:pPr>
      <w:r>
        <w:rPr>
          <w:b/>
          <w:bCs/>
          <w:sz w:val="22"/>
          <w:szCs w:val="22"/>
        </w:rPr>
        <w:t xml:space="preserve">5.  </w:t>
      </w:r>
      <w:r>
        <w:rPr>
          <w:sz w:val="22"/>
          <w:szCs w:val="22"/>
        </w:rPr>
        <w:t xml:space="preserve">Preserve freedom of movement to common and personal spaces (25.24), and apply the Part 25.23 discharge protections when moving a participant out of the secure environment.</w:t>
      </w:r>
    </w:p>
    <w:p>
      <w:pPr>
        <w:spacing w:after="80" w:line="276"/>
        <w:ind w:left="720" w:hanging="360"/>
      </w:pPr>
      <w:r>
        <w:rPr>
          <w:b/>
          <w:bCs/>
          <w:sz w:val="22"/>
          <w:szCs w:val="22"/>
        </w:rPr>
        <w:t xml:space="preserve">6.  </w:t>
      </w:r>
      <w:r>
        <w:rPr>
          <w:sz w:val="22"/>
          <w:szCs w:val="22"/>
        </w:rPr>
        <w:t xml:space="preserve">Individualize the approach to each participant's assessed wandering/elopement risk and document it in the care/support plan.</w:t>
      </w:r>
    </w:p>
    <w:p>
      <w:pPr>
        <w:spacing w:after="80" w:before="160"/>
      </w:pPr>
      <w:r>
        <w:rPr>
          <w:b/>
          <w:bCs/>
          <w:caps/>
          <w:color w:val="1F3864"/>
          <w:sz w:val="22"/>
          <w:szCs w:val="22"/>
        </w:rPr>
        <w:t xml:space="preserve">Related Forms</w:t>
      </w:r>
    </w:p>
    <w:p>
      <w:pPr>
        <w:spacing w:after="120" w:line="276"/>
      </w:pPr>
      <w:r>
        <w:rPr>
          <w:sz w:val="22"/>
          <w:szCs w:val="22"/>
        </w:rPr>
        <w:t xml:space="preserve">Egress Alert Device Disclosure  ·  Secure-Environment Assessment &amp; Enhanced Care Plan (if applicable)  ·  Securing-Equipment Testing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3.06 — Investigation of Abuse and Neglect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Investigation of Abuse and Neglect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Health</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5.1, 13.11, 13.12, 5.3, 2.1, 2.12, 2.26, 2.37; C.R.S. 18-6.5-108;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suspected mistreatment (abuse, caretaker neglect, or exploitation) and injuries of unknown origin are promptly reported and thoroughly investigated — protecting participants, including those whose brain injury may limit their ability to report harm. Written to comply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Mistreatment — </w:t>
      </w:r>
      <w:r>
        <w:rPr>
          <w:sz w:val="22"/>
          <w:szCs w:val="22"/>
        </w:rPr>
        <w:t xml:space="preserve">abuse, caretaker neglect, or exploitation (Part 2.37).</w:t>
      </w:r>
    </w:p>
    <w:p>
      <w:pPr>
        <w:spacing w:after="80" w:line="276"/>
      </w:pPr>
      <w:r>
        <w:rPr>
          <w:b/>
          <w:bCs/>
          <w:sz w:val="22"/>
          <w:szCs w:val="22"/>
        </w:rPr>
        <w:t xml:space="preserve">Caretaker neglect — </w:t>
      </w:r>
      <w:r>
        <w:rPr>
          <w:sz w:val="22"/>
          <w:szCs w:val="22"/>
        </w:rPr>
        <w:t xml:space="preserve">neglect occurring when adequate food, clothing, shelter, psychological care, physical care, medical care, habilitation, supervision, or other necessary service is not secured for, or a hostile or fearful environment is created for, an at-risk person (Part 2.12).</w:t>
      </w:r>
    </w:p>
    <w:p>
      <w:pPr>
        <w:spacing w:after="80" w:line="276"/>
      </w:pPr>
      <w:r>
        <w:rPr>
          <w:b/>
          <w:bCs/>
          <w:sz w:val="22"/>
          <w:szCs w:val="22"/>
        </w:rPr>
        <w:t xml:space="preserve">Exploitation — </w:t>
      </w:r>
      <w:r>
        <w:rPr>
          <w:sz w:val="22"/>
          <w:szCs w:val="22"/>
        </w:rPr>
        <w:t xml:space="preserve">an act or omission that deprives an at-risk person of the use or benefit of anything of value, or misuses an at-risk person's property (Part 2.26).</w:t>
      </w:r>
    </w:p>
    <w:p>
      <w:pPr>
        <w:spacing w:after="80" w:before="160"/>
      </w:pPr>
      <w:r>
        <w:rPr>
          <w:b/>
          <w:bCs/>
          <w:caps/>
          <w:color w:val="1F3864"/>
          <w:sz w:val="22"/>
          <w:szCs w:val="22"/>
        </w:rPr>
        <w:t xml:space="preserve">Policy</w:t>
      </w:r>
    </w:p>
    <w:p>
      <w:pPr>
        <w:spacing w:after="120" w:line="276"/>
      </w:pPr>
      <w:r>
        <w:rPr>
          <w:sz w:val="22"/>
          <w:szCs w:val="22"/>
        </w:rPr>
        <w:t xml:space="preserve">Personnel engaged in the admission, care, or treatment of at-risk persons report suspected physical or sexual abuse, exploitation, and/or caretaker neglect to law enforcement within 24 hours of observation or discovery, pursuant to C.R.S. 18-6.5-108 (Part 5.1).</w:t>
      </w:r>
    </w:p>
    <w:p>
      <w:pPr>
        <w:spacing w:after="120" w:line="276"/>
      </w:pPr>
      <w:r>
        <w:rPr>
          <w:sz w:val="22"/>
          <w:szCs w:val="22"/>
        </w:rPr>
        <w:t xml:space="preserve">The residence investigates all allegations of abuse, neglect, or exploitation in accordance with Part 5.3 and its written policy, which includes reporting to the appropriate agencies (such as the county Adult Protection Services) and to the administrator; notifying the participant's legal representative within 24 hours of becoming aware of the allegation; the process for investigating; protecting the participant from further harm during the investigation; taking appropriate corrective action if the allegation is verified; and retaining a copy of the investigation report for Department review (Part 13.11).</w:t>
      </w:r>
    </w:p>
    <w:p>
      <w:pPr>
        <w:spacing w:after="120" w:line="276"/>
      </w:pPr>
      <w:r>
        <w:rPr>
          <w:sz w:val="22"/>
          <w:szCs w:val="22"/>
        </w:rPr>
        <w:t xml:space="preserve">The residence also identifies, documents, and investigates injuries of unknown origin — including where the participant cannot explain how the injury occurred — documents the investigation and outcomes, and takes steps to prevent similar injuries; it notifies the participant's representative of the outcome (Part 13.12).</w:t>
      </w:r>
    </w:p>
    <w:p>
      <w:pPr>
        <w:spacing w:after="120" w:line="276"/>
      </w:pPr>
      <w:r>
        <w:rPr>
          <w:sz w:val="22"/>
          <w:szCs w:val="22"/>
        </w:rPr>
        <w:t xml:space="preserve">Because a brain injury may impair a participant's memory or ability to report or explain harm, [Facility Name] is especially vigilant for signs of mistreatment and injuries of unknown origin, and uses accessible communication to support participants in reporting concerns.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Report suspected abuse, exploitation, or caretaker neglect to law enforcement within 24 hours (Part 5.1).</w:t>
      </w:r>
    </w:p>
    <w:p>
      <w:pPr>
        <w:spacing w:after="80" w:line="276"/>
        <w:ind w:left="720" w:hanging="360"/>
      </w:pPr>
      <w:r>
        <w:rPr>
          <w:b/>
          <w:bCs/>
          <w:sz w:val="22"/>
          <w:szCs w:val="22"/>
        </w:rPr>
        <w:t xml:space="preserve">2.  </w:t>
      </w:r>
      <w:r>
        <w:rPr>
          <w:sz w:val="22"/>
          <w:szCs w:val="22"/>
        </w:rPr>
        <w:t xml:space="preserve">Report to the county Adult Protection Services and the administrator, and notify the legal representative within 24 hours (Part 13.11(A)–(B)).</w:t>
      </w:r>
    </w:p>
    <w:p>
      <w:pPr>
        <w:spacing w:after="80" w:line="276"/>
        <w:ind w:left="720" w:hanging="360"/>
      </w:pPr>
      <w:r>
        <w:rPr>
          <w:b/>
          <w:bCs/>
          <w:sz w:val="22"/>
          <w:szCs w:val="22"/>
        </w:rPr>
        <w:t xml:space="preserve">3.  </w:t>
      </w:r>
      <w:r>
        <w:rPr>
          <w:sz w:val="22"/>
          <w:szCs w:val="22"/>
        </w:rPr>
        <w:t xml:space="preserve">Protect the participant from further harm while investigating (Part 13.11(E)).</w:t>
      </w:r>
    </w:p>
    <w:p>
      <w:pPr>
        <w:spacing w:after="80" w:line="276"/>
        <w:ind w:left="720" w:hanging="360"/>
      </w:pPr>
      <w:r>
        <w:rPr>
          <w:b/>
          <w:bCs/>
          <w:sz w:val="22"/>
          <w:szCs w:val="22"/>
        </w:rPr>
        <w:t xml:space="preserve">4.  </w:t>
      </w:r>
      <w:r>
        <w:rPr>
          <w:sz w:val="22"/>
          <w:szCs w:val="22"/>
        </w:rPr>
        <w:t xml:space="preserve">Conduct and document a thorough investigation; take corrective action if verified (Parts 13.11(C)–(F)).</w:t>
      </w:r>
    </w:p>
    <w:p>
      <w:pPr>
        <w:spacing w:after="80" w:line="276"/>
        <w:ind w:left="720" w:hanging="360"/>
      </w:pPr>
      <w:r>
        <w:rPr>
          <w:b/>
          <w:bCs/>
          <w:sz w:val="22"/>
          <w:szCs w:val="22"/>
        </w:rPr>
        <w:t xml:space="preserve">5.  </w:t>
      </w:r>
      <w:r>
        <w:rPr>
          <w:sz w:val="22"/>
          <w:szCs w:val="22"/>
        </w:rPr>
        <w:t xml:space="preserve">Investigate injuries of unknown origin, document outcomes, and take steps to prevent recurrence; notify the representative (Part 13.12).</w:t>
      </w:r>
    </w:p>
    <w:p>
      <w:pPr>
        <w:spacing w:after="80" w:line="276"/>
        <w:ind w:left="720" w:hanging="360"/>
      </w:pPr>
      <w:r>
        <w:rPr>
          <w:b/>
          <w:bCs/>
          <w:sz w:val="22"/>
          <w:szCs w:val="22"/>
        </w:rPr>
        <w:t xml:space="preserve">6.  </w:t>
      </w:r>
      <w:r>
        <w:rPr>
          <w:sz w:val="22"/>
          <w:szCs w:val="22"/>
        </w:rPr>
        <w:t xml:space="preserve">Retain the investigation report for Department review and review events through the Quality Management Program (Parts 13.11(G), 5.3).</w:t>
      </w:r>
    </w:p>
    <w:p>
      <w:pPr>
        <w:spacing w:after="80" w:before="160"/>
      </w:pPr>
      <w:r>
        <w:rPr>
          <w:b/>
          <w:bCs/>
          <w:caps/>
          <w:color w:val="1F3864"/>
          <w:sz w:val="22"/>
          <w:szCs w:val="22"/>
        </w:rPr>
        <w:t xml:space="preserve">Related Forms</w:t>
      </w:r>
    </w:p>
    <w:p>
      <w:pPr>
        <w:spacing w:after="120" w:line="276"/>
      </w:pPr>
      <w:r>
        <w:rPr>
          <w:sz w:val="22"/>
          <w:szCs w:val="22"/>
        </w:rPr>
        <w:t xml:space="preserve">Mistreatment/Abuse Report  ·  Injury of Unknown Origin Investigation  ·  Corrective Action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3.07 — CPR / Advance Directives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CPR / Advance Directives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Health</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8.8–8.11, 11.7(B), 9.1(I), 12.7(C), 18.8(G), 7.9(A); C.R.S. 15-18.7-102 (advance medical directive);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staff respond appropriately to medical emergencies and honor each participant's advance directives, including a directive refusing CPR. Written to comply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Advance directive — </w:t>
      </w:r>
      <w:r>
        <w:rPr>
          <w:sz w:val="22"/>
          <w:szCs w:val="22"/>
        </w:rPr>
        <w:t xml:space="preserve">a written instruction concerning medical treatment decisions to be made on behalf of the participant if the participant becomes incapacitated (C.R.S. 15-18.7-102).</w:t>
      </w:r>
    </w:p>
    <w:p>
      <w:pPr>
        <w:spacing w:after="80" w:line="276"/>
      </w:pPr>
      <w:r>
        <w:rPr>
          <w:b/>
          <w:bCs/>
          <w:sz w:val="22"/>
          <w:szCs w:val="22"/>
        </w:rPr>
        <w:t xml:space="preserve">CPR directive / DNR — </w:t>
      </w:r>
      <w:r>
        <w:rPr>
          <w:sz w:val="22"/>
          <w:szCs w:val="22"/>
        </w:rPr>
        <w:t xml:space="preserve">a written directive declining cardiopulmonary resuscitation.</w:t>
      </w:r>
    </w:p>
    <w:p>
      <w:pPr>
        <w:spacing w:after="80" w:before="160"/>
      </w:pPr>
      <w:r>
        <w:rPr>
          <w:b/>
          <w:bCs/>
          <w:caps/>
          <w:color w:val="1F3864"/>
          <w:sz w:val="22"/>
          <w:szCs w:val="22"/>
        </w:rPr>
        <w:t xml:space="preserve">Policy</w:t>
      </w:r>
    </w:p>
    <w:p>
      <w:pPr>
        <w:spacing w:after="120" w:line="276"/>
      </w:pPr>
      <w:r>
        <w:rPr>
          <w:sz w:val="22"/>
          <w:szCs w:val="22"/>
        </w:rPr>
        <w:t xml:space="preserve">[Facility Name] posts, in a visible location, a current list of all staff with current certification in first aid and/or CPR, kept up to date and indicating whether the certification is in first aid, CPR, or both (Part 8.8). Staff certified in first aid and/or obstructed-airway techniques promptly provide those services in accordance with their training (Part 8.9); staff certified in CPR promptly provide CPR in accordance with their training unless the affected participant has a do-not-resuscitate order (Part 8.10); and even staff not certified promptly respond to an emergency and follow the instructions of a 9-1-1 emergency operator until a medically trained provider assumes care (Part 8.11).</w:t>
      </w:r>
    </w:p>
    <w:p>
      <w:pPr>
        <w:spacing w:after="120" w:line="276"/>
      </w:pPr>
      <w:r>
        <w:rPr>
          <w:sz w:val="22"/>
          <w:szCs w:val="22"/>
        </w:rPr>
        <w:t xml:space="preserve">At move-in, the residence informs each participant of the right to receive CPR or to have a written advance directive refusing CPR (Part 11.7(B)). The residence maintains policies and procedures for lift assistance, first aid, obstructed-airway technique, and cardiopulmonary resuscitation (Part 9.1(I)); documents advance directives in the comprehensive assessment (Part 12.7(C)) and in the participant record with extra copies (Part 18.8(G)); and orients staff on where to immediately locate a participant's advance directive (Part 7.9(A)(8)).</w:t>
      </w:r>
    </w:p>
    <w:p>
      <w:pPr>
        <w:spacing w:after="120" w:line="276"/>
      </w:pPr>
      <w:r>
        <w:rPr>
          <w:sz w:val="22"/>
          <w:szCs w:val="22"/>
        </w:rPr>
        <w:t xml:space="preserve">Because a brain injury may affect decisional capacity, [Facility Name] supports the participant in being informed about and formulating advance directives, involves the legal representative only as authorized, and honors the participant's documented wishes.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Post and maintain the first-aid/CPR staff certification list (Part 8.8).</w:t>
      </w:r>
    </w:p>
    <w:p>
      <w:pPr>
        <w:spacing w:after="80" w:line="276"/>
        <w:ind w:left="720" w:hanging="360"/>
      </w:pPr>
      <w:r>
        <w:rPr>
          <w:b/>
          <w:bCs/>
          <w:sz w:val="22"/>
          <w:szCs w:val="22"/>
        </w:rPr>
        <w:t xml:space="preserve">2.  </w:t>
      </w:r>
      <w:r>
        <w:rPr>
          <w:sz w:val="22"/>
          <w:szCs w:val="22"/>
        </w:rPr>
        <w:t xml:space="preserve">Respond to emergencies per certification and, when uncertified, follow 9-1-1 operator instructions (Parts 8.9–8.11).</w:t>
      </w:r>
    </w:p>
    <w:p>
      <w:pPr>
        <w:spacing w:after="80" w:line="276"/>
        <w:ind w:left="720" w:hanging="360"/>
      </w:pPr>
      <w:r>
        <w:rPr>
          <w:b/>
          <w:bCs/>
          <w:sz w:val="22"/>
          <w:szCs w:val="22"/>
        </w:rPr>
        <w:t xml:space="preserve">3.  </w:t>
      </w:r>
      <w:r>
        <w:rPr>
          <w:sz w:val="22"/>
          <w:szCs w:val="22"/>
        </w:rPr>
        <w:t xml:space="preserve">Honor do-not-resuscitate orders and written advance directives (Parts 8.10, 11.7(B)).</w:t>
      </w:r>
    </w:p>
    <w:p>
      <w:pPr>
        <w:spacing w:after="80" w:line="276"/>
        <w:ind w:left="720" w:hanging="360"/>
      </w:pPr>
      <w:r>
        <w:rPr>
          <w:b/>
          <w:bCs/>
          <w:sz w:val="22"/>
          <w:szCs w:val="22"/>
        </w:rPr>
        <w:t xml:space="preserve">4.  </w:t>
      </w:r>
      <w:r>
        <w:rPr>
          <w:sz w:val="22"/>
          <w:szCs w:val="22"/>
        </w:rPr>
        <w:t xml:space="preserve">Inform each participant at move-in of the CPR right and advance-directive option (Part 11.7(B)).</w:t>
      </w:r>
    </w:p>
    <w:p>
      <w:pPr>
        <w:spacing w:after="80" w:line="276"/>
        <w:ind w:left="720" w:hanging="360"/>
      </w:pPr>
      <w:r>
        <w:rPr>
          <w:b/>
          <w:bCs/>
          <w:sz w:val="22"/>
          <w:szCs w:val="22"/>
        </w:rPr>
        <w:t xml:space="preserve">5.  </w:t>
      </w:r>
      <w:r>
        <w:rPr>
          <w:sz w:val="22"/>
          <w:szCs w:val="22"/>
        </w:rPr>
        <w:t xml:space="preserve">Document advance directives in the assessment and the record, with extra copies, and train staff to locate them immediately (Parts 12.7(C), 18.8(G), 7.9(A)(8)).</w:t>
      </w:r>
    </w:p>
    <w:p>
      <w:pPr>
        <w:spacing w:after="80" w:line="276"/>
        <w:ind w:left="720" w:hanging="360"/>
      </w:pPr>
      <w:r>
        <w:rPr>
          <w:b/>
          <w:bCs/>
          <w:sz w:val="22"/>
          <w:szCs w:val="22"/>
        </w:rPr>
        <w:t xml:space="preserve">6.  </w:t>
      </w:r>
      <w:r>
        <w:rPr>
          <w:sz w:val="22"/>
          <w:szCs w:val="22"/>
        </w:rPr>
        <w:t xml:space="preserve">Support the participant in formulating advance directives, involving the representative only as authorized.</w:t>
      </w:r>
    </w:p>
    <w:p>
      <w:pPr>
        <w:spacing w:after="80" w:before="160"/>
      </w:pPr>
      <w:r>
        <w:rPr>
          <w:b/>
          <w:bCs/>
          <w:caps/>
          <w:color w:val="1F3864"/>
          <w:sz w:val="22"/>
          <w:szCs w:val="22"/>
        </w:rPr>
        <w:t xml:space="preserve">Related Forms</w:t>
      </w:r>
    </w:p>
    <w:p>
      <w:pPr>
        <w:spacing w:after="120" w:line="276"/>
      </w:pPr>
      <w:r>
        <w:rPr>
          <w:sz w:val="22"/>
          <w:szCs w:val="22"/>
        </w:rPr>
        <w:t xml:space="preserve">First Aid/CPR Staff List  ·  Advance Directive / CPR Directive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3.08 — Lift Assistance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Lift Assistance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Health</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12.16–12.18, 2.61, 7.9(C)(8), 9.1(I);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staff safely assist participants who have fallen or cannot get up independently, evaluating each situation before lifting. Written to comply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Lift assistance — </w:t>
      </w:r>
      <w:r>
        <w:rPr>
          <w:sz w:val="22"/>
          <w:szCs w:val="22"/>
        </w:rPr>
        <w:t xml:space="preserve">staff assistance to a participant who has fallen or is otherwise unable to independently get up off the floor.</w:t>
      </w:r>
    </w:p>
    <w:p>
      <w:pPr>
        <w:spacing w:after="80" w:line="276"/>
      </w:pPr>
      <w:r>
        <w:rPr>
          <w:b/>
          <w:bCs/>
          <w:sz w:val="22"/>
          <w:szCs w:val="22"/>
        </w:rPr>
        <w:t xml:space="preserve">Transfer — </w:t>
      </w:r>
      <w:r>
        <w:rPr>
          <w:sz w:val="22"/>
          <w:szCs w:val="22"/>
        </w:rPr>
        <w:t xml:space="preserve">moving from one body position to another, such as from a bed to a chair or standing from a chair to grasp an auxiliary aid (Part 2.61).</w:t>
      </w:r>
    </w:p>
    <w:p>
      <w:pPr>
        <w:spacing w:after="80" w:before="160"/>
      </w:pPr>
      <w:r>
        <w:rPr>
          <w:b/>
          <w:bCs/>
          <w:caps/>
          <w:color w:val="1F3864"/>
          <w:sz w:val="22"/>
          <w:szCs w:val="22"/>
        </w:rPr>
        <w:t xml:space="preserve">Policy</w:t>
      </w:r>
    </w:p>
    <w:p>
      <w:pPr>
        <w:spacing w:after="120" w:line="276"/>
      </w:pPr>
      <w:r>
        <w:rPr>
          <w:sz w:val="22"/>
          <w:szCs w:val="22"/>
        </w:rPr>
        <w:t xml:space="preserve">[Facility Name] directs staff to assist participants who have fallen or are otherwise unable to independently get up off the floor, and makes its lift-assistance policy available to local emergency medical responders (Part 12.16). The residence ensures it has trained staff available to evaluate participants who have fallen and to provide lift assistance when determined appropriate, instead of relying on emergency medical responders (Part 12.17).</w:t>
      </w:r>
    </w:p>
    <w:p>
      <w:pPr>
        <w:spacing w:after="120" w:line="276"/>
      </w:pPr>
      <w:r>
        <w:rPr>
          <w:sz w:val="22"/>
          <w:szCs w:val="22"/>
        </w:rPr>
        <w:t xml:space="preserve">Each situation is evaluated to determine whether the participant can be assisted safely — for example, when the participant has no pain and/or there is no change from baseline, mental status is unchanged from baseline, and there is no or only minor bleeding (Part 12.17(A)). Where safe, staff physically perform the lift using techniques provided in staff training and monitor the participant; otherwise staff do not lift, call 9-1-1, and monitor — including when the participant is unconscious, has declined from baseline, experiences increased pain when lifting is attempted, requests that 9-1-1 be called, or cannot or refuses to assist because of pain, injury, or other physical complications (Part 12.17(B)).</w:t>
      </w:r>
    </w:p>
    <w:p>
      <w:pPr>
        <w:spacing w:after="120" w:line="276"/>
      </w:pPr>
      <w:r>
        <w:rPr>
          <w:sz w:val="22"/>
          <w:szCs w:val="22"/>
        </w:rPr>
        <w:t xml:space="preserve">Staff promptly notify the participant's practitioner, family, and/or legal representative of the occurrence and the residence's response (Part 12.17(C)), and the residence documents the action taken and ongoing efforts to prevent recurrence (Part 12.18). Staff are trained to safely provide lift assistance (Part 7.9(C)(8)).</w:t>
      </w:r>
    </w:p>
    <w:p>
      <w:pPr>
        <w:spacing w:after="120" w:line="276"/>
      </w:pPr>
      <w:r>
        <w:rPr>
          <w:sz w:val="22"/>
          <w:szCs w:val="22"/>
        </w:rPr>
        <w:t xml:space="preserve">Because brain injury may affect a participant's mobility, coordination, and ability to communicate pain, [Facility Name] individualizes lift-assistance approaches and errs toward emergency evaluation when a participant cannot reliably report symptoms.</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Evaluate the situation before lifting, per the criteria in Part 12.17(A).</w:t>
      </w:r>
    </w:p>
    <w:p>
      <w:pPr>
        <w:spacing w:after="80" w:line="276"/>
        <w:ind w:left="720" w:hanging="360"/>
      </w:pPr>
      <w:r>
        <w:rPr>
          <w:b/>
          <w:bCs/>
          <w:sz w:val="22"/>
          <w:szCs w:val="22"/>
        </w:rPr>
        <w:t xml:space="preserve">2.  </w:t>
      </w:r>
      <w:r>
        <w:rPr>
          <w:sz w:val="22"/>
          <w:szCs w:val="22"/>
        </w:rPr>
        <w:t xml:space="preserve">Where safe, perform the lift using trained techniques and monitor the participant (Part 12.17(B)(1)).</w:t>
      </w:r>
    </w:p>
    <w:p>
      <w:pPr>
        <w:spacing w:after="80" w:line="276"/>
        <w:ind w:left="720" w:hanging="360"/>
      </w:pPr>
      <w:r>
        <w:rPr>
          <w:b/>
          <w:bCs/>
          <w:sz w:val="22"/>
          <w:szCs w:val="22"/>
        </w:rPr>
        <w:t xml:space="preserve">3.  </w:t>
      </w:r>
      <w:r>
        <w:rPr>
          <w:sz w:val="22"/>
          <w:szCs w:val="22"/>
        </w:rPr>
        <w:t xml:space="preserve">Where not safe, do not lift — call 9-1-1 and monitor — per the conditions in Part 12.17(B)(2).</w:t>
      </w:r>
    </w:p>
    <w:p>
      <w:pPr>
        <w:spacing w:after="80" w:line="276"/>
        <w:ind w:left="720" w:hanging="360"/>
      </w:pPr>
      <w:r>
        <w:rPr>
          <w:b/>
          <w:bCs/>
          <w:sz w:val="22"/>
          <w:szCs w:val="22"/>
        </w:rPr>
        <w:t xml:space="preserve">4.  </w:t>
      </w:r>
      <w:r>
        <w:rPr>
          <w:sz w:val="22"/>
          <w:szCs w:val="22"/>
        </w:rPr>
        <w:t xml:space="preserve">Notify the participant's practitioner, family, and/or legal representative of the occurrence and response (Part 12.17(C)).</w:t>
      </w:r>
    </w:p>
    <w:p>
      <w:pPr>
        <w:spacing w:after="80" w:line="276"/>
        <w:ind w:left="720" w:hanging="360"/>
      </w:pPr>
      <w:r>
        <w:rPr>
          <w:b/>
          <w:bCs/>
          <w:sz w:val="22"/>
          <w:szCs w:val="22"/>
        </w:rPr>
        <w:t xml:space="preserve">5.  </w:t>
      </w:r>
      <w:r>
        <w:rPr>
          <w:sz w:val="22"/>
          <w:szCs w:val="22"/>
        </w:rPr>
        <w:t xml:space="preserve">Document the action taken and efforts to prevent recurrence (Part 12.18), and make the lift-assistance policy available to local EMS (Part 12.16).</w:t>
      </w:r>
    </w:p>
    <w:p>
      <w:pPr>
        <w:spacing w:after="80" w:line="276"/>
        <w:ind w:left="720" w:hanging="360"/>
      </w:pPr>
      <w:r>
        <w:rPr>
          <w:b/>
          <w:bCs/>
          <w:sz w:val="22"/>
          <w:szCs w:val="22"/>
        </w:rPr>
        <w:t xml:space="preserve">6.  </w:t>
      </w:r>
      <w:r>
        <w:rPr>
          <w:sz w:val="22"/>
          <w:szCs w:val="22"/>
        </w:rPr>
        <w:t xml:space="preserve">Individualize the approach to the participant's mobility and communication needs.</w:t>
      </w:r>
    </w:p>
    <w:p>
      <w:pPr>
        <w:spacing w:after="80" w:before="160"/>
      </w:pPr>
      <w:r>
        <w:rPr>
          <w:b/>
          <w:bCs/>
          <w:caps/>
          <w:color w:val="1F3864"/>
          <w:sz w:val="22"/>
          <w:szCs w:val="22"/>
        </w:rPr>
        <w:t xml:space="preserve">Related Forms</w:t>
      </w:r>
    </w:p>
    <w:p>
      <w:pPr>
        <w:spacing w:after="120" w:line="276"/>
      </w:pPr>
      <w:r>
        <w:rPr>
          <w:sz w:val="22"/>
          <w:szCs w:val="22"/>
        </w:rPr>
        <w:t xml:space="preserve">Post-Fall / Lift-Assistance Evaluation  ·  Practitioner/Family Notification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3.09 — Fall Management Program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Fall Management Program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Health</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12.15, 12.7(J), 12.16–12.18, 7.9;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establish a proactive, individualized fall management program that reduces falls and fall-related injury among participants — with specific attention to the cognitive, perceptual, and motor changes that follow a brain injury — and to define staff responsibilities for prevention, response, documentation, and follow-up. Written to comply with 6 CCR 1011-1 Chapter 7, Part 12.15.</w:t>
      </w:r>
    </w:p>
    <w:p>
      <w:pPr>
        <w:spacing w:after="80" w:before="160"/>
      </w:pPr>
      <w:r>
        <w:rPr>
          <w:b/>
          <w:bCs/>
          <w:caps/>
          <w:color w:val="1F3864"/>
          <w:sz w:val="22"/>
          <w:szCs w:val="22"/>
        </w:rPr>
        <w:t xml:space="preserve">Definitions</w:t>
      </w:r>
    </w:p>
    <w:p>
      <w:pPr>
        <w:spacing w:after="80" w:line="276"/>
      </w:pPr>
      <w:r>
        <w:rPr>
          <w:b/>
          <w:bCs/>
          <w:sz w:val="22"/>
          <w:szCs w:val="22"/>
        </w:rPr>
        <w:t xml:space="preserve">Fall — </w:t>
      </w:r>
      <w:r>
        <w:rPr>
          <w:sz w:val="22"/>
          <w:szCs w:val="22"/>
        </w:rPr>
        <w:t xml:space="preserve">a sudden, unintended descent to the ground or a lower surface, with or without injury, including a witnessed lowering and an unwitnessed fall discovered after the fact.</w:t>
      </w:r>
    </w:p>
    <w:p>
      <w:pPr>
        <w:spacing w:after="80" w:line="276"/>
      </w:pPr>
      <w:r>
        <w:rPr>
          <w:b/>
          <w:bCs/>
          <w:sz w:val="22"/>
          <w:szCs w:val="22"/>
        </w:rPr>
        <w:t xml:space="preserve">Enabling device — </w:t>
      </w:r>
      <w:r>
        <w:rPr>
          <w:sz w:val="22"/>
          <w:szCs w:val="22"/>
        </w:rPr>
        <w:t xml:space="preserve">a device used to support a participant's well-being or independence, permitted only under the Part 12.14 criteria; it is not a restraint (see Policy 3.04).</w:t>
      </w:r>
    </w:p>
    <w:p>
      <w:pPr>
        <w:spacing w:after="80" w:before="160"/>
      </w:pPr>
      <w:r>
        <w:rPr>
          <w:b/>
          <w:bCs/>
          <w:caps/>
          <w:color w:val="1F3864"/>
          <w:sz w:val="22"/>
          <w:szCs w:val="22"/>
        </w:rPr>
        <w:t xml:space="preserve">Policy</w:t>
      </w:r>
    </w:p>
    <w:p>
      <w:pPr>
        <w:spacing w:after="120" w:line="276"/>
      </w:pPr>
      <w:r>
        <w:rPr>
          <w:sz w:val="22"/>
          <w:szCs w:val="22"/>
        </w:rPr>
        <w:t xml:space="preserve">[Facility Name] maintains a written fall management program consistent with Part 12.15. Because participants served under the Supported Living Program (10 CCR 2505-10 § 8.7550) frequently present with brain-injury-related factors that raise fall risk — impaired safety awareness or impulsivity, hemiparesis or ataxia, visual-field or perceptual deficits, seizure activity, and the effects of anticonvulsant or psychotropic medication — [Facility Name] individualizes every fall-prevention approach to the participant rather than applying a single standard. Restraints are never used for fall prevention; freedom of movement is preserved in accordance with Part 12.13.</w:t>
      </w:r>
    </w:p>
    <w:p>
      <w:pPr>
        <w:spacing w:after="120" w:line="276"/>
      </w:pPr>
      <w:r>
        <w:rPr>
          <w:sz w:val="22"/>
          <w:szCs w:val="22"/>
        </w:rPr>
        <w:t xml:space="preserve">The program includes, at minimum: fall-management education and materials provided to participants and, as appropriate, family members (Part 12.15(A)); an individualized fall-risk approach detailed in each participant's care/support plan addressing deficits in strength, balance, and eyesight and the effects of medication identified during the comprehensive assessment (Parts 12.15(B), 12.7(J)); participant engagement activities to improve strength and balance (Part 12.15(C)); routine inspection and maintenance of a safe interior and exterior environment (Part 12.15(D)); and staff training on fall prevention (Part 12.15(E); Part 7.9).</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On admission, at each comprehensive assessment, and on any change from baseline, identify fall-risk factors, including brain-injury-specific factors (impulsivity, motor and coordination deficits, visual-perceptual changes, seizure history, medication effects, fatigue).</w:t>
      </w:r>
    </w:p>
    <w:p>
      <w:pPr>
        <w:spacing w:after="80" w:line="276"/>
        <w:ind w:left="720" w:hanging="360"/>
      </w:pPr>
      <w:r>
        <w:rPr>
          <w:b/>
          <w:bCs/>
          <w:sz w:val="22"/>
          <w:szCs w:val="22"/>
        </w:rPr>
        <w:t xml:space="preserve">2.  </w:t>
      </w:r>
      <w:r>
        <w:rPr>
          <w:sz w:val="22"/>
          <w:szCs w:val="22"/>
        </w:rPr>
        <w:t xml:space="preserve">Write the individualized approach to each factor into the care/support plan and communicate it to all care staff (Part 12.15(B)).</w:t>
      </w:r>
    </w:p>
    <w:p>
      <w:pPr>
        <w:spacing w:after="80" w:line="276"/>
        <w:ind w:left="720" w:hanging="360"/>
      </w:pPr>
      <w:r>
        <w:rPr>
          <w:b/>
          <w:bCs/>
          <w:sz w:val="22"/>
          <w:szCs w:val="22"/>
        </w:rPr>
        <w:t xml:space="preserve">3.  </w:t>
      </w:r>
      <w:r>
        <w:rPr>
          <w:sz w:val="22"/>
          <w:szCs w:val="22"/>
        </w:rPr>
        <w:t xml:space="preserve">Provide fall-management education to the participant and representative and document it (Part 12.15(A)).</w:t>
      </w:r>
    </w:p>
    <w:p>
      <w:pPr>
        <w:spacing w:after="80" w:line="276"/>
        <w:ind w:left="720" w:hanging="360"/>
      </w:pPr>
      <w:r>
        <w:rPr>
          <w:b/>
          <w:bCs/>
          <w:sz w:val="22"/>
          <w:szCs w:val="22"/>
        </w:rPr>
        <w:t xml:space="preserve">4.  </w:t>
      </w:r>
      <w:r>
        <w:rPr>
          <w:sz w:val="22"/>
          <w:szCs w:val="22"/>
        </w:rPr>
        <w:t xml:space="preserve">Complete routine environmental safety checks to keep walkways, lighting, flooring, and equipment safe (Part 12.15(D)).</w:t>
      </w:r>
    </w:p>
    <w:p>
      <w:pPr>
        <w:spacing w:after="80" w:line="276"/>
        <w:ind w:left="720" w:hanging="360"/>
      </w:pPr>
      <w:r>
        <w:rPr>
          <w:b/>
          <w:bCs/>
          <w:sz w:val="22"/>
          <w:szCs w:val="22"/>
        </w:rPr>
        <w:t xml:space="preserve">5.  </w:t>
      </w:r>
      <w:r>
        <w:rPr>
          <w:sz w:val="22"/>
          <w:szCs w:val="22"/>
        </w:rPr>
        <w:t xml:space="preserve">When a participant falls, follow the lift-assistance protocol (Policy 3.08; Parts 12.16–12.18); notify the practitioner, family, and/or representative and request a practitioner assessment on any change from baseline (Part 12.5).</w:t>
      </w:r>
    </w:p>
    <w:p>
      <w:pPr>
        <w:spacing w:after="80" w:line="276"/>
        <w:ind w:left="720" w:hanging="360"/>
      </w:pPr>
      <w:r>
        <w:rPr>
          <w:b/>
          <w:bCs/>
          <w:sz w:val="22"/>
          <w:szCs w:val="22"/>
        </w:rPr>
        <w:t xml:space="preserve">6.  </w:t>
      </w:r>
      <w:r>
        <w:rPr>
          <w:sz w:val="22"/>
          <w:szCs w:val="22"/>
        </w:rPr>
        <w:t xml:space="preserve">Document the fall, response, and follow-up before end of shift (Part 18.8(D)); review fall data through the Quality Management Program to identify patterns and adjust the program (Part 12.18).</w:t>
      </w:r>
    </w:p>
    <w:p>
      <w:pPr>
        <w:spacing w:after="80" w:before="160"/>
      </w:pPr>
      <w:r>
        <w:rPr>
          <w:b/>
          <w:bCs/>
          <w:caps/>
          <w:color w:val="1F3864"/>
          <w:sz w:val="22"/>
          <w:szCs w:val="22"/>
        </w:rPr>
        <w:t xml:space="preserve">Related Forms</w:t>
      </w:r>
    </w:p>
    <w:p>
      <w:pPr>
        <w:spacing w:after="120" w:line="276"/>
      </w:pPr>
      <w:r>
        <w:rPr>
          <w:sz w:val="22"/>
          <w:szCs w:val="22"/>
        </w:rPr>
        <w:t xml:space="preserve">Fall Risk Assessment  ·  Post-Fall Evaluation &amp; Lift-Assistance Decision Record  ·  Fall Management Education Acknowledgment  ·  Occurrence/Incident Report</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3.10 — Diet Policy (Diet Protocol, Diabetic, Mechanical Soft, Half Portion)</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Diet Policy (Diet Protocol, Diabetic, Mechanical Soft, Half Portion)</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Health</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17.1–17.10, 2.60, 12.7(F);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participants receive nutritionally balanced meals and any therapeutic diets ordered for them, with individualized dietary supports for brain-injury-related needs. Written to comply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Therapeutic diet — </w:t>
      </w:r>
      <w:r>
        <w:rPr>
          <w:sz w:val="22"/>
          <w:szCs w:val="22"/>
        </w:rPr>
        <w:t xml:space="preserve">a diet ordered by a practitioner or registered dietitian as part of treatment of a disease or clinical condition, or to eliminate, decrease, or increase specific nutrients — for example, a calorie-counted, specific-sodium, or cardiac diet (Part 2.60).</w:t>
      </w:r>
    </w:p>
    <w:p>
      <w:pPr>
        <w:spacing w:after="80" w:line="276"/>
      </w:pPr>
      <w:r>
        <w:rPr>
          <w:b/>
          <w:bCs/>
          <w:sz w:val="22"/>
          <w:szCs w:val="22"/>
        </w:rPr>
        <w:t xml:space="preserve">Diet-specific protocol — </w:t>
      </w:r>
      <w:r>
        <w:rPr>
          <w:sz w:val="22"/>
          <w:szCs w:val="22"/>
        </w:rPr>
        <w:t xml:space="preserve">an individualized protocol — such as a diabetic, mechanical soft, or half-portion diet — implemented per practitioner order.</w:t>
      </w:r>
    </w:p>
    <w:p>
      <w:pPr>
        <w:spacing w:after="80" w:before="160"/>
      </w:pPr>
      <w:r>
        <w:rPr>
          <w:b/>
          <w:bCs/>
          <w:caps/>
          <w:color w:val="1F3864"/>
          <w:sz w:val="22"/>
          <w:szCs w:val="22"/>
        </w:rPr>
        <w:t xml:space="preserve">Policy</w:t>
      </w:r>
    </w:p>
    <w:p>
      <w:pPr>
        <w:spacing w:after="120" w:line="276"/>
      </w:pPr>
      <w:r>
        <w:rPr>
          <w:sz w:val="22"/>
          <w:szCs w:val="22"/>
        </w:rPr>
        <w:t xml:space="preserve">[Facility Name] provides at least three nutritionally balanced meals daily at regular times, with a variety of foods sufficient to satisfy participant appetites, appealing substitutes of similar nutritive value for participants who do not eat the food initially served, and drinks (including water) available throughout the day (Parts 17.1–17.4). Menus vary daily and incorporate participant preferences; weekly menus are available prior to serving; and the residence keeps sufficient food on hand to prepare at least three days of balanced meals (Parts 17.6–17.9).</w:t>
      </w:r>
    </w:p>
    <w:p>
      <w:pPr>
        <w:spacing w:after="120" w:line="276"/>
      </w:pPr>
      <w:r>
        <w:rPr>
          <w:sz w:val="22"/>
          <w:szCs w:val="22"/>
        </w:rPr>
        <w:t xml:space="preserve">The residence may provide therapeutic diets when the diet is prescribed by the participant's practitioner and staff are trained to prepare the food in accordance with the participant's diet (Part 17.10). Diet-specific protocols — including diabetic, mechanical soft, and half-portion diets — are implemented per practitioner order and documented in the participant's care/support plan and comprehensive assessment, which captures food and dining preferences, unique needs, and restrictions (Part 12.7(F)).</w:t>
      </w:r>
    </w:p>
    <w:p>
      <w:pPr>
        <w:spacing w:after="120" w:line="276"/>
      </w:pPr>
      <w:r>
        <w:rPr>
          <w:sz w:val="22"/>
          <w:szCs w:val="22"/>
        </w:rPr>
        <w:t xml:space="preserve">If a participant chooses not to follow the practitioner's dietary recommendations, the residence documents this in the record and notifies the participant's practitioner and case manager, if applicable (Part 17.5).</w:t>
      </w:r>
    </w:p>
    <w:p>
      <w:pPr>
        <w:spacing w:after="120" w:line="276"/>
      </w:pPr>
      <w:r>
        <w:rPr>
          <w:sz w:val="22"/>
          <w:szCs w:val="22"/>
        </w:rPr>
        <w:t xml:space="preserve">Because brain injury may affect swallowing, appetite, satiety, or the ability to follow a diet, [Facility Name] individualizes dietary supports — such as mechanical soft textures or portion control — per practitioner order and monitors participant intake.</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Provide three balanced meals daily plus snacks and drinks, with substitutes of similar nutritive value (Parts 17.1–17.4).</w:t>
      </w:r>
    </w:p>
    <w:p>
      <w:pPr>
        <w:spacing w:after="80" w:line="276"/>
        <w:ind w:left="720" w:hanging="360"/>
      </w:pPr>
      <w:r>
        <w:rPr>
          <w:b/>
          <w:bCs/>
          <w:sz w:val="22"/>
          <w:szCs w:val="22"/>
        </w:rPr>
        <w:t xml:space="preserve">2.  </w:t>
      </w:r>
      <w:r>
        <w:rPr>
          <w:sz w:val="22"/>
          <w:szCs w:val="22"/>
        </w:rPr>
        <w:t xml:space="preserve">Vary menus and incorporate participant preferences; keep at least three days of food on hand (Parts 17.6–17.9).</w:t>
      </w:r>
    </w:p>
    <w:p>
      <w:pPr>
        <w:spacing w:after="80" w:line="276"/>
        <w:ind w:left="720" w:hanging="360"/>
      </w:pPr>
      <w:r>
        <w:rPr>
          <w:b/>
          <w:bCs/>
          <w:sz w:val="22"/>
          <w:szCs w:val="22"/>
        </w:rPr>
        <w:t xml:space="preserve">3.  </w:t>
      </w:r>
      <w:r>
        <w:rPr>
          <w:sz w:val="22"/>
          <w:szCs w:val="22"/>
        </w:rPr>
        <w:t xml:space="preserve">Implement therapeutic diets (diabetic, mechanical soft, half portion) only per practitioner order and with trained staff (Part 17.10).</w:t>
      </w:r>
    </w:p>
    <w:p>
      <w:pPr>
        <w:spacing w:after="80" w:line="276"/>
        <w:ind w:left="720" w:hanging="360"/>
      </w:pPr>
      <w:r>
        <w:rPr>
          <w:b/>
          <w:bCs/>
          <w:sz w:val="22"/>
          <w:szCs w:val="22"/>
        </w:rPr>
        <w:t xml:space="preserve">4.  </w:t>
      </w:r>
      <w:r>
        <w:rPr>
          <w:sz w:val="22"/>
          <w:szCs w:val="22"/>
        </w:rPr>
        <w:t xml:space="preserve">Document each participant's diet and dining needs in the care/support plan and comprehensive assessment (Part 12.7(F)).</w:t>
      </w:r>
    </w:p>
    <w:p>
      <w:pPr>
        <w:spacing w:after="80" w:line="276"/>
        <w:ind w:left="720" w:hanging="360"/>
      </w:pPr>
      <w:r>
        <w:rPr>
          <w:b/>
          <w:bCs/>
          <w:sz w:val="22"/>
          <w:szCs w:val="22"/>
        </w:rPr>
        <w:t xml:space="preserve">5.  </w:t>
      </w:r>
      <w:r>
        <w:rPr>
          <w:sz w:val="22"/>
          <w:szCs w:val="22"/>
        </w:rPr>
        <w:t xml:space="preserve">If a participant declines the recommended diet, document and notify the practitioner and case manager (Part 17.5).</w:t>
      </w:r>
    </w:p>
    <w:p>
      <w:pPr>
        <w:spacing w:after="80" w:line="276"/>
        <w:ind w:left="720" w:hanging="360"/>
      </w:pPr>
      <w:r>
        <w:rPr>
          <w:b/>
          <w:bCs/>
          <w:sz w:val="22"/>
          <w:szCs w:val="22"/>
        </w:rPr>
        <w:t xml:space="preserve">6.  </w:t>
      </w:r>
      <w:r>
        <w:rPr>
          <w:sz w:val="22"/>
          <w:szCs w:val="22"/>
        </w:rPr>
        <w:t xml:space="preserve">Individualize dietary supports for brain-injury-related swallowing, appetite, or safety needs, and monitor intake.</w:t>
      </w:r>
    </w:p>
    <w:p>
      <w:pPr>
        <w:spacing w:after="80" w:before="160"/>
      </w:pPr>
      <w:r>
        <w:rPr>
          <w:b/>
          <w:bCs/>
          <w:caps/>
          <w:color w:val="1F3864"/>
          <w:sz w:val="22"/>
          <w:szCs w:val="22"/>
        </w:rPr>
        <w:t xml:space="preserve">Related Forms</w:t>
      </w:r>
    </w:p>
    <w:p>
      <w:pPr>
        <w:spacing w:after="120" w:line="276"/>
      </w:pPr>
      <w:r>
        <w:rPr>
          <w:sz w:val="22"/>
          <w:szCs w:val="22"/>
        </w:rPr>
        <w:t xml:space="preserve">Menu &amp; Therapeutic Diet Order  ·  Diet Protocol (Diabetic / Mechanical Soft / Half Portion)  ·  Intake Monitoring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3.11 — Food Handling Policy (Coffee Protocol, Grilling Protocol)</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Food Handling Policy (Coffee Protocol, Grilling Protocol)</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Participant Health</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Part 16 (§§ 16.8, 16.15, 16.16, 16.22, 16.23, 16.24–16.30, 16.33), Part 17 (§§ 17.11–17.14), § 22.30;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safe food handling, preparation, and dining assistance — including safe protocols for hot beverages and grilling — protecting participants whose brain injury may affect safety awareness, swallowing, or motor control. Written to comply with 6 CCR 1011-1 Chapter 7.</w:t>
      </w:r>
    </w:p>
    <w:p>
      <w:pPr>
        <w:spacing w:after="80" w:before="160"/>
      </w:pPr>
      <w:r>
        <w:rPr>
          <w:b/>
          <w:bCs/>
          <w:caps/>
          <w:color w:val="1F3864"/>
          <w:sz w:val="22"/>
          <w:szCs w:val="22"/>
        </w:rPr>
        <w:t xml:space="preserve">Definitions</w:t>
      </w:r>
    </w:p>
    <w:p>
      <w:pPr>
        <w:spacing w:after="80" w:line="276"/>
      </w:pPr>
      <w:r>
        <w:rPr>
          <w:b/>
          <w:bCs/>
          <w:sz w:val="22"/>
          <w:szCs w:val="22"/>
        </w:rPr>
        <w:t xml:space="preserve">Potentially hazardous food — </w:t>
      </w:r>
      <w:r>
        <w:rPr>
          <w:sz w:val="22"/>
          <w:szCs w:val="22"/>
        </w:rPr>
        <w:t xml:space="preserve">food requiring temperature control for safety during cooking, holding, cooling, reheating, and thawing (Part 16).</w:t>
      </w:r>
    </w:p>
    <w:p>
      <w:pPr>
        <w:spacing w:after="80" w:line="276"/>
      </w:pPr>
      <w:r>
        <w:rPr>
          <w:b/>
          <w:bCs/>
          <w:sz w:val="22"/>
          <w:szCs w:val="22"/>
        </w:rPr>
        <w:t xml:space="preserve">Choking risk — </w:t>
      </w:r>
      <w:r>
        <w:rPr>
          <w:sz w:val="22"/>
          <w:szCs w:val="22"/>
        </w:rPr>
        <w:t xml:space="preserve">a participant's difficulty chewing or swallowing, or a history of chronic choking, requiring assessment before feeding assistance (Part 17.14).</w:t>
      </w:r>
    </w:p>
    <w:p>
      <w:pPr>
        <w:spacing w:after="80" w:before="160"/>
      </w:pPr>
      <w:r>
        <w:rPr>
          <w:b/>
          <w:bCs/>
          <w:caps/>
          <w:color w:val="1F3864"/>
          <w:sz w:val="22"/>
          <w:szCs w:val="22"/>
        </w:rPr>
        <w:t xml:space="preserve">Policy</w:t>
      </w:r>
    </w:p>
    <w:p>
      <w:pPr>
        <w:spacing w:after="120" w:line="276"/>
      </w:pPr>
      <w:r>
        <w:rPr>
          <w:sz w:val="22"/>
          <w:szCs w:val="22"/>
        </w:rPr>
        <w:t xml:space="preserve">[Facility Name] follows the food-safety requirements of Part 16, including proper handwashing procedure and timing (Parts 16.8–16.9); no bare-hand contact with ready-to-eat foods (Part 16.15); proper glove use (Part 16.16); required minimum cooking temperatures (Part 16.22) and holding temperatures (Part 16.23); rapid reheating and cooling and safe thawing (Parts 16.24–16.30); and equipment cleaning and sanitizing (Part 16.33).</w:t>
      </w:r>
    </w:p>
    <w:p>
      <w:pPr>
        <w:spacing w:after="120" w:line="276"/>
      </w:pPr>
      <w:r>
        <w:rPr>
          <w:sz w:val="22"/>
          <w:szCs w:val="22"/>
        </w:rPr>
        <w:t xml:space="preserve">The residence assists participants with dining and feeding per Parts 17.11–17.14: prompting and cueing; assisting only when the participant can maintain an upright position; using staff trained in proper techniques; and, where a participant has difficulty chewing or swallowing or a history of chronic choking, not allowing staff to assist with feeding until the issue is assessed by a licensed or registered nurse or a speech-language pathologist and documented in the care/support plan. A decline in eating and swallowing from baseline is documented and the practitioner notified (Parts 17.11–17.14).</w:t>
      </w:r>
    </w:p>
    <w:p>
      <w:pPr>
        <w:spacing w:after="120" w:line="276"/>
      </w:pPr>
      <w:r>
        <w:rPr>
          <w:sz w:val="22"/>
          <w:szCs w:val="22"/>
        </w:rPr>
        <w:t xml:space="preserve">[Facility Name] maintains a Coffee Protocol and a Grilling Protocol as operational supplements to Parts 16 and 17: hot beverages such as coffee are prepared, served, stored, and supervised to prevent burns, with temperature and access individualized to participants whose brain injury affects safety awareness or motor control; and grilling is conducted by trained staff with participant supervision, fire safety, and separation from any area where oxygen is stored or used (Part 22.30).</w:t>
      </w:r>
    </w:p>
    <w:p>
      <w:pPr>
        <w:spacing w:after="120" w:line="276"/>
      </w:pPr>
      <w:r>
        <w:rPr>
          <w:sz w:val="22"/>
          <w:szCs w:val="22"/>
        </w:rPr>
        <w:t xml:space="preserve">Because a brain injury may affect a participant's swallowing, impulse control, or safety awareness around hot items and open flame, [Facility Name] individualizes food-handling supervision and these protocols to each participant.</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Follow Part 16 food safety: handwashing, no bare-hand contact, cooking and holding temperatures, reheating, cooling, thawing, and sanitizing (Parts 16.8–16.33).</w:t>
      </w:r>
    </w:p>
    <w:p>
      <w:pPr>
        <w:spacing w:after="80" w:line="276"/>
        <w:ind w:left="720" w:hanging="360"/>
      </w:pPr>
      <w:r>
        <w:rPr>
          <w:b/>
          <w:bCs/>
          <w:sz w:val="22"/>
          <w:szCs w:val="22"/>
        </w:rPr>
        <w:t xml:space="preserve">2.  </w:t>
      </w:r>
      <w:r>
        <w:rPr>
          <w:sz w:val="22"/>
          <w:szCs w:val="22"/>
        </w:rPr>
        <w:t xml:space="preserve">Provide dining and feeding assistance per Parts 17.11–17.14, including upright positioning and trained technique.</w:t>
      </w:r>
    </w:p>
    <w:p>
      <w:pPr>
        <w:spacing w:after="80" w:line="276"/>
        <w:ind w:left="720" w:hanging="360"/>
      </w:pPr>
      <w:r>
        <w:rPr>
          <w:b/>
          <w:bCs/>
          <w:sz w:val="22"/>
          <w:szCs w:val="22"/>
        </w:rPr>
        <w:t xml:space="preserve">3.  </w:t>
      </w:r>
      <w:r>
        <w:rPr>
          <w:sz w:val="22"/>
          <w:szCs w:val="22"/>
        </w:rPr>
        <w:t xml:space="preserve">For any participant with chewing/swallowing difficulty or chronic choking, obtain a nurse or speech-language-pathologist assessment before feeding assistance and document it in the care/support plan (Part 17.14).</w:t>
      </w:r>
    </w:p>
    <w:p>
      <w:pPr>
        <w:spacing w:after="80" w:line="276"/>
        <w:ind w:left="720" w:hanging="360"/>
      </w:pPr>
      <w:r>
        <w:rPr>
          <w:b/>
          <w:bCs/>
          <w:sz w:val="22"/>
          <w:szCs w:val="22"/>
        </w:rPr>
        <w:t xml:space="preserve">4.  </w:t>
      </w:r>
      <w:r>
        <w:rPr>
          <w:sz w:val="22"/>
          <w:szCs w:val="22"/>
        </w:rPr>
        <w:t xml:space="preserve">Implement the Coffee Protocol: prevent burns through temperature control, supervision, and individualized access.</w:t>
      </w:r>
    </w:p>
    <w:p>
      <w:pPr>
        <w:spacing w:after="80" w:line="276"/>
        <w:ind w:left="720" w:hanging="360"/>
      </w:pPr>
      <w:r>
        <w:rPr>
          <w:b/>
          <w:bCs/>
          <w:sz w:val="22"/>
          <w:szCs w:val="22"/>
        </w:rPr>
        <w:t xml:space="preserve">5.  </w:t>
      </w:r>
      <w:r>
        <w:rPr>
          <w:sz w:val="22"/>
          <w:szCs w:val="22"/>
        </w:rPr>
        <w:t xml:space="preserve">Implement the Grilling Protocol: trained staff, participant supervision, fire safety, and separation from oxygen (Part 22.30).</w:t>
      </w:r>
    </w:p>
    <w:p>
      <w:pPr>
        <w:spacing w:after="80" w:line="276"/>
        <w:ind w:left="720" w:hanging="360"/>
      </w:pPr>
      <w:r>
        <w:rPr>
          <w:b/>
          <w:bCs/>
          <w:sz w:val="22"/>
          <w:szCs w:val="22"/>
        </w:rPr>
        <w:t xml:space="preserve">6.  </w:t>
      </w:r>
      <w:r>
        <w:rPr>
          <w:sz w:val="22"/>
          <w:szCs w:val="22"/>
        </w:rPr>
        <w:t xml:space="preserve">Document swallowing changes and notify the practitioner; individualize supervision for each participant's brain-injury needs.</w:t>
      </w:r>
    </w:p>
    <w:p>
      <w:pPr>
        <w:spacing w:after="80" w:before="160"/>
      </w:pPr>
      <w:r>
        <w:rPr>
          <w:b/>
          <w:bCs/>
          <w:caps/>
          <w:color w:val="1F3864"/>
          <w:sz w:val="22"/>
          <w:szCs w:val="22"/>
        </w:rPr>
        <w:t xml:space="preserve">Related Forms</w:t>
      </w:r>
    </w:p>
    <w:p>
      <w:pPr>
        <w:spacing w:after="120" w:line="276"/>
      </w:pPr>
      <w:r>
        <w:rPr>
          <w:sz w:val="22"/>
          <w:szCs w:val="22"/>
        </w:rPr>
        <w:t xml:space="preserve">Food Safety Log  ·  Coffee Protocol  ·  Grilling Protocol  ·  Dining/Feeding &amp; Swallowing Support Plan</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spacing w:after="120" w:before="3000"/>
        <w:jc w:val="center"/>
      </w:pPr>
      <w:r>
        <w:rPr>
          <w:b/>
          <w:bCs/>
          <w:color w:val="1F3864"/>
          <w:sz w:val="30"/>
          <w:szCs w:val="30"/>
        </w:rPr>
        <w:t xml:space="preserve">SECTION 5 — MEDICATION POLICIES AND PROCEDURES</w:t>
      </w:r>
    </w:p>
    <w:p>
      <w:pPr>
        <w:spacing w:after="400" w:before="0"/>
        <w:jc w:val="center"/>
      </w:pPr>
      <w:r>
        <w:rPr>
          <w:color w:val="595959"/>
          <w:sz w:val="24"/>
          <w:szCs w:val="24"/>
        </w:rPr>
        <w:t xml:space="preserve">Policies 4.00 – 4.02</w:t>
      </w:r>
    </w:p>
    <w:p>
      <w:pPr>
        <w:spacing w:after="60" w:before="0"/>
        <w:jc w:val="center"/>
      </w:pPr>
      <w:r>
        <w:rPr>
          <w:color w:val="595959"/>
          <w:sz w:val="20"/>
          <w:szCs w:val="20"/>
        </w:rPr>
        <w:t xml:space="preserve">Regulatory basis: 6 CCR 1011-1 Chapter 7, Part 14; Chapter 24 (Medication Administration);</w:t>
      </w:r>
    </w:p>
    <w:p>
      <w:pPr>
        <w:spacing w:after="60" w:before="0"/>
        <w:jc w:val="center"/>
      </w:pPr>
      <w:r>
        <w:rPr>
          <w:color w:val="595959"/>
          <w:sz w:val="20"/>
          <w:szCs w:val="20"/>
        </w:rPr>
        <w:t xml:space="preserve">C.R.S. 25-1.5-301 through 303; SLP, 10 CCR 2505-10 § 8.7550.</w:t>
      </w:r>
    </w:p>
    <w:p>
      <w:r>
        <w:br w:type="page"/>
      </w:r>
    </w:p>
    <w:p>
      <w:pPr>
        <w:pStyle w:val="Heading1"/>
        <w:spacing w:after="40"/>
      </w:pPr>
      <w:r>
        <w:rPr>
          <w:b/>
          <w:bCs/>
          <w:color w:val="1F3864"/>
          <w:sz w:val="28"/>
          <w:szCs w:val="28"/>
        </w:rPr>
        <w:t xml:space="preserve">Policy 4.00 — Medication Administration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Medication Administration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Medication Administration</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Part 14 (§§ 14.1, 14.3, 14.5–14.11, 14.14–14.28), esp. §§ 14.9, 14.10, 14.17–14.23; 6 CCR 1011-1 Chapter 24; C.R.S. 25-1.5-301 through 303;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participants receive safe, accurate administration and monitoring of medication by qualified staff — with attention to the anticonvulsant, psychotropic, and behavioral-support medications common in a brain-injury residence. Written to comply with 6 CCR 1011-1 Chapter 7, Part 14, and Chapter 24.</w:t>
      </w:r>
    </w:p>
    <w:p>
      <w:pPr>
        <w:spacing w:after="80" w:before="160"/>
      </w:pPr>
      <w:r>
        <w:rPr>
          <w:b/>
          <w:bCs/>
          <w:caps/>
          <w:color w:val="1F3864"/>
          <w:sz w:val="22"/>
          <w:szCs w:val="22"/>
        </w:rPr>
        <w:t xml:space="preserve">Definitions</w:t>
      </w:r>
    </w:p>
    <w:p>
      <w:pPr>
        <w:spacing w:after="80" w:line="276"/>
      </w:pPr>
      <w:r>
        <w:rPr>
          <w:b/>
          <w:bCs/>
          <w:sz w:val="22"/>
          <w:szCs w:val="22"/>
        </w:rPr>
        <w:t xml:space="preserve">Medication administration — </w:t>
      </w:r>
      <w:r>
        <w:rPr>
          <w:sz w:val="22"/>
          <w:szCs w:val="22"/>
        </w:rPr>
        <w:t xml:space="preserve">assisting a person with the ingestion, application, inhalation, or (using universal precautions) rectal or vaginal insertion of medication per the written directions of the practitioner, and making a written record of each medication administered (Part 2.35).</w:t>
      </w:r>
    </w:p>
    <w:p>
      <w:pPr>
        <w:spacing w:after="80" w:line="276"/>
      </w:pPr>
      <w:r>
        <w:rPr>
          <w:b/>
          <w:bCs/>
          <w:sz w:val="22"/>
          <w:szCs w:val="22"/>
        </w:rPr>
        <w:t xml:space="preserve">QMAP — </w:t>
      </w:r>
      <w:r>
        <w:rPr>
          <w:sz w:val="22"/>
          <w:szCs w:val="22"/>
        </w:rPr>
        <w:t xml:space="preserve">a qualified medication administration person meeting the definition at Part 2.52 and C.R.S. 25-27-102(10.5).</w:t>
      </w:r>
    </w:p>
    <w:p>
      <w:pPr>
        <w:spacing w:after="80" w:line="276"/>
      </w:pPr>
      <w:r>
        <w:rPr>
          <w:b/>
          <w:bCs/>
          <w:sz w:val="22"/>
          <w:szCs w:val="22"/>
        </w:rPr>
        <w:t xml:space="preserve">Self-administration — </w:t>
      </w:r>
      <w:r>
        <w:rPr>
          <w:sz w:val="22"/>
          <w:szCs w:val="22"/>
        </w:rPr>
        <w:t xml:space="preserve">the ability of a participant to take medication independently without assistance (Part 2.57).</w:t>
      </w:r>
    </w:p>
    <w:p>
      <w:pPr>
        <w:spacing w:after="80" w:before="160"/>
      </w:pPr>
      <w:r>
        <w:rPr>
          <w:b/>
          <w:bCs/>
          <w:caps/>
          <w:color w:val="1F3864"/>
          <w:sz w:val="22"/>
          <w:szCs w:val="22"/>
        </w:rPr>
        <w:t xml:space="preserve">Policy</w:t>
      </w:r>
    </w:p>
    <w:p>
      <w:pPr>
        <w:spacing w:after="120" w:line="276"/>
      </w:pPr>
      <w:r>
        <w:rPr>
          <w:sz w:val="22"/>
          <w:szCs w:val="22"/>
        </w:rPr>
        <w:t xml:space="preserve">Only a practitioner, nurse, QMAP, or certified nurse medication aide (CNA-Med) acting within his or her scope may administer or assist with the administration of medication (Part 14.1); a QMAP or CNA-Med may assist only when the participant is able to consent and participate in the administration (Part 14.3). QMAPs meet the Part 2.52 definition and comply with Chapter 24 and C.R.S. 25-1.5-301 through 303 (Part 14.5). The residence complies with all federal and state laws on procurement, storage, administration, and disposal of controlled substances (Part 14.6) and ensures each participant receives proper administration and/or monitoring of medications (Part 14.7).</w:t>
      </w:r>
    </w:p>
    <w:p>
      <w:pPr>
        <w:spacing w:after="120" w:line="276"/>
      </w:pPr>
      <w:r>
        <w:rPr>
          <w:sz w:val="22"/>
          <w:szCs w:val="22"/>
        </w:rPr>
        <w:t xml:space="preserve">Only medication ordered by an authorized practitioner is prepared for or administered to participants (Part 14.11). A QMAP does not perform the tasks excluded by Part 14.10, including injections; gastrostomy or jejunostomy tube feeding; chemical debridement; administering medication for the purpose of restraint; titration of oxygen; decision-making regarding PRN medication; assessment or use of judgment; pre-pouring; or masking or concealing administration in food or liquid. A QMAP administers medication on a PRN (pro re nata / “as needed”) basis only as allowed by Part 14.9.</w:t>
      </w:r>
    </w:p>
    <w:p>
      <w:pPr>
        <w:spacing w:after="120" w:line="276"/>
      </w:pPr>
      <w:r>
        <w:rPr>
          <w:sz w:val="22"/>
          <w:szCs w:val="22"/>
        </w:rPr>
        <w:t xml:space="preserve">Each authorized practitioner order includes the participant's name, the order date, the medication name and strength, the dose, the route, timing and/or frequency, any specific considerations, whether substitutions are allowed, and the practitioner's signature (Part 14.17). Orders are documented in writing; verbal orders are received only by a licensed staff member authorized to transcribe them, and orders relayed by medical staff on behalf of a practitioner are countersigned as soon as possible (Parts 14.18–14.19). The residence obtains clarification and new written orders for any incomplete or unclear order (Part 14.20), complies with practitioner orders except for medications a participant self-administers (Part 14.21), and coordinates care and medication administration with external providers (Part 14.22).</w:t>
      </w:r>
    </w:p>
    <w:p>
      <w:pPr>
        <w:spacing w:after="120" w:line="276"/>
      </w:pPr>
      <w:r>
        <w:rPr>
          <w:sz w:val="22"/>
          <w:szCs w:val="22"/>
        </w:rPr>
        <w:t xml:space="preserve">Participants retain medication rights: personal medication is the participant's property; no participant surrenders the right to possess or self-administer unless a practitioner determines the participant lacks the decisional capacity to do so safely; and each participant has the right to privacy and dignity and the right to refuse medication (Parts 14.14–14.16). Medication reminder boxes, if the residence is responsible for them, contain no more than a 14-day supply, no PRN medications, only medication for oral ingestion, and no time-critical medications unless specifically designed and labeled (Part 14.23). Medication preparation and storage areas are kept clean and clutter-free; reusable devices are cleaned; no stock medications are stored or administered by QMAPs; over-the-counter medication is labeled with the participant's full name; and QMAPs apply nationally recognized infection-control protocols (Parts 14.25–14.28).</w:t>
      </w:r>
    </w:p>
    <w:p>
      <w:pPr>
        <w:spacing w:after="120" w:line="276"/>
      </w:pPr>
      <w:r>
        <w:rPr>
          <w:sz w:val="22"/>
          <w:szCs w:val="22"/>
        </w:rPr>
        <w:t xml:space="preserve">Because participants served under the Supported Living Program (10 CCR 2505-10 § 8.7550) frequently take anticonvulsant and psychotropic medications and may need cueing or behavioral support during administration, [Facility Name] ensures medications are administered safely, on time, and with the participant's participation, and monitors for medication effects and changes from baseline.</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Administer or assist with medication only through a practitioner, nurse, QMAP, or CNA-Med acting within scope, and only when the participant can consent and participate (Parts 14.1, 14.3).</w:t>
      </w:r>
    </w:p>
    <w:p>
      <w:pPr>
        <w:spacing w:after="80" w:line="276"/>
        <w:ind w:left="720" w:hanging="360"/>
      </w:pPr>
      <w:r>
        <w:rPr>
          <w:b/>
          <w:bCs/>
          <w:sz w:val="22"/>
          <w:szCs w:val="22"/>
        </w:rPr>
        <w:t xml:space="preserve">2.  </w:t>
      </w:r>
      <w:r>
        <w:rPr>
          <w:sz w:val="22"/>
          <w:szCs w:val="22"/>
        </w:rPr>
        <w:t xml:space="preserve">Prepare or administer only practitioner-ordered medication; observe the PRN limits (Part 14.9) and the excluded QMAP tasks (Part 14.10).</w:t>
      </w:r>
    </w:p>
    <w:p>
      <w:pPr>
        <w:spacing w:after="80" w:line="276"/>
        <w:ind w:left="720" w:hanging="360"/>
      </w:pPr>
      <w:r>
        <w:rPr>
          <w:b/>
          <w:bCs/>
          <w:sz w:val="22"/>
          <w:szCs w:val="22"/>
        </w:rPr>
        <w:t xml:space="preserve">3.  </w:t>
      </w:r>
      <w:r>
        <w:rPr>
          <w:sz w:val="22"/>
          <w:szCs w:val="22"/>
        </w:rPr>
        <w:t xml:space="preserve">Ensure each order contains all required elements; transcribe verbal orders only through authorized licensed staff and clarify unclear orders in writing (Parts 14.17–14.20).</w:t>
      </w:r>
    </w:p>
    <w:p>
      <w:pPr>
        <w:spacing w:after="80" w:line="276"/>
        <w:ind w:left="720" w:hanging="360"/>
      </w:pPr>
      <w:r>
        <w:rPr>
          <w:b/>
          <w:bCs/>
          <w:sz w:val="22"/>
          <w:szCs w:val="22"/>
        </w:rPr>
        <w:t xml:space="preserve">4.  </w:t>
      </w:r>
      <w:r>
        <w:rPr>
          <w:sz w:val="22"/>
          <w:szCs w:val="22"/>
        </w:rPr>
        <w:t xml:space="preserve">Honor participant medication rights, including possession, self-administration, privacy, and refusal (Parts 14.14–14.16).</w:t>
      </w:r>
    </w:p>
    <w:p>
      <w:pPr>
        <w:spacing w:after="80" w:line="276"/>
        <w:ind w:left="720" w:hanging="360"/>
      </w:pPr>
      <w:r>
        <w:rPr>
          <w:b/>
          <w:bCs/>
          <w:sz w:val="22"/>
          <w:szCs w:val="22"/>
        </w:rPr>
        <w:t xml:space="preserve">5.  </w:t>
      </w:r>
      <w:r>
        <w:rPr>
          <w:sz w:val="22"/>
          <w:szCs w:val="22"/>
        </w:rPr>
        <w:t xml:space="preserve">Use medication reminder boxes only within the Part 14.23 limits; keep preparation and storage areas clean and apply infection control (Parts 14.25–14.28).</w:t>
      </w:r>
    </w:p>
    <w:p>
      <w:pPr>
        <w:spacing w:after="80" w:line="276"/>
        <w:ind w:left="720" w:hanging="360"/>
      </w:pPr>
      <w:r>
        <w:rPr>
          <w:b/>
          <w:bCs/>
          <w:sz w:val="22"/>
          <w:szCs w:val="22"/>
        </w:rPr>
        <w:t xml:space="preserve">6.  </w:t>
      </w:r>
      <w:r>
        <w:rPr>
          <w:sz w:val="22"/>
          <w:szCs w:val="22"/>
        </w:rPr>
        <w:t xml:space="preserve">Coordinate with external providers and monitor for medication effects and changes from baseline; document each administration and monitoring event (Parts 14.22, 14.29).</w:t>
      </w:r>
    </w:p>
    <w:p>
      <w:pPr>
        <w:spacing w:after="80" w:before="160"/>
      </w:pPr>
      <w:r>
        <w:rPr>
          <w:b/>
          <w:bCs/>
          <w:caps/>
          <w:color w:val="1F3864"/>
          <w:sz w:val="22"/>
          <w:szCs w:val="22"/>
        </w:rPr>
        <w:t xml:space="preserve">Related Forms</w:t>
      </w:r>
    </w:p>
    <w:p>
      <w:pPr>
        <w:spacing w:after="120" w:line="276"/>
      </w:pPr>
      <w:r>
        <w:rPr>
          <w:sz w:val="22"/>
          <w:szCs w:val="22"/>
        </w:rPr>
        <w:t xml:space="preserve">Medication Order  ·  Medication Administration Record (MAR)  ·  Self-Administration Assessment  ·  PRN Authorization</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4.01 — Medication Administration Competencies Policy (Competencies Form, Management Competency Quiz)</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Medication Administration Competencies Policy (Competencies Form, Management Competency Quiz)</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Medication Administration</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14.12, 14.13, 7.14, 6.4, 14.3; 6 CCR 1011-1 Chapter 24; SLP service 10 CCR 2505-10 § 8.7550.</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every QMAP is trained in, and demonstrates competency in, safe medication administration before and during assignment, verified by a designated QMAP supervisor. Written to comply with 6 CCR 1011-1 Chapter 7, Part 14.</w:t>
      </w:r>
    </w:p>
    <w:p>
      <w:pPr>
        <w:spacing w:after="80" w:before="160"/>
      </w:pPr>
      <w:r>
        <w:rPr>
          <w:b/>
          <w:bCs/>
          <w:caps/>
          <w:color w:val="1F3864"/>
          <w:sz w:val="22"/>
          <w:szCs w:val="22"/>
        </w:rPr>
        <w:t xml:space="preserve">Definitions</w:t>
      </w:r>
    </w:p>
    <w:p>
      <w:pPr>
        <w:spacing w:after="80" w:line="276"/>
      </w:pPr>
      <w:r>
        <w:rPr>
          <w:b/>
          <w:bCs/>
          <w:sz w:val="22"/>
          <w:szCs w:val="22"/>
        </w:rPr>
        <w:t xml:space="preserve">QMAP supervisor — </w:t>
      </w:r>
      <w:r>
        <w:rPr>
          <w:sz w:val="22"/>
          <w:szCs w:val="22"/>
        </w:rPr>
        <w:t xml:space="preserve">a nurse, practitioner, or QMAP designated by the residence to assess QMAP competency (Part 14.13).</w:t>
      </w:r>
    </w:p>
    <w:p>
      <w:pPr>
        <w:spacing w:after="80" w:line="276"/>
      </w:pPr>
      <w:r>
        <w:rPr>
          <w:b/>
          <w:bCs/>
          <w:sz w:val="22"/>
          <w:szCs w:val="22"/>
        </w:rPr>
        <w:t xml:space="preserve">Competency assessment — </w:t>
      </w:r>
      <w:r>
        <w:rPr>
          <w:sz w:val="22"/>
          <w:szCs w:val="22"/>
        </w:rPr>
        <w:t xml:space="preserve">a direct-observation evaluation of a QMAP's ability to perform each assigned medication-administration task.</w:t>
      </w:r>
    </w:p>
    <w:p>
      <w:pPr>
        <w:spacing w:after="80" w:before="160"/>
      </w:pPr>
      <w:r>
        <w:rPr>
          <w:b/>
          <w:bCs/>
          <w:caps/>
          <w:color w:val="1F3864"/>
          <w:sz w:val="22"/>
          <w:szCs w:val="22"/>
        </w:rPr>
        <w:t xml:space="preserve">Policy</w:t>
      </w:r>
    </w:p>
    <w:p>
      <w:pPr>
        <w:spacing w:after="120" w:line="276"/>
      </w:pPr>
      <w:r>
        <w:rPr>
          <w:sz w:val="22"/>
          <w:szCs w:val="22"/>
        </w:rPr>
        <w:t xml:space="preserve">[Facility Name] ensures all QMAPs are trained in and adhere to the medication-administration procedures in Part 14.12: identifying the right participant for each administration or monitoring, by asking for the participant's name or comparing the participant to a photograph maintained specifically for medication-administration identification; providing the correct medication by the correct route at the correct time and in the correct dose as ordered; and implementing any changes in medication orders upon receipt.</w:t>
      </w:r>
    </w:p>
    <w:p>
      <w:pPr>
        <w:spacing w:after="120" w:line="276"/>
      </w:pPr>
      <w:r>
        <w:rPr>
          <w:sz w:val="22"/>
          <w:szCs w:val="22"/>
        </w:rPr>
        <w:t xml:space="preserve">The residence designates a QMAP supervisor who is a nurse, practitioner, or QMAP (Part 14.13). Before the initial assignment of each QMAP, the QMAP supervisor conducts a competency assessment with direct observation of all medication-administration tasks the QMAP will be assigned to perform, and conducts a further competency assessment with direct observation whenever the QMAP is assigned a new or additional task (Part 14.13(A)). QMAP verification and the signed professional-licensure disclosure are maintained in the personnel file (Part 7.14; see Policy 00.03), and the administrator ensures QMAP compliance with Chapter 24 (Part 6.4).</w:t>
      </w:r>
    </w:p>
    <w:p>
      <w:pPr>
        <w:spacing w:after="120" w:line="276"/>
      </w:pPr>
      <w:r>
        <w:rPr>
          <w:sz w:val="22"/>
          <w:szCs w:val="22"/>
        </w:rPr>
        <w:t xml:space="preserve">[Facility Name] documents competency using a Medication Administration Competencies form and a Medication Management Competency Quiz, retained in the QMAP's personnel file.</w:t>
      </w:r>
    </w:p>
    <w:p>
      <w:pPr>
        <w:spacing w:after="120" w:line="276"/>
      </w:pPr>
      <w:r>
        <w:rPr>
          <w:sz w:val="22"/>
          <w:szCs w:val="22"/>
        </w:rPr>
        <w:t xml:space="preserve">Because brain-injury medication regimens often include anticonvulsants and psychotropics and require careful timing and monitoring, competency assessment includes safe administration with a participant who may need cueing or behavioral support (Part 14.3; § 8.7550).</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Train each QMAP in the Part 14.12 medication-administration procedures (right participant, right medication/route/time/dose, implementing order changes).</w:t>
      </w:r>
    </w:p>
    <w:p>
      <w:pPr>
        <w:spacing w:after="80" w:line="276"/>
        <w:ind w:left="720" w:hanging="360"/>
      </w:pPr>
      <w:r>
        <w:rPr>
          <w:b/>
          <w:bCs/>
          <w:sz w:val="22"/>
          <w:szCs w:val="22"/>
        </w:rPr>
        <w:t xml:space="preserve">2.  </w:t>
      </w:r>
      <w:r>
        <w:rPr>
          <w:sz w:val="22"/>
          <w:szCs w:val="22"/>
        </w:rPr>
        <w:t xml:space="preserve">Designate a qualified QMAP supervisor — a nurse, practitioner, or QMAP (Part 14.13).</w:t>
      </w:r>
    </w:p>
    <w:p>
      <w:pPr>
        <w:spacing w:after="80" w:line="276"/>
        <w:ind w:left="720" w:hanging="360"/>
      </w:pPr>
      <w:r>
        <w:rPr>
          <w:b/>
          <w:bCs/>
          <w:sz w:val="22"/>
          <w:szCs w:val="22"/>
        </w:rPr>
        <w:t xml:space="preserve">3.  </w:t>
      </w:r>
      <w:r>
        <w:rPr>
          <w:sz w:val="22"/>
          <w:szCs w:val="22"/>
        </w:rPr>
        <w:t xml:space="preserve">Conduct a direct-observation competency assessment before initial assignment (Part 14.13(A)).</w:t>
      </w:r>
    </w:p>
    <w:p>
      <w:pPr>
        <w:spacing w:after="80" w:line="276"/>
        <w:ind w:left="720" w:hanging="360"/>
      </w:pPr>
      <w:r>
        <w:rPr>
          <w:b/>
          <w:bCs/>
          <w:sz w:val="22"/>
          <w:szCs w:val="22"/>
        </w:rPr>
        <w:t xml:space="preserve">4.  </w:t>
      </w:r>
      <w:r>
        <w:rPr>
          <w:sz w:val="22"/>
          <w:szCs w:val="22"/>
        </w:rPr>
        <w:t xml:space="preserve">Repeat the competency assessment for each new or additional task the QMAP is assigned (Part 14.13(A)(1)).</w:t>
      </w:r>
    </w:p>
    <w:p>
      <w:pPr>
        <w:spacing w:after="80" w:line="276"/>
        <w:ind w:left="720" w:hanging="360"/>
      </w:pPr>
      <w:r>
        <w:rPr>
          <w:b/>
          <w:bCs/>
          <w:sz w:val="22"/>
          <w:szCs w:val="22"/>
        </w:rPr>
        <w:t xml:space="preserve">5.  </w:t>
      </w:r>
      <w:r>
        <w:rPr>
          <w:sz w:val="22"/>
          <w:szCs w:val="22"/>
        </w:rPr>
        <w:t xml:space="preserve">Document results on the Medication Administration Competencies form and the Medication Management Competency Quiz, and retain them in the personnel file.</w:t>
      </w:r>
    </w:p>
    <w:p>
      <w:pPr>
        <w:spacing w:after="80" w:line="276"/>
        <w:ind w:left="720" w:hanging="360"/>
      </w:pPr>
      <w:r>
        <w:rPr>
          <w:b/>
          <w:bCs/>
          <w:sz w:val="22"/>
          <w:szCs w:val="22"/>
        </w:rPr>
        <w:t xml:space="preserve">6.  </w:t>
      </w:r>
      <w:r>
        <w:rPr>
          <w:sz w:val="22"/>
          <w:szCs w:val="22"/>
        </w:rPr>
        <w:t xml:space="preserve">Maintain QMAP verification and the professional-licensure disclosure per Part 7.14 (Policy 00.03).</w:t>
      </w:r>
    </w:p>
    <w:p>
      <w:pPr>
        <w:spacing w:after="80" w:before="160"/>
      </w:pPr>
      <w:r>
        <w:rPr>
          <w:b/>
          <w:bCs/>
          <w:caps/>
          <w:color w:val="1F3864"/>
          <w:sz w:val="22"/>
          <w:szCs w:val="22"/>
        </w:rPr>
        <w:t xml:space="preserve">Related Forms</w:t>
      </w:r>
    </w:p>
    <w:p>
      <w:pPr>
        <w:spacing w:after="120" w:line="276"/>
      </w:pPr>
      <w:r>
        <w:rPr>
          <w:sz w:val="22"/>
          <w:szCs w:val="22"/>
        </w:rPr>
        <w:t xml:space="preserve">Medication Administration Competencies Form  ·  Medication Management Competency Quiz  ·  QMAP Competency Assessment Record</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p>
      <w:r>
        <w:br w:type="page"/>
      </w:r>
    </w:p>
    <w:p>
      <w:pPr>
        <w:pStyle w:val="Heading1"/>
        <w:spacing w:after="40"/>
      </w:pPr>
      <w:r>
        <w:rPr>
          <w:b/>
          <w:bCs/>
          <w:color w:val="1F3864"/>
          <w:sz w:val="28"/>
          <w:szCs w:val="28"/>
        </w:rPr>
        <w:t xml:space="preserve">Policy 4.02 — Medication Audits Policy</w:t>
      </w:r>
    </w:p>
    <w:p>
      <w:pPr>
        <w:pBdr>
          <w:bottom w:val="single" w:color="1F3864" w:sz="6"/>
        </w:pBd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2F2F2" w:color="auto" w:val="clear"/>
            <w:tcMar>
              <w:top w:type="dxa" w:w="60"/>
              <w:left w:type="dxa" w:w="100"/>
              <w:bottom w:type="dxa" w:w="60"/>
              <w:right w:type="dxa" w:w="100"/>
            </w:tcMar>
            <w:vAlign w:val="center"/>
          </w:tcPr>
          <w:p>
            <w:r>
              <w:rPr>
                <w:b/>
                <w:bCs/>
                <w:sz w:val="20"/>
                <w:szCs w:val="20"/>
              </w:rPr>
              <w:t xml:space="preserve">Subject</w:t>
            </w:r>
          </w:p>
        </w:tc>
        <w:tc>
          <w:tcPr>
            <w:tcW w:type="dxa" w:w="7160"/>
            <w:tcMar>
              <w:top w:type="dxa" w:w="60"/>
              <w:left w:type="dxa" w:w="100"/>
              <w:bottom w:type="dxa" w:w="60"/>
              <w:right w:type="dxa" w:w="100"/>
            </w:tcMar>
            <w:vAlign w:val="center"/>
          </w:tcPr>
          <w:p>
            <w:r>
              <w:rPr>
                <w:sz w:val="20"/>
                <w:szCs w:val="20"/>
              </w:rPr>
              <w:t xml:space="preserve">Medication Audits Policy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Department</w:t>
            </w:r>
          </w:p>
        </w:tc>
        <w:tc>
          <w:tcPr>
            <w:tcW w:type="dxa" w:w="7160"/>
            <w:tcMar>
              <w:top w:type="dxa" w:w="60"/>
              <w:left w:type="dxa" w:w="100"/>
              <w:bottom w:type="dxa" w:w="60"/>
              <w:right w:type="dxa" w:w="100"/>
            </w:tcMar>
            <w:vAlign w:val="center"/>
          </w:tcPr>
          <w:p>
            <w:r>
              <w:rPr>
                <w:sz w:val="20"/>
                <w:szCs w:val="20"/>
              </w:rPr>
              <w:t xml:space="preserve">[Facility Name] — Medication Administration</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Reference</w:t>
            </w:r>
          </w:p>
        </w:tc>
        <w:tc>
          <w:tcPr>
            <w:tcW w:type="dxa" w:w="7160"/>
            <w:tcMar>
              <w:top w:type="dxa" w:w="60"/>
              <w:left w:type="dxa" w:w="100"/>
              <w:bottom w:type="dxa" w:w="60"/>
              <w:right w:type="dxa" w:w="100"/>
            </w:tcMar>
            <w:vAlign w:val="center"/>
          </w:tcPr>
          <w:p>
            <w:r>
              <w:rPr>
                <w:sz w:val="20"/>
                <w:szCs w:val="20"/>
              </w:rPr>
              <w:t xml:space="preserve">6 CCR 1011-1 Chapter 7, §§ 14.29–14.33, 14.37–14.44; 6 CCR 1011-1 Chapter 24; SLP service 10 CCR 2505-10 § 8.7550; see Policy 2.01 (Waste Disposal).</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Effective Date</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Revision Dates</w:t>
            </w:r>
          </w:p>
        </w:tc>
        <w:tc>
          <w:tcPr>
            <w:tcW w:type="dxa" w:w="7160"/>
            <w:tcMar>
              <w:top w:type="dxa" w:w="60"/>
              <w:left w:type="dxa" w:w="100"/>
              <w:bottom w:type="dxa" w:w="60"/>
              <w:right w:type="dxa" w:w="100"/>
            </w:tcMar>
            <w:vAlign w:val="center"/>
          </w:tcPr>
          <w:p>
            <w:r>
              <w:rPr>
                <w:sz w:val="20"/>
                <w:szCs w:val="20"/>
              </w:rPr>
              <w:t xml:space="preserve">[MM/DD/YYYY]</w:t>
            </w:r>
          </w:p>
        </w:tc>
      </w:tr>
      <w:tr>
        <w:tc>
          <w:tcPr>
            <w:tcW w:type="dxa" w:w="2200"/>
            <w:shd w:fill="F2F2F2" w:color="auto" w:val="clear"/>
            <w:tcMar>
              <w:top w:type="dxa" w:w="60"/>
              <w:left w:type="dxa" w:w="100"/>
              <w:bottom w:type="dxa" w:w="60"/>
              <w:right w:type="dxa" w:w="100"/>
            </w:tcMar>
            <w:vAlign w:val="center"/>
          </w:tcPr>
          <w:p>
            <w:r>
              <w:rPr>
                <w:b/>
                <w:bCs/>
                <w:sz w:val="20"/>
                <w:szCs w:val="20"/>
              </w:rPr>
              <w:t xml:space="preserve">Approved By</w:t>
            </w:r>
          </w:p>
        </w:tc>
        <w:tc>
          <w:tcPr>
            <w:tcW w:type="dxa" w:w="7160"/>
            <w:tcMar>
              <w:top w:type="dxa" w:w="60"/>
              <w:left w:type="dxa" w:w="100"/>
              <w:bottom w:type="dxa" w:w="60"/>
              <w:right w:type="dxa" w:w="100"/>
            </w:tcMar>
            <w:vAlign w:val="center"/>
          </w:tcPr>
          <w:p>
            <w:r>
              <w:rPr>
                <w:sz w:val="20"/>
                <w:szCs w:val="20"/>
              </w:rPr>
              <w:t xml:space="preserve">____________________________   [Administrator Name], Administrator</w:t>
            </w:r>
          </w:p>
        </w:tc>
      </w:tr>
    </w:tbl>
    <w:p>
      <w:pPr>
        <w:spacing w:after="60"/>
      </w:pPr>
    </w:p>
    <w:p>
      <w:pPr>
        <w:spacing w:after="80" w:before="160"/>
      </w:pPr>
      <w:r>
        <w:rPr>
          <w:b/>
          <w:bCs/>
          <w:caps/>
          <w:color w:val="1F3864"/>
          <w:sz w:val="22"/>
          <w:szCs w:val="22"/>
        </w:rPr>
        <w:t xml:space="preserve">Purpose</w:t>
      </w:r>
    </w:p>
    <w:p>
      <w:pPr>
        <w:spacing w:after="120" w:line="276"/>
      </w:pPr>
      <w:r>
        <w:rPr>
          <w:sz w:val="22"/>
          <w:szCs w:val="22"/>
        </w:rPr>
        <w:t xml:space="preserve">To ensure accurate medication records, secure storage, and routine auditing of medication administration, controlled substances, and disposal — integrated with the Quality Management Program. Written to comply with 6 CCR 1011-1 Chapter 7, Part 14.</w:t>
      </w:r>
    </w:p>
    <w:p>
      <w:pPr>
        <w:spacing w:after="80" w:before="160"/>
      </w:pPr>
      <w:r>
        <w:rPr>
          <w:b/>
          <w:bCs/>
          <w:caps/>
          <w:color w:val="1F3864"/>
          <w:sz w:val="22"/>
          <w:szCs w:val="22"/>
        </w:rPr>
        <w:t xml:space="preserve">Definitions</w:t>
      </w:r>
    </w:p>
    <w:p>
      <w:pPr>
        <w:spacing w:after="80" w:line="276"/>
      </w:pPr>
      <w:r>
        <w:rPr>
          <w:b/>
          <w:bCs/>
          <w:sz w:val="22"/>
          <w:szCs w:val="22"/>
        </w:rPr>
        <w:t xml:space="preserve">Medication administration record (MAR) — </w:t>
      </w:r>
      <w:r>
        <w:rPr>
          <w:sz w:val="22"/>
          <w:szCs w:val="22"/>
        </w:rPr>
        <w:t xml:space="preserve">the record of all prescribed and PRN medications for a participant, required by Part 14.29.</w:t>
      </w:r>
    </w:p>
    <w:p>
      <w:pPr>
        <w:spacing w:after="80" w:line="276"/>
      </w:pPr>
      <w:r>
        <w:rPr>
          <w:b/>
          <w:bCs/>
          <w:sz w:val="22"/>
          <w:szCs w:val="22"/>
        </w:rPr>
        <w:t xml:space="preserve">Controlled substance — </w:t>
      </w:r>
      <w:r>
        <w:rPr>
          <w:sz w:val="22"/>
          <w:szCs w:val="22"/>
        </w:rPr>
        <w:t xml:space="preserve">any medication regulated and classified as schedule II through V under the Controlled Substances Act, 21 U.S.C. § 812 (Part 2.16).</w:t>
      </w:r>
    </w:p>
    <w:p>
      <w:pPr>
        <w:spacing w:after="80" w:before="160"/>
      </w:pPr>
      <w:r>
        <w:rPr>
          <w:b/>
          <w:bCs/>
          <w:caps/>
          <w:color w:val="1F3864"/>
          <w:sz w:val="22"/>
          <w:szCs w:val="22"/>
        </w:rPr>
        <w:t xml:space="preserve">Policy</w:t>
      </w:r>
    </w:p>
    <w:p>
      <w:pPr>
        <w:spacing w:after="120" w:line="276"/>
      </w:pPr>
      <w:r>
        <w:rPr>
          <w:sz w:val="22"/>
          <w:szCs w:val="22"/>
        </w:rPr>
        <w:t xml:space="preserve">All prescribed and PRN medications are listed and recorded on a medication administration record (MAR) containing the participant's name and date of birth, room location, known allergies, and the practitioner's name and telephone number; the MAR reflects the name, strength, dosage, and mode of each medication, the order date, the administration date and time, any special considerations, and the signature or initials of the person administering; a legible list of persons using the MAR (with signatures and initials) is maintained; and each administration or monitoring event, including any omission, refusal, and reported response, is documented accurately at the time it is completed (Part 14.29). A separate record is kept for each participant receiving a controlled substance (Part 14.30).</w:t>
      </w:r>
    </w:p>
    <w:p>
      <w:pPr>
        <w:spacing w:after="120" w:line="276"/>
      </w:pPr>
      <w:r>
        <w:rPr>
          <w:sz w:val="22"/>
          <w:szCs w:val="22"/>
        </w:rPr>
        <w:t xml:space="preserve">The administrator and the QMAP supervisor audit, on a quarterly basis, the accuracy and completeness of the medication administration records, controlled-substance list, medication-error reports, and medication-disposal records; any irregularity is investigated and resolved; and audit results are documented and routinely included in the residence's Quality Management Program assessment and review (Part 14.31). The residence maintains policies for documenting, investigating, reporting, and responding to errors related to controlled-substance accounting and medication administration (Part 14.32), and ensures the practitioner and representative are promptly notified of a decline from baseline, a pattern of refusal, repetitive PRN requests, observed or reported unfavorable reactions, administration of emergency angina medication, and medication errors that affect the participant (Part 14.33).</w:t>
      </w:r>
    </w:p>
    <w:p>
      <w:pPr>
        <w:spacing w:after="120" w:line="276"/>
      </w:pPr>
      <w:r>
        <w:rPr>
          <w:sz w:val="22"/>
          <w:szCs w:val="22"/>
        </w:rPr>
        <w:t xml:space="preserve">Medications are stored in original prescribed or manufacturer containers, except those placed in reminder boxes (Part 14.37), in a locked cabinet, cart, or area when unattended (Part 14.38). Controlled substances are kept in double-lock storage; two qualified individuals jointly count all controlled substances at the end of each shift and sign the documentation, and any discrepancy is reported immediately to the administrator (Part 14.39). Refrigerated medications are stored in a medication-only refrigerator and clearly labeled (Part 14.40). Outdated, discontinued, or expired medications not returned are stored locked until disposed (Part 14.41), and a monthly two-person audit of medications designated for disposal — with at least one QMAP — is documented and signed, and records are kept for at least three years (Part 14.42). Medications are returned to the participant or representative on discharge or death unless withheld under Part 14.43, and destruction and disposal follow Part 14.44 — destroyed within 30 days, in the presence of two qualified witnesses, rendered non-retrievable, documented, and disposed of consistent with the medical-waste rules (see Policy 2.01).</w:t>
      </w:r>
    </w:p>
    <w:p>
      <w:pPr>
        <w:spacing w:after="120" w:line="276"/>
      </w:pPr>
      <w:r>
        <w:rPr>
          <w:sz w:val="22"/>
          <w:szCs w:val="22"/>
        </w:rPr>
        <w:t xml:space="preserve">Because brain-injury regimens frequently involve controlled substances such as certain anticonvulsants and psychotropics, [Facility Name] applies rigorous counting, auditing, and error-reporting to protect participant safety.</w:t>
      </w:r>
    </w:p>
    <w:p>
      <w:pPr>
        <w:spacing w:after="80" w:before="160"/>
      </w:pPr>
      <w:r>
        <w:rPr>
          <w:b/>
          <w:bCs/>
          <w:caps/>
          <w:color w:val="1F3864"/>
          <w:sz w:val="22"/>
          <w:szCs w:val="22"/>
        </w:rPr>
        <w:t xml:space="preserve">Procedure</w:t>
      </w:r>
    </w:p>
    <w:p>
      <w:pPr>
        <w:spacing w:after="80" w:line="276"/>
        <w:ind w:left="720" w:hanging="360"/>
      </w:pPr>
      <w:r>
        <w:rPr>
          <w:b/>
          <w:bCs/>
          <w:sz w:val="22"/>
          <w:szCs w:val="22"/>
        </w:rPr>
        <w:t xml:space="preserve">1.  </w:t>
      </w:r>
      <w:r>
        <w:rPr>
          <w:sz w:val="22"/>
          <w:szCs w:val="22"/>
        </w:rPr>
        <w:t xml:space="preserve">Maintain the MAR and separate controlled-substance records with all required elements, documented at the time of each event (Parts 14.29–14.30).</w:t>
      </w:r>
    </w:p>
    <w:p>
      <w:pPr>
        <w:spacing w:after="80" w:line="276"/>
        <w:ind w:left="720" w:hanging="360"/>
      </w:pPr>
      <w:r>
        <w:rPr>
          <w:b/>
          <w:bCs/>
          <w:sz w:val="22"/>
          <w:szCs w:val="22"/>
        </w:rPr>
        <w:t xml:space="preserve">2.  </w:t>
      </w:r>
      <w:r>
        <w:rPr>
          <w:sz w:val="22"/>
          <w:szCs w:val="22"/>
        </w:rPr>
        <w:t xml:space="preserve">Conduct quarterly administrator/QMAP-supervisor audits of records, controlled-substance lists, error reports, and disposal records, feeding the results into the Quality Management Program (Part 14.31).</w:t>
      </w:r>
    </w:p>
    <w:p>
      <w:pPr>
        <w:spacing w:after="80" w:line="276"/>
        <w:ind w:left="720" w:hanging="360"/>
      </w:pPr>
      <w:r>
        <w:rPr>
          <w:b/>
          <w:bCs/>
          <w:sz w:val="22"/>
          <w:szCs w:val="22"/>
        </w:rPr>
        <w:t xml:space="preserve">3.  </w:t>
      </w:r>
      <w:r>
        <w:rPr>
          <w:sz w:val="22"/>
          <w:szCs w:val="22"/>
        </w:rPr>
        <w:t xml:space="preserve">Document, investigate, report, and respond to medication and controlled-substance errors, and notify the practitioner and representative of the Part 14.33 events.</w:t>
      </w:r>
    </w:p>
    <w:p>
      <w:pPr>
        <w:spacing w:after="80" w:line="276"/>
        <w:ind w:left="720" w:hanging="360"/>
      </w:pPr>
      <w:r>
        <w:rPr>
          <w:b/>
          <w:bCs/>
          <w:sz w:val="22"/>
          <w:szCs w:val="22"/>
        </w:rPr>
        <w:t xml:space="preserve">4.  </w:t>
      </w:r>
      <w:r>
        <w:rPr>
          <w:sz w:val="22"/>
          <w:szCs w:val="22"/>
        </w:rPr>
        <w:t xml:space="preserve">Store medications securely; keep controlled substances in double-lock storage with an end-of-shift two-person count and immediate discrepancy reporting (Parts 14.37–14.40).</w:t>
      </w:r>
    </w:p>
    <w:p>
      <w:pPr>
        <w:spacing w:after="80" w:line="276"/>
        <w:ind w:left="720" w:hanging="360"/>
      </w:pPr>
      <w:r>
        <w:rPr>
          <w:b/>
          <w:bCs/>
          <w:sz w:val="22"/>
          <w:szCs w:val="22"/>
        </w:rPr>
        <w:t xml:space="preserve">5.  </w:t>
      </w:r>
      <w:r>
        <w:rPr>
          <w:sz w:val="22"/>
          <w:szCs w:val="22"/>
        </w:rPr>
        <w:t xml:space="preserve">Conduct the monthly two-person disposal audit (with at least one QMAP) and retain records for three years (Part 14.42).</w:t>
      </w:r>
    </w:p>
    <w:p>
      <w:pPr>
        <w:spacing w:after="80" w:line="276"/>
        <w:ind w:left="720" w:hanging="360"/>
      </w:pPr>
      <w:r>
        <w:rPr>
          <w:b/>
          <w:bCs/>
          <w:sz w:val="22"/>
          <w:szCs w:val="22"/>
        </w:rPr>
        <w:t xml:space="preserve">6.  </w:t>
      </w:r>
      <w:r>
        <w:rPr>
          <w:sz w:val="22"/>
          <w:szCs w:val="22"/>
        </w:rPr>
        <w:t xml:space="preserve">Destroy and dispose of medications per Parts 14.43–14.44 and the Waste Disposal and Environmental Policy (2.01).</w:t>
      </w:r>
    </w:p>
    <w:p>
      <w:pPr>
        <w:spacing w:after="80" w:before="160"/>
      </w:pPr>
      <w:r>
        <w:rPr>
          <w:b/>
          <w:bCs/>
          <w:caps/>
          <w:color w:val="1F3864"/>
          <w:sz w:val="22"/>
          <w:szCs w:val="22"/>
        </w:rPr>
        <w:t xml:space="preserve">Related Forms</w:t>
      </w:r>
    </w:p>
    <w:p>
      <w:pPr>
        <w:spacing w:after="120" w:line="276"/>
      </w:pPr>
      <w:r>
        <w:rPr>
          <w:sz w:val="22"/>
          <w:szCs w:val="22"/>
        </w:rPr>
        <w:t xml:space="preserve">Medication Administration Record (MAR)  ·  Controlled Substance Count/Record  ·  Quarterly Medication Audit  ·  Medication Error Report  ·  Medication Destruction/Disposal Log</w:t>
      </w:r>
    </w:p>
    <w:p>
      <w:pPr>
        <w:spacing w:after="80" w:before="160"/>
      </w:pPr>
      <w:r>
        <w:rPr>
          <w:b/>
          <w:bCs/>
          <w:caps/>
          <w:color w:val="1F3864"/>
          <w:sz w:val="22"/>
          <w:szCs w:val="22"/>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260"/>
        <w:gridCol w:w="2300"/>
      </w:tblGrid>
      <w:tr>
        <w:trPr>
          <w:tblHeader/>
        </w:trPr>
        <w:tc>
          <w:tcPr>
            <w:tcW w:type="dxa" w:w="1100"/>
            <w:shd w:fill="D9D9D9" w:color="auto" w:val="clear"/>
            <w:tcMar>
              <w:top w:type="dxa" w:w="60"/>
              <w:left w:type="dxa" w:w="100"/>
              <w:bottom w:type="dxa" w:w="60"/>
              <w:right w:type="dxa" w:w="100"/>
            </w:tcMar>
            <w:vAlign w:val="center"/>
          </w:tcPr>
          <w:p>
            <w:r>
              <w:rPr>
                <w:b/>
                <w:bCs/>
                <w:sz w:val="20"/>
                <w:szCs w:val="20"/>
              </w:rPr>
              <w:t xml:space="preserve">Version</w:t>
            </w:r>
          </w:p>
        </w:tc>
        <w:tc>
          <w:tcPr>
            <w:tcW w:type="dxa" w:w="1700"/>
            <w:shd w:fill="D9D9D9" w:color="auto" w:val="clear"/>
            <w:tcMar>
              <w:top w:type="dxa" w:w="60"/>
              <w:left w:type="dxa" w:w="100"/>
              <w:bottom w:type="dxa" w:w="60"/>
              <w:right w:type="dxa" w:w="100"/>
            </w:tcMar>
            <w:vAlign w:val="center"/>
          </w:tcPr>
          <w:p>
            <w:r>
              <w:rPr>
                <w:b/>
                <w:bCs/>
                <w:sz w:val="20"/>
                <w:szCs w:val="20"/>
              </w:rPr>
              <w:t xml:space="preserve">Date</w:t>
            </w:r>
          </w:p>
        </w:tc>
        <w:tc>
          <w:tcPr>
            <w:tcW w:type="dxa" w:w="4260"/>
            <w:shd w:fill="D9D9D9" w:color="auto" w:val="clear"/>
            <w:tcMar>
              <w:top w:type="dxa" w:w="60"/>
              <w:left w:type="dxa" w:w="100"/>
              <w:bottom w:type="dxa" w:w="60"/>
              <w:right w:type="dxa" w:w="100"/>
            </w:tcMar>
            <w:vAlign w:val="center"/>
          </w:tcPr>
          <w:p>
            <w:r>
              <w:rPr>
                <w:b/>
                <w:bCs/>
                <w:sz w:val="20"/>
                <w:szCs w:val="20"/>
              </w:rPr>
              <w:t xml:space="preserve">Description</w:t>
            </w:r>
          </w:p>
        </w:tc>
        <w:tc>
          <w:tcPr>
            <w:tcW w:type="dxa" w:w="2300"/>
            <w:shd w:fill="D9D9D9" w:color="auto" w:val="clear"/>
            <w:tcMar>
              <w:top w:type="dxa" w:w="60"/>
              <w:left w:type="dxa" w:w="100"/>
              <w:bottom w:type="dxa" w:w="60"/>
              <w:right w:type="dxa" w:w="100"/>
            </w:tcMar>
            <w:vAlign w:val="center"/>
          </w:tcPr>
          <w:p>
            <w:r>
              <w:rPr>
                <w:b/>
                <w:bCs/>
                <w:sz w:val="20"/>
                <w:szCs w:val="20"/>
              </w:rPr>
              <w:t xml:space="preserve">Approved By</w:t>
            </w:r>
          </w:p>
        </w:tc>
      </w:tr>
      <w:tr>
        <w:tc>
          <w:tcPr>
            <w:tcW w:type="dxa" w:w="1100"/>
            <w:tcMar>
              <w:top w:type="dxa" w:w="60"/>
              <w:left w:type="dxa" w:w="100"/>
              <w:bottom w:type="dxa" w:w="60"/>
              <w:right w:type="dxa" w:w="100"/>
            </w:tcMar>
            <w:vAlign w:val="center"/>
          </w:tcPr>
          <w:p>
            <w:r>
              <w:rPr>
                <w:sz w:val="20"/>
                <w:szCs w:val="20"/>
              </w:rPr>
              <w:t xml:space="preserve">1.0</w:t>
            </w:r>
          </w:p>
        </w:tc>
        <w:tc>
          <w:tcPr>
            <w:tcW w:type="dxa" w:w="1700"/>
            <w:tcMar>
              <w:top w:type="dxa" w:w="60"/>
              <w:left w:type="dxa" w:w="100"/>
              <w:bottom w:type="dxa" w:w="60"/>
              <w:right w:type="dxa" w:w="100"/>
            </w:tcMar>
            <w:vAlign w:val="center"/>
          </w:tcPr>
          <w:p>
            <w:r>
              <w:rPr>
                <w:sz w:val="20"/>
                <w:szCs w:val="20"/>
              </w:rPr>
              <w:t xml:space="preserve">[MM/DD/YYYY]</w:t>
            </w:r>
          </w:p>
        </w:tc>
        <w:tc>
          <w:tcPr>
            <w:tcW w:type="dxa" w:w="4260"/>
            <w:tcMar>
              <w:top w:type="dxa" w:w="60"/>
              <w:left w:type="dxa" w:w="100"/>
              <w:bottom w:type="dxa" w:w="60"/>
              <w:right w:type="dxa" w:w="100"/>
            </w:tcMar>
            <w:vAlign w:val="center"/>
          </w:tcPr>
          <w:p>
            <w:r>
              <w:rPr>
                <w:sz w:val="20"/>
                <w:szCs w:val="20"/>
              </w:rPr>
              <w:t xml:space="preserve">Initial policy</w:t>
            </w:r>
          </w:p>
        </w:tc>
        <w:tc>
          <w:tcPr>
            <w:tcW w:type="dxa" w:w="2300"/>
            <w:tcMar>
              <w:top w:type="dxa" w:w="60"/>
              <w:left w:type="dxa" w:w="100"/>
              <w:bottom w:type="dxa" w:w="60"/>
              <w:right w:type="dxa" w:w="100"/>
            </w:tcMar>
            <w:vAlign w:val="center"/>
          </w:tcPr>
          <w:p>
            <w:r>
              <w:rPr>
                <w:sz w:val="20"/>
                <w:szCs w:val="20"/>
              </w:rPr>
              <w:t xml:space="preserve">[Administrator Name]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120"/>
      <w:outlineLvl w:val="0"/>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&amp; Procedure Manual — SLP Brain Injury Residential</dc:title>
  <dc:creator>[Facility Name]</dc:creator>
  <cp:lastModifiedBy>Un-named</cp:lastModifiedBy>
  <cp:revision>1</cp:revision>
  <dcterms:created xsi:type="dcterms:W3CDTF">2026-07-05T10:35:21.734Z</dcterms:created>
  <dcterms:modified xsi:type="dcterms:W3CDTF">2026-07-05T10:35:21.734Z</dcterms:modified>
</cp:coreProperties>
</file>

<file path=docProps/custom.xml><?xml version="1.0" encoding="utf-8"?>
<Properties xmlns="http://schemas.openxmlformats.org/officeDocument/2006/custom-properties" xmlns:vt="http://schemas.openxmlformats.org/officeDocument/2006/docPropsVTypes"/>
</file>