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61C18"/>
          <w:sz w:val="30"/>
          <w:szCs w:val="30"/>
        </w:rPr>
        <w:t xml:space="preserve">[PROVIDER NAME]</w:t>
      </w:r>
    </w:p>
    <w:p>
      <w:pPr>
        <w:spacing w:after="30" w:line="276"/>
        <w:jc w:val="center"/>
      </w:pPr>
      <w:r>
        <w:rPr>
          <w:b/>
          <w:bCs/>
          <w:color w:val="1A4731"/>
          <w:sz w:val="24"/>
          <w:szCs w:val="24"/>
        </w:rPr>
        <w:t xml:space="preserve">Tennessee Family Model Residential (Host Home) Provider</w:t>
      </w:r>
    </w:p>
    <w:p>
      <w:pPr>
        <w:spacing w:after="20" w:line="276"/>
        <w:jc w:val="center"/>
      </w:pPr>
      <w:r>
        <w:rPr>
          <w:b/>
          <w:bCs/>
          <w:color w:val="161C18"/>
          <w:sz w:val="26"/>
          <w:szCs w:val="26"/>
        </w:rPr>
        <w:t xml:space="preserve">Individual Provider Policy &amp; Procedure Manual</w:t>
      </w:r>
    </w:p>
    <w:p>
      <w:pPr>
        <w:spacing w:after="220" w:line="276"/>
        <w:jc w:val="center"/>
      </w:pPr>
      <w:r>
        <w:rPr>
          <w:i/>
          <w:iCs/>
          <w:color w:val="6B7870"/>
          <w:sz w:val="20"/>
          <w:szCs w:val="20"/>
        </w:rPr>
        <w:t xml:space="preserve">Family Model Residential / Host Home Provider Edition</w:t>
      </w:r>
    </w:p>
    <w:p>
      <w:pPr>
        <w:pBdr>
          <w:top w:val="single" w:color="1A4731" w:sz="6"/>
        </w:pBdr>
        <w:spacing w:after="120"/>
      </w:pPr>
    </w:p>
    <w:p>
      <w:pPr>
        <w:spacing w:after="40" w:before="120"/>
      </w:pPr>
      <w:r>
        <w:rPr>
          <w:b/>
          <w:bCs/>
          <w:caps/>
          <w:color w:val="1A4731"/>
          <w:sz w:val="20"/>
          <w:szCs w:val="20"/>
        </w:rPr>
        <w:t xml:space="preserve">Regulatory Authority</w:t>
      </w:r>
    </w:p>
    <w:p>
      <w:pPr>
        <w:spacing w:after="200" w:line="276"/>
      </w:pPr>
      <w:r>
        <w:rPr>
          <w:color w:val="161C18"/>
          <w:sz w:val="19"/>
          <w:szCs w:val="19"/>
        </w:rPr>
        <w:t xml:space="preserve">T.C.A. Title 33 (§ 33-2-1201) · TennCare Rule 1200-12-01 · HCBS Settings Rule (42 CFR 441.301) · DIDD Provider Manual — Residential Services · ECF CHOICES / 1915(c) Waivers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c>
          <w:tcPr>
            <w:tcW w:type="dxa" w:w="3000"/>
            <w:tcBorders>
              <w:top w:val="none" w:color="FFFFFF" w:sz="0"/>
              <w:left w:val="none" w:color="FFFFFF" w:sz="0"/>
              <w:bottom w:val="none" w:color="FFFFFF" w:sz="0"/>
              <w:right w:val="none" w:color="FFFFFF" w:sz="0"/>
            </w:tcBorders>
          </w:tcPr>
          <w:p>
            <w:r>
              <w:rPr>
                <w:b/>
                <w:bCs/>
                <w:color w:val="1A4731"/>
                <w:sz w:val="19"/>
                <w:szCs w:val="19"/>
              </w:rPr>
              <w:t xml:space="preserve">Provider Name:</w:t>
            </w:r>
          </w:p>
        </w:tc>
        <w:tc>
          <w:tcPr>
            <w:tcW w:type="dxa" w:w="6360"/>
            <w:tcBorders>
              <w:top w:val="none" w:color="FFFFFF" w:sz="0"/>
              <w:left w:val="none" w:color="FFFFFF" w:sz="0"/>
              <w:bottom w:val="none" w:color="FFFFFF" w:sz="0"/>
              <w:right w:val="none" w:color="FFFFFF" w:sz="0"/>
            </w:tcBorders>
          </w:tcPr>
          <w:p>
            <w:r>
              <w:rPr>
                <w:color w:val="161C18"/>
                <w:sz w:val="19"/>
                <w:szCs w:val="19"/>
              </w:rPr>
              <w:t xml:space="preserve">[Provider Name]</w:t>
            </w:r>
          </w:p>
        </w:tc>
      </w:tr>
      <w:tr>
        <w:tc>
          <w:tcPr>
            <w:tcW w:type="dxa" w:w="3000"/>
            <w:tcBorders>
              <w:top w:val="none" w:color="FFFFFF" w:sz="0"/>
              <w:left w:val="none" w:color="FFFFFF" w:sz="0"/>
              <w:bottom w:val="none" w:color="FFFFFF" w:sz="0"/>
              <w:right w:val="none" w:color="FFFFFF" w:sz="0"/>
            </w:tcBorders>
          </w:tcPr>
          <w:p>
            <w:r>
              <w:rPr>
                <w:b/>
                <w:bCs/>
                <w:color w:val="1A4731"/>
                <w:sz w:val="19"/>
                <w:szCs w:val="19"/>
              </w:rPr>
              <w:t xml:space="preserve">Home Address:</w:t>
            </w:r>
          </w:p>
        </w:tc>
        <w:tc>
          <w:tcPr>
            <w:tcW w:type="dxa" w:w="6360"/>
            <w:tcBorders>
              <w:top w:val="none" w:color="FFFFFF" w:sz="0"/>
              <w:left w:val="none" w:color="FFFFFF" w:sz="0"/>
              <w:bottom w:val="none" w:color="FFFFFF" w:sz="0"/>
              <w:right w:val="none" w:color="FFFFFF" w:sz="0"/>
            </w:tcBorders>
          </w:tcPr>
          <w:p>
            <w:r>
              <w:rPr>
                <w:color w:val="161C18"/>
                <w:sz w:val="19"/>
                <w:szCs w:val="19"/>
              </w:rPr>
              <w:t xml:space="preserve">[Address]</w:t>
            </w:r>
          </w:p>
        </w:tc>
      </w:tr>
      <w:tr>
        <w:tc>
          <w:tcPr>
            <w:tcW w:type="dxa" w:w="3000"/>
            <w:tcBorders>
              <w:top w:val="none" w:color="FFFFFF" w:sz="0"/>
              <w:left w:val="none" w:color="FFFFFF" w:sz="0"/>
              <w:bottom w:val="none" w:color="FFFFFF" w:sz="0"/>
              <w:right w:val="none" w:color="FFFFFF" w:sz="0"/>
            </w:tcBorders>
          </w:tcPr>
          <w:p>
            <w:r>
              <w:rPr>
                <w:b/>
                <w:bCs/>
                <w:color w:val="1A4731"/>
                <w:sz w:val="19"/>
                <w:szCs w:val="19"/>
              </w:rPr>
              <w:t xml:space="preserve">Contracting Agency / MCO:</w:t>
            </w:r>
          </w:p>
        </w:tc>
        <w:tc>
          <w:tcPr>
            <w:tcW w:type="dxa" w:w="6360"/>
            <w:tcBorders>
              <w:top w:val="none" w:color="FFFFFF" w:sz="0"/>
              <w:left w:val="none" w:color="FFFFFF" w:sz="0"/>
              <w:bottom w:val="none" w:color="FFFFFF" w:sz="0"/>
              <w:right w:val="none" w:color="FFFFFF" w:sz="0"/>
            </w:tcBorders>
          </w:tcPr>
          <w:p>
            <w:r>
              <w:rPr>
                <w:color w:val="161C18"/>
                <w:sz w:val="19"/>
                <w:szCs w:val="19"/>
              </w:rPr>
              <w:t xml:space="preserve">[Provider Agency / Managed Care Organization]</w:t>
            </w:r>
          </w:p>
        </w:tc>
      </w:tr>
      <w:tr>
        <w:tc>
          <w:tcPr>
            <w:tcW w:type="dxa" w:w="3000"/>
            <w:tcBorders>
              <w:top w:val="none" w:color="FFFFFF" w:sz="0"/>
              <w:left w:val="none" w:color="FFFFFF" w:sz="0"/>
              <w:bottom w:val="none" w:color="FFFFFF" w:sz="0"/>
              <w:right w:val="none" w:color="FFFFFF" w:sz="0"/>
            </w:tcBorders>
          </w:tcPr>
          <w:p>
            <w:r>
              <w:rPr>
                <w:b/>
                <w:bCs/>
                <w:color w:val="1A4731"/>
                <w:sz w:val="19"/>
                <w:szCs w:val="19"/>
              </w:rPr>
              <w:t xml:space="preserve">DIDD Provider / Contract #:</w:t>
            </w:r>
          </w:p>
        </w:tc>
        <w:tc>
          <w:tcPr>
            <w:tcW w:type="dxa" w:w="6360"/>
            <w:tcBorders>
              <w:top w:val="none" w:color="FFFFFF" w:sz="0"/>
              <w:left w:val="none" w:color="FFFFFF" w:sz="0"/>
              <w:bottom w:val="none" w:color="FFFFFF" w:sz="0"/>
              <w:right w:val="none" w:color="FFFFFF" w:sz="0"/>
            </w:tcBorders>
          </w:tcPr>
          <w:p>
            <w:r>
              <w:rPr>
                <w:color w:val="161C18"/>
                <w:sz w:val="19"/>
                <w:szCs w:val="19"/>
              </w:rPr>
              <w:t xml:space="preserve">[Provider ID]</w:t>
            </w:r>
          </w:p>
        </w:tc>
      </w:tr>
      <w:tr>
        <w:tc>
          <w:tcPr>
            <w:tcW w:type="dxa" w:w="3000"/>
            <w:tcBorders>
              <w:top w:val="none" w:color="FFFFFF" w:sz="0"/>
              <w:left w:val="none" w:color="FFFFFF" w:sz="0"/>
              <w:bottom w:val="none" w:color="FFFFFF" w:sz="0"/>
              <w:right w:val="none" w:color="FFFFFF" w:sz="0"/>
            </w:tcBorders>
          </w:tcPr>
          <w:p>
            <w:r>
              <w:rPr>
                <w:b/>
                <w:bCs/>
                <w:color w:val="1A4731"/>
                <w:sz w:val="19"/>
                <w:szCs w:val="19"/>
              </w:rPr>
              <w:t xml:space="preserve">Effective Date:</w:t>
            </w:r>
          </w:p>
        </w:tc>
        <w:tc>
          <w:tcPr>
            <w:tcW w:type="dxa" w:w="6360"/>
            <w:tcBorders>
              <w:top w:val="none" w:color="FFFFFF" w:sz="0"/>
              <w:left w:val="none" w:color="FFFFFF" w:sz="0"/>
              <w:bottom w:val="none" w:color="FFFFFF" w:sz="0"/>
              <w:right w:val="none" w:color="FFFFFF" w:sz="0"/>
            </w:tcBorders>
          </w:tcPr>
          <w:p>
            <w:r>
              <w:rPr>
                <w:color w:val="161C18"/>
                <w:sz w:val="19"/>
                <w:szCs w:val="19"/>
              </w:rPr>
              <w:t xml:space="preserve">[Date]</w:t>
            </w:r>
          </w:p>
        </w:tc>
      </w:tr>
      <w:tr>
        <w:tc>
          <w:tcPr>
            <w:tcW w:type="dxa" w:w="3000"/>
            <w:tcBorders>
              <w:top w:val="none" w:color="FFFFFF" w:sz="0"/>
              <w:left w:val="none" w:color="FFFFFF" w:sz="0"/>
              <w:bottom w:val="none" w:color="FFFFFF" w:sz="0"/>
              <w:right w:val="none" w:color="FFFFFF" w:sz="0"/>
            </w:tcBorders>
          </w:tcPr>
          <w:p>
            <w:r>
              <w:rPr>
                <w:b/>
                <w:bCs/>
                <w:color w:val="1A4731"/>
                <w:sz w:val="19"/>
                <w:szCs w:val="19"/>
              </w:rPr>
              <w:t xml:space="preserve">County:</w:t>
            </w:r>
          </w:p>
        </w:tc>
        <w:tc>
          <w:tcPr>
            <w:tcW w:type="dxa" w:w="6360"/>
            <w:tcBorders>
              <w:top w:val="none" w:color="FFFFFF" w:sz="0"/>
              <w:left w:val="none" w:color="FFFFFF" w:sz="0"/>
              <w:bottom w:val="none" w:color="FFFFFF" w:sz="0"/>
              <w:right w:val="none" w:color="FFFFFF" w:sz="0"/>
            </w:tcBorders>
          </w:tcPr>
          <w:p>
            <w:r>
              <w:rPr>
                <w:color w:val="161C18"/>
                <w:sz w:val="19"/>
                <w:szCs w:val="19"/>
              </w:rPr>
              <w:t xml:space="preserve">[County Name]</w:t>
            </w:r>
          </w:p>
        </w:tc>
      </w:tr>
    </w:tbl>
    <w:p>
      <w:pPr>
        <w:spacing w:after="200" w:before="220"/>
        <w:jc w:val="center"/>
      </w:pPr>
      <w:r>
        <w:rPr>
          <w:b/>
          <w:bCs/>
          <w:color w:val="6B7870"/>
          <w:sz w:val="18"/>
          <w:szCs w:val="18"/>
        </w:rPr>
        <w:t xml:space="preserve">CONFIDENTIAL — FOR INTERNAL USE ONLY</w:t>
      </w:r>
    </w:p>
    <w:p>
      <w:pPr>
        <w:pBdr>
          <w:top w:val="single" w:color="E7CBA9" w:sz="2"/>
          <w:bottom w:val="single" w:color="E7CBA9" w:sz="2"/>
          <w:left w:val="single" w:color="E7CBA9" w:sz="2"/>
          <w:right w:val="single" w:color="E7CBA9" w:sz="2"/>
        </w:pBdr>
        <w:shd w:fill="FBF3E8" w:val="clear"/>
        <w:spacing w:after="80" w:before="80" w:line="276"/>
      </w:pPr>
      <w:r>
        <w:rPr>
          <w:b/>
          <w:bCs/>
          <w:color w:val="9A5916"/>
          <w:sz w:val="19"/>
          <w:szCs w:val="19"/>
        </w:rPr>
        <w:t xml:space="preserve">Licensing disclaimer: </w:t>
      </w:r>
      <w:r>
        <w:rPr>
          <w:color w:val="6B4A1E"/>
          <w:sz w:val="19"/>
          <w:szCs w:val="19"/>
        </w:rPr>
        <w:t xml:space="preserve">This manual is a professionally structured starting-point document built to Tennessee's Family Model Residential requirements and license type. It is not legal advice and does not guarantee licensure or contract approval. Bracketed fields must be completed and every policy adapted to your actual operations; verify current requirements with DIDD, your contracting agency/MCO, and TennCare before submitting.</w:t>
      </w:r>
    </w:p>
    <w:p>
      <w:r>
        <w:br w:type="page"/>
      </w:r>
    </w:p>
    <w:p>
      <w:pPr>
        <w:pStyle w:val="Heading1"/>
        <w:pBdr>
          <w:bottom w:val="single" w:color="1A4731" w:sz="2"/>
        </w:pBdr>
        <w:shd w:fill="1A4731" w:val="clear"/>
        <w:spacing w:after="60" w:before="60"/>
      </w:pPr>
      <w:r>
        <w:rPr>
          <w:b/>
          <w:bCs/>
          <w:color w:val="FFFFFF"/>
          <w:sz w:val="28"/>
          <w:szCs w:val="28"/>
        </w:rPr>
        <w:t xml:space="preserve">SECTION A: ADMINISTRATION &amp; GOVERNANCE</w:t>
      </w:r>
    </w:p>
    <w:p>
      <w:pPr>
        <w:spacing w:after="120"/>
      </w:pPr>
      <w:r>
        <w:rPr>
          <w:sz w:val="8"/>
          <w:szCs w:val="8"/>
        </w:rPr>
        <w:t xml:space="preserve"/>
      </w:r>
    </w:p>
    <w:p>
      <w:pPr>
        <w:pStyle w:val="Heading2"/>
        <w:spacing w:after="100" w:before="260"/>
      </w:pPr>
      <w:r>
        <w:rPr>
          <w:b/>
          <w:bCs/>
          <w:color w:val="1A4731"/>
          <w:sz w:val="24"/>
          <w:szCs w:val="24"/>
        </w:rPr>
        <w:t xml:space="preserve">Policy 1.00 — Individual Rights, HCBS Settings &amp; Rights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 TennCare HCBS Settings Rule; DIDD Provider Manual</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each member supported in this Family Model Residential (host home) setting exercises the same rights, privacy, dignity, and community access as any other Tennessean, consistent with the federal HCBS Settings Rule and DIDD requirements.</w:t>
      </w:r>
    </w:p>
    <w:p>
      <w:pPr>
        <w:spacing w:after="40" w:before="120"/>
      </w:pPr>
      <w:r>
        <w:rPr>
          <w:b/>
          <w:bCs/>
          <w:caps/>
          <w:color w:val="1A4731"/>
          <w:sz w:val="20"/>
          <w:szCs w:val="20"/>
        </w:rPr>
        <w:t xml:space="preserve">Policy</w:t>
      </w:r>
    </w:p>
    <w:p>
      <w:pPr>
        <w:spacing w:after="120" w:line="276"/>
      </w:pPr>
      <w:r>
        <w:rPr>
          <w:color w:val="161C18"/>
          <w:sz w:val="21"/>
          <w:szCs w:val="21"/>
        </w:rPr>
        <w:t xml:space="preserve">Each member has the right to privacy in their bedroom (including a lockable door where appropriate), to choose their daily schedule, food, visitors, and activities, to access the greater community, and to a legally enforceable residency agreement. Any modification of a right must be justified by a specific assessed need in the member's Person-Centered Support Plan (PCSP), reviewed through the required process, time-limited, and regularly re-evaluated — never used for staff convenience.</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Family Model Residential / Host Home: a DIDD service in which a member with I/DD lives in the private home of a trained care provider.</w:t>
      </w:r>
    </w:p>
    <w:p>
      <w:pPr>
        <w:pStyle w:val="ListParagraph"/>
        <w:numPr>
          <w:ilvl w:val="0"/>
          <w:numId w:val="2"/>
        </w:numPr>
        <w:spacing w:after="60" w:line="276"/>
      </w:pPr>
      <w:r>
        <w:rPr>
          <w:color w:val="161C18"/>
          <w:sz w:val="21"/>
          <w:szCs w:val="21"/>
        </w:rPr>
        <w:t xml:space="preserve">PCSP: Person-Centered Support Plan developed by the member's support coordination team.</w:t>
      </w:r>
    </w:p>
    <w:p>
      <w:pPr>
        <w:pStyle w:val="ListParagraph"/>
        <w:numPr>
          <w:ilvl w:val="0"/>
          <w:numId w:val="2"/>
        </w:numPr>
        <w:spacing w:after="60" w:line="276"/>
      </w:pPr>
      <w:r>
        <w:rPr>
          <w:color w:val="161C18"/>
          <w:sz w:val="21"/>
          <w:szCs w:val="21"/>
        </w:rPr>
        <w:t xml:space="preserve">HCBS Settings Rule: 42 CFR 441.301(c) requirements for home and community-based settings.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Post and review member rights with each member and their representative at placement and at least annually.</w:t>
      </w:r>
    </w:p>
    <w:p>
      <w:pPr>
        <w:pStyle w:val="ListParagraph"/>
        <w:numPr>
          <w:ilvl w:val="0"/>
          <w:numId w:val="3"/>
        </w:numPr>
        <w:spacing w:after="60" w:line="276"/>
      </w:pPr>
      <w:r>
        <w:rPr>
          <w:color w:val="161C18"/>
          <w:sz w:val="21"/>
          <w:szCs w:val="21"/>
        </w:rPr>
        <w:t xml:space="preserve">Provide a written, legally enforceable residency agreement that gives protections comparable to a lease.</w:t>
      </w:r>
    </w:p>
    <w:p>
      <w:pPr>
        <w:pStyle w:val="ListParagraph"/>
        <w:numPr>
          <w:ilvl w:val="0"/>
          <w:numId w:val="3"/>
        </w:numPr>
        <w:spacing w:after="60" w:line="276"/>
      </w:pPr>
      <w:r>
        <w:rPr>
          <w:color w:val="161C18"/>
          <w:sz w:val="21"/>
          <w:szCs w:val="21"/>
        </w:rPr>
        <w:t xml:space="preserve">Support member choice in daily routine, meals, visitors, privacy, and community participation.</w:t>
      </w:r>
    </w:p>
    <w:p>
      <w:pPr>
        <w:pStyle w:val="ListParagraph"/>
        <w:numPr>
          <w:ilvl w:val="0"/>
          <w:numId w:val="3"/>
        </w:numPr>
        <w:spacing w:after="60" w:line="276"/>
      </w:pPr>
      <w:r>
        <w:rPr>
          <w:color w:val="161C18"/>
          <w:sz w:val="21"/>
          <w:szCs w:val="21"/>
        </w:rPr>
        <w:t xml:space="preserve">If a rights restriction is necessary, ensure it is documented in the PCSP with a specific assessed need, informed consent, less-intrusive alternatives tried, data collection, and a review timeline.</w:t>
      </w:r>
    </w:p>
    <w:p>
      <w:pPr>
        <w:pStyle w:val="ListParagraph"/>
        <w:numPr>
          <w:ilvl w:val="0"/>
          <w:numId w:val="3"/>
        </w:numPr>
        <w:spacing w:after="60" w:line="276"/>
      </w:pPr>
      <w:r>
        <w:rPr>
          <w:color w:val="161C18"/>
          <w:sz w:val="21"/>
          <w:szCs w:val="21"/>
        </w:rPr>
        <w:t xml:space="preserve">Report suspected rights violations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Member Rights Acknowledgment</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Rights Modification / Human Rights review record</w:t>
      </w:r>
    </w:p>
    <w:p>
      <w:pPr>
        <w:pStyle w:val="Heading2"/>
        <w:spacing w:after="100" w:before="260"/>
      </w:pPr>
      <w:r>
        <w:rPr>
          <w:b/>
          <w:bCs/>
          <w:color w:val="1A4731"/>
          <w:sz w:val="24"/>
          <w:szCs w:val="24"/>
        </w:rPr>
        <w:t xml:space="preserve">Policy 1.01 — Confidentiality &amp; Health Information Management (HIPAA)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45 CFR Parts 160/164 (HIPAA); T.C.A. Title 33, Part 3 (confidentiality)</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privacy and security of each member's protected health information (PHI) and records in the home.</w:t>
      </w:r>
    </w:p>
    <w:p>
      <w:pPr>
        <w:spacing w:after="40" w:before="120"/>
      </w:pPr>
      <w:r>
        <w:rPr>
          <w:b/>
          <w:bCs/>
          <w:caps/>
          <w:color w:val="1A4731"/>
          <w:sz w:val="20"/>
          <w:szCs w:val="20"/>
        </w:rPr>
        <w:t xml:space="preserve">Policy</w:t>
      </w:r>
    </w:p>
    <w:p>
      <w:pPr>
        <w:spacing w:after="120" w:line="276"/>
      </w:pPr>
      <w:r>
        <w:rPr>
          <w:color w:val="161C18"/>
          <w:sz w:val="21"/>
          <w:szCs w:val="21"/>
        </w:rPr>
        <w:t xml:space="preserve">Member information is disclosed only to authorized members of the support team, the contracting agency/MCO, DIDD, and others with a legal right or the member's written authorization. Records are stored securely; electronic records (e.g., Therap) are password-protected and never shared on unsecured channels.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written authorization before releasing PHI outside the treatment/payment/operations circle.</w:t>
      </w:r>
    </w:p>
    <w:p>
      <w:pPr>
        <w:pStyle w:val="ListParagraph"/>
        <w:numPr>
          <w:ilvl w:val="0"/>
          <w:numId w:val="3"/>
        </w:numPr>
        <w:spacing w:after="60" w:line="276"/>
      </w:pPr>
      <w:r>
        <w:rPr>
          <w:color w:val="161C18"/>
          <w:sz w:val="21"/>
          <w:szCs w:val="21"/>
        </w:rPr>
        <w:t xml:space="preserve">Store paper records in a locked location; keep Therap and other electronic records password-protected.</w:t>
      </w:r>
    </w:p>
    <w:p>
      <w:pPr>
        <w:pStyle w:val="ListParagraph"/>
        <w:numPr>
          <w:ilvl w:val="0"/>
          <w:numId w:val="3"/>
        </w:numPr>
        <w:spacing w:after="60" w:line="276"/>
      </w:pPr>
      <w:r>
        <w:rPr>
          <w:color w:val="161C18"/>
          <w:sz w:val="21"/>
          <w:szCs w:val="21"/>
        </w:rPr>
        <w:t xml:space="preserve">Limit disclosures to the minimum necessary.</w:t>
      </w:r>
    </w:p>
    <w:p>
      <w:pPr>
        <w:pStyle w:val="ListParagraph"/>
        <w:numPr>
          <w:ilvl w:val="0"/>
          <w:numId w:val="3"/>
        </w:numPr>
        <w:spacing w:after="60" w:line="276"/>
      </w:pPr>
      <w:r>
        <w:rPr>
          <w:color w:val="161C18"/>
          <w:sz w:val="21"/>
          <w:szCs w:val="21"/>
        </w:rPr>
        <w:t xml:space="preserve">Report any suspected breach to the contracting agency immediately and follow breach-notification requirements.</w:t>
      </w:r>
    </w:p>
    <w:p>
      <w:pPr>
        <w:pStyle w:val="ListParagraph"/>
        <w:numPr>
          <w:ilvl w:val="0"/>
          <w:numId w:val="3"/>
        </w:numPr>
        <w:spacing w:after="60" w:line="276"/>
      </w:pPr>
      <w:r>
        <w:rPr>
          <w:color w:val="161C18"/>
          <w:sz w:val="21"/>
          <w:szCs w:val="21"/>
        </w:rPr>
        <w:t xml:space="preserve">Retain and dispose of records per Policy 6.01.</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Authorization for Release of Information</w:t>
      </w:r>
    </w:p>
    <w:p>
      <w:pPr>
        <w:pStyle w:val="ListParagraph"/>
        <w:numPr>
          <w:ilvl w:val="0"/>
          <w:numId w:val="2"/>
        </w:numPr>
        <w:spacing w:after="60" w:line="276"/>
      </w:pPr>
      <w:r>
        <w:rPr>
          <w:color w:val="161C18"/>
          <w:sz w:val="21"/>
          <w:szCs w:val="21"/>
        </w:rPr>
        <w:t xml:space="preserve">Confidentiality Acknowledgment</w:t>
      </w:r>
    </w:p>
    <w:p>
      <w:pPr>
        <w:pStyle w:val="Heading2"/>
        <w:spacing w:after="100" w:before="260"/>
      </w:pPr>
      <w:r>
        <w:rPr>
          <w:b/>
          <w:bCs/>
          <w:color w:val="1A4731"/>
          <w:sz w:val="24"/>
          <w:szCs w:val="24"/>
        </w:rPr>
        <w:t xml:space="preserve">Policy 1.02 — Non-Discrimination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Title VI Civil Rights Act; ADA (1990); Section 504 Rehabilitation Act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members are supported without discrimination and that communication and the home are accessible.</w:t>
      </w:r>
    </w:p>
    <w:p>
      <w:pPr>
        <w:spacing w:after="40" w:before="120"/>
      </w:pPr>
      <w:r>
        <w:rPr>
          <w:b/>
          <w:bCs/>
          <w:caps/>
          <w:color w:val="1A4731"/>
          <w:sz w:val="20"/>
          <w:szCs w:val="20"/>
        </w:rPr>
        <w:t xml:space="preserve">Policy</w:t>
      </w:r>
    </w:p>
    <w:p>
      <w:pPr>
        <w:spacing w:after="120" w:line="276"/>
      </w:pPr>
      <w:r>
        <w:rPr>
          <w:color w:val="161C18"/>
          <w:sz w:val="21"/>
          <w:szCs w:val="21"/>
        </w:rPr>
        <w:t xml:space="preserve">Services are provided without regard to race, color, national origin, religion, sex, age, sexual orientation, gender identity, or disability. Reasonable accommodations and effective communication (including interpretation) are provided as needed.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language and communication assistance on request at no cost to the member.</w:t>
      </w:r>
    </w:p>
    <w:p>
      <w:pPr>
        <w:pStyle w:val="ListParagraph"/>
        <w:numPr>
          <w:ilvl w:val="0"/>
          <w:numId w:val="3"/>
        </w:numPr>
        <w:spacing w:after="60" w:line="276"/>
      </w:pPr>
      <w:r>
        <w:rPr>
          <w:color w:val="161C18"/>
          <w:sz w:val="21"/>
          <w:szCs w:val="21"/>
        </w:rPr>
        <w:t xml:space="preserve">Make reasonable modifications to the home and routine to support access.</w:t>
      </w:r>
    </w:p>
    <w:p>
      <w:pPr>
        <w:pStyle w:val="ListParagraph"/>
        <w:numPr>
          <w:ilvl w:val="0"/>
          <w:numId w:val="3"/>
        </w:numPr>
        <w:spacing w:after="60" w:line="276"/>
      </w:pPr>
      <w:r>
        <w:rPr>
          <w:color w:val="161C18"/>
          <w:sz w:val="21"/>
          <w:szCs w:val="21"/>
        </w:rPr>
        <w:t xml:space="preserve">Post non-discrimination information and grievance contacts.</w:t>
      </w:r>
    </w:p>
    <w:p>
      <w:pPr>
        <w:pStyle w:val="ListParagraph"/>
        <w:numPr>
          <w:ilvl w:val="0"/>
          <w:numId w:val="3"/>
        </w:numPr>
        <w:spacing w:after="60" w:line="276"/>
      </w:pPr>
      <w:r>
        <w:rPr>
          <w:color w:val="161C18"/>
          <w:sz w:val="21"/>
          <w:szCs w:val="21"/>
        </w:rPr>
        <w:t xml:space="preserve">Document accommodations in the member's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Accommodation Request/Record</w:t>
      </w:r>
    </w:p>
    <w:p>
      <w:pPr>
        <w:pStyle w:val="Heading2"/>
        <w:spacing w:after="100" w:before="260"/>
      </w:pPr>
      <w:r>
        <w:rPr>
          <w:b/>
          <w:bCs/>
          <w:color w:val="1A4731"/>
          <w:sz w:val="24"/>
          <w:szCs w:val="24"/>
        </w:rPr>
        <w:t xml:space="preserve">Policy 1.03 — Feedback, Grievance &amp; Complaint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TennCare grievance rules; DIDD Provider Manual; 42 CFR 438.400 et seq.</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give members and their representatives a clear, retaliation-free way to raise concerns and have them resolved.</w:t>
      </w:r>
    </w:p>
    <w:p>
      <w:pPr>
        <w:spacing w:after="40" w:before="120"/>
      </w:pPr>
      <w:r>
        <w:rPr>
          <w:b/>
          <w:bCs/>
          <w:caps/>
          <w:color w:val="1A4731"/>
          <w:sz w:val="20"/>
          <w:szCs w:val="20"/>
        </w:rPr>
        <w:t xml:space="preserve">Policy</w:t>
      </w:r>
    </w:p>
    <w:p>
      <w:pPr>
        <w:spacing w:after="120" w:line="276"/>
      </w:pPr>
      <w:r>
        <w:rPr>
          <w:color w:val="161C18"/>
          <w:sz w:val="21"/>
          <w:szCs w:val="21"/>
        </w:rPr>
        <w:t xml:space="preserve">Members may voice a grievance at any time to the provider, their support coordinator, the MCO, or DIDD without fear of retaliation. Grievances are acknowledged promptly, investigated, and resolved with written notice of the outcome.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Explain grievance rights and contacts (provider, support coordinator, MCO, DIDD, TennCare LTSS Help Desk) at placement and annually.</w:t>
      </w:r>
    </w:p>
    <w:p>
      <w:pPr>
        <w:pStyle w:val="ListParagraph"/>
        <w:numPr>
          <w:ilvl w:val="0"/>
          <w:numId w:val="3"/>
        </w:numPr>
        <w:spacing w:after="60" w:line="276"/>
      </w:pPr>
      <w:r>
        <w:rPr>
          <w:color w:val="161C18"/>
          <w:sz w:val="21"/>
          <w:szCs w:val="21"/>
        </w:rPr>
        <w:t xml:space="preserve">Document each grievance, the investigation, and the resolution.</w:t>
      </w:r>
    </w:p>
    <w:p>
      <w:pPr>
        <w:pStyle w:val="ListParagraph"/>
        <w:numPr>
          <w:ilvl w:val="0"/>
          <w:numId w:val="3"/>
        </w:numPr>
        <w:spacing w:after="60" w:line="276"/>
      </w:pPr>
      <w:r>
        <w:rPr>
          <w:color w:val="161C18"/>
          <w:sz w:val="21"/>
          <w:szCs w:val="21"/>
        </w:rPr>
        <w:t xml:space="preserve">Acknowledge and resolve grievances within the timeframes required by the MCO/TennCare.</w:t>
      </w:r>
    </w:p>
    <w:p>
      <w:pPr>
        <w:pStyle w:val="ListParagraph"/>
        <w:numPr>
          <w:ilvl w:val="0"/>
          <w:numId w:val="3"/>
        </w:numPr>
        <w:spacing w:after="60" w:line="276"/>
      </w:pPr>
      <w:r>
        <w:rPr>
          <w:color w:val="161C18"/>
          <w:sz w:val="21"/>
          <w:szCs w:val="21"/>
        </w:rPr>
        <w:t xml:space="preserve">Escalate unresolved or serious grievances to the contracting agency and DIDD.</w:t>
      </w:r>
    </w:p>
    <w:p>
      <w:pPr>
        <w:pStyle w:val="ListParagraph"/>
        <w:numPr>
          <w:ilvl w:val="0"/>
          <w:numId w:val="3"/>
        </w:numPr>
        <w:spacing w:after="60" w:line="276"/>
      </w:pPr>
      <w:r>
        <w:rPr>
          <w:color w:val="161C18"/>
          <w:sz w:val="21"/>
          <w:szCs w:val="21"/>
        </w:rPr>
        <w:t xml:space="preserve">Never retaliate against a member for filing a grievance.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Grievance/Complaint Log</w:t>
      </w:r>
    </w:p>
    <w:p>
      <w:pPr>
        <w:pStyle w:val="ListParagraph"/>
        <w:numPr>
          <w:ilvl w:val="0"/>
          <w:numId w:val="2"/>
        </w:numPr>
        <w:spacing w:after="60" w:line="276"/>
      </w:pPr>
      <w:r>
        <w:rPr>
          <w:color w:val="161C18"/>
          <w:sz w:val="21"/>
          <w:szCs w:val="21"/>
        </w:rPr>
        <w:t xml:space="preserve">Grievance Resolution Notice</w:t>
      </w:r>
    </w:p>
    <w:p>
      <w:pPr>
        <w:pStyle w:val="Heading2"/>
        <w:spacing w:after="100" w:before="260"/>
      </w:pPr>
      <w:r>
        <w:rPr>
          <w:b/>
          <w:bCs/>
          <w:color w:val="1A4731"/>
          <w:sz w:val="24"/>
          <w:szCs w:val="24"/>
        </w:rPr>
        <w:t xml:space="preserve">Policy 1.04 — Relief Care, Planned Absences &amp; Emergency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Provider Manual — Residential Services; PCSP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member's supervision, safety, and continuity of support are never interrupted when the provider is absent.</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an approved relief/substitute plan so a qualified, background-checked person provides support during planned absences, respite, illness, or emergencies. The member's routine and health needs continue seamlessly, and the support coordinator/MCO is notified of extended absences.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Identify and qualify relief/substitute caregivers per Section B, Policy 2.04 (background checks and training before contact).</w:t>
      </w:r>
    </w:p>
    <w:p>
      <w:pPr>
        <w:pStyle w:val="ListParagraph"/>
        <w:numPr>
          <w:ilvl w:val="0"/>
          <w:numId w:val="3"/>
        </w:numPr>
        <w:spacing w:after="60" w:line="276"/>
      </w:pPr>
      <w:r>
        <w:rPr>
          <w:color w:val="161C18"/>
          <w:sz w:val="21"/>
          <w:szCs w:val="21"/>
        </w:rPr>
        <w:t xml:space="preserve">Prepare a written relief plan covering routine, medications, health needs, and emergency contacts.</w:t>
      </w:r>
    </w:p>
    <w:p>
      <w:pPr>
        <w:pStyle w:val="ListParagraph"/>
        <w:numPr>
          <w:ilvl w:val="0"/>
          <w:numId w:val="3"/>
        </w:numPr>
        <w:spacing w:after="60" w:line="276"/>
      </w:pPr>
      <w:r>
        <w:rPr>
          <w:color w:val="161C18"/>
          <w:sz w:val="21"/>
          <w:szCs w:val="21"/>
        </w:rPr>
        <w:t xml:space="preserve">Notify the support coordinator/MCO in advance of planned extended absences.</w:t>
      </w:r>
    </w:p>
    <w:p>
      <w:pPr>
        <w:pStyle w:val="ListParagraph"/>
        <w:numPr>
          <w:ilvl w:val="0"/>
          <w:numId w:val="3"/>
        </w:numPr>
        <w:spacing w:after="60" w:line="276"/>
      </w:pPr>
      <w:r>
        <w:rPr>
          <w:color w:val="161C18"/>
          <w:sz w:val="21"/>
          <w:szCs w:val="21"/>
        </w:rPr>
        <w:t xml:space="preserve">For unplanned absences, activate the emergency coverage plan immediately and document it.</w:t>
      </w:r>
    </w:p>
    <w:p>
      <w:pPr>
        <w:pStyle w:val="ListParagraph"/>
        <w:numPr>
          <w:ilvl w:val="0"/>
          <w:numId w:val="3"/>
        </w:numPr>
        <w:spacing w:after="60" w:line="276"/>
      </w:pPr>
      <w:r>
        <w:rPr>
          <w:color w:val="161C18"/>
          <w:sz w:val="21"/>
          <w:szCs w:val="21"/>
        </w:rPr>
        <w:t xml:space="preserve">Ensure medication administration coverage complies with Section 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Relief/Substitute Caregiver Plan</w:t>
      </w:r>
    </w:p>
    <w:p>
      <w:pPr>
        <w:pStyle w:val="ListParagraph"/>
        <w:numPr>
          <w:ilvl w:val="0"/>
          <w:numId w:val="2"/>
        </w:numPr>
        <w:spacing w:after="60" w:line="276"/>
      </w:pPr>
      <w:r>
        <w:rPr>
          <w:color w:val="161C18"/>
          <w:sz w:val="21"/>
          <w:szCs w:val="21"/>
        </w:rPr>
        <w:t xml:space="preserve">Absence &amp; Coverage Log</w:t>
      </w:r>
    </w:p>
    <w:p>
      <w:pPr>
        <w:pStyle w:val="Heading2"/>
        <w:spacing w:after="100" w:before="260"/>
      </w:pPr>
      <w:r>
        <w:rPr>
          <w:b/>
          <w:bCs/>
          <w:color w:val="1A4731"/>
          <w:sz w:val="24"/>
          <w:szCs w:val="24"/>
        </w:rPr>
        <w:t xml:space="preserve">Policy 1.05 — Supervision &amp; Communication with the Contracting Agency / MCO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Provider Manual; TennCare Rule 1200-12-01; provider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define the working relationship between the individual host home provider and the contracting provider agency, support coordinator, and MCO.</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participates in monitoring visits, cooperates with quality reviews, communicates member status changes promptly, and follows the direction of the support coordination team and the PCSP. The provider maintains current contact information and responds to the agency, MCO, and DIDD.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Participate in scheduled and unannounced monitoring visits and quality reviews.</w:t>
      </w:r>
    </w:p>
    <w:p>
      <w:pPr>
        <w:pStyle w:val="ListParagraph"/>
        <w:numPr>
          <w:ilvl w:val="0"/>
          <w:numId w:val="3"/>
        </w:numPr>
        <w:spacing w:after="60" w:line="276"/>
      </w:pPr>
      <w:r>
        <w:rPr>
          <w:color w:val="161C18"/>
          <w:sz w:val="21"/>
          <w:szCs w:val="21"/>
        </w:rPr>
        <w:t xml:space="preserve">Report member status changes (health, behavior, hospitalization, address) to the support coordinator/MCO as soon as possible.</w:t>
      </w:r>
    </w:p>
    <w:p>
      <w:pPr>
        <w:pStyle w:val="ListParagraph"/>
        <w:numPr>
          <w:ilvl w:val="0"/>
          <w:numId w:val="3"/>
        </w:numPr>
        <w:spacing w:after="60" w:line="276"/>
      </w:pPr>
      <w:r>
        <w:rPr>
          <w:color w:val="161C18"/>
          <w:sz w:val="21"/>
          <w:szCs w:val="21"/>
        </w:rPr>
        <w:t xml:space="preserve">Attend PCSP meetings and implement the plan as written.</w:t>
      </w:r>
    </w:p>
    <w:p>
      <w:pPr>
        <w:pStyle w:val="ListParagraph"/>
        <w:numPr>
          <w:ilvl w:val="0"/>
          <w:numId w:val="3"/>
        </w:numPr>
        <w:spacing w:after="60" w:line="276"/>
      </w:pPr>
      <w:r>
        <w:rPr>
          <w:color w:val="161C18"/>
          <w:sz w:val="21"/>
          <w:szCs w:val="21"/>
        </w:rPr>
        <w:t xml:space="preserve">Maintain records accessible for review per Section F.</w:t>
      </w:r>
    </w:p>
    <w:p>
      <w:pPr>
        <w:pStyle w:val="ListParagraph"/>
        <w:numPr>
          <w:ilvl w:val="0"/>
          <w:numId w:val="3"/>
        </w:numPr>
        <w:spacing w:after="60" w:line="276"/>
      </w:pPr>
      <w:r>
        <w:rPr>
          <w:color w:val="161C18"/>
          <w:sz w:val="21"/>
          <w:szCs w:val="21"/>
        </w:rPr>
        <w:t xml:space="preserve">Keep the agency informed of any change affecting the provider's ability to serve the member.</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Monitoring Visit Records</w:t>
      </w:r>
    </w:p>
    <w:p>
      <w:pPr>
        <w:pStyle w:val="ListParagraph"/>
        <w:numPr>
          <w:ilvl w:val="0"/>
          <w:numId w:val="2"/>
        </w:numPr>
        <w:spacing w:after="60" w:line="276"/>
      </w:pPr>
      <w:r>
        <w:rPr>
          <w:color w:val="161C18"/>
          <w:sz w:val="21"/>
          <w:szCs w:val="21"/>
        </w:rPr>
        <w:t xml:space="preserve">Provider Agreement</w:t>
      </w:r>
    </w:p>
    <w:p>
      <w:r>
        <w:br w:type="page"/>
      </w:r>
    </w:p>
    <w:p>
      <w:pPr>
        <w:pStyle w:val="Heading1"/>
        <w:pBdr>
          <w:bottom w:val="single" w:color="1A4731" w:sz="2"/>
        </w:pBdr>
        <w:shd w:fill="1A4731" w:val="clear"/>
        <w:spacing w:after="60" w:before="60"/>
      </w:pPr>
      <w:r>
        <w:rPr>
          <w:b/>
          <w:bCs/>
          <w:color w:val="FFFFFF"/>
          <w:sz w:val="28"/>
          <w:szCs w:val="28"/>
        </w:rPr>
        <w:t xml:space="preserve">SECTION B: PROVIDER QUALIFICATIONS, CERTIFICATION &amp; RELIEF WORKERS</w:t>
      </w:r>
    </w:p>
    <w:p>
      <w:pPr>
        <w:spacing w:after="120"/>
      </w:pPr>
      <w:r>
        <w:rPr>
          <w:sz w:val="8"/>
          <w:szCs w:val="8"/>
        </w:rPr>
        <w:t xml:space="preserve"/>
      </w:r>
    </w:p>
    <w:p>
      <w:pPr>
        <w:pStyle w:val="Heading2"/>
        <w:spacing w:after="100" w:before="260"/>
      </w:pPr>
      <w:r>
        <w:rPr>
          <w:b/>
          <w:bCs/>
          <w:color w:val="1A4731"/>
          <w:sz w:val="24"/>
          <w:szCs w:val="24"/>
        </w:rPr>
        <w:t xml:space="preserve">Policy 2.00 — Host Home Provider Qualifications, Certification &amp; Background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T.C.A. § 33-2-1201; DIDD background &amp; registry requirements; DIDD home study</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provider (and all adult household members and substitutes) is qualified, safe, and screened before a member is placed.</w:t>
      </w:r>
    </w:p>
    <w:p>
      <w:pPr>
        <w:spacing w:after="40" w:before="120"/>
      </w:pPr>
      <w:r>
        <w:rPr>
          <w:b/>
          <w:bCs/>
          <w:caps/>
          <w:color w:val="1A4731"/>
          <w:sz w:val="20"/>
          <w:szCs w:val="20"/>
        </w:rPr>
        <w:t xml:space="preserve">Policy</w:t>
      </w:r>
    </w:p>
    <w:p>
      <w:pPr>
        <w:spacing w:after="120" w:line="276"/>
      </w:pPr>
      <w:r>
        <w:rPr>
          <w:color w:val="161C18"/>
          <w:sz w:val="21"/>
          <w:szCs w:val="21"/>
        </w:rPr>
        <w:t xml:space="preserve">Before any member is placed, the provider completes a DIDD home study and passes all required screenings: a DIDD-approved criminal background check, a check of the Tennessee Department of Health Abuse Registry, the National Sex Offender Registry, and Medicaid/OIG exclusion lists. Providers must be at least 18, able to communicate in English for record-keeping, and free of any disqualifying finding. Screenings are repeated as required by the contracting agency and DIDD.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Home study: DIDD's assessment of the home and provider suitability prior to placement.</w:t>
      </w:r>
    </w:p>
    <w:p>
      <w:pPr>
        <w:pStyle w:val="ListParagraph"/>
        <w:numPr>
          <w:ilvl w:val="0"/>
          <w:numId w:val="2"/>
        </w:numPr>
        <w:spacing w:after="60" w:line="276"/>
      </w:pPr>
      <w:r>
        <w:rPr>
          <w:color w:val="161C18"/>
          <w:sz w:val="21"/>
          <w:szCs w:val="21"/>
        </w:rPr>
        <w:t xml:space="preserve">Abuse Registry: the Tennessee Department of Health registry of persons with substantiated abuse/neglect findings.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the DIDD home study and home inspection before placement.</w:t>
      </w:r>
    </w:p>
    <w:p>
      <w:pPr>
        <w:pStyle w:val="ListParagraph"/>
        <w:numPr>
          <w:ilvl w:val="0"/>
          <w:numId w:val="3"/>
        </w:numPr>
        <w:spacing w:after="60" w:line="276"/>
      </w:pPr>
      <w:r>
        <w:rPr>
          <w:color w:val="161C18"/>
          <w:sz w:val="21"/>
          <w:szCs w:val="21"/>
        </w:rPr>
        <w:t xml:space="preserve">Obtain and document a DIDD-approved criminal background check for the provider and all adult household members and substitutes.</w:t>
      </w:r>
    </w:p>
    <w:p>
      <w:pPr>
        <w:pStyle w:val="ListParagraph"/>
        <w:numPr>
          <w:ilvl w:val="0"/>
          <w:numId w:val="3"/>
        </w:numPr>
        <w:spacing w:after="60" w:line="276"/>
      </w:pPr>
      <w:r>
        <w:rPr>
          <w:color w:val="161C18"/>
          <w:sz w:val="21"/>
          <w:szCs w:val="21"/>
        </w:rPr>
        <w:t xml:space="preserve">Check the TN Department of Health Abuse Registry and the National Sex Offender Registry; retain results.</w:t>
      </w:r>
    </w:p>
    <w:p>
      <w:pPr>
        <w:pStyle w:val="ListParagraph"/>
        <w:numPr>
          <w:ilvl w:val="0"/>
          <w:numId w:val="3"/>
        </w:numPr>
        <w:spacing w:after="60" w:line="276"/>
      </w:pPr>
      <w:r>
        <w:rPr>
          <w:color w:val="161C18"/>
          <w:sz w:val="21"/>
          <w:szCs w:val="21"/>
        </w:rPr>
        <w:t xml:space="preserve">Verify the provider/entity is not on the Medicaid/OIG exclusion list.</w:t>
      </w:r>
    </w:p>
    <w:p>
      <w:pPr>
        <w:pStyle w:val="ListParagraph"/>
        <w:numPr>
          <w:ilvl w:val="0"/>
          <w:numId w:val="3"/>
        </w:numPr>
        <w:spacing w:after="60" w:line="276"/>
      </w:pPr>
      <w:r>
        <w:rPr>
          <w:color w:val="161C18"/>
          <w:sz w:val="21"/>
          <w:szCs w:val="21"/>
        </w:rPr>
        <w:t xml:space="preserve">Re-screen on the schedule required by the contracting agency/DIDD and immediately upon any new adult joining the household.</w:t>
      </w:r>
    </w:p>
    <w:p>
      <w:pPr>
        <w:pStyle w:val="ListParagraph"/>
        <w:numPr>
          <w:ilvl w:val="0"/>
          <w:numId w:val="3"/>
        </w:numPr>
        <w:spacing w:after="60" w:line="276"/>
      </w:pPr>
      <w:r>
        <w:rPr>
          <w:color w:val="161C18"/>
          <w:sz w:val="21"/>
          <w:szCs w:val="21"/>
        </w:rPr>
        <w:t xml:space="preserve">Maintain all screening documentation in the provider file for review.</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Home Study Report</w:t>
      </w:r>
    </w:p>
    <w:p>
      <w:pPr>
        <w:pStyle w:val="ListParagraph"/>
        <w:numPr>
          <w:ilvl w:val="0"/>
          <w:numId w:val="2"/>
        </w:numPr>
        <w:spacing w:after="60" w:line="276"/>
      </w:pPr>
      <w:r>
        <w:rPr>
          <w:color w:val="161C18"/>
          <w:sz w:val="21"/>
          <w:szCs w:val="21"/>
        </w:rPr>
        <w:t xml:space="preserve">Background Check &amp; Registry Results</w:t>
      </w:r>
    </w:p>
    <w:p>
      <w:pPr>
        <w:pStyle w:val="ListParagraph"/>
        <w:numPr>
          <w:ilvl w:val="0"/>
          <w:numId w:val="2"/>
        </w:numPr>
        <w:spacing w:after="60" w:line="276"/>
      </w:pPr>
      <w:r>
        <w:rPr>
          <w:color w:val="161C18"/>
          <w:sz w:val="21"/>
          <w:szCs w:val="21"/>
        </w:rPr>
        <w:t xml:space="preserve">Exclusion List Verification</w:t>
      </w:r>
    </w:p>
    <w:p>
      <w:pPr>
        <w:pStyle w:val="Heading2"/>
        <w:spacing w:after="100" w:before="260"/>
      </w:pPr>
      <w:r>
        <w:rPr>
          <w:b/>
          <w:bCs/>
          <w:color w:val="1A4731"/>
          <w:sz w:val="24"/>
          <w:szCs w:val="24"/>
        </w:rPr>
        <w:t xml:space="preserve">Policy 2.01 — Provider Training, Orientation &amp; Competency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training requirements; PCSP; abuse-prevention training</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provider has and maintains the competencies to safely support the member.</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completes DIDD-required training before and during service, including person-centered support, abuse/neglect prevention and reporting, member rights, CPR and First Aid, medication administration (where applicable), and any member-specific training identified in the PCSP. Training is documented and refreshed on the required schedule.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DIDD pre-service and orientation training before the member is placed.</w:t>
      </w:r>
    </w:p>
    <w:p>
      <w:pPr>
        <w:pStyle w:val="ListParagraph"/>
        <w:numPr>
          <w:ilvl w:val="0"/>
          <w:numId w:val="3"/>
        </w:numPr>
        <w:spacing w:after="60" w:line="276"/>
      </w:pPr>
      <w:r>
        <w:rPr>
          <w:color w:val="161C18"/>
          <w:sz w:val="21"/>
          <w:szCs w:val="21"/>
        </w:rPr>
        <w:t xml:space="preserve">Obtain and maintain current CPR and First Aid certification.</w:t>
      </w:r>
    </w:p>
    <w:p>
      <w:pPr>
        <w:pStyle w:val="ListParagraph"/>
        <w:numPr>
          <w:ilvl w:val="0"/>
          <w:numId w:val="3"/>
        </w:numPr>
        <w:spacing w:after="60" w:line="276"/>
      </w:pPr>
      <w:r>
        <w:rPr>
          <w:color w:val="161C18"/>
          <w:sz w:val="21"/>
          <w:szCs w:val="21"/>
        </w:rPr>
        <w:t xml:space="preserve">Complete member-specific training required by the PCSP (e.g., seizure care, behavior support, diabetic care).</w:t>
      </w:r>
    </w:p>
    <w:p>
      <w:pPr>
        <w:pStyle w:val="ListParagraph"/>
        <w:numPr>
          <w:ilvl w:val="0"/>
          <w:numId w:val="3"/>
        </w:numPr>
        <w:spacing w:after="60" w:line="276"/>
      </w:pPr>
      <w:r>
        <w:rPr>
          <w:color w:val="161C18"/>
          <w:sz w:val="21"/>
          <w:szCs w:val="21"/>
        </w:rPr>
        <w:t xml:space="preserve">Complete annual refreshers in abuse prevention, rights, and health/safety.</w:t>
      </w:r>
    </w:p>
    <w:p>
      <w:pPr>
        <w:pStyle w:val="ListParagraph"/>
        <w:numPr>
          <w:ilvl w:val="0"/>
          <w:numId w:val="3"/>
        </w:numPr>
        <w:spacing w:after="60" w:line="276"/>
      </w:pPr>
      <w:r>
        <w:rPr>
          <w:color w:val="161C18"/>
          <w:sz w:val="21"/>
          <w:szCs w:val="21"/>
        </w:rPr>
        <w:t xml:space="preserve">Document all training with dates, topics, and certificates in the provider file.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Training Record / Certificates</w:t>
      </w:r>
    </w:p>
    <w:p>
      <w:pPr>
        <w:pStyle w:val="ListParagraph"/>
        <w:numPr>
          <w:ilvl w:val="0"/>
          <w:numId w:val="2"/>
        </w:numPr>
        <w:spacing w:after="60" w:line="276"/>
      </w:pPr>
      <w:r>
        <w:rPr>
          <w:color w:val="161C18"/>
          <w:sz w:val="21"/>
          <w:szCs w:val="21"/>
        </w:rPr>
        <w:t xml:space="preserve">Competency Checklist</w:t>
      </w:r>
    </w:p>
    <w:p>
      <w:pPr>
        <w:pStyle w:val="Heading2"/>
        <w:spacing w:after="100" w:before="260"/>
      </w:pPr>
      <w:r>
        <w:rPr>
          <w:b/>
          <w:bCs/>
          <w:color w:val="1A4731"/>
          <w:sz w:val="24"/>
          <w:szCs w:val="24"/>
        </w:rPr>
        <w:t xml:space="preserve">Policy 2.02 — Medication Administration Certification &amp; Delegation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Tennessee Nurse Practice Act; DIDD medication administration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any medication assistance or administration is performed only by appropriately trained/certified caregivers, consistent with Tennessee law.</w:t>
      </w:r>
    </w:p>
    <w:p>
      <w:pPr>
        <w:spacing w:after="40" w:before="120"/>
      </w:pPr>
      <w:r>
        <w:rPr>
          <w:b/>
          <w:bCs/>
          <w:caps/>
          <w:color w:val="1A4731"/>
          <w:sz w:val="20"/>
          <w:szCs w:val="20"/>
        </w:rPr>
        <w:t xml:space="preserve">Policy</w:t>
      </w:r>
    </w:p>
    <w:p>
      <w:pPr>
        <w:spacing w:after="120" w:line="276"/>
      </w:pPr>
      <w:r>
        <w:rPr>
          <w:color w:val="161C18"/>
          <w:sz w:val="21"/>
          <w:szCs w:val="21"/>
        </w:rPr>
        <w:t xml:space="preserve">Medications are administered or assisted only by a provider who has completed the required DIDD/state medication administration training and, where required, works under appropriate nurse delegation/oversight consistent with the Tennessee Nurse Practice Act. Documentation follows Section 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required medication administration training before administering or assisting with medications.</w:t>
      </w:r>
    </w:p>
    <w:p>
      <w:pPr>
        <w:pStyle w:val="ListParagraph"/>
        <w:numPr>
          <w:ilvl w:val="0"/>
          <w:numId w:val="3"/>
        </w:numPr>
        <w:spacing w:after="60" w:line="276"/>
      </w:pPr>
      <w:r>
        <w:rPr>
          <w:color w:val="161C18"/>
          <w:sz w:val="21"/>
          <w:szCs w:val="21"/>
        </w:rPr>
        <w:t xml:space="preserve">Follow any nurse delegation/oversight requirements applicable to the member.</w:t>
      </w:r>
    </w:p>
    <w:p>
      <w:pPr>
        <w:pStyle w:val="ListParagraph"/>
        <w:numPr>
          <w:ilvl w:val="0"/>
          <w:numId w:val="3"/>
        </w:numPr>
        <w:spacing w:after="60" w:line="276"/>
      </w:pPr>
      <w:r>
        <w:rPr>
          <w:color w:val="161C18"/>
          <w:sz w:val="21"/>
          <w:szCs w:val="21"/>
        </w:rPr>
        <w:t xml:space="preserve">Maintain current certification and documentation.</w:t>
      </w:r>
    </w:p>
    <w:p>
      <w:pPr>
        <w:pStyle w:val="ListParagraph"/>
        <w:numPr>
          <w:ilvl w:val="0"/>
          <w:numId w:val="3"/>
        </w:numPr>
        <w:spacing w:after="60" w:line="276"/>
      </w:pPr>
      <w:r>
        <w:rPr>
          <w:color w:val="161C18"/>
          <w:sz w:val="21"/>
          <w:szCs w:val="21"/>
        </w:rPr>
        <w:t xml:space="preserve">If not certified, arrange for a certified caregiver or licensed nurse to provide medication support.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Training Certificate</w:t>
      </w:r>
    </w:p>
    <w:p>
      <w:pPr>
        <w:pStyle w:val="ListParagraph"/>
        <w:numPr>
          <w:ilvl w:val="0"/>
          <w:numId w:val="2"/>
        </w:numPr>
        <w:spacing w:after="60" w:line="276"/>
      </w:pPr>
      <w:r>
        <w:rPr>
          <w:color w:val="161C18"/>
          <w:sz w:val="21"/>
          <w:szCs w:val="21"/>
        </w:rPr>
        <w:t xml:space="preserve">Delegation/Oversight Record</w:t>
      </w:r>
    </w:p>
    <w:p>
      <w:pPr>
        <w:pStyle w:val="Heading2"/>
        <w:spacing w:after="100" w:before="260"/>
      </w:pPr>
      <w:r>
        <w:rPr>
          <w:b/>
          <w:bCs/>
          <w:color w:val="1A4731"/>
          <w:sz w:val="24"/>
          <w:szCs w:val="24"/>
        </w:rPr>
        <w:t xml:space="preserve">Policy 2.03 — Home Environment &amp; Physical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Residential Habilitation licensure (State of TN); HCBS Settings Rule;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home is safe, accessible, homelike, and compliant with applicable licensure and settings requirements.</w:t>
      </w:r>
    </w:p>
    <w:p>
      <w:pPr>
        <w:spacing w:after="40" w:before="120"/>
      </w:pPr>
      <w:r>
        <w:rPr>
          <w:b/>
          <w:bCs/>
          <w:caps/>
          <w:color w:val="1A4731"/>
          <w:sz w:val="20"/>
          <w:szCs w:val="20"/>
        </w:rPr>
        <w:t xml:space="preserve">Policy</w:t>
      </w:r>
    </w:p>
    <w:p>
      <w:pPr>
        <w:spacing w:after="120" w:line="276"/>
      </w:pPr>
      <w:r>
        <w:rPr>
          <w:color w:val="161C18"/>
          <w:sz w:val="21"/>
          <w:szCs w:val="21"/>
        </w:rPr>
        <w:t xml:space="preserve">The home meets applicable fire, health, and safety requirements, provides the member private and accessible living space, working utilities, safe storage of medications and hazardous materials, functioning smoke/CO detectors, and an environment that is integrated in the community. No more than four members receiving residential services reside in the home unless otherwise permitted.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required fire/health/safety and home inspections before placement and as required thereafter.</w:t>
      </w:r>
    </w:p>
    <w:p>
      <w:pPr>
        <w:pStyle w:val="ListParagraph"/>
        <w:numPr>
          <w:ilvl w:val="0"/>
          <w:numId w:val="3"/>
        </w:numPr>
        <w:spacing w:after="60" w:line="276"/>
      </w:pPr>
      <w:r>
        <w:rPr>
          <w:color w:val="161C18"/>
          <w:sz w:val="21"/>
          <w:szCs w:val="21"/>
        </w:rPr>
        <w:t xml:space="preserve">Provide the member accessible bedroom, bathroom, and common areas.</w:t>
      </w:r>
    </w:p>
    <w:p>
      <w:pPr>
        <w:pStyle w:val="ListParagraph"/>
        <w:numPr>
          <w:ilvl w:val="0"/>
          <w:numId w:val="3"/>
        </w:numPr>
        <w:spacing w:after="60" w:line="276"/>
      </w:pPr>
      <w:r>
        <w:rPr>
          <w:color w:val="161C18"/>
          <w:sz w:val="21"/>
          <w:szCs w:val="21"/>
        </w:rPr>
        <w:t xml:space="preserve">Maintain working smoke and carbon-monoxide detectors, fire extinguisher, and clear egress.</w:t>
      </w:r>
    </w:p>
    <w:p>
      <w:pPr>
        <w:pStyle w:val="ListParagraph"/>
        <w:numPr>
          <w:ilvl w:val="0"/>
          <w:numId w:val="3"/>
        </w:numPr>
        <w:spacing w:after="60" w:line="276"/>
      </w:pPr>
      <w:r>
        <w:rPr>
          <w:color w:val="161C18"/>
          <w:sz w:val="21"/>
          <w:szCs w:val="21"/>
        </w:rPr>
        <w:t xml:space="preserve">Store medications and hazardous materials safely and securely.</w:t>
      </w:r>
    </w:p>
    <w:p>
      <w:pPr>
        <w:pStyle w:val="ListParagraph"/>
        <w:numPr>
          <w:ilvl w:val="0"/>
          <w:numId w:val="3"/>
        </w:numPr>
        <w:spacing w:after="60" w:line="276"/>
      </w:pPr>
      <w:r>
        <w:rPr>
          <w:color w:val="161C18"/>
          <w:sz w:val="21"/>
          <w:szCs w:val="21"/>
        </w:rPr>
        <w:t xml:space="preserve">Correct identified hazards promptly and document.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Home Inspection Records</w:t>
      </w:r>
    </w:p>
    <w:p>
      <w:pPr>
        <w:pStyle w:val="ListParagraph"/>
        <w:numPr>
          <w:ilvl w:val="0"/>
          <w:numId w:val="2"/>
        </w:numPr>
        <w:spacing w:after="60" w:line="276"/>
      </w:pPr>
      <w:r>
        <w:rPr>
          <w:color w:val="161C18"/>
          <w:sz w:val="21"/>
          <w:szCs w:val="21"/>
        </w:rPr>
        <w:t xml:space="preserve">Safety Equipment Log</w:t>
      </w:r>
    </w:p>
    <w:p>
      <w:pPr>
        <w:pStyle w:val="Heading2"/>
        <w:spacing w:after="100" w:before="260"/>
      </w:pPr>
      <w:r>
        <w:rPr>
          <w:b/>
          <w:bCs/>
          <w:color w:val="1A4731"/>
          <w:sz w:val="24"/>
          <w:szCs w:val="24"/>
        </w:rPr>
        <w:t xml:space="preserve">Policy 2.04 — Relief Workers &amp; Substitute Caregivers — Management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background/training requirements; provider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anyone providing substitute or respite support meets the same safety and training standards as the primary provider.</w:t>
      </w:r>
    </w:p>
    <w:p>
      <w:pPr>
        <w:spacing w:after="40" w:before="120"/>
      </w:pPr>
      <w:r>
        <w:rPr>
          <w:b/>
          <w:bCs/>
          <w:caps/>
          <w:color w:val="1A4731"/>
          <w:sz w:val="20"/>
          <w:szCs w:val="20"/>
        </w:rPr>
        <w:t xml:space="preserve">Policy</w:t>
      </w:r>
    </w:p>
    <w:p>
      <w:pPr>
        <w:spacing w:after="120" w:line="276"/>
      </w:pPr>
      <w:r>
        <w:rPr>
          <w:color w:val="161C18"/>
          <w:sz w:val="21"/>
          <w:szCs w:val="21"/>
        </w:rPr>
        <w:t xml:space="preserve">Substitute and respite caregivers complete the required background checks and registry screenings and receive orientation to the member's needs before providing unsupervised support. Their time and duties are documented.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Screen substitutes/relief workers (background check, Abuse Registry, Sex Offender Registry) before member contact.</w:t>
      </w:r>
    </w:p>
    <w:p>
      <w:pPr>
        <w:pStyle w:val="ListParagraph"/>
        <w:numPr>
          <w:ilvl w:val="0"/>
          <w:numId w:val="3"/>
        </w:numPr>
        <w:spacing w:after="60" w:line="276"/>
      </w:pPr>
      <w:r>
        <w:rPr>
          <w:color w:val="161C18"/>
          <w:sz w:val="21"/>
          <w:szCs w:val="21"/>
        </w:rPr>
        <w:t xml:space="preserve">Orient them to the member's PCSP, routine, medications, and emergency procedures.</w:t>
      </w:r>
    </w:p>
    <w:p>
      <w:pPr>
        <w:pStyle w:val="ListParagraph"/>
        <w:numPr>
          <w:ilvl w:val="0"/>
          <w:numId w:val="3"/>
        </w:numPr>
        <w:spacing w:after="60" w:line="276"/>
      </w:pPr>
      <w:r>
        <w:rPr>
          <w:color w:val="161C18"/>
          <w:sz w:val="21"/>
          <w:szCs w:val="21"/>
        </w:rPr>
        <w:t xml:space="preserve">Document dates, hours, and duties of substitute care.</w:t>
      </w:r>
    </w:p>
    <w:p>
      <w:pPr>
        <w:pStyle w:val="ListParagraph"/>
        <w:numPr>
          <w:ilvl w:val="0"/>
          <w:numId w:val="3"/>
        </w:numPr>
        <w:spacing w:after="60" w:line="276"/>
      </w:pPr>
      <w:r>
        <w:rPr>
          <w:color w:val="161C18"/>
          <w:sz w:val="21"/>
          <w:szCs w:val="21"/>
        </w:rPr>
        <w:t xml:space="preserve">Maintain a current list of approved substitutes in the provider file.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Substitute Caregiver Roster &amp; Screenings</w:t>
      </w:r>
    </w:p>
    <w:p>
      <w:pPr>
        <w:pStyle w:val="ListParagraph"/>
        <w:numPr>
          <w:ilvl w:val="0"/>
          <w:numId w:val="2"/>
        </w:numPr>
        <w:spacing w:after="60" w:line="276"/>
      </w:pPr>
      <w:r>
        <w:rPr>
          <w:color w:val="161C18"/>
          <w:sz w:val="21"/>
          <w:szCs w:val="21"/>
        </w:rPr>
        <w:t xml:space="preserve">Substitute Orientation Record</w:t>
      </w:r>
    </w:p>
    <w:p>
      <w:r>
        <w:br w:type="page"/>
      </w:r>
    </w:p>
    <w:p>
      <w:pPr>
        <w:pStyle w:val="Heading1"/>
        <w:pBdr>
          <w:bottom w:val="single" w:color="1A4731" w:sz="2"/>
        </w:pBdr>
        <w:shd w:fill="1A4731" w:val="clear"/>
        <w:spacing w:after="60" w:before="60"/>
      </w:pPr>
      <w:r>
        <w:rPr>
          <w:b/>
          <w:bCs/>
          <w:color w:val="FFFFFF"/>
          <w:sz w:val="28"/>
          <w:szCs w:val="28"/>
        </w:rPr>
        <w:t xml:space="preserve">SECTION C: RESIDENT CARE &amp; SUPPORT SERVICES</w:t>
      </w:r>
    </w:p>
    <w:p>
      <w:pPr>
        <w:spacing w:after="120"/>
      </w:pPr>
      <w:r>
        <w:rPr>
          <w:sz w:val="8"/>
          <w:szCs w:val="8"/>
        </w:rPr>
        <w:t xml:space="preserve"/>
      </w:r>
    </w:p>
    <w:p>
      <w:pPr>
        <w:pStyle w:val="Heading2"/>
        <w:spacing w:after="100" w:before="260"/>
      </w:pPr>
      <w:r>
        <w:rPr>
          <w:b/>
          <w:bCs/>
          <w:color w:val="1A4731"/>
          <w:sz w:val="24"/>
          <w:szCs w:val="24"/>
        </w:rPr>
        <w:t xml:space="preserve">Policy 3.00 — Person-Centered Planning &amp; PCSP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441.301(c)(1)-(3); DIDD person-centered practices; PCSP</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supports are directed by the member and delivered as written in the Person-Centered Support Plan (PCSP).</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implements the member's PCSP as written, supports the member's goals and preferences, participates in planning meetings, and reports progress and changes to the support coordination team. The plan drives the daily routine, supports, and any risk mitigations.</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PCSP: the member's individualized, person-centered support plan.</w:t>
      </w:r>
    </w:p>
    <w:p>
      <w:pPr>
        <w:pStyle w:val="ListParagraph"/>
        <w:numPr>
          <w:ilvl w:val="0"/>
          <w:numId w:val="2"/>
        </w:numPr>
        <w:spacing w:after="60" w:line="276"/>
      </w:pPr>
      <w:r>
        <w:rPr>
          <w:color w:val="161C18"/>
          <w:sz w:val="21"/>
          <w:szCs w:val="21"/>
        </w:rPr>
        <w:t xml:space="preserve">ISC: Independent Support Coordinator who develops and monitors the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review the current PCSP before and during service.</w:t>
      </w:r>
    </w:p>
    <w:p>
      <w:pPr>
        <w:pStyle w:val="ListParagraph"/>
        <w:numPr>
          <w:ilvl w:val="0"/>
          <w:numId w:val="3"/>
        </w:numPr>
        <w:spacing w:after="60" w:line="276"/>
      </w:pPr>
      <w:r>
        <w:rPr>
          <w:color w:val="161C18"/>
          <w:sz w:val="21"/>
          <w:szCs w:val="21"/>
        </w:rPr>
        <w:t xml:space="preserve">Deliver supports and daily routine consistent with the PCSP.</w:t>
      </w:r>
    </w:p>
    <w:p>
      <w:pPr>
        <w:pStyle w:val="ListParagraph"/>
        <w:numPr>
          <w:ilvl w:val="0"/>
          <w:numId w:val="3"/>
        </w:numPr>
        <w:spacing w:after="60" w:line="276"/>
      </w:pPr>
      <w:r>
        <w:rPr>
          <w:color w:val="161C18"/>
          <w:sz w:val="21"/>
          <w:szCs w:val="21"/>
        </w:rPr>
        <w:t xml:space="preserve">Document progress toward the member's outcomes/goals.</w:t>
      </w:r>
    </w:p>
    <w:p>
      <w:pPr>
        <w:pStyle w:val="ListParagraph"/>
        <w:numPr>
          <w:ilvl w:val="0"/>
          <w:numId w:val="3"/>
        </w:numPr>
        <w:spacing w:after="60" w:line="276"/>
      </w:pPr>
      <w:r>
        <w:rPr>
          <w:color w:val="161C18"/>
          <w:sz w:val="21"/>
          <w:szCs w:val="21"/>
        </w:rPr>
        <w:t xml:space="preserve">Request a PCSP review when needs change.</w:t>
      </w:r>
    </w:p>
    <w:p>
      <w:pPr>
        <w:pStyle w:val="ListParagraph"/>
        <w:numPr>
          <w:ilvl w:val="0"/>
          <w:numId w:val="3"/>
        </w:numPr>
        <w:spacing w:after="60" w:line="276"/>
      </w:pPr>
      <w:r>
        <w:rPr>
          <w:color w:val="161C18"/>
          <w:sz w:val="21"/>
          <w:szCs w:val="21"/>
        </w:rPr>
        <w:t xml:space="preserve">Attend PCSP meetings and provide input from the home setting.</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Copy of Current PCSP</w:t>
      </w:r>
    </w:p>
    <w:p>
      <w:pPr>
        <w:pStyle w:val="ListParagraph"/>
        <w:numPr>
          <w:ilvl w:val="0"/>
          <w:numId w:val="2"/>
        </w:numPr>
        <w:spacing w:after="60" w:line="276"/>
      </w:pPr>
      <w:r>
        <w:rPr>
          <w:color w:val="161C18"/>
          <w:sz w:val="21"/>
          <w:szCs w:val="21"/>
        </w:rPr>
        <w:t xml:space="preserve">Progress/Outcome Notes</w:t>
      </w:r>
    </w:p>
    <w:p>
      <w:pPr>
        <w:pStyle w:val="Heading2"/>
        <w:spacing w:after="100" w:before="260"/>
      </w:pPr>
      <w:r>
        <w:rPr>
          <w:b/>
          <w:bCs/>
          <w:color w:val="1A4731"/>
          <w:sz w:val="24"/>
          <w:szCs w:val="24"/>
        </w:rPr>
        <w:t xml:space="preserve">Policy 3.01 — Admission, Transition &amp; Discharge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placement/transition requirements; HCBS Settings Rule; residency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member placements, moves, and discharges are person-centered, planned, and safe.</w:t>
      </w:r>
    </w:p>
    <w:p>
      <w:pPr>
        <w:spacing w:after="40" w:before="120"/>
      </w:pPr>
      <w:r>
        <w:rPr>
          <w:b/>
          <w:bCs/>
          <w:caps/>
          <w:color w:val="1A4731"/>
          <w:sz w:val="20"/>
          <w:szCs w:val="20"/>
        </w:rPr>
        <w:t xml:space="preserve">Policy</w:t>
      </w:r>
    </w:p>
    <w:p>
      <w:pPr>
        <w:spacing w:after="120" w:line="276"/>
      </w:pPr>
      <w:r>
        <w:rPr>
          <w:color w:val="161C18"/>
          <w:sz w:val="21"/>
          <w:szCs w:val="21"/>
        </w:rPr>
        <w:t xml:space="preserve">Placements follow a DIDD-coordinated matching and home-study process and a signed residency agreement. Transitions and discharges are planned with the support team, protect member choice, provide adequate notice, and ensure continuity of records, medications, and supports.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Confirm the home study, match, and residency agreement before admission.</w:t>
      </w:r>
    </w:p>
    <w:p>
      <w:pPr>
        <w:pStyle w:val="ListParagraph"/>
        <w:numPr>
          <w:ilvl w:val="0"/>
          <w:numId w:val="3"/>
        </w:numPr>
        <w:spacing w:after="60" w:line="276"/>
      </w:pPr>
      <w:r>
        <w:rPr>
          <w:color w:val="161C18"/>
          <w:sz w:val="21"/>
          <w:szCs w:val="21"/>
        </w:rPr>
        <w:t xml:space="preserve">Complete an intake gathering health, medication, dietary, behavioral, and emergency information.</w:t>
      </w:r>
    </w:p>
    <w:p>
      <w:pPr>
        <w:pStyle w:val="ListParagraph"/>
        <w:numPr>
          <w:ilvl w:val="0"/>
          <w:numId w:val="3"/>
        </w:numPr>
        <w:spacing w:after="60" w:line="276"/>
      </w:pPr>
      <w:r>
        <w:rPr>
          <w:color w:val="161C18"/>
          <w:sz w:val="21"/>
          <w:szCs w:val="21"/>
        </w:rPr>
        <w:t xml:space="preserve">For any move, coordinate with the support coordinator/MCO and provide required notice.</w:t>
      </w:r>
    </w:p>
    <w:p>
      <w:pPr>
        <w:pStyle w:val="ListParagraph"/>
        <w:numPr>
          <w:ilvl w:val="0"/>
          <w:numId w:val="3"/>
        </w:numPr>
        <w:spacing w:after="60" w:line="276"/>
      </w:pPr>
      <w:r>
        <w:rPr>
          <w:color w:val="161C18"/>
          <w:sz w:val="21"/>
          <w:szCs w:val="21"/>
        </w:rPr>
        <w:t xml:space="preserve">Transfer the member's records, medications, and personal property with them.</w:t>
      </w:r>
    </w:p>
    <w:p>
      <w:pPr>
        <w:pStyle w:val="ListParagraph"/>
        <w:numPr>
          <w:ilvl w:val="0"/>
          <w:numId w:val="3"/>
        </w:numPr>
        <w:spacing w:after="60" w:line="276"/>
      </w:pPr>
      <w:r>
        <w:rPr>
          <w:color w:val="161C18"/>
          <w:sz w:val="21"/>
          <w:szCs w:val="21"/>
        </w:rPr>
        <w:t xml:space="preserve">Document reasons for and circumstances of any discharge.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Intake/Admission Record</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Transition/Discharge Plan</w:t>
      </w:r>
    </w:p>
    <w:p>
      <w:pPr>
        <w:pStyle w:val="Heading2"/>
        <w:spacing w:after="100" w:before="260"/>
      </w:pPr>
      <w:r>
        <w:rPr>
          <w:b/>
          <w:bCs/>
          <w:color w:val="1A4731"/>
          <w:sz w:val="24"/>
          <w:szCs w:val="24"/>
        </w:rPr>
        <w:t xml:space="preserve">Policy 3.02 — Assessment &amp; Individualized Care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assessment requirements; PCSP; member health records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member's needs are assessed and reflected in day-to-day supports.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gathers and maintains current information on the member's health, functional needs, risks, and preferences, and uses it — together with the PCSP and any clinical assessments — to plan daily supports and monitor changes.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member profile (health, allergies, diet, communication, mobility, behavior, risks).</w:t>
      </w:r>
    </w:p>
    <w:p>
      <w:pPr>
        <w:pStyle w:val="ListParagraph"/>
        <w:numPr>
          <w:ilvl w:val="0"/>
          <w:numId w:val="3"/>
        </w:numPr>
        <w:spacing w:after="60" w:line="276"/>
      </w:pPr>
      <w:r>
        <w:rPr>
          <w:color w:val="161C18"/>
          <w:sz w:val="21"/>
          <w:szCs w:val="21"/>
        </w:rPr>
        <w:t xml:space="preserve">Support and document any required assessments and appointments.</w:t>
      </w:r>
    </w:p>
    <w:p>
      <w:pPr>
        <w:pStyle w:val="ListParagraph"/>
        <w:numPr>
          <w:ilvl w:val="0"/>
          <w:numId w:val="3"/>
        </w:numPr>
        <w:spacing w:after="60" w:line="276"/>
      </w:pPr>
      <w:r>
        <w:rPr>
          <w:color w:val="161C18"/>
          <w:sz w:val="21"/>
          <w:szCs w:val="21"/>
        </w:rPr>
        <w:t xml:space="preserve">Adjust supports as needs change and notify the support team.</w:t>
      </w:r>
    </w:p>
    <w:p>
      <w:pPr>
        <w:pStyle w:val="ListParagraph"/>
        <w:numPr>
          <w:ilvl w:val="0"/>
          <w:numId w:val="3"/>
        </w:numPr>
        <w:spacing w:after="60" w:line="276"/>
      </w:pPr>
      <w:r>
        <w:rPr>
          <w:color w:val="161C18"/>
          <w:sz w:val="21"/>
          <w:szCs w:val="21"/>
        </w:rPr>
        <w:t xml:space="preserve">Keep assessment and health information organized and accessible.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Member Profile / Face Sheet</w:t>
      </w:r>
    </w:p>
    <w:p>
      <w:pPr>
        <w:pStyle w:val="ListParagraph"/>
        <w:numPr>
          <w:ilvl w:val="0"/>
          <w:numId w:val="2"/>
        </w:numPr>
        <w:spacing w:after="60" w:line="276"/>
      </w:pPr>
      <w:r>
        <w:rPr>
          <w:color w:val="161C18"/>
          <w:sz w:val="21"/>
          <w:szCs w:val="21"/>
        </w:rPr>
        <w:t xml:space="preserve">Assessment Records</w:t>
      </w:r>
    </w:p>
    <w:p>
      <w:pPr>
        <w:pStyle w:val="Heading2"/>
        <w:spacing w:after="100" w:before="260"/>
      </w:pPr>
      <w:r>
        <w:rPr>
          <w:b/>
          <w:bCs/>
          <w:color w:val="1A4731"/>
          <w:sz w:val="24"/>
          <w:szCs w:val="24"/>
        </w:rPr>
        <w:t xml:space="preserve">Policy 3.03 — Activities of Daily Living &amp; Personal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residential service definitions; PCSP</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respectful, skill-building assistance with daily living tailored to the member's needs and choices.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assists with activities of daily living (bathing, dressing, grooming, eating, toileting, mobility) and instrumental supports (meals, housekeeping, shopping, transportation, community activities) at the level of support in the PCSP, promoting the member's independence, dignity, and choice.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ADL and instrumental support per the PCSP and the member's preferences.</w:t>
      </w:r>
    </w:p>
    <w:p>
      <w:pPr>
        <w:pStyle w:val="ListParagraph"/>
        <w:numPr>
          <w:ilvl w:val="0"/>
          <w:numId w:val="3"/>
        </w:numPr>
        <w:spacing w:after="60" w:line="276"/>
      </w:pPr>
      <w:r>
        <w:rPr>
          <w:color w:val="161C18"/>
          <w:sz w:val="21"/>
          <w:szCs w:val="21"/>
        </w:rPr>
        <w:t xml:space="preserve">Promote the member's independence and privacy; assist only as needed.</w:t>
      </w:r>
    </w:p>
    <w:p>
      <w:pPr>
        <w:pStyle w:val="ListParagraph"/>
        <w:numPr>
          <w:ilvl w:val="0"/>
          <w:numId w:val="3"/>
        </w:numPr>
        <w:spacing w:after="60" w:line="276"/>
      </w:pPr>
      <w:r>
        <w:rPr>
          <w:color w:val="161C18"/>
          <w:sz w:val="21"/>
          <w:szCs w:val="21"/>
        </w:rPr>
        <w:t xml:space="preserve">Support healthy meals and any prescribed dietary needs.</w:t>
      </w:r>
    </w:p>
    <w:p>
      <w:pPr>
        <w:pStyle w:val="ListParagraph"/>
        <w:numPr>
          <w:ilvl w:val="0"/>
          <w:numId w:val="3"/>
        </w:numPr>
        <w:spacing w:after="60" w:line="276"/>
      </w:pPr>
      <w:r>
        <w:rPr>
          <w:color w:val="161C18"/>
          <w:sz w:val="21"/>
          <w:szCs w:val="21"/>
        </w:rPr>
        <w:t xml:space="preserve">Facilitate community participation and transportation.</w:t>
      </w:r>
    </w:p>
    <w:p>
      <w:pPr>
        <w:pStyle w:val="ListParagraph"/>
        <w:numPr>
          <w:ilvl w:val="0"/>
          <w:numId w:val="3"/>
        </w:numPr>
        <w:spacing w:after="60" w:line="276"/>
      </w:pPr>
      <w:r>
        <w:rPr>
          <w:color w:val="161C18"/>
          <w:sz w:val="21"/>
          <w:szCs w:val="21"/>
        </w:rPr>
        <w:t xml:space="preserve">Document supports and any changes in ability or need.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Daily Support/Service Log</w:t>
      </w:r>
    </w:p>
    <w:p>
      <w:pPr>
        <w:pStyle w:val="ListParagraph"/>
        <w:numPr>
          <w:ilvl w:val="0"/>
          <w:numId w:val="2"/>
        </w:numPr>
        <w:spacing w:after="60" w:line="276"/>
      </w:pPr>
      <w:r>
        <w:rPr>
          <w:color w:val="161C18"/>
          <w:sz w:val="21"/>
          <w:szCs w:val="21"/>
        </w:rPr>
        <w:t xml:space="preserve">Menu / Dietary Records</w:t>
      </w:r>
    </w:p>
    <w:p>
      <w:pPr>
        <w:pStyle w:val="Heading2"/>
        <w:spacing w:after="100" w:before="260"/>
      </w:pPr>
      <w:r>
        <w:rPr>
          <w:b/>
          <w:bCs/>
          <w:color w:val="1A4731"/>
          <w:sz w:val="24"/>
          <w:szCs w:val="24"/>
        </w:rPr>
        <w:t xml:space="preserve">Policy 3.04 — Health Monitoring &amp; Coordination with Healthcare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health-care oversight; Tennessee Nurse Practice Act; PCSP</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safeguard the member's health through monitoring, timely response, and coordination with medical providers.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monitors the member's health, ensures access to and attendance at medical, dental, and behavioral appointments, follows practitioner orders, communicates changes in condition, and maintains accurate health records.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Schedule and support routine and specialty medical/dental/behavioral appointments.</w:t>
      </w:r>
    </w:p>
    <w:p>
      <w:pPr>
        <w:pStyle w:val="ListParagraph"/>
        <w:numPr>
          <w:ilvl w:val="0"/>
          <w:numId w:val="3"/>
        </w:numPr>
        <w:spacing w:after="60" w:line="276"/>
      </w:pPr>
      <w:r>
        <w:rPr>
          <w:color w:val="161C18"/>
          <w:sz w:val="21"/>
          <w:szCs w:val="21"/>
        </w:rPr>
        <w:t xml:space="preserve">Follow written practitioner orders and treatment plans.</w:t>
      </w:r>
    </w:p>
    <w:p>
      <w:pPr>
        <w:pStyle w:val="ListParagraph"/>
        <w:numPr>
          <w:ilvl w:val="0"/>
          <w:numId w:val="3"/>
        </w:numPr>
        <w:spacing w:after="60" w:line="276"/>
      </w:pPr>
      <w:r>
        <w:rPr>
          <w:color w:val="161C18"/>
          <w:sz w:val="21"/>
          <w:szCs w:val="21"/>
        </w:rPr>
        <w:t xml:space="preserve">Monitor for and promptly respond to changes in health condition.</w:t>
      </w:r>
    </w:p>
    <w:p>
      <w:pPr>
        <w:pStyle w:val="ListParagraph"/>
        <w:numPr>
          <w:ilvl w:val="0"/>
          <w:numId w:val="3"/>
        </w:numPr>
        <w:spacing w:after="60" w:line="276"/>
      </w:pPr>
      <w:r>
        <w:rPr>
          <w:color w:val="161C18"/>
          <w:sz w:val="21"/>
          <w:szCs w:val="21"/>
        </w:rPr>
        <w:t xml:space="preserve">Notify the support coordinator/MCO of significant health changes, hospitalizations, or ER visits.</w:t>
      </w:r>
    </w:p>
    <w:p>
      <w:pPr>
        <w:pStyle w:val="ListParagraph"/>
        <w:numPr>
          <w:ilvl w:val="0"/>
          <w:numId w:val="3"/>
        </w:numPr>
        <w:spacing w:after="60" w:line="276"/>
      </w:pPr>
      <w:r>
        <w:rPr>
          <w:color w:val="161C18"/>
          <w:sz w:val="21"/>
          <w:szCs w:val="21"/>
        </w:rPr>
        <w:t xml:space="preserve">Record appointments, orders, and outcomes in the member's health record (e.g., Therap).</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Health/Medical Record</w:t>
      </w:r>
    </w:p>
    <w:p>
      <w:pPr>
        <w:pStyle w:val="ListParagraph"/>
        <w:numPr>
          <w:ilvl w:val="0"/>
          <w:numId w:val="2"/>
        </w:numPr>
        <w:spacing w:after="60" w:line="276"/>
      </w:pPr>
      <w:r>
        <w:rPr>
          <w:color w:val="161C18"/>
          <w:sz w:val="21"/>
          <w:szCs w:val="21"/>
        </w:rPr>
        <w:t xml:space="preserve">Appointment Log</w:t>
      </w:r>
    </w:p>
    <w:p>
      <w:pPr>
        <w:pStyle w:val="ListParagraph"/>
        <w:numPr>
          <w:ilvl w:val="0"/>
          <w:numId w:val="2"/>
        </w:numPr>
        <w:spacing w:after="60" w:line="276"/>
      </w:pPr>
      <w:r>
        <w:rPr>
          <w:color w:val="161C18"/>
          <w:sz w:val="21"/>
          <w:szCs w:val="21"/>
        </w:rPr>
        <w:t xml:space="preserve">Practitioner Orders</w:t>
      </w:r>
    </w:p>
    <w:p>
      <w:pPr>
        <w:pStyle w:val="Heading2"/>
        <w:spacing w:after="100" w:before="260"/>
      </w:pPr>
      <w:r>
        <w:rPr>
          <w:b/>
          <w:bCs/>
          <w:color w:val="1A4731"/>
          <w:sz w:val="24"/>
          <w:szCs w:val="24"/>
        </w:rPr>
        <w:t xml:space="preserve">Policy 3.05 — Behavioral Support &amp; Positive Behavior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behavior support requirements; PCSP; restraint/rights protections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members with behavioral needs using positive, person-centered strategies and to protect members from prohibited practices.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follows any approved behavior support plan, uses positive strategies, and never uses prohibited restraints, seclusion, or aversive practices. Any permitted intervention is used only as authorized in the plan, documented, and reviewed.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Implement the member's behavior support plan (if any) as written.</w:t>
      </w:r>
    </w:p>
    <w:p>
      <w:pPr>
        <w:pStyle w:val="ListParagraph"/>
        <w:numPr>
          <w:ilvl w:val="0"/>
          <w:numId w:val="3"/>
        </w:numPr>
        <w:spacing w:after="60" w:line="276"/>
      </w:pPr>
      <w:r>
        <w:rPr>
          <w:color w:val="161C18"/>
          <w:sz w:val="21"/>
          <w:szCs w:val="21"/>
        </w:rPr>
        <w:t xml:space="preserve">Use positive, proactive strategies and de-escalation.</w:t>
      </w:r>
    </w:p>
    <w:p>
      <w:pPr>
        <w:pStyle w:val="ListParagraph"/>
        <w:numPr>
          <w:ilvl w:val="0"/>
          <w:numId w:val="3"/>
        </w:numPr>
        <w:spacing w:after="60" w:line="276"/>
      </w:pPr>
      <w:r>
        <w:rPr>
          <w:color w:val="161C18"/>
          <w:sz w:val="21"/>
          <w:szCs w:val="21"/>
        </w:rPr>
        <w:t xml:space="preserve">Never use prohibited restraint, seclusion, or aversive practices.</w:t>
      </w:r>
    </w:p>
    <w:p>
      <w:pPr>
        <w:pStyle w:val="ListParagraph"/>
        <w:numPr>
          <w:ilvl w:val="0"/>
          <w:numId w:val="3"/>
        </w:numPr>
        <w:spacing w:after="60" w:line="276"/>
      </w:pPr>
      <w:r>
        <w:rPr>
          <w:color w:val="161C18"/>
          <w:sz w:val="21"/>
          <w:szCs w:val="21"/>
        </w:rPr>
        <w:t xml:space="preserve">Document behavioral incidents and interventions and report per Section E.</w:t>
      </w:r>
    </w:p>
    <w:p>
      <w:pPr>
        <w:pStyle w:val="ListParagraph"/>
        <w:numPr>
          <w:ilvl w:val="0"/>
          <w:numId w:val="3"/>
        </w:numPr>
        <w:spacing w:after="60" w:line="276"/>
      </w:pPr>
      <w:r>
        <w:rPr>
          <w:color w:val="161C18"/>
          <w:sz w:val="21"/>
          <w:szCs w:val="21"/>
        </w:rPr>
        <w:t xml:space="preserve">Request behavior support review when needs change.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Behavior Support Plan</w:t>
      </w:r>
    </w:p>
    <w:p>
      <w:pPr>
        <w:pStyle w:val="ListParagraph"/>
        <w:numPr>
          <w:ilvl w:val="0"/>
          <w:numId w:val="2"/>
        </w:numPr>
        <w:spacing w:after="60" w:line="276"/>
      </w:pPr>
      <w:r>
        <w:rPr>
          <w:color w:val="161C18"/>
          <w:sz w:val="21"/>
          <w:szCs w:val="21"/>
        </w:rPr>
        <w:t xml:space="preserve">Behavior/Incident Documentation</w:t>
      </w:r>
    </w:p>
    <w:p>
      <w:pPr>
        <w:pStyle w:val="Heading2"/>
        <w:spacing w:after="100" w:before="260"/>
      </w:pPr>
      <w:r>
        <w:rPr>
          <w:b/>
          <w:bCs/>
          <w:color w:val="1A4731"/>
          <w:sz w:val="24"/>
          <w:szCs w:val="24"/>
        </w:rPr>
        <w:t xml:space="preserve">Policy 3.06 — Management of Individual Funds &amp; Personal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financial-protection standards; member rights; residency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member's money and belongings from loss, misuse, and exploitation.</w:t>
      </w:r>
    </w:p>
    <w:p>
      <w:pPr>
        <w:spacing w:after="40" w:before="120"/>
      </w:pPr>
      <w:r>
        <w:rPr>
          <w:b/>
          <w:bCs/>
          <w:caps/>
          <w:color w:val="1A4731"/>
          <w:sz w:val="20"/>
          <w:szCs w:val="20"/>
        </w:rPr>
        <w:t xml:space="preserve">Policy</w:t>
      </w:r>
    </w:p>
    <w:p>
      <w:pPr>
        <w:spacing w:after="120" w:line="276"/>
      </w:pPr>
      <w:r>
        <w:rPr>
          <w:color w:val="161C18"/>
          <w:sz w:val="21"/>
          <w:szCs w:val="21"/>
        </w:rPr>
        <w:t xml:space="preserve">The member controls their own funds and property to the greatest extent possible. Where the provider assists, transactions are documented, funds are kept separate from the provider's, receipts are retained, and the provider never commingles, borrows, or benefits from member funds.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the member's own management of funds and property whenever possible.</w:t>
      </w:r>
    </w:p>
    <w:p>
      <w:pPr>
        <w:pStyle w:val="ListParagraph"/>
        <w:numPr>
          <w:ilvl w:val="0"/>
          <w:numId w:val="3"/>
        </w:numPr>
        <w:spacing w:after="60" w:line="276"/>
      </w:pPr>
      <w:r>
        <w:rPr>
          <w:color w:val="161C18"/>
          <w:sz w:val="21"/>
          <w:szCs w:val="21"/>
        </w:rPr>
        <w:t xml:space="preserve">Keep any provider-assisted member funds separate and documented with receipts.</w:t>
      </w:r>
    </w:p>
    <w:p>
      <w:pPr>
        <w:pStyle w:val="ListParagraph"/>
        <w:numPr>
          <w:ilvl w:val="0"/>
          <w:numId w:val="3"/>
        </w:numPr>
        <w:spacing w:after="60" w:line="276"/>
      </w:pPr>
      <w:r>
        <w:rPr>
          <w:color w:val="161C18"/>
          <w:sz w:val="21"/>
          <w:szCs w:val="21"/>
        </w:rPr>
        <w:t xml:space="preserve">Maintain an inventory of the member's significant personal property.</w:t>
      </w:r>
    </w:p>
    <w:p>
      <w:pPr>
        <w:pStyle w:val="ListParagraph"/>
        <w:numPr>
          <w:ilvl w:val="0"/>
          <w:numId w:val="3"/>
        </w:numPr>
        <w:spacing w:after="60" w:line="276"/>
      </w:pPr>
      <w:r>
        <w:rPr>
          <w:color w:val="161C18"/>
          <w:sz w:val="21"/>
          <w:szCs w:val="21"/>
        </w:rPr>
        <w:t xml:space="preserve">Never commingle, borrow from, or personally benefit from member funds.</w:t>
      </w:r>
    </w:p>
    <w:p>
      <w:pPr>
        <w:pStyle w:val="ListParagraph"/>
        <w:numPr>
          <w:ilvl w:val="0"/>
          <w:numId w:val="3"/>
        </w:numPr>
        <w:spacing w:after="60" w:line="276"/>
      </w:pPr>
      <w:r>
        <w:rPr>
          <w:color w:val="161C18"/>
          <w:sz w:val="21"/>
          <w:szCs w:val="21"/>
        </w:rPr>
        <w:t xml:space="preserve">Report suspected financial exploitation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Member Funds Ledger &amp; Receipts</w:t>
      </w:r>
    </w:p>
    <w:p>
      <w:pPr>
        <w:pStyle w:val="ListParagraph"/>
        <w:numPr>
          <w:ilvl w:val="0"/>
          <w:numId w:val="2"/>
        </w:numPr>
        <w:spacing w:after="60" w:line="276"/>
      </w:pPr>
      <w:r>
        <w:rPr>
          <w:color w:val="161C18"/>
          <w:sz w:val="21"/>
          <w:szCs w:val="21"/>
        </w:rPr>
        <w:t xml:space="preserve">Personal Property Inventory</w:t>
      </w:r>
    </w:p>
    <w:p>
      <w:r>
        <w:br w:type="page"/>
      </w:r>
    </w:p>
    <w:p>
      <w:pPr>
        <w:pStyle w:val="Heading1"/>
        <w:pBdr>
          <w:bottom w:val="single" w:color="1A4731" w:sz="2"/>
        </w:pBdr>
        <w:shd w:fill="1A4731" w:val="clear"/>
        <w:spacing w:after="60" w:before="60"/>
      </w:pPr>
      <w:r>
        <w:rPr>
          <w:b/>
          <w:bCs/>
          <w:color w:val="FFFFFF"/>
          <w:sz w:val="28"/>
          <w:szCs w:val="28"/>
        </w:rPr>
        <w:t xml:space="preserve">SECTION D: MEDICATION MANAGEMENT</w:t>
      </w:r>
    </w:p>
    <w:p>
      <w:pPr>
        <w:spacing w:after="120"/>
      </w:pPr>
      <w:r>
        <w:rPr>
          <w:sz w:val="8"/>
          <w:szCs w:val="8"/>
        </w:rPr>
        <w:t xml:space="preserve"/>
      </w:r>
    </w:p>
    <w:p>
      <w:pPr>
        <w:pStyle w:val="Heading2"/>
        <w:spacing w:after="100" w:before="260"/>
      </w:pPr>
      <w:r>
        <w:rPr>
          <w:b/>
          <w:bCs/>
          <w:color w:val="1A4731"/>
          <w:sz w:val="24"/>
          <w:szCs w:val="24"/>
        </w:rPr>
        <w:t xml:space="preserve">Policy 4.00 — Medication Ordering, Storage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Tennessee Nurse Practice Act; DIDD medication administration; practitioner orders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medications are handled and administered safely, accurately, and only as prescribed.</w:t>
      </w:r>
    </w:p>
    <w:p>
      <w:pPr>
        <w:spacing w:after="40" w:before="120"/>
      </w:pPr>
      <w:r>
        <w:rPr>
          <w:b/>
          <w:bCs/>
          <w:caps/>
          <w:color w:val="1A4731"/>
          <w:sz w:val="20"/>
          <w:szCs w:val="20"/>
        </w:rPr>
        <w:t xml:space="preserve">Policy</w:t>
      </w:r>
    </w:p>
    <w:p>
      <w:pPr>
        <w:spacing w:after="120" w:line="276"/>
      </w:pPr>
      <w:r>
        <w:rPr>
          <w:color w:val="161C18"/>
          <w:sz w:val="21"/>
          <w:szCs w:val="21"/>
        </w:rPr>
        <w:t xml:space="preserve">Medications are administered only with a current practitioner order by a caregiver trained/certified as required, using the rights of medication administration, and documented on a Medication Administration Record (MAR). Medications are stored securely, separated by member, and kept current.</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MAR: Medication Administration Record documenting each medication given or refused.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maintain current practitioner orders for all medications.</w:t>
      </w:r>
    </w:p>
    <w:p>
      <w:pPr>
        <w:pStyle w:val="ListParagraph"/>
        <w:numPr>
          <w:ilvl w:val="0"/>
          <w:numId w:val="3"/>
        </w:numPr>
        <w:spacing w:after="60" w:line="276"/>
      </w:pPr>
      <w:r>
        <w:rPr>
          <w:color w:val="161C18"/>
          <w:sz w:val="21"/>
          <w:szCs w:val="21"/>
        </w:rPr>
        <w:t xml:space="preserve">Administer only after required training/certification (Policy 2.02) using the medication rights (right person, drug, dose, route, time, documentation).</w:t>
      </w:r>
    </w:p>
    <w:p>
      <w:pPr>
        <w:pStyle w:val="ListParagraph"/>
        <w:numPr>
          <w:ilvl w:val="0"/>
          <w:numId w:val="3"/>
        </w:numPr>
        <w:spacing w:after="60" w:line="276"/>
      </w:pPr>
      <w:r>
        <w:rPr>
          <w:color w:val="161C18"/>
          <w:sz w:val="21"/>
          <w:szCs w:val="21"/>
        </w:rPr>
        <w:t xml:space="preserve">Store medications securely and separately by member; keep refrigerated items as required.</w:t>
      </w:r>
    </w:p>
    <w:p>
      <w:pPr>
        <w:pStyle w:val="ListParagraph"/>
        <w:numPr>
          <w:ilvl w:val="0"/>
          <w:numId w:val="3"/>
        </w:numPr>
        <w:spacing w:after="60" w:line="276"/>
      </w:pPr>
      <w:r>
        <w:rPr>
          <w:color w:val="161C18"/>
          <w:sz w:val="21"/>
          <w:szCs w:val="21"/>
        </w:rPr>
        <w:t xml:space="preserve">Document each administration on the MAR immediately.</w:t>
      </w:r>
    </w:p>
    <w:p>
      <w:pPr>
        <w:pStyle w:val="ListParagraph"/>
        <w:numPr>
          <w:ilvl w:val="0"/>
          <w:numId w:val="3"/>
        </w:numPr>
        <w:spacing w:after="60" w:line="276"/>
      </w:pPr>
      <w:r>
        <w:rPr>
          <w:color w:val="161C18"/>
          <w:sz w:val="21"/>
          <w:szCs w:val="21"/>
        </w:rPr>
        <w:t xml:space="preserve">Reconcile medications on receipt and after appointments/hospitalizations.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Practitioner Medication Orders</w:t>
      </w:r>
    </w:p>
    <w:p>
      <w:pPr>
        <w:pStyle w:val="ListParagraph"/>
        <w:numPr>
          <w:ilvl w:val="0"/>
          <w:numId w:val="2"/>
        </w:numPr>
        <w:spacing w:after="60" w:line="276"/>
      </w:pPr>
      <w:r>
        <w:rPr>
          <w:color w:val="161C18"/>
          <w:sz w:val="21"/>
          <w:szCs w:val="21"/>
        </w:rPr>
        <w:t xml:space="preserve">Medication Administration Record (MAR)</w:t>
      </w:r>
    </w:p>
    <w:p>
      <w:pPr>
        <w:pStyle w:val="Heading2"/>
        <w:spacing w:after="100" w:before="260"/>
      </w:pPr>
      <w:r>
        <w:rPr>
          <w:b/>
          <w:bCs/>
          <w:color w:val="1A4731"/>
          <w:sz w:val="24"/>
          <w:szCs w:val="24"/>
        </w:rPr>
        <w:t xml:space="preserve">Policy 4.01 — Controlled Substances &amp; Narcotics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Tennessee Nurse Practice Act; DEA/controlled-substance handling; DIDD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diversion, misuse, and error in the handling of controlled substances.</w:t>
      </w:r>
    </w:p>
    <w:p>
      <w:pPr>
        <w:spacing w:after="40" w:before="120"/>
      </w:pPr>
      <w:r>
        <w:rPr>
          <w:b/>
          <w:bCs/>
          <w:caps/>
          <w:color w:val="1A4731"/>
          <w:sz w:val="20"/>
          <w:szCs w:val="20"/>
        </w:rPr>
        <w:t xml:space="preserve">Policy</w:t>
      </w:r>
    </w:p>
    <w:p>
      <w:pPr>
        <w:spacing w:after="120" w:line="276"/>
      </w:pPr>
      <w:r>
        <w:rPr>
          <w:color w:val="161C18"/>
          <w:sz w:val="21"/>
          <w:szCs w:val="21"/>
        </w:rPr>
        <w:t xml:space="preserve">Controlled substances are stored under additional security, counted and reconciled on a schedule, documented on a controlled-substance log, and disposed of properly. Any discrepancy is investigated and reported.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Store controlled substances in a separate, secured location.</w:t>
      </w:r>
    </w:p>
    <w:p>
      <w:pPr>
        <w:pStyle w:val="ListParagraph"/>
        <w:numPr>
          <w:ilvl w:val="0"/>
          <w:numId w:val="3"/>
        </w:numPr>
        <w:spacing w:after="60" w:line="276"/>
      </w:pPr>
      <w:r>
        <w:rPr>
          <w:color w:val="161C18"/>
          <w:sz w:val="21"/>
          <w:szCs w:val="21"/>
        </w:rPr>
        <w:t xml:space="preserve">Maintain a controlled-substance count/reconciliation log.</w:t>
      </w:r>
    </w:p>
    <w:p>
      <w:pPr>
        <w:pStyle w:val="ListParagraph"/>
        <w:numPr>
          <w:ilvl w:val="0"/>
          <w:numId w:val="3"/>
        </w:numPr>
        <w:spacing w:after="60" w:line="276"/>
      </w:pPr>
      <w:r>
        <w:rPr>
          <w:color w:val="161C18"/>
          <w:sz w:val="21"/>
          <w:szCs w:val="21"/>
        </w:rPr>
        <w:t xml:space="preserve">Reconcile counts on the required schedule and at shift/relief changes.</w:t>
      </w:r>
    </w:p>
    <w:p>
      <w:pPr>
        <w:pStyle w:val="ListParagraph"/>
        <w:numPr>
          <w:ilvl w:val="0"/>
          <w:numId w:val="3"/>
        </w:numPr>
        <w:spacing w:after="60" w:line="276"/>
      </w:pPr>
      <w:r>
        <w:rPr>
          <w:color w:val="161C18"/>
          <w:sz w:val="21"/>
          <w:szCs w:val="21"/>
        </w:rPr>
        <w:t xml:space="preserve">Investigate and report any discrepancy immediately.</w:t>
      </w:r>
    </w:p>
    <w:p>
      <w:pPr>
        <w:pStyle w:val="ListParagraph"/>
        <w:numPr>
          <w:ilvl w:val="0"/>
          <w:numId w:val="3"/>
        </w:numPr>
        <w:spacing w:after="60" w:line="276"/>
      </w:pPr>
      <w:r>
        <w:rPr>
          <w:color w:val="161C18"/>
          <w:sz w:val="21"/>
          <w:szCs w:val="21"/>
        </w:rPr>
        <w:t xml:space="preserve">Dispose of expired/discontinued controlled substances by an approved method with documentation.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Controlled Substance Count Log</w:t>
      </w:r>
    </w:p>
    <w:p>
      <w:pPr>
        <w:pStyle w:val="ListParagraph"/>
        <w:numPr>
          <w:ilvl w:val="0"/>
          <w:numId w:val="2"/>
        </w:numPr>
        <w:spacing w:after="60" w:line="276"/>
      </w:pPr>
      <w:r>
        <w:rPr>
          <w:color w:val="161C18"/>
          <w:sz w:val="21"/>
          <w:szCs w:val="21"/>
        </w:rPr>
        <w:t xml:space="preserve">Disposal Record</w:t>
      </w:r>
    </w:p>
    <w:p>
      <w:pPr>
        <w:pStyle w:val="Heading2"/>
        <w:spacing w:after="100" w:before="260"/>
      </w:pPr>
      <w:r>
        <w:rPr>
          <w:b/>
          <w:bCs/>
          <w:color w:val="1A4731"/>
          <w:sz w:val="24"/>
          <w:szCs w:val="24"/>
        </w:rPr>
        <w:t xml:space="preserve">Policy 4.02 — Self-Administration of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HCBS Settings Rule; member rights; PCSP</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members who can safely manage their own medications and to promote independence.</w:t>
      </w:r>
    </w:p>
    <w:p>
      <w:pPr>
        <w:spacing w:after="40" w:before="120"/>
      </w:pPr>
      <w:r>
        <w:rPr>
          <w:b/>
          <w:bCs/>
          <w:caps/>
          <w:color w:val="1A4731"/>
          <w:sz w:val="20"/>
          <w:szCs w:val="20"/>
        </w:rPr>
        <w:t xml:space="preserve">Policy</w:t>
      </w:r>
    </w:p>
    <w:p>
      <w:pPr>
        <w:spacing w:after="120" w:line="276"/>
      </w:pPr>
      <w:r>
        <w:rPr>
          <w:color w:val="161C18"/>
          <w:sz w:val="21"/>
          <w:szCs w:val="21"/>
        </w:rPr>
        <w:t xml:space="preserve">Members who are assessed as able may self-administer medications, with the level of support and any safeguards specified in the PCSP. The provider supports safe storage and monitors for effectiveness and adherence as appropriate.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self-administration where the member is assessed as able and it is reflected in the plan.</w:t>
      </w:r>
    </w:p>
    <w:p>
      <w:pPr>
        <w:pStyle w:val="ListParagraph"/>
        <w:numPr>
          <w:ilvl w:val="0"/>
          <w:numId w:val="3"/>
        </w:numPr>
        <w:spacing w:after="60" w:line="276"/>
      </w:pPr>
      <w:r>
        <w:rPr>
          <w:color w:val="161C18"/>
          <w:sz w:val="21"/>
          <w:szCs w:val="21"/>
        </w:rPr>
        <w:t xml:space="preserve">Provide safe, accessible storage that supports the member's independence.</w:t>
      </w:r>
    </w:p>
    <w:p>
      <w:pPr>
        <w:pStyle w:val="ListParagraph"/>
        <w:numPr>
          <w:ilvl w:val="0"/>
          <w:numId w:val="3"/>
        </w:numPr>
        <w:spacing w:after="60" w:line="276"/>
      </w:pPr>
      <w:r>
        <w:rPr>
          <w:color w:val="161C18"/>
          <w:sz w:val="21"/>
          <w:szCs w:val="21"/>
        </w:rPr>
        <w:t xml:space="preserve">Monitor for adherence and effectiveness and document.</w:t>
      </w:r>
    </w:p>
    <w:p>
      <w:pPr>
        <w:pStyle w:val="ListParagraph"/>
        <w:numPr>
          <w:ilvl w:val="0"/>
          <w:numId w:val="3"/>
        </w:numPr>
        <w:spacing w:after="60" w:line="276"/>
      </w:pPr>
      <w:r>
        <w:rPr>
          <w:color w:val="161C18"/>
          <w:sz w:val="21"/>
          <w:szCs w:val="21"/>
        </w:rPr>
        <w:t xml:space="preserve">Re-evaluate self-administration if concerns arise.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Self-Administration Assessment</w:t>
      </w:r>
    </w:p>
    <w:p>
      <w:pPr>
        <w:pStyle w:val="ListParagraph"/>
        <w:numPr>
          <w:ilvl w:val="0"/>
          <w:numId w:val="2"/>
        </w:numPr>
        <w:spacing w:after="60" w:line="276"/>
      </w:pPr>
      <w:r>
        <w:rPr>
          <w:color w:val="161C18"/>
          <w:sz w:val="21"/>
          <w:szCs w:val="21"/>
        </w:rPr>
        <w:t xml:space="preserve">Support/Monitoring Notes</w:t>
      </w:r>
    </w:p>
    <w:p>
      <w:pPr>
        <w:pStyle w:val="Heading2"/>
        <w:spacing w:after="100" w:before="260"/>
      </w:pPr>
      <w:r>
        <w:rPr>
          <w:b/>
          <w:bCs/>
          <w:color w:val="1A4731"/>
          <w:sz w:val="24"/>
          <w:szCs w:val="24"/>
        </w:rPr>
        <w:t xml:space="preserve">Policy 4.03 — Medication Errors &amp; Adverse Drug Events — Reporting &amp;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incident reporting; practitioner/poison-control protocols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respond to medication errors and adverse reactions promptly and to prevent recurrence.</w:t>
      </w:r>
    </w:p>
    <w:p>
      <w:pPr>
        <w:spacing w:after="40" w:before="120"/>
      </w:pPr>
      <w:r>
        <w:rPr>
          <w:b/>
          <w:bCs/>
          <w:caps/>
          <w:color w:val="1A4731"/>
          <w:sz w:val="20"/>
          <w:szCs w:val="20"/>
        </w:rPr>
        <w:t xml:space="preserve">Policy</w:t>
      </w:r>
    </w:p>
    <w:p>
      <w:pPr>
        <w:spacing w:after="120" w:line="276"/>
      </w:pPr>
      <w:r>
        <w:rPr>
          <w:color w:val="161C18"/>
          <w:sz w:val="21"/>
          <w:szCs w:val="21"/>
        </w:rPr>
        <w:t xml:space="preserve">Any medication error or adverse drug reaction is addressed first for member safety (contacting the practitioner/poison control/911 as needed), documented, reported through Section E incident reporting, and reviewed to prevent recurrence.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action for member safety; contact the practitioner, Poison Control, or 911 as indicated.</w:t>
      </w:r>
    </w:p>
    <w:p>
      <w:pPr>
        <w:pStyle w:val="ListParagraph"/>
        <w:numPr>
          <w:ilvl w:val="0"/>
          <w:numId w:val="3"/>
        </w:numPr>
        <w:spacing w:after="60" w:line="276"/>
      </w:pPr>
      <w:r>
        <w:rPr>
          <w:color w:val="161C18"/>
          <w:sz w:val="21"/>
          <w:szCs w:val="21"/>
        </w:rPr>
        <w:t xml:space="preserve">Document the error/reaction, actions taken, and outcome.</w:t>
      </w:r>
    </w:p>
    <w:p>
      <w:pPr>
        <w:pStyle w:val="ListParagraph"/>
        <w:numPr>
          <w:ilvl w:val="0"/>
          <w:numId w:val="3"/>
        </w:numPr>
        <w:spacing w:after="60" w:line="276"/>
      </w:pPr>
      <w:r>
        <w:rPr>
          <w:color w:val="161C18"/>
          <w:sz w:val="21"/>
          <w:szCs w:val="21"/>
        </w:rPr>
        <w:t xml:space="preserve">Report as a reportable incident per Policy 5.00.</w:t>
      </w:r>
    </w:p>
    <w:p>
      <w:pPr>
        <w:pStyle w:val="ListParagraph"/>
        <w:numPr>
          <w:ilvl w:val="0"/>
          <w:numId w:val="3"/>
        </w:numPr>
        <w:spacing w:after="60" w:line="276"/>
      </w:pPr>
      <w:r>
        <w:rPr>
          <w:color w:val="161C18"/>
          <w:sz w:val="21"/>
          <w:szCs w:val="21"/>
        </w:rPr>
        <w:t xml:space="preserve">Review contributing factors and implement corrective steps.</w:t>
      </w:r>
    </w:p>
    <w:p>
      <w:pPr>
        <w:pStyle w:val="ListParagraph"/>
        <w:numPr>
          <w:ilvl w:val="0"/>
          <w:numId w:val="3"/>
        </w:numPr>
        <w:spacing w:after="60" w:line="276"/>
      </w:pPr>
      <w:r>
        <w:rPr>
          <w:color w:val="161C18"/>
          <w:sz w:val="21"/>
          <w:szCs w:val="21"/>
        </w:rPr>
        <w:t xml:space="preserve">Notify the support coordinator/MCO and, where applicable, the member's representative.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Error/Adverse Event Report</w:t>
      </w:r>
    </w:p>
    <w:p>
      <w:pPr>
        <w:pStyle w:val="ListParagraph"/>
        <w:numPr>
          <w:ilvl w:val="0"/>
          <w:numId w:val="2"/>
        </w:numPr>
        <w:spacing w:after="60" w:line="276"/>
      </w:pPr>
      <w:r>
        <w:rPr>
          <w:color w:val="161C18"/>
          <w:sz w:val="21"/>
          <w:szCs w:val="21"/>
        </w:rPr>
        <w:t xml:space="preserve">Corrective Action Record</w:t>
      </w:r>
    </w:p>
    <w:p>
      <w:r>
        <w:br w:type="page"/>
      </w:r>
    </w:p>
    <w:p>
      <w:pPr>
        <w:pStyle w:val="Heading1"/>
        <w:pBdr>
          <w:bottom w:val="single" w:color="1A4731" w:sz="2"/>
        </w:pBdr>
        <w:shd w:fill="1A4731" w:val="clear"/>
        <w:spacing w:after="60" w:before="60"/>
      </w:pPr>
      <w:r>
        <w:rPr>
          <w:b/>
          <w:bCs/>
          <w:color w:val="FFFFFF"/>
          <w:sz w:val="28"/>
          <w:szCs w:val="28"/>
        </w:rPr>
        <w:t xml:space="preserve">SECTION E: HEALTH, SAFETY &amp; EMERGENCY RESPONSE</w:t>
      </w:r>
    </w:p>
    <w:p>
      <w:pPr>
        <w:spacing w:after="120"/>
      </w:pPr>
      <w:r>
        <w:rPr>
          <w:sz w:val="8"/>
          <w:szCs w:val="8"/>
        </w:rPr>
        <w:t xml:space="preserve"/>
      </w:r>
    </w:p>
    <w:p>
      <w:pPr>
        <w:pStyle w:val="Heading2"/>
        <w:spacing w:after="100" w:before="260"/>
      </w:pPr>
      <w:r>
        <w:rPr>
          <w:b/>
          <w:bCs/>
          <w:color w:val="1A4731"/>
          <w:sz w:val="24"/>
          <w:szCs w:val="24"/>
        </w:rPr>
        <w:t xml:space="preserve">Policy 5.00 — Incident Reporting &amp; Critical Incident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DIDD/TennCare incident-management requirements; T.C.A. Title 33</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incidents affecting member health, safety, or rights are reported, investigated, and resolved on required timelines.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recognizes and reports incidents (injury, illness, hospitalization, medication error, abuse/neglect/exploitation allegations, death, elopement, restraint, and other reportable events) to the contracting agency/MCO and DIDD within required timeframes, using the required reporting system (e.g., Therap), and cooperates with investigations.</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Reportable incident: an event that must be reported to DIDD/the MCO under incident-management rules.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Ensure member safety first; obtain emergency care as needed.</w:t>
      </w:r>
    </w:p>
    <w:p>
      <w:pPr>
        <w:pStyle w:val="ListParagraph"/>
        <w:numPr>
          <w:ilvl w:val="0"/>
          <w:numId w:val="3"/>
        </w:numPr>
        <w:spacing w:after="60" w:line="276"/>
      </w:pPr>
      <w:r>
        <w:rPr>
          <w:color w:val="161C18"/>
          <w:sz w:val="21"/>
          <w:szCs w:val="21"/>
        </w:rPr>
        <w:t xml:space="preserve">Report reportable incidents within DIDD/MCO-required timeframes.</w:t>
      </w:r>
    </w:p>
    <w:p>
      <w:pPr>
        <w:pStyle w:val="ListParagraph"/>
        <w:numPr>
          <w:ilvl w:val="0"/>
          <w:numId w:val="3"/>
        </w:numPr>
        <w:spacing w:after="60" w:line="276"/>
      </w:pPr>
      <w:r>
        <w:rPr>
          <w:color w:val="161C18"/>
          <w:sz w:val="21"/>
          <w:szCs w:val="21"/>
        </w:rPr>
        <w:t xml:space="preserve">Document the incident factually (who, what, when, where, actions, notifications).</w:t>
      </w:r>
    </w:p>
    <w:p>
      <w:pPr>
        <w:pStyle w:val="ListParagraph"/>
        <w:numPr>
          <w:ilvl w:val="0"/>
          <w:numId w:val="3"/>
        </w:numPr>
        <w:spacing w:after="60" w:line="276"/>
      </w:pPr>
      <w:r>
        <w:rPr>
          <w:color w:val="161C18"/>
          <w:sz w:val="21"/>
          <w:szCs w:val="21"/>
        </w:rPr>
        <w:t xml:space="preserve">Cooperate fully with any investigation.</w:t>
      </w:r>
    </w:p>
    <w:p>
      <w:pPr>
        <w:pStyle w:val="ListParagraph"/>
        <w:numPr>
          <w:ilvl w:val="0"/>
          <w:numId w:val="3"/>
        </w:numPr>
        <w:spacing w:after="60" w:line="276"/>
      </w:pPr>
      <w:r>
        <w:rPr>
          <w:color w:val="161C18"/>
          <w:sz w:val="21"/>
          <w:szCs w:val="21"/>
        </w:rPr>
        <w:t xml:space="preserve">Implement corrective actions and monitor to prevent recurrence.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Incident/Critical Incident Report</w:t>
      </w:r>
    </w:p>
    <w:p>
      <w:pPr>
        <w:pStyle w:val="ListParagraph"/>
        <w:numPr>
          <w:ilvl w:val="0"/>
          <w:numId w:val="2"/>
        </w:numPr>
        <w:spacing w:after="60" w:line="276"/>
      </w:pPr>
      <w:r>
        <w:rPr>
          <w:color w:val="161C18"/>
          <w:sz w:val="21"/>
          <w:szCs w:val="21"/>
        </w:rPr>
        <w:t xml:space="preserve">Investigation &amp; Corrective Action Records</w:t>
      </w:r>
    </w:p>
    <w:p>
      <w:pPr>
        <w:pStyle w:val="Heading2"/>
        <w:spacing w:after="100" w:before="260"/>
      </w:pPr>
      <w:r>
        <w:rPr>
          <w:b/>
          <w:bCs/>
          <w:color w:val="1A4731"/>
          <w:sz w:val="24"/>
          <w:szCs w:val="24"/>
        </w:rPr>
        <w:t xml:space="preserve">Policy 5.01 — Emergency Preparedness, Hazard Planning &amp; Continuity of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emergency preparedness; HCBS Settings Rule; local emergency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member remains safe and supported during fires, severe weather, utility outages, and other emergencies.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a written emergency plan covering evacuation, shelter-in-place, utility failure, medical emergency, and continuity of medications and supports; practices drills; and keeps emergency contacts and member information readily available.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written, member-specific emergency and evacuation plan.</w:t>
      </w:r>
    </w:p>
    <w:p>
      <w:pPr>
        <w:pStyle w:val="ListParagraph"/>
        <w:numPr>
          <w:ilvl w:val="0"/>
          <w:numId w:val="3"/>
        </w:numPr>
        <w:spacing w:after="60" w:line="276"/>
      </w:pPr>
      <w:r>
        <w:rPr>
          <w:color w:val="161C18"/>
          <w:sz w:val="21"/>
          <w:szCs w:val="21"/>
        </w:rPr>
        <w:t xml:space="preserve">Conduct and document evacuation/fire drills on the required schedule.</w:t>
      </w:r>
    </w:p>
    <w:p>
      <w:pPr>
        <w:pStyle w:val="ListParagraph"/>
        <w:numPr>
          <w:ilvl w:val="0"/>
          <w:numId w:val="3"/>
        </w:numPr>
        <w:spacing w:after="60" w:line="276"/>
      </w:pPr>
      <w:r>
        <w:rPr>
          <w:color w:val="161C18"/>
          <w:sz w:val="21"/>
          <w:szCs w:val="21"/>
        </w:rPr>
        <w:t xml:space="preserve">Keep an emergency kit, contact list, and copies of key member information accessible.</w:t>
      </w:r>
    </w:p>
    <w:p>
      <w:pPr>
        <w:pStyle w:val="ListParagraph"/>
        <w:numPr>
          <w:ilvl w:val="0"/>
          <w:numId w:val="3"/>
        </w:numPr>
        <w:spacing w:after="60" w:line="276"/>
      </w:pPr>
      <w:r>
        <w:rPr>
          <w:color w:val="161C18"/>
          <w:sz w:val="21"/>
          <w:szCs w:val="21"/>
        </w:rPr>
        <w:t xml:space="preserve">Plan for continuity of medications, power-dependent equipment, and supports.</w:t>
      </w:r>
    </w:p>
    <w:p>
      <w:pPr>
        <w:pStyle w:val="ListParagraph"/>
        <w:numPr>
          <w:ilvl w:val="0"/>
          <w:numId w:val="3"/>
        </w:numPr>
        <w:spacing w:after="60" w:line="276"/>
      </w:pPr>
      <w:r>
        <w:rPr>
          <w:color w:val="161C18"/>
          <w:sz w:val="21"/>
          <w:szCs w:val="21"/>
        </w:rPr>
        <w:t xml:space="preserve">Review and update the plan at least annually and after any event.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Emergency/Evacuation Plan</w:t>
      </w:r>
    </w:p>
    <w:p>
      <w:pPr>
        <w:pStyle w:val="ListParagraph"/>
        <w:numPr>
          <w:ilvl w:val="0"/>
          <w:numId w:val="2"/>
        </w:numPr>
        <w:spacing w:after="60" w:line="276"/>
      </w:pPr>
      <w:r>
        <w:rPr>
          <w:color w:val="161C18"/>
          <w:sz w:val="21"/>
          <w:szCs w:val="21"/>
        </w:rPr>
        <w:t xml:space="preserve">Drill Log</w:t>
      </w:r>
    </w:p>
    <w:p>
      <w:pPr>
        <w:pStyle w:val="ListParagraph"/>
        <w:numPr>
          <w:ilvl w:val="0"/>
          <w:numId w:val="2"/>
        </w:numPr>
        <w:spacing w:after="60" w:line="276"/>
      </w:pPr>
      <w:r>
        <w:rPr>
          <w:color w:val="161C18"/>
          <w:sz w:val="21"/>
          <w:szCs w:val="21"/>
        </w:rPr>
        <w:t xml:space="preserve">Emergency Contact Sheet</w:t>
      </w:r>
    </w:p>
    <w:p>
      <w:pPr>
        <w:pStyle w:val="Heading2"/>
        <w:spacing w:after="100" w:before="260"/>
      </w:pPr>
      <w:r>
        <w:rPr>
          <w:b/>
          <w:bCs/>
          <w:color w:val="1A4731"/>
          <w:sz w:val="24"/>
          <w:szCs w:val="24"/>
        </w:rPr>
        <w:t xml:space="preserve">Policy 5.02 — Infection Prevention &amp;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 guidance; DIDD health &amp; safety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reduce the risk of infection and communicable disease in the home.</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follows standard precautions, safe handling of bodily fluids, hand hygiene, cleaning/disinfection, and appropriate response to communicable disease, and supports member immunizations as recommended.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Practice hand hygiene and standard precautions.</w:t>
      </w:r>
    </w:p>
    <w:p>
      <w:pPr>
        <w:pStyle w:val="ListParagraph"/>
        <w:numPr>
          <w:ilvl w:val="0"/>
          <w:numId w:val="3"/>
        </w:numPr>
        <w:spacing w:after="60" w:line="276"/>
      </w:pPr>
      <w:r>
        <w:rPr>
          <w:color w:val="161C18"/>
          <w:sz w:val="21"/>
          <w:szCs w:val="21"/>
        </w:rPr>
        <w:t xml:space="preserve">Clean and disinfect the home and shared items regularly.</w:t>
      </w:r>
    </w:p>
    <w:p>
      <w:pPr>
        <w:pStyle w:val="ListParagraph"/>
        <w:numPr>
          <w:ilvl w:val="0"/>
          <w:numId w:val="3"/>
        </w:numPr>
        <w:spacing w:after="60" w:line="276"/>
      </w:pPr>
      <w:r>
        <w:rPr>
          <w:color w:val="161C18"/>
          <w:sz w:val="21"/>
          <w:szCs w:val="21"/>
        </w:rPr>
        <w:t xml:space="preserve">Follow isolation/care guidance during communicable illness and notify the support team.</w:t>
      </w:r>
    </w:p>
    <w:p>
      <w:pPr>
        <w:pStyle w:val="ListParagraph"/>
        <w:numPr>
          <w:ilvl w:val="0"/>
          <w:numId w:val="3"/>
        </w:numPr>
        <w:spacing w:after="60" w:line="276"/>
      </w:pPr>
      <w:r>
        <w:rPr>
          <w:color w:val="161C18"/>
          <w:sz w:val="21"/>
          <w:szCs w:val="21"/>
        </w:rPr>
        <w:t xml:space="preserve">Support recommended immunizations and preventive care.</w:t>
      </w:r>
    </w:p>
    <w:p>
      <w:pPr>
        <w:pStyle w:val="ListParagraph"/>
        <w:numPr>
          <w:ilvl w:val="0"/>
          <w:numId w:val="3"/>
        </w:numPr>
        <w:spacing w:after="60" w:line="276"/>
      </w:pPr>
      <w:r>
        <w:rPr>
          <w:color w:val="161C18"/>
          <w:sz w:val="21"/>
          <w:szCs w:val="21"/>
        </w:rPr>
        <w:t xml:space="preserve">Maintain supplies (gloves, disinfectant, PPE as needed).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Infection Control / Cleaning Records</w:t>
      </w:r>
    </w:p>
    <w:p>
      <w:pPr>
        <w:pStyle w:val="Heading2"/>
        <w:spacing w:after="100" w:before="260"/>
      </w:pPr>
      <w:r>
        <w:rPr>
          <w:b/>
          <w:bCs/>
          <w:color w:val="1A4731"/>
          <w:sz w:val="24"/>
          <w:szCs w:val="24"/>
        </w:rPr>
        <w:t xml:space="preserve">Policy 5.03 — Pandemic &amp; Communicable Disease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CDC/state public-health guidance; DIDD directives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member safety and continuity of support during a pandemic or public-health emergency.</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follows current public-health and DIDD guidance during outbreaks or pandemics, including screening, PPE, isolation as directed, visitation adjustments that preserve member rights to the extent possible, and continuity planning.</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Follow current CDC/state/DIDD guidance for the specific disease.</w:t>
      </w:r>
    </w:p>
    <w:p>
      <w:pPr>
        <w:pStyle w:val="ListParagraph"/>
        <w:numPr>
          <w:ilvl w:val="0"/>
          <w:numId w:val="3"/>
        </w:numPr>
        <w:spacing w:after="60" w:line="276"/>
      </w:pPr>
      <w:r>
        <w:rPr>
          <w:color w:val="161C18"/>
          <w:sz w:val="21"/>
          <w:szCs w:val="21"/>
        </w:rPr>
        <w:t xml:space="preserve">Screen and monitor for symptoms; use PPE as directed.</w:t>
      </w:r>
    </w:p>
    <w:p>
      <w:pPr>
        <w:pStyle w:val="ListParagraph"/>
        <w:numPr>
          <w:ilvl w:val="0"/>
          <w:numId w:val="3"/>
        </w:numPr>
        <w:spacing w:after="60" w:line="276"/>
      </w:pPr>
      <w:r>
        <w:rPr>
          <w:color w:val="161C18"/>
          <w:sz w:val="21"/>
          <w:szCs w:val="21"/>
        </w:rPr>
        <w:t xml:space="preserve">Balance necessary precautions with member rights and well-being.</w:t>
      </w:r>
    </w:p>
    <w:p>
      <w:pPr>
        <w:pStyle w:val="ListParagraph"/>
        <w:numPr>
          <w:ilvl w:val="0"/>
          <w:numId w:val="3"/>
        </w:numPr>
        <w:spacing w:after="60" w:line="276"/>
      </w:pPr>
      <w:r>
        <w:rPr>
          <w:color w:val="161C18"/>
          <w:sz w:val="21"/>
          <w:szCs w:val="21"/>
        </w:rPr>
        <w:t xml:space="preserve">Maintain continuity of medications, supplies, and supports.</w:t>
      </w:r>
    </w:p>
    <w:p>
      <w:pPr>
        <w:pStyle w:val="ListParagraph"/>
        <w:numPr>
          <w:ilvl w:val="0"/>
          <w:numId w:val="3"/>
        </w:numPr>
        <w:spacing w:after="60" w:line="276"/>
      </w:pPr>
      <w:r>
        <w:rPr>
          <w:color w:val="161C18"/>
          <w:sz w:val="21"/>
          <w:szCs w:val="21"/>
        </w:rPr>
        <w:t xml:space="preserve">Report cases and follow notification requirements.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Outbreak/Response Log</w:t>
      </w:r>
    </w:p>
    <w:p>
      <w:pPr>
        <w:pStyle w:val="Heading2"/>
        <w:spacing w:after="100" w:before="260"/>
      </w:pPr>
      <w:r>
        <w:rPr>
          <w:b/>
          <w:bCs/>
          <w:color w:val="1A4731"/>
          <w:sz w:val="24"/>
          <w:szCs w:val="24"/>
        </w:rPr>
        <w:t xml:space="preserve">Policy 5.04 — Environment of Care — Safety, Utilities &amp; Hazardous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Residential Habilitation licensure; fire/health/safety codes; HCBS settings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a safe physical environment and safely manage utilities and hazardous materials.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safe utilities (heat, water, electrical), functioning safety equipment, safe storage of chemicals and hazardous materials, safe water temperature, pest control, and prompt correction of hazards.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working heating/cooling, water, and electrical systems.</w:t>
      </w:r>
    </w:p>
    <w:p>
      <w:pPr>
        <w:pStyle w:val="ListParagraph"/>
        <w:numPr>
          <w:ilvl w:val="0"/>
          <w:numId w:val="3"/>
        </w:numPr>
        <w:spacing w:after="60" w:line="276"/>
      </w:pPr>
      <w:r>
        <w:rPr>
          <w:color w:val="161C18"/>
          <w:sz w:val="21"/>
          <w:szCs w:val="21"/>
        </w:rPr>
        <w:t xml:space="preserve">Test smoke/CO detectors and maintain fire extinguishers.</w:t>
      </w:r>
    </w:p>
    <w:p>
      <w:pPr>
        <w:pStyle w:val="ListParagraph"/>
        <w:numPr>
          <w:ilvl w:val="0"/>
          <w:numId w:val="3"/>
        </w:numPr>
        <w:spacing w:after="60" w:line="276"/>
      </w:pPr>
      <w:r>
        <w:rPr>
          <w:color w:val="161C18"/>
          <w:sz w:val="21"/>
          <w:szCs w:val="21"/>
        </w:rPr>
        <w:t xml:space="preserve">Store chemicals/hazardous materials safely and out of reach where needed.</w:t>
      </w:r>
    </w:p>
    <w:p>
      <w:pPr>
        <w:pStyle w:val="ListParagraph"/>
        <w:numPr>
          <w:ilvl w:val="0"/>
          <w:numId w:val="3"/>
        </w:numPr>
        <w:spacing w:after="60" w:line="276"/>
      </w:pPr>
      <w:r>
        <w:rPr>
          <w:color w:val="161C18"/>
          <w:sz w:val="21"/>
          <w:szCs w:val="21"/>
        </w:rPr>
        <w:t xml:space="preserve">Monitor hot-water temperature and address pest issues.</w:t>
      </w:r>
    </w:p>
    <w:p>
      <w:pPr>
        <w:pStyle w:val="ListParagraph"/>
        <w:numPr>
          <w:ilvl w:val="0"/>
          <w:numId w:val="3"/>
        </w:numPr>
        <w:spacing w:after="60" w:line="276"/>
      </w:pPr>
      <w:r>
        <w:rPr>
          <w:color w:val="161C18"/>
          <w:sz w:val="21"/>
          <w:szCs w:val="21"/>
        </w:rPr>
        <w:t xml:space="preserve">Identify and correct hazards promptly; document.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Environment/Safety Checklist</w:t>
      </w:r>
    </w:p>
    <w:p>
      <w:pPr>
        <w:pStyle w:val="ListParagraph"/>
        <w:numPr>
          <w:ilvl w:val="0"/>
          <w:numId w:val="2"/>
        </w:numPr>
        <w:spacing w:after="60" w:line="276"/>
      </w:pPr>
      <w:r>
        <w:rPr>
          <w:color w:val="161C18"/>
          <w:sz w:val="21"/>
          <w:szCs w:val="21"/>
        </w:rPr>
        <w:t xml:space="preserve">Maintenance &amp; Repair Log</w:t>
      </w:r>
    </w:p>
    <w:p>
      <w:pPr>
        <w:pStyle w:val="Heading2"/>
        <w:spacing w:after="100" w:before="260"/>
      </w:pPr>
      <w:r>
        <w:rPr>
          <w:b/>
          <w:bCs/>
          <w:color w:val="1A4731"/>
          <w:sz w:val="24"/>
          <w:szCs w:val="24"/>
        </w:rPr>
        <w:t xml:space="preserve">Policy 5.05 — Abuse, Neglect &amp; Exploitation — Prevention, Recognition &amp; Mandatory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T.C.A. § 33-2-1201 &amp; Title 71 (APS); DIDD; TN Dept. of Health Abuse Registry</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recognize, and immediately report suspected abuse, neglect, or exploitation of members.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is a mandatory reporter. Any suspected abuse, neglect, or exploitation is reported immediately to Adult Protective Services and/or law enforcement and to DIDD/the MCO per required timeframes. The member is protected and the incident documented; retaliation against reporters is prohibited.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Mandatory reporter: a person legally required to report suspected abuse/neglect/exploitation.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steps to protect the member's safety.</w:t>
      </w:r>
    </w:p>
    <w:p>
      <w:pPr>
        <w:pStyle w:val="ListParagraph"/>
        <w:numPr>
          <w:ilvl w:val="0"/>
          <w:numId w:val="3"/>
        </w:numPr>
        <w:spacing w:after="60" w:line="276"/>
      </w:pPr>
      <w:r>
        <w:rPr>
          <w:color w:val="161C18"/>
          <w:sz w:val="21"/>
          <w:szCs w:val="21"/>
        </w:rPr>
        <w:t xml:space="preserve">Report suspected abuse/neglect/exploitation immediately to APS (1-888-APS-TENN / 1-888-277-8366) and/or 911, and to DIDD/the MCO.</w:t>
      </w:r>
    </w:p>
    <w:p>
      <w:pPr>
        <w:pStyle w:val="ListParagraph"/>
        <w:numPr>
          <w:ilvl w:val="0"/>
          <w:numId w:val="3"/>
        </w:numPr>
        <w:spacing w:after="60" w:line="276"/>
      </w:pPr>
      <w:r>
        <w:rPr>
          <w:color w:val="161C18"/>
          <w:sz w:val="21"/>
          <w:szCs w:val="21"/>
        </w:rPr>
        <w:t xml:space="preserve">Do not investigate independently in a way that compromises an official investigation.</w:t>
      </w:r>
    </w:p>
    <w:p>
      <w:pPr>
        <w:pStyle w:val="ListParagraph"/>
        <w:numPr>
          <w:ilvl w:val="0"/>
          <w:numId w:val="3"/>
        </w:numPr>
        <w:spacing w:after="60" w:line="276"/>
      </w:pPr>
      <w:r>
        <w:rPr>
          <w:color w:val="161C18"/>
          <w:sz w:val="21"/>
          <w:szCs w:val="21"/>
        </w:rPr>
        <w:t xml:space="preserve">Document the report and cooperate fully with investigators.</w:t>
      </w:r>
    </w:p>
    <w:p>
      <w:pPr>
        <w:pStyle w:val="ListParagraph"/>
        <w:numPr>
          <w:ilvl w:val="0"/>
          <w:numId w:val="3"/>
        </w:numPr>
        <w:spacing w:after="60" w:line="276"/>
      </w:pPr>
      <w:r>
        <w:rPr>
          <w:color w:val="161C18"/>
          <w:sz w:val="21"/>
          <w:szCs w:val="21"/>
        </w:rPr>
        <w:t xml:space="preserve">Complete required abuse-prevention training and never retaliate against a reporter.</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Abuse/Neglect/Exploitation Report</w:t>
      </w:r>
    </w:p>
    <w:p>
      <w:pPr>
        <w:pStyle w:val="ListParagraph"/>
        <w:numPr>
          <w:ilvl w:val="0"/>
          <w:numId w:val="2"/>
        </w:numPr>
        <w:spacing w:after="60" w:line="276"/>
      </w:pPr>
      <w:r>
        <w:rPr>
          <w:color w:val="161C18"/>
          <w:sz w:val="21"/>
          <w:szCs w:val="21"/>
        </w:rPr>
        <w:t xml:space="preserve">Training Records</w:t>
      </w:r>
    </w:p>
    <w:p>
      <w:r>
        <w:br w:type="page"/>
      </w:r>
    </w:p>
    <w:p>
      <w:pPr>
        <w:pStyle w:val="Heading1"/>
        <w:pBdr>
          <w:bottom w:val="single" w:color="1A4731" w:sz="2"/>
        </w:pBdr>
        <w:shd w:fill="1A4731" w:val="clear"/>
        <w:spacing w:after="60" w:before="60"/>
      </w:pPr>
      <w:r>
        <w:rPr>
          <w:b/>
          <w:bCs/>
          <w:color w:val="FFFFFF"/>
          <w:sz w:val="28"/>
          <w:szCs w:val="28"/>
        </w:rPr>
        <w:t xml:space="preserve">SECTION F: QUALITY MANAGEMENT &amp; DOCUMENTATION</w:t>
      </w:r>
    </w:p>
    <w:p>
      <w:pPr>
        <w:spacing w:after="120"/>
      </w:pPr>
      <w:r>
        <w:rPr>
          <w:sz w:val="8"/>
          <w:szCs w:val="8"/>
        </w:rPr>
        <w:t xml:space="preserve"/>
      </w:r>
    </w:p>
    <w:p>
      <w:pPr>
        <w:pStyle w:val="Heading2"/>
        <w:spacing w:after="100" w:before="260"/>
      </w:pPr>
      <w:r>
        <w:rPr>
          <w:b/>
          <w:bCs/>
          <w:color w:val="1A4731"/>
          <w:sz w:val="24"/>
          <w:szCs w:val="24"/>
        </w:rPr>
        <w:t xml:space="preserve">Policy 6.00 — Quality Management &amp; Continuous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quality management; TennCare quality requirements; HCBS assurances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continuously monitor and improve the quality and safety of supports provided in the home.</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participates in quality reviews, tracks incidents and outcomes, acts on findings and monitoring results, and works with the contracting agency/DIDD on corrective and quality-improvement actions.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Participate in DIDD/MCO monitoring and quality reviews.</w:t>
      </w:r>
    </w:p>
    <w:p>
      <w:pPr>
        <w:pStyle w:val="ListParagraph"/>
        <w:numPr>
          <w:ilvl w:val="0"/>
          <w:numId w:val="3"/>
        </w:numPr>
        <w:spacing w:after="60" w:line="276"/>
      </w:pPr>
      <w:r>
        <w:rPr>
          <w:color w:val="161C18"/>
          <w:sz w:val="21"/>
          <w:szCs w:val="21"/>
        </w:rPr>
        <w:t xml:space="preserve">Track incidents, grievances, and member outcomes for trends.</w:t>
      </w:r>
    </w:p>
    <w:p>
      <w:pPr>
        <w:pStyle w:val="ListParagraph"/>
        <w:numPr>
          <w:ilvl w:val="0"/>
          <w:numId w:val="3"/>
        </w:numPr>
        <w:spacing w:after="60" w:line="276"/>
      </w:pPr>
      <w:r>
        <w:rPr>
          <w:color w:val="161C18"/>
          <w:sz w:val="21"/>
          <w:szCs w:val="21"/>
        </w:rPr>
        <w:t xml:space="preserve">Implement corrective action plans and verify effectiveness.</w:t>
      </w:r>
    </w:p>
    <w:p>
      <w:pPr>
        <w:pStyle w:val="ListParagraph"/>
        <w:numPr>
          <w:ilvl w:val="0"/>
          <w:numId w:val="3"/>
        </w:numPr>
        <w:spacing w:after="60" w:line="276"/>
      </w:pPr>
      <w:r>
        <w:rPr>
          <w:color w:val="161C18"/>
          <w:sz w:val="21"/>
          <w:szCs w:val="21"/>
        </w:rPr>
        <w:t xml:space="preserve">Use feedback from members and the support team to improve.</w:t>
      </w:r>
    </w:p>
    <w:p>
      <w:pPr>
        <w:pStyle w:val="ListParagraph"/>
        <w:numPr>
          <w:ilvl w:val="0"/>
          <w:numId w:val="3"/>
        </w:numPr>
        <w:spacing w:after="60" w:line="276"/>
      </w:pPr>
      <w:r>
        <w:rPr>
          <w:color w:val="161C18"/>
          <w:sz w:val="21"/>
          <w:szCs w:val="21"/>
        </w:rPr>
        <w:t xml:space="preserve">Maintain documentation demonstrating quality and compliance.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Quality/Monitoring Records</w:t>
      </w:r>
    </w:p>
    <w:p>
      <w:pPr>
        <w:pStyle w:val="ListParagraph"/>
        <w:numPr>
          <w:ilvl w:val="0"/>
          <w:numId w:val="2"/>
        </w:numPr>
        <w:spacing w:after="60" w:line="276"/>
      </w:pPr>
      <w:r>
        <w:rPr>
          <w:color w:val="161C18"/>
          <w:sz w:val="21"/>
          <w:szCs w:val="21"/>
        </w:rPr>
        <w:t xml:space="preserve">Corrective Action Plans</w:t>
      </w:r>
    </w:p>
    <w:p>
      <w:pPr>
        <w:pStyle w:val="Heading2"/>
        <w:spacing w:after="100" w:before="260"/>
      </w:pPr>
      <w:r>
        <w:rPr>
          <w:b/>
          <w:bCs/>
          <w:color w:val="1A4731"/>
          <w:sz w:val="24"/>
          <w:szCs w:val="24"/>
        </w:rPr>
        <w:t xml:space="preserve">Policy 6.01 — Documentation Standards &amp; Record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DIDD/TennCare documentation &amp; retention rules; HIPAA</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records are accurate, complete, secure, and retained for the required period.</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timely, accurate, legible records of supports, health, medications, incidents, and finances (paper and/or Therap), protects them per Policy 1.01, and retains and disposes of them per DIDD/TennCare requirements.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Document supports and events promptly, accurately, and objectively.</w:t>
      </w:r>
    </w:p>
    <w:p>
      <w:pPr>
        <w:pStyle w:val="ListParagraph"/>
        <w:numPr>
          <w:ilvl w:val="0"/>
          <w:numId w:val="3"/>
        </w:numPr>
        <w:spacing w:after="60" w:line="276"/>
      </w:pPr>
      <w:r>
        <w:rPr>
          <w:color w:val="161C18"/>
          <w:sz w:val="21"/>
          <w:szCs w:val="21"/>
        </w:rPr>
        <w:t xml:space="preserve">Maintain required member and provider records and keep them accessible for review.</w:t>
      </w:r>
    </w:p>
    <w:p>
      <w:pPr>
        <w:pStyle w:val="ListParagraph"/>
        <w:numPr>
          <w:ilvl w:val="0"/>
          <w:numId w:val="3"/>
        </w:numPr>
        <w:spacing w:after="60" w:line="276"/>
      </w:pPr>
      <w:r>
        <w:rPr>
          <w:color w:val="161C18"/>
          <w:sz w:val="21"/>
          <w:szCs w:val="21"/>
        </w:rPr>
        <w:t xml:space="preserve">Protect records per confidentiality/HIPAA requirements.</w:t>
      </w:r>
    </w:p>
    <w:p>
      <w:pPr>
        <w:pStyle w:val="ListParagraph"/>
        <w:numPr>
          <w:ilvl w:val="0"/>
          <w:numId w:val="3"/>
        </w:numPr>
        <w:spacing w:after="60" w:line="276"/>
      </w:pPr>
      <w:r>
        <w:rPr>
          <w:color w:val="161C18"/>
          <w:sz w:val="21"/>
          <w:szCs w:val="21"/>
        </w:rPr>
        <w:t xml:space="preserve">Retain records for the period required by DIDD/TennCare.</w:t>
      </w:r>
    </w:p>
    <w:p>
      <w:pPr>
        <w:pStyle w:val="ListParagraph"/>
        <w:numPr>
          <w:ilvl w:val="0"/>
          <w:numId w:val="3"/>
        </w:numPr>
        <w:spacing w:after="60" w:line="276"/>
      </w:pPr>
      <w:r>
        <w:rPr>
          <w:color w:val="161C18"/>
          <w:sz w:val="21"/>
          <w:szCs w:val="21"/>
        </w:rPr>
        <w:t xml:space="preserve">Dispose of records securely at end of retention.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Records Index</w:t>
      </w:r>
    </w:p>
    <w:p>
      <w:pPr>
        <w:pStyle w:val="ListParagraph"/>
        <w:numPr>
          <w:ilvl w:val="0"/>
          <w:numId w:val="2"/>
        </w:numPr>
        <w:spacing w:after="60" w:line="276"/>
      </w:pPr>
      <w:r>
        <w:rPr>
          <w:color w:val="161C18"/>
          <w:sz w:val="21"/>
          <w:szCs w:val="21"/>
        </w:rPr>
        <w:t xml:space="preserve">Retention/Disposal Log</w:t>
      </w:r>
    </w:p>
    <w:p>
      <w:pPr>
        <w:pStyle w:val="Heading2"/>
        <w:spacing w:after="100" w:before="260"/>
      </w:pPr>
      <w:r>
        <w:rPr>
          <w:b/>
          <w:bCs/>
          <w:color w:val="1A4731"/>
          <w:sz w:val="24"/>
          <w:szCs w:val="24"/>
        </w:rPr>
        <w:t xml:space="preserve">Policy 6.02 — Provider Agreements, Licensing, Regulatory Compliance &amp;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Provider agreement; T.C.A. Title 33; DIDD &amp; TennCare requirements;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Provider: 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provider maintains all required agreements, screenings, and compliance, and operates ethically.</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a current provider agreement, required screenings and training, and compliance with DIDD, TennCare, and HCBS requirements; operates honestly and free of conflicts of interest; bills/claims accurately where applicable; and cooperates fully with oversight.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provider agreement and all required screenings/training.</w:t>
      </w:r>
    </w:p>
    <w:p>
      <w:pPr>
        <w:pStyle w:val="ListParagraph"/>
        <w:numPr>
          <w:ilvl w:val="0"/>
          <w:numId w:val="3"/>
        </w:numPr>
        <w:spacing w:after="60" w:line="276"/>
      </w:pPr>
      <w:r>
        <w:rPr>
          <w:color w:val="161C18"/>
          <w:sz w:val="21"/>
          <w:szCs w:val="21"/>
        </w:rPr>
        <w:t xml:space="preserve">Comply with DIDD, TennCare, and HCBS Settings requirements.</w:t>
      </w:r>
    </w:p>
    <w:p>
      <w:pPr>
        <w:pStyle w:val="ListParagraph"/>
        <w:numPr>
          <w:ilvl w:val="0"/>
          <w:numId w:val="3"/>
        </w:numPr>
        <w:spacing w:after="60" w:line="276"/>
      </w:pPr>
      <w:r>
        <w:rPr>
          <w:color w:val="161C18"/>
          <w:sz w:val="21"/>
          <w:szCs w:val="21"/>
        </w:rPr>
        <w:t xml:space="preserve">Avoid conflicts of interest and never exploit the member relationship.</w:t>
      </w:r>
    </w:p>
    <w:p>
      <w:pPr>
        <w:pStyle w:val="ListParagraph"/>
        <w:numPr>
          <w:ilvl w:val="0"/>
          <w:numId w:val="3"/>
        </w:numPr>
        <w:spacing w:after="60" w:line="276"/>
      </w:pPr>
      <w:r>
        <w:rPr>
          <w:color w:val="161C18"/>
          <w:sz w:val="21"/>
          <w:szCs w:val="21"/>
        </w:rPr>
        <w:t xml:space="preserve">Ensure any billing/claims are accurate and supported by documentation.</w:t>
      </w:r>
    </w:p>
    <w:p>
      <w:pPr>
        <w:pStyle w:val="ListParagraph"/>
        <w:numPr>
          <w:ilvl w:val="0"/>
          <w:numId w:val="3"/>
        </w:numPr>
        <w:spacing w:after="60" w:line="276"/>
      </w:pPr>
      <w:r>
        <w:rPr>
          <w:color w:val="161C18"/>
          <w:sz w:val="21"/>
          <w:szCs w:val="21"/>
        </w:rPr>
        <w:t xml:space="preserve">Cooperate fully with monitoring, audits, and investigations; correct deficiencies promptly.</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Provider Agreement</w:t>
      </w:r>
    </w:p>
    <w:p>
      <w:pPr>
        <w:pStyle w:val="ListParagraph"/>
        <w:numPr>
          <w:ilvl w:val="0"/>
          <w:numId w:val="2"/>
        </w:numPr>
        <w:spacing w:after="60" w:line="276"/>
      </w:pPr>
      <w:r>
        <w:rPr>
          <w:color w:val="161C18"/>
          <w:sz w:val="21"/>
          <w:szCs w:val="21"/>
        </w:rPr>
        <w:t xml:space="preserve">Compliance/Training Records</w:t>
      </w:r>
    </w:p>
    <w:p>
      <w:r>
        <w:br w:type="page"/>
      </w:r>
    </w:p>
    <w:p>
      <w:pPr>
        <w:spacing w:after="120" w:line="276"/>
        <w:jc w:val="center"/>
      </w:pPr>
      <w:r>
        <w:rPr>
          <w:b/>
          <w:bCs/>
          <w:color w:val="6B7870"/>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2026-07-03T19:21:09.006Z</dcterms:created>
  <dcterms:modified xsi:type="dcterms:W3CDTF">2026-07-03T19:21:09.006Z</dcterms:modified>
</cp:coreProperties>
</file>

<file path=docProps/custom.xml><?xml version="1.0" encoding="utf-8"?>
<Properties xmlns="http://schemas.openxmlformats.org/officeDocument/2006/custom-properties" xmlns:vt="http://schemas.openxmlformats.org/officeDocument/2006/docPropsVTypes"/>
</file>