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0"/>
        <w:rPr/>
      </w:pPr>
      <w:r>
        <w:rPr/>
      </w:r>
    </w:p>
    <w:p>
      <w:pPr>
        <w:pStyle w:val="Normal"/>
        <w:spacing w:before="0" w:after="200"/>
        <w:jc w:val="center"/>
        <w:rPr/>
      </w:pPr>
      <w:r>
        <w:rPr>
          <w:rFonts w:eastAsia="Arial" w:cs="Arial"/>
          <w:b/>
          <w:bCs/>
          <w:color w:val="1F3864"/>
          <w:sz w:val="52"/>
          <w:szCs w:val="52"/>
        </w:rPr>
        <w:t>[HOST HOME PROVIDER NAME]</w:t>
      </w:r>
    </w:p>
    <w:p>
      <w:pPr>
        <w:pStyle w:val="Normal"/>
        <w:spacing w:before="0" w:after="100"/>
        <w:jc w:val="center"/>
        <w:rPr/>
      </w:pPr>
      <w:r>
        <w:rPr>
          <w:rFonts w:eastAsia="Arial" w:cs="Arial"/>
          <w:color w:val="2E5DA8"/>
          <w:sz w:val="32"/>
          <w:szCs w:val="32"/>
        </w:rPr>
        <w:t>Georgia DBHDD Host Home / Life-Sharing Provider</w:t>
      </w:r>
    </w:p>
    <w:p>
      <w:pPr>
        <w:pStyle w:val="Normal"/>
        <w:spacing w:before="0" w:after="100"/>
        <w:jc w:val="center"/>
        <w:rPr/>
      </w:pPr>
      <w:r>
        <w:rPr>
          <w:rFonts w:eastAsia="Arial" w:cs="Arial"/>
          <w:b/>
          <w:bCs/>
          <w:color w:val="1F3864"/>
          <w:sz w:val="40"/>
          <w:szCs w:val="40"/>
        </w:rPr>
        <w:t>Individual Provider Policy &amp; Procedure Manual</w:t>
      </w:r>
    </w:p>
    <w:p>
      <w:pPr>
        <w:pStyle w:val="Normal"/>
        <w:spacing w:before="0" w:after="400"/>
        <w:jc w:val="center"/>
        <w:rPr/>
      </w:pPr>
      <w:r>
        <w:rPr>
          <w:rFonts w:eastAsia="Arial" w:cs="Arial"/>
          <w:i/>
          <w:iCs/>
          <w:color w:val="2E5DA8"/>
          <w:sz w:val="24"/>
          <w:szCs w:val="24"/>
        </w:rPr>
        <w:t>Individual Host Home Provider Edition — NOW/COMP Waiver / CRA Services</w:t>
      </w:r>
    </w:p>
    <w:p>
      <w:pPr>
        <w:pStyle w:val="Normal"/>
        <w:pBdr>
          <w:top w:val="single" w:sz="6" w:space="0" w:color="2E5DA8"/>
        </w:pBdr>
        <w:spacing w:before="200" w:after="200"/>
        <w:jc w:val="center"/>
        <w:rPr/>
      </w:pPr>
      <w:r>
        <w:rPr/>
      </w:r>
    </w:p>
    <w:p>
      <w:pPr>
        <w:pStyle w:val="Normal"/>
        <w:spacing w:before="0" w:after="60"/>
        <w:jc w:val="center"/>
        <w:rPr/>
      </w:pPr>
      <w:r>
        <w:rPr>
          <w:rFonts w:eastAsia="Arial" w:cs="Arial"/>
          <w:b/>
          <w:bCs/>
          <w:color w:val="2E5DA8"/>
          <w:sz w:val="22"/>
          <w:szCs w:val="22"/>
        </w:rPr>
        <w:t>REGULATORY AUTHORITY</w:t>
      </w:r>
    </w:p>
    <w:p>
      <w:pPr>
        <w:pStyle w:val="Normal"/>
        <w:spacing w:before="0" w:after="60"/>
        <w:jc w:val="center"/>
        <w:rPr/>
      </w:pPr>
      <w:r>
        <w:rPr>
          <w:rFonts w:eastAsia="Arial" w:cs="Arial"/>
          <w:sz w:val="22"/>
          <w:szCs w:val="22"/>
        </w:rPr>
        <w:t>DBHDD NOW/COMP Waiver Provider Manual | DBHDD Policy 02-704</w:t>
      </w:r>
    </w:p>
    <w:p>
      <w:pPr>
        <w:pStyle w:val="Normal"/>
        <w:spacing w:before="0" w:after="300"/>
        <w:jc w:val="center"/>
        <w:rPr/>
      </w:pPr>
      <w:r>
        <w:rPr>
          <w:rFonts w:eastAsia="Arial" w:cs="Arial"/>
          <w:sz w:val="22"/>
          <w:szCs w:val="22"/>
        </w:rPr>
        <w:t>Ga. Comp. R. &amp; Regs. R. 111-8-12 | HCBS Settings Final Rule (42 CFR 441.301)</w:t>
      </w:r>
    </w:p>
    <w:p>
      <w:pPr>
        <w:pStyle w:val="Normal"/>
        <w:pBdr>
          <w:bottom w:val="single" w:sz="6" w:space="0" w:color="2E5DA8"/>
        </w:pBdr>
        <w:spacing w:before="0" w:after="200"/>
        <w:jc w:val="center"/>
        <w:rPr/>
      </w:pPr>
      <w:r>
        <w:rPr/>
      </w:r>
    </w:p>
    <w:p>
      <w:pPr>
        <w:pStyle w:val="Normal"/>
        <w:spacing w:before="40" w:after="40"/>
        <w:jc w:val="center"/>
        <w:rPr/>
      </w:pPr>
      <w:r>
        <w:rPr>
          <w:rFonts w:eastAsia="Arial" w:cs="Arial"/>
          <w:b/>
          <w:bCs/>
          <w:sz w:val="22"/>
          <w:szCs w:val="22"/>
        </w:rPr>
        <w:t xml:space="preserve">Host Home Provider Name: </w:t>
      </w:r>
      <w:r>
        <w:rPr>
          <w:rFonts w:eastAsia="Arial" w:cs="Arial"/>
          <w:sz w:val="22"/>
          <w:szCs w:val="22"/>
        </w:rPr>
        <w:t>[Host Home Provider Name]</w:t>
      </w:r>
    </w:p>
    <w:p>
      <w:pPr>
        <w:pStyle w:val="Normal"/>
        <w:spacing w:before="40" w:after="40"/>
        <w:jc w:val="center"/>
        <w:rPr/>
      </w:pPr>
      <w:r>
        <w:rPr>
          <w:rFonts w:eastAsia="Arial" w:cs="Arial"/>
          <w:b/>
          <w:bCs/>
          <w:sz w:val="22"/>
          <w:szCs w:val="22"/>
        </w:rPr>
        <w:t xml:space="preserve">Home Address: </w:t>
      </w:r>
      <w:r>
        <w:rPr>
          <w:rFonts w:eastAsia="Arial" w:cs="Arial"/>
          <w:sz w:val="22"/>
          <w:szCs w:val="22"/>
        </w:rPr>
        <w:t>[Address, City, GA ZIP]</w:t>
      </w:r>
    </w:p>
    <w:p>
      <w:pPr>
        <w:pStyle w:val="Normal"/>
        <w:spacing w:before="40" w:after="40"/>
        <w:jc w:val="center"/>
        <w:rPr/>
      </w:pPr>
      <w:r>
        <w:rPr>
          <w:rFonts w:eastAsia="Arial" w:cs="Arial"/>
          <w:b/>
          <w:bCs/>
          <w:sz w:val="22"/>
          <w:szCs w:val="22"/>
        </w:rPr>
        <w:t xml:space="preserve">CRA Provider Agency: </w:t>
      </w:r>
      <w:r>
        <w:rPr>
          <w:rFonts w:eastAsia="Arial" w:cs="Arial"/>
          <w:sz w:val="22"/>
          <w:szCs w:val="22"/>
        </w:rPr>
        <w:t>[CRA Provider Agency Name]</w:t>
      </w:r>
    </w:p>
    <w:p>
      <w:pPr>
        <w:pStyle w:val="Normal"/>
        <w:spacing w:before="40" w:after="40"/>
        <w:jc w:val="center"/>
        <w:rPr/>
      </w:pPr>
      <w:r>
        <w:rPr>
          <w:rFonts w:eastAsia="Arial" w:cs="Arial"/>
          <w:b/>
          <w:bCs/>
          <w:sz w:val="22"/>
          <w:szCs w:val="22"/>
        </w:rPr>
        <w:t xml:space="preserve">DBHDD Region: </w:t>
      </w:r>
      <w:r>
        <w:rPr>
          <w:rFonts w:eastAsia="Arial" w:cs="Arial"/>
          <w:sz w:val="22"/>
          <w:szCs w:val="22"/>
        </w:rPr>
        <w:t>[Region Name]</w:t>
      </w:r>
    </w:p>
    <w:p>
      <w:pPr>
        <w:pStyle w:val="Normal"/>
        <w:spacing w:before="40" w:after="40"/>
        <w:jc w:val="center"/>
        <w:rPr/>
      </w:pPr>
      <w:r>
        <w:rPr>
          <w:rFonts w:eastAsia="Arial" w:cs="Arial"/>
          <w:b/>
          <w:bCs/>
          <w:sz w:val="22"/>
          <w:szCs w:val="22"/>
        </w:rPr>
        <w:t xml:space="preserve">Effective Date: </w:t>
      </w:r>
      <w:r>
        <w:rPr>
          <w:rFonts w:eastAsia="Arial" w:cs="Arial"/>
          <w:sz w:val="22"/>
          <w:szCs w:val="22"/>
        </w:rPr>
        <w:t>[Date]</w:t>
      </w:r>
    </w:p>
    <w:p>
      <w:pPr>
        <w:pStyle w:val="Normal"/>
        <w:spacing w:before="40" w:after="40"/>
        <w:jc w:val="center"/>
        <w:rPr/>
      </w:pPr>
      <w:r>
        <w:rPr>
          <w:rFonts w:eastAsia="Arial" w:cs="Arial"/>
          <w:b/>
          <w:bCs/>
          <w:sz w:val="22"/>
          <w:szCs w:val="22"/>
        </w:rPr>
        <w:t xml:space="preserve">Last Reviewed: </w:t>
      </w:r>
      <w:r>
        <w:rPr>
          <w:rFonts w:eastAsia="Arial" w:cs="Arial"/>
          <w:sz w:val="22"/>
          <w:szCs w:val="22"/>
        </w:rPr>
        <w:t>[Date]</w:t>
      </w:r>
    </w:p>
    <w:p>
      <w:pPr>
        <w:pStyle w:val="Normal"/>
        <w:spacing w:before="40" w:after="40"/>
        <w:jc w:val="center"/>
        <w:rPr/>
      </w:pPr>
      <w:r>
        <w:rPr>
          <w:rFonts w:eastAsia="Arial" w:cs="Arial"/>
          <w:b/>
          <w:bCs/>
          <w:sz w:val="22"/>
          <w:szCs w:val="22"/>
        </w:rPr>
        <w:t xml:space="preserve">County: </w:t>
      </w:r>
      <w:r>
        <w:rPr>
          <w:rFonts w:eastAsia="Arial" w:cs="Arial"/>
          <w:sz w:val="22"/>
          <w:szCs w:val="22"/>
        </w:rPr>
        <w:t>[County Name]</w:t>
      </w:r>
    </w:p>
    <w:p>
      <w:pPr>
        <w:pStyle w:val="Normal"/>
        <w:spacing w:before="0" w:after="600"/>
        <w:rPr/>
      </w:pPr>
      <w:r>
        <w:rPr/>
      </w:r>
    </w:p>
    <w:p>
      <w:pPr>
        <w:pStyle w:val="Normal"/>
        <w:jc w:val="center"/>
        <w:rPr/>
      </w:pPr>
      <w:r>
        <w:rPr>
          <w:rFonts w:eastAsia="Arial" w:cs="Arial"/>
          <w:b/>
          <w:bCs/>
          <w:color w:val="A0A0A0"/>
          <w:sz w:val="18"/>
          <w:szCs w:val="18"/>
        </w:rPr>
        <w:t>CONFIDENTIAL — FOR INTERNAL USE ONLY</w:t>
      </w:r>
    </w:p>
    <w:p>
      <w:pPr>
        <w:pStyle w:val="Normal"/>
        <w:rPr/>
      </w:pPr>
      <w:r>
        <w:rPr/>
        <w:br/>
      </w:r>
    </w:p>
    <w:p>
      <w:pPr>
        <w:pStyle w:val="Heading1"/>
        <w:pBdr>
          <w:bottom w:val="single" w:sz="6" w:space="1" w:color="2E5DA8"/>
        </w:pBdr>
        <w:spacing w:before="200" w:after="120"/>
        <w:rPr/>
      </w:pPr>
      <w:r>
        <w:rPr>
          <w:rFonts w:eastAsia="Arial" w:cs="Arial" w:ascii="Arial" w:hAnsi="Arial"/>
          <w:b/>
          <w:bCs/>
          <w:color w:val="1F3864"/>
          <w:sz w:val="28"/>
          <w:szCs w:val="28"/>
        </w:rPr>
        <w:t>HOW TO USE THIS TEMPLATE</w:t>
      </w:r>
    </w:p>
    <w:p>
      <w:pPr>
        <w:pStyle w:val="Normal"/>
        <w:spacing w:before="40" w:after="60"/>
        <w:rPr/>
      </w:pPr>
      <w:r>
        <w:rPr>
          <w:rFonts w:eastAsia="Arial" w:cs="Arial"/>
          <w:sz w:val="22"/>
          <w:szCs w:val="22"/>
        </w:rPr>
        <w:t>This manual is a professional-grade policy and procedure template designed for Georgia DBHDD Host Home/Life-Sharing providers operating under the Comprehensive Supports Waiver (COMP) and/or New Options Waiver (NOW) as Community Residential Alternative (CRA) services. All bracketed fields must be completed before submission to your CRA Provider Agency or DBHDD.</w:t>
      </w:r>
    </w:p>
    <w:p>
      <w:pPr>
        <w:pStyle w:val="Normal"/>
        <w:spacing w:before="0" w:after="80"/>
        <w:rPr/>
      </w:pPr>
      <w:r>
        <w:rPr/>
      </w:r>
    </w:p>
    <w:p>
      <w:pPr>
        <w:pStyle w:val="Normal"/>
        <w:spacing w:before="140" w:after="60"/>
        <w:rPr/>
      </w:pPr>
      <w:r>
        <w:rPr>
          <w:rFonts w:eastAsia="Arial" w:cs="Arial"/>
          <w:b/>
          <w:bCs/>
          <w:sz w:val="22"/>
          <w:szCs w:val="22"/>
          <w:u w:val="single"/>
        </w:rPr>
        <w:t>BRACKETED FIELDS — COMPLETE BEFORE SUBMISSION</w:t>
      </w:r>
    </w:p>
    <w:p>
      <w:pPr>
        <w:pStyle w:val="ListParagraph"/>
        <w:numPr>
          <w:ilvl w:val="0"/>
          <w:numId w:val="3"/>
        </w:numPr>
        <w:spacing w:before="30" w:after="30"/>
        <w:rPr/>
      </w:pPr>
      <w:r>
        <w:rPr>
          <w:rFonts w:eastAsia="Arial" w:cs="Arial"/>
          <w:sz w:val="22"/>
          <w:szCs w:val="22"/>
        </w:rPr>
        <w:t>[HOST HOME PROVIDER NAME] / [PROVIDER ORGANIZATION NAME] — your legal name or registered business name</w:t>
      </w:r>
    </w:p>
    <w:p>
      <w:pPr>
        <w:pStyle w:val="ListParagraph"/>
        <w:numPr>
          <w:ilvl w:val="0"/>
          <w:numId w:val="1"/>
        </w:numPr>
        <w:spacing w:before="30" w:after="30"/>
        <w:rPr/>
      </w:pPr>
      <w:r>
        <w:rPr>
          <w:rFonts w:eastAsia="Arial" w:cs="Arial"/>
          <w:sz w:val="22"/>
          <w:szCs w:val="22"/>
        </w:rPr>
        <w:t>[CRA Provider Agency Name] — the DBHDD-approved CRA Provider Agency you are contracted with</w:t>
      </w:r>
    </w:p>
    <w:p>
      <w:pPr>
        <w:pStyle w:val="ListParagraph"/>
        <w:numPr>
          <w:ilvl w:val="0"/>
          <w:numId w:val="1"/>
        </w:numPr>
        <w:spacing w:before="30" w:after="30"/>
        <w:rPr/>
      </w:pPr>
      <w:r>
        <w:rPr>
          <w:rFonts w:eastAsia="Arial" w:cs="Arial"/>
          <w:sz w:val="22"/>
          <w:szCs w:val="22"/>
        </w:rPr>
        <w:t>[Administrator Name] — the name of your designated administrator (org version)</w:t>
      </w:r>
    </w:p>
    <w:p>
      <w:pPr>
        <w:pStyle w:val="ListParagraph"/>
        <w:numPr>
          <w:ilvl w:val="0"/>
          <w:numId w:val="1"/>
        </w:numPr>
        <w:spacing w:before="30" w:after="30"/>
        <w:rPr/>
      </w:pPr>
      <w:r>
        <w:rPr>
          <w:rFonts w:eastAsia="Arial" w:cs="Arial"/>
          <w:sz w:val="22"/>
          <w:szCs w:val="22"/>
        </w:rPr>
        <w:t>[DBHDD Contract #] — your agency's DBHDD contract number</w:t>
      </w:r>
    </w:p>
    <w:p>
      <w:pPr>
        <w:pStyle w:val="ListParagraph"/>
        <w:numPr>
          <w:ilvl w:val="0"/>
          <w:numId w:val="1"/>
        </w:numPr>
        <w:spacing w:before="30" w:after="30"/>
        <w:rPr/>
      </w:pPr>
      <w:r>
        <w:rPr>
          <w:rFonts w:eastAsia="Arial" w:cs="Arial"/>
          <w:sz w:val="22"/>
          <w:szCs w:val="22"/>
        </w:rPr>
        <w:t>[DBHDD Region] — the DBHDD Regional Field Office that oversees your area (DBHDD has 6 regions)</w:t>
      </w:r>
    </w:p>
    <w:p>
      <w:pPr>
        <w:pStyle w:val="ListParagraph"/>
        <w:numPr>
          <w:ilvl w:val="0"/>
          <w:numId w:val="1"/>
        </w:numPr>
        <w:spacing w:before="30" w:after="30"/>
        <w:rPr/>
      </w:pPr>
      <w:r>
        <w:rPr>
          <w:rFonts w:eastAsia="Arial" w:cs="Arial"/>
          <w:sz w:val="22"/>
          <w:szCs w:val="22"/>
        </w:rPr>
        <w:t>[Address, City, GA ZIP] — the physical address of the Host Home</w:t>
      </w:r>
    </w:p>
    <w:p>
      <w:pPr>
        <w:pStyle w:val="ListParagraph"/>
        <w:numPr>
          <w:ilvl w:val="0"/>
          <w:numId w:val="1"/>
        </w:numPr>
        <w:spacing w:before="30" w:after="30"/>
        <w:rPr/>
      </w:pPr>
      <w:r>
        <w:rPr>
          <w:rFonts w:eastAsia="Arial" w:cs="Arial"/>
          <w:sz w:val="22"/>
          <w:szCs w:val="22"/>
        </w:rPr>
        <w:t>[County Name] — the Georgia county where the Host Home is located</w:t>
      </w:r>
    </w:p>
    <w:p>
      <w:pPr>
        <w:pStyle w:val="ListParagraph"/>
        <w:numPr>
          <w:ilvl w:val="0"/>
          <w:numId w:val="1"/>
        </w:numPr>
        <w:spacing w:before="30" w:after="30"/>
        <w:rPr/>
      </w:pPr>
      <w:r>
        <w:rPr>
          <w:rFonts w:eastAsia="Arial" w:cs="Arial"/>
          <w:sz w:val="22"/>
          <w:szCs w:val="22"/>
        </w:rPr>
        <w:t>[Date] / [YEAR] — effective date, revision dates, and document history dates</w:t>
      </w:r>
    </w:p>
    <w:p>
      <w:pPr>
        <w:pStyle w:val="ListParagraph"/>
        <w:numPr>
          <w:ilvl w:val="0"/>
          <w:numId w:val="1"/>
        </w:numPr>
        <w:spacing w:before="30" w:after="30"/>
        <w:rPr/>
      </w:pPr>
      <w:r>
        <w:rPr>
          <w:rFonts w:eastAsia="Arial" w:cs="Arial"/>
          <w:sz w:val="22"/>
          <w:szCs w:val="22"/>
        </w:rPr>
        <w:t>[Support Coordinator Name] — the assigned Support Coordinator for the individual</w:t>
      </w:r>
    </w:p>
    <w:p>
      <w:pPr>
        <w:pStyle w:val="Normal"/>
        <w:spacing w:before="0" w:after="80"/>
        <w:rPr/>
      </w:pPr>
      <w:r>
        <w:rPr/>
      </w:r>
    </w:p>
    <w:p>
      <w:pPr>
        <w:pStyle w:val="Normal"/>
        <w:spacing w:before="140" w:after="60"/>
        <w:rPr/>
      </w:pPr>
      <w:r>
        <w:rPr>
          <w:rFonts w:eastAsia="Arial" w:cs="Arial"/>
          <w:b/>
          <w:bCs/>
          <w:sz w:val="22"/>
          <w:szCs w:val="22"/>
          <w:u w:val="single"/>
        </w:rPr>
        <w:t>KEY GEORGIA DBHDD HOST HOME DISTINCTIONS</w:t>
      </w:r>
    </w:p>
    <w:p>
      <w:pPr>
        <w:pStyle w:val="ListParagraph"/>
        <w:numPr>
          <w:ilvl w:val="0"/>
          <w:numId w:val="1"/>
        </w:numPr>
        <w:spacing w:before="30" w:after="30"/>
        <w:rPr/>
      </w:pPr>
      <w:r>
        <w:rPr>
          <w:rFonts w:eastAsia="Arial" w:cs="Arial"/>
          <w:sz w:val="22"/>
          <w:szCs w:val="22"/>
        </w:rPr>
        <w:t>Georgia uses both 'Host Home' and 'Life-Sharing' — these terms are interchangeable throughout DBHDD documentation. This manual uses both to match your state's terminology.</w:t>
      </w:r>
    </w:p>
    <w:p>
      <w:pPr>
        <w:pStyle w:val="ListParagraph"/>
        <w:numPr>
          <w:ilvl w:val="0"/>
          <w:numId w:val="1"/>
        </w:numPr>
        <w:spacing w:before="30" w:after="30"/>
        <w:rPr/>
      </w:pPr>
      <w:r>
        <w:rPr>
          <w:rFonts w:eastAsia="Arial" w:cs="Arial"/>
          <w:sz w:val="22"/>
          <w:szCs w:val="22"/>
        </w:rPr>
        <w:t>The CRA service in Georgia includes both Host Home/Life-Sharing (up to 2 individuals with the provider family) and Community Living Arrangements (group homes up to 4 individuals). This manual is for the HOST HOME setting only.</w:t>
      </w:r>
    </w:p>
    <w:p>
      <w:pPr>
        <w:pStyle w:val="ListParagraph"/>
        <w:numPr>
          <w:ilvl w:val="0"/>
          <w:numId w:val="1"/>
        </w:numPr>
        <w:spacing w:before="30" w:after="30"/>
        <w:rPr/>
      </w:pPr>
      <w:r>
        <w:rPr>
          <w:rFonts w:eastAsia="Arial" w:cs="Arial"/>
          <w:sz w:val="22"/>
          <w:szCs w:val="22"/>
        </w:rPr>
        <w:t>Maximum capacity is TWO (2) individuals per host home per DBHDD Policy 02-704 and the COMP/NOW Waiver Provider Manual.</w:t>
      </w:r>
    </w:p>
    <w:p>
      <w:pPr>
        <w:pStyle w:val="ListParagraph"/>
        <w:numPr>
          <w:ilvl w:val="0"/>
          <w:numId w:val="1"/>
        </w:numPr>
        <w:spacing w:before="30" w:after="30"/>
        <w:rPr/>
      </w:pPr>
      <w:r>
        <w:rPr>
          <w:rFonts w:eastAsia="Arial" w:cs="Arial"/>
          <w:sz w:val="22"/>
          <w:szCs w:val="22"/>
        </w:rPr>
        <w:t>Background checks in Georgia go through GCHEXS (Georgia Criminal History Check System) via IdentoGo fingerprinting. For DBHDD-funded positions, the CheckPT system is also used. ALL adults in the home must be cleared.</w:t>
      </w:r>
    </w:p>
    <w:p>
      <w:pPr>
        <w:pStyle w:val="ListParagraph"/>
        <w:numPr>
          <w:ilvl w:val="0"/>
          <w:numId w:val="1"/>
        </w:numPr>
        <w:spacing w:before="30" w:after="30"/>
        <w:rPr/>
      </w:pPr>
      <w:r>
        <w:rPr>
          <w:rFonts w:eastAsia="Arial" w:cs="Arial"/>
          <w:sz w:val="22"/>
          <w:szCs w:val="22"/>
        </w:rPr>
        <w:t>The CRA Provider Agency must apply to the Georgia Collaborative ASO for a site-specific Medicaid provider number for each approved host home — the host home does not have its own agency-level Medicaid number.</w:t>
      </w:r>
    </w:p>
    <w:p>
      <w:pPr>
        <w:pStyle w:val="ListParagraph"/>
        <w:numPr>
          <w:ilvl w:val="0"/>
          <w:numId w:val="1"/>
        </w:numPr>
        <w:spacing w:before="30" w:after="30"/>
        <w:rPr/>
      </w:pPr>
      <w:r>
        <w:rPr>
          <w:rFonts w:eastAsia="Arial" w:cs="Arial"/>
          <w:sz w:val="22"/>
          <w:szCs w:val="22"/>
        </w:rPr>
        <w:t>A Developmental Disabilities Professional (DDP) must review and sign certain required documents per DBHDD requirements. Agency providers must ensure DDP availability.</w:t>
      </w:r>
    </w:p>
    <w:p>
      <w:pPr>
        <w:pStyle w:val="ListParagraph"/>
        <w:numPr>
          <w:ilvl w:val="0"/>
          <w:numId w:val="1"/>
        </w:numPr>
        <w:spacing w:before="30" w:after="30"/>
        <w:rPr/>
      </w:pPr>
      <w:r>
        <w:rPr>
          <w:rFonts w:eastAsia="Arial" w:cs="Arial"/>
          <w:sz w:val="22"/>
          <w:szCs w:val="22"/>
        </w:rPr>
        <w:t>Georgia APS for adults: 1-800-878-6442. For immediate crisis/safety: Georgia Crisis &amp; Access Line 1-800-715-4225.</w:t>
      </w:r>
    </w:p>
    <w:p>
      <w:pPr>
        <w:pStyle w:val="ListParagraph"/>
        <w:numPr>
          <w:ilvl w:val="0"/>
          <w:numId w:val="1"/>
        </w:numPr>
        <w:spacing w:before="30" w:after="30"/>
        <w:rPr/>
      </w:pPr>
      <w:r>
        <w:rPr>
          <w:rFonts w:eastAsia="Arial" w:cs="Arial"/>
          <w:sz w:val="22"/>
          <w:szCs w:val="22"/>
        </w:rPr>
        <w:t>This template does not constitute legal advice. Consult with a qualified Georgia health care attorney or DBHDD compliance consultant before submitting to DBHDD.</w:t>
      </w:r>
    </w:p>
    <w:p>
      <w:pPr>
        <w:pStyle w:val="Normal"/>
        <w:rPr/>
      </w:pPr>
      <w:r>
        <w:rPr/>
        <w:br/>
      </w:r>
    </w:p>
    <w:p>
      <w:pPr>
        <w:pStyle w:val="Heading1"/>
        <w:pBdr>
          <w:bottom w:val="single" w:sz="6" w:space="1" w:color="2E5DA8"/>
        </w:pBdr>
        <w:spacing w:before="200" w:after="120"/>
        <w:rPr/>
      </w:pPr>
      <w:r>
        <w:rPr>
          <w:rFonts w:eastAsia="Arial" w:cs="Arial" w:ascii="Arial" w:hAnsi="Arial"/>
          <w:b/>
          <w:bCs/>
          <w:color w:val="1F3864"/>
          <w:sz w:val="28"/>
          <w:szCs w:val="28"/>
        </w:rPr>
        <w:t>TABLE OF CONTENTS</w:t>
      </w:r>
    </w:p>
    <w:p>
      <w:pPr>
        <w:pStyle w:val="Normal"/>
        <w:spacing w:before="120" w:after="40"/>
        <w:rPr/>
      </w:pPr>
      <w:r>
        <w:rPr>
          <w:rFonts w:eastAsia="Arial" w:cs="Arial"/>
          <w:b/>
          <w:bCs/>
          <w:color w:val="1F3864"/>
          <w:sz w:val="22"/>
          <w:szCs w:val="22"/>
        </w:rPr>
        <w:t>SECTION A: ADMINISTRATION &amp; GOVERNANCE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1.00 — Individual Rights, HCBS Settings &amp; Rights Modification</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1.01 — Confidentiality &amp; Health Information Management (HIPAA)</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1.02 — Non-Discrimination &amp; Accessibility</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1.03 — Feedback, Grievance &amp; Complaint Procedure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1.04 — Relief Coverage, Planned Absences &amp; Emergency Coverage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1.05 — Supervision &amp; Communication with Your CRA Provider Agency and DBHDD</w:t>
      </w:r>
    </w:p>
    <w:p>
      <w:pPr>
        <w:pStyle w:val="Normal"/>
        <w:spacing w:before="120" w:after="40"/>
        <w:rPr/>
      </w:pPr>
      <w:r>
        <w:rPr>
          <w:rFonts w:eastAsia="Arial" w:cs="Arial"/>
          <w:b/>
          <w:bCs/>
          <w:color w:val="1F3864"/>
          <w:sz w:val="22"/>
          <w:szCs w:val="22"/>
        </w:rPr>
        <w:t>SECTION B: HOST HOME PROVIDER QUALIFICATIONS, BACKGROUND CLEARANCES &amp; RELIEF CAREGIVERS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2.00 — Host Home Provider Qualifications &amp; Georgia Background Clearance Requirements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2.01 — Host Home Provider Training, Orientation &amp; Competency Assessment Program</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2.02 — Medication Administration Training &amp; Certification</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2.03 — Host Home Environment &amp; Physical Standards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2.04 — Relief Caregivers &amp; Respite Staff — Background Clearances, Training &amp; Documentation</w:t>
      </w:r>
    </w:p>
    <w:p>
      <w:pPr>
        <w:pStyle w:val="Normal"/>
        <w:spacing w:before="120" w:after="40"/>
        <w:rPr/>
      </w:pPr>
      <w:r>
        <w:rPr>
          <w:rFonts w:eastAsia="Arial" w:cs="Arial"/>
          <w:b/>
          <w:bCs/>
          <w:color w:val="1F3864"/>
          <w:sz w:val="22"/>
          <w:szCs w:val="22"/>
        </w:rPr>
        <w:t>SECTION C: CARE, TREATMENT &amp; SUPPORT SERVICES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3.00 — Person-Centered Planning, Assessment &amp; ISP Implementation</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3.01 — Admission, Transition &amp; Discharge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3.02 — Assessment &amp; Individualized Care Planning</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3.03 — Activities of Daily Living &amp; Personal Care Services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3.04 — Health Monitoring &amp; Coordination with Healthcare Providers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3.05 — Behavioral Support &amp; Positive Behavior Strategies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3.06 — Management of Individual Funds &amp; Personal Property</w:t>
      </w:r>
    </w:p>
    <w:p>
      <w:pPr>
        <w:pStyle w:val="Normal"/>
        <w:spacing w:before="120" w:after="40"/>
        <w:rPr/>
      </w:pPr>
      <w:r>
        <w:rPr>
          <w:rFonts w:eastAsia="Arial" w:cs="Arial"/>
          <w:b/>
          <w:bCs/>
          <w:color w:val="1F3864"/>
          <w:sz w:val="22"/>
          <w:szCs w:val="22"/>
        </w:rPr>
        <w:t>SECTION D: MEDICATION MANAGEMENT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4.00 — Medication Management — Ordering, Storage, Administration &amp; Monitoring</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4.01 — Controlled Substances &amp; Narcotics Management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4.02 — Self-Administration of Medications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4.03 — Medication Errors &amp; Adverse Drug Events</w:t>
      </w:r>
    </w:p>
    <w:p>
      <w:pPr>
        <w:pStyle w:val="Normal"/>
        <w:spacing w:before="120" w:after="40"/>
        <w:rPr/>
      </w:pPr>
      <w:r>
        <w:rPr>
          <w:rFonts w:eastAsia="Arial" w:cs="Arial"/>
          <w:b/>
          <w:bCs/>
          <w:color w:val="1F3864"/>
          <w:sz w:val="22"/>
          <w:szCs w:val="22"/>
        </w:rPr>
        <w:t>SECTION E: HEALTH, SAFETY &amp; EMERGENCY RESPONSE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5.00 — Incident Reporting, Critical Incidents &amp; Sentinel Events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5.01 — Emergency Preparedness, Hazard Vulnerability Analysis &amp; Continuity of Care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5.02 — Infection Prevention &amp; Control</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5.03 — COVID-19, Pandemic Response &amp; Communicable Disease Protocols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5.04 — Environment of Care — Safety, Utility Management &amp; Hazardous Materials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5.05 — Abuse, Neglect &amp; Exploitation — Prevention, Recognition &amp; Mandatory Reporting</w:t>
      </w:r>
    </w:p>
    <w:p>
      <w:pPr>
        <w:pStyle w:val="Normal"/>
        <w:spacing w:before="120" w:after="40"/>
        <w:rPr/>
      </w:pPr>
      <w:r>
        <w:rPr>
          <w:rFonts w:eastAsia="Arial" w:cs="Arial"/>
          <w:b/>
          <w:bCs/>
          <w:color w:val="1F3864"/>
          <w:sz w:val="22"/>
          <w:szCs w:val="22"/>
        </w:rPr>
        <w:t>SECTION F: QUALITY MANAGEMENT, ETHICS &amp; DOCUMENTATION</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6.00 — Quality Management, Performance Improvement &amp; Organizational Safety Culture</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6.01 — Documentation Standards, Record Content &amp; Data Integrity</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Policy 6.02 — Provider Agreements, Licensing, Regulatory Compliance &amp; Ethics</w:t>
      </w:r>
    </w:p>
    <w:p>
      <w:pPr>
        <w:pStyle w:val="Normal"/>
        <w:spacing w:before="120" w:after="40"/>
        <w:rPr/>
      </w:pPr>
      <w:r>
        <w:rPr>
          <w:rFonts w:eastAsia="Arial" w:cs="Arial"/>
          <w:b/>
          <w:bCs/>
          <w:color w:val="1F3864"/>
          <w:sz w:val="22"/>
          <w:szCs w:val="22"/>
        </w:rPr>
        <w:t>APPENDICES</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Appendix A — Required Forms Checklist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Appendix B — Key Agency Contact Directory (Georgia)</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Appendix C — Narcotics &amp; Controlled Substances Count Sheet</w:t>
      </w:r>
    </w:p>
    <w:p>
      <w:pPr>
        <w:pStyle w:val="Normal"/>
        <w:spacing w:before="40" w:after="20"/>
        <w:rPr/>
      </w:pPr>
      <w:r>
        <w:rPr>
          <w:rFonts w:eastAsia="Arial" w:cs="Arial"/>
          <w:b w:val="false"/>
          <w:bCs w:val="false"/>
          <w:color w:val="000000"/>
          <w:sz w:val="20"/>
          <w:szCs w:val="20"/>
        </w:rPr>
        <w:t xml:space="preserve">  </w:t>
      </w:r>
      <w:r>
        <w:rPr>
          <w:rFonts w:eastAsia="Arial" w:cs="Arial"/>
          <w:b w:val="false"/>
          <w:bCs w:val="false"/>
          <w:color w:val="000000"/>
          <w:sz w:val="20"/>
          <w:szCs w:val="20"/>
        </w:rPr>
        <w:t>Appendix D — Individual Rights Acknowledgment Form</w:t>
      </w:r>
    </w:p>
    <w:p>
      <w:pPr>
        <w:pStyle w:val="Normal"/>
        <w:rPr/>
      </w:pPr>
      <w:r>
        <w:rPr/>
        <w:br/>
      </w:r>
    </w:p>
    <w:p>
      <w:pPr>
        <w:pStyle w:val="Normal"/>
        <w:shd w:val="clear" w:fill="1F3864"/>
        <w:spacing w:before="0" w:after="0"/>
        <w:jc w:val="center"/>
        <w:rPr/>
      </w:pPr>
      <w:r>
        <w:rPr>
          <w:rFonts w:eastAsia="Arial" w:cs="Arial"/>
          <w:b/>
          <w:bCs/>
          <w:color w:val="FFFFFF"/>
          <w:sz w:val="32"/>
          <w:szCs w:val="32"/>
        </w:rPr>
        <w:t>SECTION A: ADMINISTRATION &amp; GOVERNANCE</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#1.00: Individual Rights, HCBS Settings &amp; Rights Modification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42 CFR 441.301 (HCBS Settings Final Rule); DBHDD NOW/COMP Waiver Provider Manual; DBHDD Policy 02-704; O.C.G.A. §37-1-1 et seq.; 42 CFR 438.100</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[Host Home Provider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protect, and promote the rights of all individuals served in this DBHDD-approved Host Home/Life-Sharing setting, in accordance with the Georgia NOW/COMP Waiver, the federal HCBS Settings Final Rule, and DBHDD policy. This policy ensures that rights are communicated at placement, upheld at all times, and that any modification follows the legally required person-centered process.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Host Home Provider affirms that every individual served has inherent rights that shall be upheld at all times. No right shall be restricted or modified except through the formal rights modification process described in this policy. Individual rights shall be posted in a visible location in the home and reviewed with the individual and the support team at each annual ISP meeting.</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HCBS Settings Final Rule: Federal requirement (42 CFR 441.301) that HCBS-funded settings must be integrated, person-centered, and provide individuals with rights consistent with community members not receiving HCBS.</w:t>
      </w:r>
    </w:p>
    <w:p>
      <w:pPr>
        <w:pStyle w:val="ListParagraph"/>
        <w:numPr>
          <w:ilvl w:val="0"/>
          <w:numId w:val="1"/>
        </w:numPr>
        <w:spacing w:before="30" w:after="30"/>
        <w:rPr/>
      </w:pPr>
      <w:r>
        <w:rPr>
          <w:rFonts w:eastAsia="Arial" w:cs="Arial"/>
          <w:sz w:val="22"/>
          <w:szCs w:val="22"/>
        </w:rPr>
        <w:t>Individual Service Plan (ISP): The person-centered plan developed collaboratively with the individual, their guardian/legal representative, the Support Coordinator, and service providers, guiding all NOW/COMP waiver services.</w:t>
      </w:r>
    </w:p>
    <w:p>
      <w:pPr>
        <w:pStyle w:val="ListParagraph"/>
        <w:numPr>
          <w:ilvl w:val="0"/>
          <w:numId w:val="1"/>
        </w:numPr>
        <w:spacing w:before="30" w:after="30"/>
        <w:rPr/>
      </w:pPr>
      <w:r>
        <w:rPr>
          <w:rFonts w:eastAsia="Arial" w:cs="Arial"/>
          <w:sz w:val="22"/>
          <w:szCs w:val="22"/>
        </w:rPr>
        <w:t>NOW Waiver: New Options Waiver — Georgia's HCBS waiver for individuals with developmental disabilities who live at home or in the community.</w:t>
      </w:r>
    </w:p>
    <w:p>
      <w:pPr>
        <w:pStyle w:val="ListParagraph"/>
        <w:numPr>
          <w:ilvl w:val="0"/>
          <w:numId w:val="1"/>
        </w:numPr>
        <w:spacing w:before="30" w:after="30"/>
        <w:rPr/>
      </w:pPr>
      <w:r>
        <w:rPr>
          <w:rFonts w:eastAsia="Arial" w:cs="Arial"/>
          <w:sz w:val="22"/>
          <w:szCs w:val="22"/>
        </w:rPr>
        <w:t>COMP Waiver: Comprehensive Supports Waiver — Georgia's HCBS waiver for individuals with developmental disabilities who require a higher level of support, including residential services.</w:t>
      </w:r>
    </w:p>
    <w:p>
      <w:pPr>
        <w:pStyle w:val="ListParagraph"/>
        <w:numPr>
          <w:ilvl w:val="0"/>
          <w:numId w:val="1"/>
        </w:numPr>
        <w:spacing w:before="30" w:after="30"/>
        <w:rPr/>
      </w:pPr>
      <w:r>
        <w:rPr>
          <w:rFonts w:eastAsia="Arial" w:cs="Arial"/>
          <w:sz w:val="22"/>
          <w:szCs w:val="22"/>
        </w:rPr>
        <w:t>DBHDD: Georgia Department of Behavioral Health and Developmental Disabilities — the state agency administering the NOW and COMP waivers.</w:t>
      </w:r>
    </w:p>
    <w:p>
      <w:pPr>
        <w:pStyle w:val="ListParagraph"/>
        <w:numPr>
          <w:ilvl w:val="0"/>
          <w:numId w:val="1"/>
        </w:numPr>
        <w:spacing w:before="30" w:after="30"/>
        <w:rPr/>
      </w:pPr>
      <w:r>
        <w:rPr>
          <w:rFonts w:eastAsia="Arial" w:cs="Arial"/>
          <w:sz w:val="22"/>
          <w:szCs w:val="22"/>
        </w:rPr>
        <w:t>Support Coordinator: The DBHDD-assigned professional coordinating the individual's ISP and waiver services.</w:t>
      </w:r>
    </w:p>
    <w:p>
      <w:pPr>
        <w:pStyle w:val="ListParagraph"/>
        <w:numPr>
          <w:ilvl w:val="0"/>
          <w:numId w:val="1"/>
        </w:numPr>
        <w:spacing w:before="30" w:after="30"/>
        <w:rPr/>
      </w:pPr>
      <w:r>
        <w:rPr>
          <w:rFonts w:eastAsia="Arial" w:cs="Arial"/>
          <w:sz w:val="22"/>
          <w:szCs w:val="22"/>
        </w:rPr>
        <w:t>Guardian / Legal Representative: A person authorized by law or court order to make decisions on behalf of the individual.</w:t>
      </w:r>
    </w:p>
    <w:p>
      <w:pPr>
        <w:pStyle w:val="ListParagraph"/>
        <w:numPr>
          <w:ilvl w:val="0"/>
          <w:numId w:val="1"/>
        </w:numPr>
        <w:spacing w:before="30" w:after="30"/>
        <w:rPr/>
      </w:pPr>
      <w:r>
        <w:rPr>
          <w:rFonts w:eastAsia="Arial" w:cs="Arial"/>
          <w:sz w:val="22"/>
          <w:szCs w:val="22"/>
        </w:rPr>
        <w:t>Georgia Collaborative ASO: The Administrative Services Organization managing day-to-day administration of Georgia's DD waiver programs.</w:t>
      </w:r>
    </w:p>
    <w:p>
      <w:pPr>
        <w:pStyle w:val="Normal"/>
        <w:spacing w:before="120" w:after="40"/>
        <w:rPr/>
      </w:pPr>
      <w:r>
        <w:rPr>
          <w:rFonts w:eastAsia="Arial" w:cs="Arial"/>
          <w:b/>
          <w:bCs/>
          <w:color w:val="2E5DA8"/>
          <w:sz w:val="22"/>
          <w:szCs w:val="22"/>
        </w:rPr>
        <w:t>SCOPE OF INDIVIDUAL RIGHTS</w:t>
      </w:r>
    </w:p>
    <w:p>
      <w:pPr>
        <w:pStyle w:val="Normal"/>
        <w:spacing w:before="140" w:after="60"/>
        <w:rPr/>
      </w:pPr>
      <w:r>
        <w:rPr>
          <w:rFonts w:eastAsia="Arial" w:cs="Arial"/>
          <w:b/>
          <w:bCs/>
          <w:sz w:val="22"/>
          <w:szCs w:val="22"/>
          <w:u w:val="single"/>
        </w:rPr>
        <w:t>A. Civil and Human Rights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right to be treated with dignity, respect, and courtesy at all times.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right to be free from abuse, neglect, exploitation, mistreatment, and unauthorized restraint.</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right to privacy in treatment, personal care, communications, and personal space.</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right to practice religion, culture, and personal beliefs freely.</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right to vote in elections without interference.</w:t>
      </w:r>
    </w:p>
    <w:p>
      <w:pPr>
        <w:pStyle w:val="Normal"/>
        <w:spacing w:before="30" w:after="30"/>
        <w:ind w:hanging="360" w:start="720"/>
        <w:rPr/>
      </w:pPr>
      <w:r>
        <w:rPr>
          <w:rFonts w:eastAsia="Arial" w:cs="Arial"/>
          <w:b/>
          <w:bCs/>
          <w:sz w:val="22"/>
          <w:szCs w:val="22"/>
        </w:rPr>
        <w:t xml:space="preserve">f.  </w:t>
      </w:r>
      <w:r>
        <w:rPr>
          <w:rFonts w:eastAsia="Arial" w:cs="Arial"/>
          <w:sz w:val="22"/>
          <w:szCs w:val="22"/>
        </w:rPr>
        <w:t>The right to access legal counsel and to file complaints with any government agency without retaliation.</w:t>
      </w:r>
    </w:p>
    <w:p>
      <w:pPr>
        <w:pStyle w:val="Normal"/>
        <w:spacing w:before="30" w:after="30"/>
        <w:ind w:hanging="360" w:start="720"/>
        <w:rPr/>
      </w:pPr>
      <w:r>
        <w:rPr>
          <w:rFonts w:eastAsia="Arial" w:cs="Arial"/>
          <w:b/>
          <w:bCs/>
          <w:sz w:val="22"/>
          <w:szCs w:val="22"/>
        </w:rPr>
        <w:t xml:space="preserve">g.  </w:t>
      </w:r>
      <w:r>
        <w:rPr>
          <w:rFonts w:eastAsia="Arial" w:cs="Arial"/>
          <w:sz w:val="22"/>
          <w:szCs w:val="22"/>
        </w:rPr>
        <w:t>The right to be free from discrimination on the basis of race, color, national origin, sex, disability, age, sexual orientation, gender identity, religion, or any other characteristic protected by Georgia or federal law.</w:t>
      </w:r>
    </w:p>
    <w:p>
      <w:pPr>
        <w:pStyle w:val="Normal"/>
        <w:spacing w:before="140" w:after="60"/>
        <w:rPr/>
      </w:pPr>
      <w:r>
        <w:rPr>
          <w:rFonts w:eastAsia="Arial" w:cs="Arial"/>
          <w:b/>
          <w:bCs/>
          <w:sz w:val="22"/>
          <w:szCs w:val="22"/>
          <w:u w:val="single"/>
        </w:rPr>
        <w:t>B. Rights in the Host Home Setting (HCBS Settings Compliance)</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right to have a key or key code to the home and access it at any time.</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right to privacy in the bedroom and to furnish and decorate personal space within normal household guidelines.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right to have visitors, including overnight visitors, at any time, subject only to the individual's own preference.</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right to access food at any time.</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right to choose their own daily schedule, including sleeping, waking, meals, and activities.</w:t>
      </w:r>
    </w:p>
    <w:p>
      <w:pPr>
        <w:pStyle w:val="Normal"/>
        <w:spacing w:before="30" w:after="30"/>
        <w:ind w:hanging="360" w:start="720"/>
        <w:rPr/>
      </w:pPr>
      <w:r>
        <w:rPr>
          <w:rFonts w:eastAsia="Arial" w:cs="Arial"/>
          <w:b/>
          <w:bCs/>
          <w:sz w:val="22"/>
          <w:szCs w:val="22"/>
        </w:rPr>
        <w:t xml:space="preserve">f.  </w:t>
      </w:r>
      <w:r>
        <w:rPr>
          <w:rFonts w:eastAsia="Arial" w:cs="Arial"/>
          <w:sz w:val="22"/>
          <w:szCs w:val="22"/>
        </w:rPr>
        <w:t>The right to receive services in a setting integrated in the broader Georgia community.</w:t>
      </w:r>
    </w:p>
    <w:p>
      <w:pPr>
        <w:pStyle w:val="Normal"/>
        <w:spacing w:before="140" w:after="60"/>
        <w:rPr/>
      </w:pPr>
      <w:r>
        <w:rPr>
          <w:rFonts w:eastAsia="Arial" w:cs="Arial"/>
          <w:b/>
          <w:bCs/>
          <w:sz w:val="22"/>
          <w:szCs w:val="22"/>
          <w:u w:val="single"/>
        </w:rPr>
        <w:t>C. Rights in Care and Services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right to participate in the development, review, and revision of the ISP.</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right to make choices about daily life, activities, meals, and social engagements.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right to accept or refuse services, including medical treatment, in accordance with Georgia law.</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right to receive services from providers who are qualified, trained, and supervised.</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right to continuity of care and to transition to another setting with adequate notice and support.</w:t>
      </w:r>
    </w:p>
    <w:p>
      <w:pPr>
        <w:pStyle w:val="Normal"/>
        <w:spacing w:before="120" w:after="40"/>
        <w:rPr/>
      </w:pPr>
      <w:r>
        <w:rPr>
          <w:rFonts w:eastAsia="Arial" w:cs="Arial"/>
          <w:b/>
          <w:bCs/>
          <w:color w:val="2E5DA8"/>
          <w:sz w:val="22"/>
          <w:szCs w:val="22"/>
        </w:rPr>
        <w:t>RIGHTS MODIFICATION PROCEDURE</w:t>
      </w:r>
    </w:p>
    <w:p>
      <w:pPr>
        <w:pStyle w:val="Normal"/>
        <w:spacing w:before="40" w:after="60"/>
        <w:rPr/>
      </w:pPr>
      <w:r>
        <w:rPr>
          <w:rFonts w:eastAsia="Arial" w:cs="Arial"/>
          <w:sz w:val="22"/>
          <w:szCs w:val="22"/>
        </w:rPr>
        <w:t>A rights modification may only occur when ALL of the following conditions are met:</w:t>
      </w:r>
    </w:p>
    <w:p>
      <w:pPr>
        <w:pStyle w:val="Normal"/>
        <w:spacing w:before="30" w:after="30"/>
        <w:ind w:hanging="360" w:start="720"/>
        <w:rPr/>
      </w:pPr>
      <w:r>
        <w:rPr>
          <w:rFonts w:eastAsia="Arial" w:cs="Arial"/>
          <w:b/>
          <w:bCs/>
          <w:sz w:val="22"/>
          <w:szCs w:val="22"/>
        </w:rPr>
        <w:t xml:space="preserve">a.  </w:t>
      </w:r>
      <w:r>
        <w:rPr>
          <w:rFonts w:eastAsia="Arial" w:cs="Arial"/>
          <w:sz w:val="22"/>
          <w:szCs w:val="22"/>
        </w:rPr>
        <w:t>There is a specific assessed need documented in the individual's record.</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modification is the least restrictive alternative available.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individual and/or guardian/legal representative has provided written informed consent.</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modification is reviewed and approved by the ISP team, including the Support Coordinator and the CRA Provider Agency.</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modification is time-limited with measurable goals and a fading plan.</w:t>
      </w:r>
    </w:p>
    <w:p>
      <w:pPr>
        <w:pStyle w:val="Normal"/>
        <w:spacing w:before="30" w:after="30"/>
        <w:ind w:hanging="360" w:start="720"/>
        <w:rPr/>
      </w:pPr>
      <w:r>
        <w:rPr>
          <w:rFonts w:eastAsia="Arial" w:cs="Arial"/>
          <w:b/>
          <w:bCs/>
          <w:sz w:val="22"/>
          <w:szCs w:val="22"/>
        </w:rPr>
        <w:t xml:space="preserve">f.  </w:t>
      </w:r>
      <w:r>
        <w:rPr>
          <w:rFonts w:eastAsia="Arial" w:cs="Arial"/>
          <w:sz w:val="22"/>
          <w:szCs w:val="22"/>
        </w:rPr>
        <w:t>The modification is reviewed at least quarterly and at each annual ISP meeting.</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Step 1 — Rights Communication (At Placement)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Host Home Provider shall review all individual rights within twenty-four (24) hours of placement.</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individual shall receive a written copy of this policy in a format they can understand.</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individual shall sign the Rights Acknowledgment Form (Appendix D). A copy is filed in the permanent record.</w:t>
      </w:r>
    </w:p>
    <w:p>
      <w:pPr>
        <w:pStyle w:val="Normal"/>
        <w:spacing w:before="30" w:after="30"/>
        <w:ind w:hanging="360" w:start="720"/>
        <w:rPr/>
      </w:pPr>
      <w:r>
        <w:rPr>
          <w:rFonts w:eastAsia="Arial" w:cs="Arial"/>
          <w:b/>
          <w:bCs/>
          <w:sz w:val="22"/>
          <w:szCs w:val="22"/>
        </w:rPr>
        <w:t xml:space="preserve">d.  </w:t>
      </w:r>
      <w:r>
        <w:rPr>
          <w:rFonts w:eastAsia="Arial" w:cs="Arial"/>
          <w:sz w:val="22"/>
          <w:szCs w:val="22"/>
        </w:rPr>
        <w:t>Rights information shall be posted in a prominent location in the home.</w:t>
      </w:r>
    </w:p>
    <w:p>
      <w:pPr>
        <w:pStyle w:val="Normal"/>
        <w:spacing w:before="140" w:after="60"/>
        <w:rPr/>
      </w:pPr>
      <w:r>
        <w:rPr>
          <w:rFonts w:eastAsia="Arial" w:cs="Arial"/>
          <w:b/>
          <w:bCs/>
          <w:sz w:val="22"/>
          <w:szCs w:val="22"/>
          <w:u w:val="single"/>
        </w:rPr>
        <w:t>Step 2 — Annual Rights Review</w:t>
      </w:r>
    </w:p>
    <w:p>
      <w:pPr>
        <w:pStyle w:val="Normal"/>
        <w:spacing w:before="30" w:after="30"/>
        <w:ind w:hanging="360" w:start="720"/>
        <w:rPr/>
      </w:pPr>
      <w:r>
        <w:rPr>
          <w:rFonts w:eastAsia="Arial" w:cs="Arial"/>
          <w:b/>
          <w:bCs/>
          <w:sz w:val="22"/>
          <w:szCs w:val="22"/>
        </w:rPr>
        <w:t xml:space="preserve">a.  </w:t>
      </w:r>
      <w:r>
        <w:rPr>
          <w:rFonts w:eastAsia="Arial" w:cs="Arial"/>
          <w:sz w:val="22"/>
          <w:szCs w:val="22"/>
        </w:rPr>
        <w:t>Rights shall be reviewed at each annual ISP meeting and whenever a modification is proposed.</w:t>
      </w:r>
    </w:p>
    <w:p>
      <w:pPr>
        <w:pStyle w:val="Normal"/>
        <w:spacing w:before="30" w:after="30"/>
        <w:ind w:hanging="360" w:start="720"/>
        <w:rPr/>
      </w:pPr>
      <w:r>
        <w:rPr>
          <w:rFonts w:eastAsia="Arial" w:cs="Arial"/>
          <w:b/>
          <w:bCs/>
          <w:sz w:val="22"/>
          <w:szCs w:val="22"/>
        </w:rPr>
        <w:t xml:space="preserve">b.  </w:t>
      </w:r>
      <w:r>
        <w:rPr>
          <w:rFonts w:eastAsia="Arial" w:cs="Arial"/>
          <w:sz w:val="22"/>
          <w:szCs w:val="22"/>
        </w:rPr>
        <w:t>Documentation of the annual review shall be signed by all ISP team members and filed.</w:t>
      </w:r>
    </w:p>
    <w:p>
      <w:pPr>
        <w:pStyle w:val="Normal"/>
        <w:spacing w:before="140" w:after="60"/>
        <w:rPr/>
      </w:pPr>
      <w:r>
        <w:rPr>
          <w:rFonts w:eastAsia="Arial" w:cs="Arial"/>
          <w:b/>
          <w:bCs/>
          <w:sz w:val="22"/>
          <w:szCs w:val="22"/>
          <w:u w:val="single"/>
        </w:rPr>
        <w:t>Step 4 — External Complaint Options</w:t>
      </w:r>
    </w:p>
    <w:p>
      <w:pPr>
        <w:pStyle w:val="Normal"/>
        <w:spacing w:before="40" w:after="60"/>
        <w:rPr/>
      </w:pPr>
      <w:r>
        <w:rPr>
          <w:rFonts w:eastAsia="Arial" w:cs="Arial"/>
          <w:sz w:val="22"/>
          <w:szCs w:val="22"/>
        </w:rPr>
        <w:t>Individuals have the right to contact external agencies at any time:</w:t>
      </w:r>
    </w:p>
    <w:p>
      <w:pPr>
        <w:pStyle w:val="ListParagraph"/>
        <w:numPr>
          <w:ilvl w:val="0"/>
          <w:numId w:val="1"/>
        </w:numPr>
        <w:spacing w:before="30" w:after="30"/>
        <w:rPr/>
      </w:pPr>
      <w:r>
        <w:rPr>
          <w:rFonts w:eastAsia="Arial" w:cs="Arial"/>
          <w:sz w:val="22"/>
          <w:szCs w:val="22"/>
        </w:rPr>
        <w:t>DBHDD Regional Field Office — [Region] — [Phone]</w:t>
      </w:r>
    </w:p>
    <w:p>
      <w:pPr>
        <w:pStyle w:val="ListParagraph"/>
        <w:numPr>
          <w:ilvl w:val="0"/>
          <w:numId w:val="1"/>
        </w:numPr>
        <w:spacing w:before="30" w:after="30"/>
        <w:rPr/>
      </w:pPr>
      <w:r>
        <w:rPr>
          <w:rFonts w:eastAsia="Arial" w:cs="Arial"/>
          <w:sz w:val="22"/>
          <w:szCs w:val="22"/>
        </w:rPr>
        <w:t>Georgia Collaborative ASO: (678) 587-4500 | georgiacollaborative.com</w:t>
      </w:r>
    </w:p>
    <w:p>
      <w:pPr>
        <w:pStyle w:val="ListParagraph"/>
        <w:numPr>
          <w:ilvl w:val="0"/>
          <w:numId w:val="1"/>
        </w:numPr>
        <w:spacing w:before="30" w:after="30"/>
        <w:rPr/>
      </w:pPr>
      <w:r>
        <w:rPr>
          <w:rFonts w:eastAsia="Arial" w:cs="Arial"/>
          <w:sz w:val="22"/>
          <w:szCs w:val="22"/>
        </w:rPr>
        <w:t>Adult Protective Services (APS): 1-800-878-6442 (Elder Abuse Hotline) or DFCS: 1-855-422-4453</w:t>
      </w:r>
    </w:p>
    <w:p>
      <w:pPr>
        <w:pStyle w:val="ListParagraph"/>
        <w:numPr>
          <w:ilvl w:val="0"/>
          <w:numId w:val="1"/>
        </w:numPr>
        <w:spacing w:before="30" w:after="30"/>
        <w:rPr/>
      </w:pPr>
      <w:r>
        <w:rPr>
          <w:rFonts w:eastAsia="Arial" w:cs="Arial"/>
          <w:sz w:val="22"/>
          <w:szCs w:val="22"/>
        </w:rPr>
        <w:t>Georgia Crisis &amp; Access Line: 1-800-715-4225</w:t>
      </w:r>
    </w:p>
    <w:p>
      <w:pPr>
        <w:pStyle w:val="ListParagraph"/>
        <w:numPr>
          <w:ilvl w:val="0"/>
          <w:numId w:val="1"/>
        </w:numPr>
        <w:spacing w:before="30" w:after="30"/>
        <w:rPr/>
      </w:pPr>
      <w:r>
        <w:rPr>
          <w:rFonts w:eastAsia="Arial" w:cs="Arial"/>
          <w:sz w:val="22"/>
          <w:szCs w:val="22"/>
        </w:rPr>
        <w:t>Disability Rights Georgia: 1-800-537-2329 | drgc.org</w:t>
      </w:r>
    </w:p>
    <w:p>
      <w:pPr>
        <w:pStyle w:val="ListParagraph"/>
        <w:numPr>
          <w:ilvl w:val="0"/>
          <w:numId w:val="1"/>
        </w:numPr>
        <w:spacing w:before="30" w:after="30"/>
        <w:rPr/>
      </w:pPr>
      <w:r>
        <w:rPr>
          <w:rFonts w:eastAsia="Arial" w:cs="Arial"/>
          <w:sz w:val="22"/>
          <w:szCs w:val="22"/>
        </w:rPr>
        <w:t>Georgia Department of Community Health: (404) 656-4507</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Rights Acknowledgment Form (Appendix D)</w:t>
      </w:r>
    </w:p>
    <w:p>
      <w:pPr>
        <w:pStyle w:val="ListParagraph"/>
        <w:numPr>
          <w:ilvl w:val="0"/>
          <w:numId w:val="1"/>
        </w:numPr>
        <w:spacing w:before="30" w:after="30"/>
        <w:rPr/>
      </w:pPr>
      <w:r>
        <w:rPr>
          <w:rFonts w:eastAsia="Arial" w:cs="Arial"/>
          <w:sz w:val="22"/>
          <w:szCs w:val="22"/>
        </w:rPr>
        <w:t>Rights Modification Documentation (per ISP team / CRA Provider Agency)</w:t>
      </w:r>
    </w:p>
    <w:p>
      <w:pPr>
        <w:pStyle w:val="ListParagraph"/>
        <w:numPr>
          <w:ilvl w:val="0"/>
          <w:numId w:val="1"/>
        </w:numPr>
        <w:spacing w:before="30" w:after="30"/>
        <w:rPr/>
      </w:pPr>
      <w:r>
        <w:rPr>
          <w:rFonts w:eastAsia="Arial" w:cs="Arial"/>
          <w:sz w:val="22"/>
          <w:szCs w:val="22"/>
        </w:rPr>
        <w:t>Grievance &amp; Complaint Form (Policy 1.03)</w:t>
      </w:r>
    </w:p>
    <w:p>
      <w:pPr>
        <w:pStyle w:val="ListParagraph"/>
        <w:numPr>
          <w:ilvl w:val="0"/>
          <w:numId w:val="1"/>
        </w:numPr>
        <w:spacing w:before="30" w:after="30"/>
        <w:rPr/>
      </w:pPr>
      <w:r>
        <w:rPr>
          <w:rFonts w:eastAsia="Arial" w:cs="Arial"/>
          <w:sz w:val="22"/>
          <w:szCs w:val="22"/>
        </w:rPr>
        <w:t>Individual Service Plan (ISP) — maintained by Support Coordinator</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[Host Home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[Host Home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DBHDD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[Host Home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#1.01: Confidentiality &amp; Health Information Management (HIPAA)</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HIPAA (45 CFR Parts 160 &amp; 164); O.C.G.A. §31-33-1 et seq. (GA Medical Records); DBHDD NOW/COMP Waiver Provider Manual; DBHDD Policy</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[Host Home Provider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requirements for the confidential handling, storage, access, and release of protected health information (PHI) and all personal records pertaining to individuals served in this Host Home/Life-Sharing setting, in compliance with HIPAA, Georgia law, and DBHDD requirements.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Host Home Provider shall protect the confidentiality of all individually identifiable health information. Records shall be maintained securely and released only upon proper authorization, legal requirement, or as permitted by law.</w:t>
      </w:r>
    </w:p>
    <w:p>
      <w:pPr>
        <w:pStyle w:val="Normal"/>
        <w:spacing w:before="120" w:after="40"/>
        <w:rPr/>
      </w:pPr>
      <w:r>
        <w:rPr>
          <w:rFonts w:eastAsia="Arial" w:cs="Arial"/>
          <w:b/>
          <w:bCs/>
          <w:color w:val="2E5DA8"/>
          <w:sz w:val="22"/>
          <w:szCs w:val="22"/>
        </w:rPr>
        <w:t>REQUIRED RECORDS</w:t>
      </w:r>
    </w:p>
    <w:p>
      <w:pPr>
        <w:pStyle w:val="Normal"/>
        <w:spacing w:before="40" w:after="60"/>
        <w:rPr/>
      </w:pPr>
      <w:r>
        <w:rPr>
          <w:rFonts w:eastAsia="Arial" w:cs="Arial"/>
          <w:sz w:val="22"/>
          <w:szCs w:val="22"/>
        </w:rPr>
        <w:t>Each individual's record shall contain at minimum:</w:t>
      </w:r>
    </w:p>
    <w:p>
      <w:pPr>
        <w:pStyle w:val="Normal"/>
        <w:spacing w:before="30" w:after="30"/>
        <w:ind w:hanging="360" w:start="720"/>
        <w:rPr/>
      </w:pPr>
      <w:r>
        <w:rPr>
          <w:rFonts w:eastAsia="Arial" w:cs="Arial"/>
          <w:b/>
          <w:bCs/>
          <w:sz w:val="22"/>
          <w:szCs w:val="22"/>
        </w:rPr>
        <w:t xml:space="preserve">a.  </w:t>
      </w:r>
      <w:r>
        <w:rPr>
          <w:rFonts w:eastAsia="Arial" w:cs="Arial"/>
          <w:sz w:val="22"/>
          <w:szCs w:val="22"/>
        </w:rPr>
        <w:t>Face sheet — demographics, emergency contacts, Medicaid ID, DBHDD waiver authorization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Current ISP and all revisions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Physician / practitioner orders</w:t>
      </w:r>
    </w:p>
    <w:p>
      <w:pPr>
        <w:pStyle w:val="Normal"/>
        <w:spacing w:before="30" w:after="30"/>
        <w:ind w:hanging="360" w:start="720"/>
        <w:rPr/>
      </w:pPr>
      <w:r>
        <w:rPr>
          <w:rFonts w:eastAsia="Arial" w:cs="Arial"/>
          <w:b/>
          <w:bCs/>
          <w:sz w:val="22"/>
          <w:szCs w:val="22"/>
        </w:rPr>
        <w:t xml:space="preserve">d.  </w:t>
      </w:r>
      <w:r>
        <w:rPr>
          <w:rFonts w:eastAsia="Arial" w:cs="Arial"/>
          <w:sz w:val="22"/>
          <w:szCs w:val="22"/>
        </w:rPr>
        <w:t>Advance Directive / healthcare proxy (if applicable)</w:t>
      </w:r>
    </w:p>
    <w:p>
      <w:pPr>
        <w:pStyle w:val="Normal"/>
        <w:spacing w:before="30" w:after="30"/>
        <w:ind w:hanging="360" w:start="720"/>
        <w:rPr/>
      </w:pPr>
      <w:r>
        <w:rPr>
          <w:rFonts w:eastAsia="Arial" w:cs="Arial"/>
          <w:b/>
          <w:bCs/>
          <w:sz w:val="22"/>
          <w:szCs w:val="22"/>
        </w:rPr>
        <w:t xml:space="preserve">e.  </w:t>
      </w:r>
      <w:r>
        <w:rPr>
          <w:rFonts w:eastAsia="Arial" w:cs="Arial"/>
          <w:sz w:val="22"/>
          <w:szCs w:val="22"/>
        </w:rPr>
        <w:t>Progress notes — dated, signed entries per shift or significant event</w:t>
      </w:r>
    </w:p>
    <w:p>
      <w:pPr>
        <w:pStyle w:val="Normal"/>
        <w:spacing w:before="30" w:after="30"/>
        <w:ind w:hanging="360" w:start="720"/>
        <w:rPr/>
      </w:pPr>
      <w:r>
        <w:rPr>
          <w:rFonts w:eastAsia="Arial" w:cs="Arial"/>
          <w:b/>
          <w:bCs/>
          <w:sz w:val="22"/>
          <w:szCs w:val="22"/>
        </w:rPr>
        <w:t xml:space="preserve">f.  </w:t>
      </w:r>
      <w:r>
        <w:rPr>
          <w:rFonts w:eastAsia="Arial" w:cs="Arial"/>
          <w:sz w:val="22"/>
          <w:szCs w:val="22"/>
        </w:rPr>
        <w:t>Medication Administration Record (MAR)</w:t>
      </w:r>
    </w:p>
    <w:p>
      <w:pPr>
        <w:pStyle w:val="Normal"/>
        <w:spacing w:before="30" w:after="30"/>
        <w:ind w:hanging="360" w:start="720"/>
        <w:rPr/>
      </w:pPr>
      <w:r>
        <w:rPr>
          <w:rFonts w:eastAsia="Arial" w:cs="Arial"/>
          <w:b/>
          <w:bCs/>
          <w:sz w:val="22"/>
          <w:szCs w:val="22"/>
        </w:rPr>
        <w:t xml:space="preserve">g.  </w:t>
      </w:r>
      <w:r>
        <w:rPr>
          <w:rFonts w:eastAsia="Arial" w:cs="Arial"/>
          <w:sz w:val="22"/>
          <w:szCs w:val="22"/>
        </w:rPr>
        <w:t>Incident and ANE reports</w:t>
      </w:r>
    </w:p>
    <w:p>
      <w:pPr>
        <w:pStyle w:val="Normal"/>
        <w:spacing w:before="30" w:after="30"/>
        <w:ind w:hanging="360" w:start="720"/>
        <w:rPr/>
      </w:pPr>
      <w:r>
        <w:rPr>
          <w:rFonts w:eastAsia="Arial" w:cs="Arial"/>
          <w:b/>
          <w:bCs/>
          <w:sz w:val="22"/>
          <w:szCs w:val="22"/>
        </w:rPr>
        <w:t xml:space="preserve">h.  </w:t>
      </w:r>
      <w:r>
        <w:rPr>
          <w:rFonts w:eastAsia="Arial" w:cs="Arial"/>
          <w:sz w:val="22"/>
          <w:szCs w:val="22"/>
        </w:rPr>
        <w:t>Health assessments and annual physicals</w:t>
      </w:r>
    </w:p>
    <w:p>
      <w:pPr>
        <w:pStyle w:val="Normal"/>
        <w:spacing w:before="30" w:after="30"/>
        <w:ind w:hanging="360" w:start="720"/>
        <w:rPr/>
      </w:pPr>
      <w:r>
        <w:rPr>
          <w:rFonts w:eastAsia="Arial" w:cs="Arial"/>
          <w:b/>
          <w:bCs/>
          <w:sz w:val="22"/>
          <w:szCs w:val="22"/>
        </w:rPr>
        <w:t xml:space="preserve">i.  </w:t>
      </w:r>
      <w:r>
        <w:rPr>
          <w:rFonts w:eastAsia="Arial" w:cs="Arial"/>
          <w:sz w:val="22"/>
          <w:szCs w:val="22"/>
        </w:rPr>
        <w:t>Rights Acknowledgment and any rights modification documentation</w:t>
      </w:r>
    </w:p>
    <w:p>
      <w:pPr>
        <w:pStyle w:val="Normal"/>
        <w:spacing w:before="30" w:after="30"/>
        <w:ind w:hanging="360" w:start="720"/>
        <w:rPr/>
      </w:pPr>
      <w:r>
        <w:rPr>
          <w:rFonts w:eastAsia="Arial" w:cs="Arial"/>
          <w:b/>
          <w:bCs/>
          <w:sz w:val="22"/>
          <w:szCs w:val="22"/>
        </w:rPr>
        <w:t xml:space="preserve">j.  </w:t>
      </w:r>
      <w:r>
        <w:rPr>
          <w:rFonts w:eastAsia="Arial" w:cs="Arial"/>
          <w:sz w:val="22"/>
          <w:szCs w:val="22"/>
        </w:rPr>
        <w:t>Signed Consent to Services</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Record Storage</w:t>
      </w:r>
    </w:p>
    <w:p>
      <w:pPr>
        <w:pStyle w:val="Normal"/>
        <w:spacing w:before="30" w:after="30"/>
        <w:ind w:hanging="360" w:start="720"/>
        <w:rPr/>
      </w:pPr>
      <w:r>
        <w:rPr>
          <w:rFonts w:eastAsia="Arial" w:cs="Arial"/>
          <w:b/>
          <w:bCs/>
          <w:sz w:val="22"/>
          <w:szCs w:val="22"/>
        </w:rPr>
        <w:t xml:space="preserve">a.  </w:t>
      </w:r>
      <w:r>
        <w:rPr>
          <w:rFonts w:eastAsia="Arial" w:cs="Arial"/>
          <w:sz w:val="22"/>
          <w:szCs w:val="22"/>
        </w:rPr>
        <w:t>Paper records shall be stored in locked binders or cabinets accessible only to the Host Home Provider and authorized ISP team members.</w:t>
      </w:r>
    </w:p>
    <w:p>
      <w:pPr>
        <w:pStyle w:val="Normal"/>
        <w:spacing w:before="30" w:after="30"/>
        <w:ind w:hanging="360" w:start="720"/>
        <w:rPr/>
      </w:pPr>
      <w:r>
        <w:rPr>
          <w:rFonts w:eastAsia="Arial" w:cs="Arial"/>
          <w:b/>
          <w:bCs/>
          <w:sz w:val="22"/>
          <w:szCs w:val="22"/>
        </w:rPr>
        <w:t xml:space="preserve">b.  </w:t>
      </w:r>
      <w:r>
        <w:rPr>
          <w:rFonts w:eastAsia="Arial" w:cs="Arial"/>
          <w:sz w:val="22"/>
          <w:szCs w:val="22"/>
        </w:rPr>
        <w:t>Electronic records shall be on password-protected systems with access controls.</w:t>
      </w:r>
    </w:p>
    <w:p>
      <w:pPr>
        <w:pStyle w:val="Normal"/>
        <w:spacing w:before="140" w:after="60"/>
        <w:rPr/>
      </w:pPr>
      <w:r>
        <w:rPr>
          <w:rFonts w:eastAsia="Arial" w:cs="Arial"/>
          <w:b/>
          <w:bCs/>
          <w:sz w:val="22"/>
          <w:szCs w:val="22"/>
          <w:u w:val="single"/>
        </w:rPr>
        <w:t>B. Access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Access is restricted to: the individual, their guardian/legal representative, the Support Coordinator, the CRA Provider Agency, the individual's healthcare providers, and DBHDD/DFCS as required by law.</w:t>
      </w:r>
    </w:p>
    <w:p>
      <w:pPr>
        <w:pStyle w:val="Normal"/>
        <w:spacing w:before="140" w:after="60"/>
        <w:rPr/>
      </w:pPr>
      <w:r>
        <w:rPr>
          <w:rFonts w:eastAsia="Arial" w:cs="Arial"/>
          <w:b/>
          <w:bCs/>
          <w:sz w:val="22"/>
          <w:szCs w:val="22"/>
          <w:u w:val="single"/>
        </w:rPr>
        <w:t>C. Release of Records</w:t>
      </w:r>
    </w:p>
    <w:p>
      <w:pPr>
        <w:pStyle w:val="Normal"/>
        <w:spacing w:before="30" w:after="30"/>
        <w:ind w:hanging="360" w:start="720"/>
        <w:rPr/>
      </w:pPr>
      <w:r>
        <w:rPr>
          <w:rFonts w:eastAsia="Arial" w:cs="Arial"/>
          <w:b/>
          <w:bCs/>
          <w:sz w:val="22"/>
          <w:szCs w:val="22"/>
        </w:rPr>
        <w:t xml:space="preserve">a.  </w:t>
      </w:r>
      <w:r>
        <w:rPr>
          <w:rFonts w:eastAsia="Arial" w:cs="Arial"/>
          <w:sz w:val="22"/>
          <w:szCs w:val="22"/>
        </w:rPr>
        <w:t>No PHI shall be released without valid written authorization except as required by law (DBHDD audit, DFCS investigation, mandatory ANE reporting, court order).</w:t>
      </w:r>
    </w:p>
    <w:p>
      <w:pPr>
        <w:pStyle w:val="Normal"/>
        <w:spacing w:before="30" w:after="30"/>
        <w:ind w:hanging="360" w:start="720"/>
        <w:rPr/>
      </w:pPr>
      <w:r>
        <w:rPr>
          <w:rFonts w:eastAsia="Arial" w:cs="Arial"/>
          <w:b/>
          <w:bCs/>
          <w:sz w:val="22"/>
          <w:szCs w:val="22"/>
        </w:rPr>
        <w:t xml:space="preserve">b.  </w:t>
      </w:r>
      <w:r>
        <w:rPr>
          <w:rFonts w:eastAsia="Arial" w:cs="Arial"/>
          <w:sz w:val="22"/>
          <w:szCs w:val="22"/>
        </w:rPr>
        <w:t>Record requests shall be fulfilled within five (5) business days of valid written authorization.</w:t>
      </w:r>
    </w:p>
    <w:p>
      <w:pPr>
        <w:pStyle w:val="Normal"/>
        <w:spacing w:before="140" w:after="60"/>
        <w:rPr/>
      </w:pPr>
      <w:r>
        <w:rPr>
          <w:rFonts w:eastAsia="Arial" w:cs="Arial"/>
          <w:b/>
          <w:bCs/>
          <w:sz w:val="22"/>
          <w:szCs w:val="22"/>
          <w:u w:val="single"/>
        </w:rPr>
        <w:t>D. Breach Notification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suspected or confirmed PHI breach shall be reported to the CRA Provider Agency and DBHDD immediately.</w:t>
      </w:r>
    </w:p>
    <w:p>
      <w:pPr>
        <w:pStyle w:val="Normal"/>
        <w:spacing w:before="140" w:after="60"/>
        <w:rPr/>
      </w:pPr>
      <w:r>
        <w:rPr>
          <w:rFonts w:eastAsia="Arial" w:cs="Arial"/>
          <w:b/>
          <w:bCs/>
          <w:sz w:val="22"/>
          <w:szCs w:val="22"/>
          <w:u w:val="single"/>
        </w:rPr>
        <w:t>E. Record Retention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Individual records shall be retained for a minimum of seven (7) years following discharge or death.</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Authorization to Release Information Form</w:t>
      </w:r>
    </w:p>
    <w:p>
      <w:pPr>
        <w:pStyle w:val="ListParagraph"/>
        <w:numPr>
          <w:ilvl w:val="0"/>
          <w:numId w:val="1"/>
        </w:numPr>
        <w:spacing w:before="30" w:after="30"/>
        <w:rPr/>
      </w:pPr>
      <w:r>
        <w:rPr>
          <w:rFonts w:eastAsia="Arial" w:cs="Arial"/>
          <w:sz w:val="22"/>
          <w:szCs w:val="22"/>
        </w:rPr>
        <w:t>Incident Report Form (Policy 5.00)</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[Host Home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[Host Home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DBHDD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[Host Home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#1.02: Non-Discrimination &amp; Accessibility</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Americans with Disabilities Act 42 U.S.C. §12101; Title VI 42 U.S.C. §2000d; Georgia Fair Employment Practices Act O.C.G.A. §45-19-20 et seq.; Section 504 Rehabilitation Act</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[Host Home Provider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this Host Home/Life-Sharing setting provides services without discrimination and that access is equitable regardless of race, color, national origin, sex, disability, age, sexual orientation, gender identity, religion, or any other protected characteristic.</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Host Home Provider does not discriminate in admission, service delivery, or operations. Reasonable accommodations shall be provided upon request to ensure meaningful access.</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Accessibility</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communications shall be available in alternate formats upon request and at no cost.</w:t>
      </w:r>
    </w:p>
    <w:p>
      <w:pPr>
        <w:pStyle w:val="Normal"/>
        <w:spacing w:before="30" w:after="30"/>
        <w:ind w:hanging="360" w:start="720"/>
        <w:rPr/>
      </w:pPr>
      <w:r>
        <w:rPr>
          <w:rFonts w:eastAsia="Arial" w:cs="Arial"/>
          <w:b/>
          <w:bCs/>
          <w:sz w:val="22"/>
          <w:szCs w:val="22"/>
        </w:rPr>
        <w:t xml:space="preserve">b.  </w:t>
      </w:r>
      <w:r>
        <w:rPr>
          <w:rFonts w:eastAsia="Arial" w:cs="Arial"/>
          <w:sz w:val="22"/>
          <w:szCs w:val="22"/>
        </w:rPr>
        <w:t>Interpreter services shall be arranged for individuals with limited English proficiency at no cost.</w:t>
      </w:r>
    </w:p>
    <w:p>
      <w:pPr>
        <w:pStyle w:val="Normal"/>
        <w:spacing w:before="140" w:after="60"/>
        <w:rPr/>
      </w:pPr>
      <w:r>
        <w:rPr>
          <w:rFonts w:eastAsia="Arial" w:cs="Arial"/>
          <w:b/>
          <w:bCs/>
          <w:sz w:val="22"/>
          <w:szCs w:val="22"/>
          <w:u w:val="single"/>
        </w:rPr>
        <w:t>B. Complaint Process</w:t>
      </w:r>
    </w:p>
    <w:p>
      <w:pPr>
        <w:pStyle w:val="ListParagraph"/>
        <w:numPr>
          <w:ilvl w:val="0"/>
          <w:numId w:val="1"/>
        </w:numPr>
        <w:spacing w:before="30" w:after="30"/>
        <w:rPr/>
      </w:pPr>
      <w:r>
        <w:rPr>
          <w:rFonts w:eastAsia="Arial" w:cs="Arial"/>
          <w:sz w:val="22"/>
          <w:szCs w:val="22"/>
        </w:rPr>
        <w:t>File a complaint with the CRA Provider Agency or DBHDD Regional Field Office</w:t>
      </w:r>
    </w:p>
    <w:p>
      <w:pPr>
        <w:pStyle w:val="ListParagraph"/>
        <w:numPr>
          <w:ilvl w:val="0"/>
          <w:numId w:val="1"/>
        </w:numPr>
        <w:spacing w:before="30" w:after="30"/>
        <w:rPr/>
      </w:pPr>
      <w:r>
        <w:rPr>
          <w:rFonts w:eastAsia="Arial" w:cs="Arial"/>
          <w:sz w:val="22"/>
          <w:szCs w:val="22"/>
        </w:rPr>
        <w:t>Georgia Commission on Equal Opportunity: (404) 656-1736</w:t>
      </w:r>
    </w:p>
    <w:p>
      <w:pPr>
        <w:pStyle w:val="ListParagraph"/>
        <w:numPr>
          <w:ilvl w:val="0"/>
          <w:numId w:val="1"/>
        </w:numPr>
        <w:spacing w:before="30" w:after="30"/>
        <w:rPr/>
      </w:pPr>
      <w:r>
        <w:rPr>
          <w:rFonts w:eastAsia="Arial" w:cs="Arial"/>
          <w:sz w:val="22"/>
          <w:szCs w:val="22"/>
        </w:rPr>
        <w:t>HHS Office for Civil Rights: 1-800-368-1019</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Grievance &amp; Complaint Form (Policy 1.03)</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[Host Home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[Host Home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DBHDD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[Host Home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#1.03: Feedback, Grievance &amp; Complaint Procedure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DBHDD NOW/COMP Waiver Provider Manual; DBHDD Policy; 42 CFR 441.301; O.C.G.A. §37-1-1 et seq.</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[Host Home Provider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individuals, families, legal representatives, and ISP team members have a clear, accessible, and confidential mechanism to provide feedback and file grievances without fear of retaliation.</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Host Home Provider and the CRA Provider Agency value feedback as essential to quality improvement. All grievances shall be taken seriously and resolved equitably. No individual, family, legal representative, or team member shall face retaliation for filing a good-faith complaint.</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Informal Feedback</w:t>
      </w:r>
    </w:p>
    <w:p>
      <w:pPr>
        <w:pStyle w:val="Normal"/>
        <w:spacing w:before="30" w:after="30"/>
        <w:ind w:hanging="360" w:start="720"/>
        <w:rPr/>
      </w:pPr>
      <w:r>
        <w:rPr>
          <w:rFonts w:eastAsia="Arial" w:cs="Arial"/>
          <w:b/>
          <w:bCs/>
          <w:sz w:val="22"/>
          <w:szCs w:val="22"/>
        </w:rPr>
        <w:t xml:space="preserve">a.  </w:t>
      </w:r>
      <w:r>
        <w:rPr>
          <w:rFonts w:eastAsia="Arial" w:cs="Arial"/>
          <w:sz w:val="22"/>
          <w:szCs w:val="22"/>
        </w:rPr>
        <w:t>Individuals and families are encouraged to share concerns verbally with the Host Home Provider or CRA Provider Agency at any time.</w:t>
      </w:r>
    </w:p>
    <w:p>
      <w:pPr>
        <w:pStyle w:val="Normal"/>
        <w:spacing w:before="30" w:after="30"/>
        <w:ind w:hanging="360" w:start="720"/>
        <w:rPr/>
      </w:pPr>
      <w:r>
        <w:rPr>
          <w:rFonts w:eastAsia="Arial" w:cs="Arial"/>
          <w:b/>
          <w:bCs/>
          <w:sz w:val="22"/>
          <w:szCs w:val="22"/>
        </w:rPr>
        <w:t xml:space="preserve">b.  </w:t>
      </w:r>
      <w:r>
        <w:rPr>
          <w:rFonts w:eastAsia="Arial" w:cs="Arial"/>
          <w:sz w:val="22"/>
          <w:szCs w:val="22"/>
        </w:rPr>
        <w:t>A response shall be provided within five (5) business days.</w:t>
      </w:r>
    </w:p>
    <w:p>
      <w:pPr>
        <w:pStyle w:val="Normal"/>
        <w:spacing w:before="140" w:after="60"/>
        <w:rPr/>
      </w:pPr>
      <w:r>
        <w:rPr>
          <w:rFonts w:eastAsia="Arial" w:cs="Arial"/>
          <w:b/>
          <w:bCs/>
          <w:sz w:val="22"/>
          <w:szCs w:val="22"/>
          <w:u w:val="single"/>
        </w:rPr>
        <w:t>B. Formal Grievance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individual or their representative completes a Grievance &amp; Complaint Form and submits it to the Host Home Provider or CRA Provider Agency.</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CRA Provider Agency acknowledges receipt within two (2) business days and initiates an investigation.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Investigation is completed within ten (10) business days with a written response.</w:t>
      </w:r>
    </w:p>
    <w:p>
      <w:pPr>
        <w:pStyle w:val="Normal"/>
        <w:spacing w:before="30" w:after="30"/>
        <w:ind w:hanging="360" w:start="720"/>
        <w:rPr/>
      </w:pPr>
      <w:r>
        <w:rPr>
          <w:rFonts w:eastAsia="Arial" w:cs="Arial"/>
          <w:b/>
          <w:bCs/>
          <w:sz w:val="22"/>
          <w:szCs w:val="22"/>
        </w:rPr>
        <w:t xml:space="preserve">d.  </w:t>
      </w:r>
      <w:r>
        <w:rPr>
          <w:rFonts w:eastAsia="Arial" w:cs="Arial"/>
          <w:sz w:val="22"/>
          <w:szCs w:val="22"/>
        </w:rPr>
        <w:t>If not resolved satisfactorily, the matter is escalated to the DBHDD Regional Field Office and Support Coordinator.</w:t>
      </w:r>
    </w:p>
    <w:p>
      <w:pPr>
        <w:pStyle w:val="Normal"/>
        <w:spacing w:before="140" w:after="60"/>
        <w:rPr/>
      </w:pPr>
      <w:r>
        <w:rPr>
          <w:rFonts w:eastAsia="Arial" w:cs="Arial"/>
          <w:b/>
          <w:bCs/>
          <w:sz w:val="22"/>
          <w:szCs w:val="22"/>
          <w:u w:val="single"/>
        </w:rPr>
        <w:t>C. External Complaint Options</w:t>
      </w:r>
    </w:p>
    <w:p>
      <w:pPr>
        <w:pStyle w:val="ListParagraph"/>
        <w:numPr>
          <w:ilvl w:val="0"/>
          <w:numId w:val="1"/>
        </w:numPr>
        <w:spacing w:before="30" w:after="30"/>
        <w:rPr/>
      </w:pPr>
      <w:r>
        <w:rPr>
          <w:rFonts w:eastAsia="Arial" w:cs="Arial"/>
          <w:sz w:val="22"/>
          <w:szCs w:val="22"/>
        </w:rPr>
        <w:t>DBHDD Regional Field Office — [Region] — [Phone]</w:t>
      </w:r>
    </w:p>
    <w:p>
      <w:pPr>
        <w:pStyle w:val="ListParagraph"/>
        <w:numPr>
          <w:ilvl w:val="0"/>
          <w:numId w:val="1"/>
        </w:numPr>
        <w:spacing w:before="30" w:after="30"/>
        <w:rPr/>
      </w:pPr>
      <w:r>
        <w:rPr>
          <w:rFonts w:eastAsia="Arial" w:cs="Arial"/>
          <w:sz w:val="22"/>
          <w:szCs w:val="22"/>
        </w:rPr>
        <w:t>Georgia Collaborative ASO: (678) 587-4500</w:t>
      </w:r>
    </w:p>
    <w:p>
      <w:pPr>
        <w:pStyle w:val="ListParagraph"/>
        <w:numPr>
          <w:ilvl w:val="0"/>
          <w:numId w:val="1"/>
        </w:numPr>
        <w:spacing w:before="30" w:after="30"/>
        <w:rPr/>
      </w:pPr>
      <w:r>
        <w:rPr>
          <w:rFonts w:eastAsia="Arial" w:cs="Arial"/>
          <w:sz w:val="22"/>
          <w:szCs w:val="22"/>
        </w:rPr>
        <w:t>Adult Protective Services (APS): 1-800-878-6442</w:t>
      </w:r>
    </w:p>
    <w:p>
      <w:pPr>
        <w:pStyle w:val="ListParagraph"/>
        <w:numPr>
          <w:ilvl w:val="0"/>
          <w:numId w:val="1"/>
        </w:numPr>
        <w:spacing w:before="30" w:after="30"/>
        <w:rPr/>
      </w:pPr>
      <w:r>
        <w:rPr>
          <w:rFonts w:eastAsia="Arial" w:cs="Arial"/>
          <w:sz w:val="22"/>
          <w:szCs w:val="22"/>
        </w:rPr>
        <w:t>Georgia Crisis &amp; Access Line: 1-800-715-4225</w:t>
      </w:r>
    </w:p>
    <w:p>
      <w:pPr>
        <w:pStyle w:val="ListParagraph"/>
        <w:numPr>
          <w:ilvl w:val="0"/>
          <w:numId w:val="1"/>
        </w:numPr>
        <w:spacing w:before="30" w:after="30"/>
        <w:rPr/>
      </w:pPr>
      <w:r>
        <w:rPr>
          <w:rFonts w:eastAsia="Arial" w:cs="Arial"/>
          <w:sz w:val="22"/>
          <w:szCs w:val="22"/>
        </w:rPr>
        <w:t>Disability Rights Georgia: 1-800-537-2329 | drgc.org</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Grievance &amp; Complaint Form</w:t>
      </w:r>
    </w:p>
    <w:p>
      <w:pPr>
        <w:pStyle w:val="ListParagraph"/>
        <w:numPr>
          <w:ilvl w:val="0"/>
          <w:numId w:val="1"/>
        </w:numPr>
        <w:spacing w:before="30" w:after="30"/>
        <w:rPr/>
      </w:pPr>
      <w:r>
        <w:rPr>
          <w:rFonts w:eastAsia="Arial" w:cs="Arial"/>
          <w:sz w:val="22"/>
          <w:szCs w:val="22"/>
        </w:rPr>
        <w:t>Quality Management Log (Policy 6.00)</w:t>
      </w:r>
    </w:p>
    <w:p>
      <w:pPr>
        <w:pStyle w:val="ListParagraph"/>
        <w:numPr>
          <w:ilvl w:val="0"/>
          <w:numId w:val="1"/>
        </w:numPr>
        <w:spacing w:before="30" w:after="30"/>
        <w:rPr/>
      </w:pPr>
      <w:r>
        <w:rPr>
          <w:rFonts w:eastAsia="Arial" w:cs="Arial"/>
          <w:sz w:val="22"/>
          <w:szCs w:val="22"/>
        </w:rPr>
        <w:t>Rights Acknowledgment Form (Appendix D)</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[Host Home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[Host Home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DBHDD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[Host Home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#1.04: Relief Coverage, Planned Absences &amp; Emergency Coverage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Operations / Provider Support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1.04</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DBHDD Policy 02-704 (Host Home Enrollment); DBHDD NOW/COMP Waiver Provider Manual; HCBS Settings Final Rule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[Host Home Provider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how [Host Home Provider Name] arranges qualified, pre-approved coverage for the individual(s) in this Host Home/Life-Sharing setting during planned and emergency absences, ensuring the health, safety, and continuity of support are never compromised.</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As a DBHDD-approved Host Home/Life-Sharing provider, [Host Home Provider Name] resides in the home and serves as the primary caregiver. This home may serve a maximum of two (2) individuals. When [Host Home Provider Name] must be temporarily away — whether planned or emergency — an approved Relief Caregiver must provide coverage. The individual(s) shall never be left without adequate, pre-approved support.</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Relief Caregiver: A person who has cleared all required GCHEXS background checks, been approved by the CRA Provider Agency, and trained to provide temporary coverage.</w:t>
      </w:r>
    </w:p>
    <w:p>
      <w:pPr>
        <w:pStyle w:val="ListParagraph"/>
        <w:numPr>
          <w:ilvl w:val="0"/>
          <w:numId w:val="1"/>
        </w:numPr>
        <w:spacing w:before="30" w:after="30"/>
        <w:rPr/>
      </w:pPr>
      <w:r>
        <w:rPr>
          <w:rFonts w:eastAsia="Arial" w:cs="Arial"/>
          <w:sz w:val="22"/>
          <w:szCs w:val="22"/>
        </w:rPr>
        <w:t>CRA Provider Agency: [CRA Provider Agency Name] — the DBHDD-contracted agency responsible for oversight of this Host Home setting. Contact: [Phone].</w:t>
      </w:r>
    </w:p>
    <w:p>
      <w:pPr>
        <w:pStyle w:val="ListParagraph"/>
        <w:numPr>
          <w:ilvl w:val="0"/>
          <w:numId w:val="1"/>
        </w:numPr>
        <w:spacing w:before="30" w:after="30"/>
        <w:rPr/>
      </w:pPr>
      <w:r>
        <w:rPr>
          <w:rFonts w:eastAsia="Arial" w:cs="Arial"/>
          <w:sz w:val="22"/>
          <w:szCs w:val="22"/>
        </w:rPr>
        <w:t>Support Coordinator: [Support Coordinator Name]. Contact: [Phone].</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Identifying and Approving Relief Caregivers</w:t>
      </w:r>
    </w:p>
    <w:p>
      <w:pPr>
        <w:pStyle w:val="Normal"/>
        <w:spacing w:before="30" w:after="30"/>
        <w:ind w:hanging="360" w:start="720"/>
        <w:rPr/>
      </w:pPr>
      <w:r>
        <w:rPr>
          <w:rFonts w:eastAsia="Arial" w:cs="Arial"/>
          <w:b/>
          <w:bCs/>
          <w:sz w:val="22"/>
          <w:szCs w:val="22"/>
        </w:rPr>
        <w:t xml:space="preserve">a.  </w:t>
      </w:r>
      <w:r>
        <w:rPr>
          <w:rFonts w:eastAsia="Arial" w:cs="Arial"/>
          <w:sz w:val="22"/>
          <w:szCs w:val="22"/>
        </w:rPr>
        <w:t>[Host Home Provider Name] is responsible for identifying Relief Caregivers before any planned absence.</w:t>
      </w:r>
    </w:p>
    <w:p>
      <w:pPr>
        <w:pStyle w:val="Normal"/>
        <w:spacing w:before="30" w:after="30"/>
        <w:ind w:hanging="360" w:start="720"/>
        <w:rPr/>
      </w:pPr>
      <w:r>
        <w:rPr>
          <w:rFonts w:eastAsia="Arial" w:cs="Arial"/>
          <w:b/>
          <w:bCs/>
          <w:sz w:val="22"/>
          <w:szCs w:val="22"/>
        </w:rPr>
        <w:t xml:space="preserve">b.  </w:t>
      </w:r>
      <w:r>
        <w:rPr>
          <w:rFonts w:eastAsia="Arial" w:cs="Arial"/>
          <w:sz w:val="22"/>
          <w:szCs w:val="22"/>
        </w:rPr>
        <w:t>All Relief Caregivers must be approved by the CRA Provider Agency. Approval requires: completion of fingerprint-based criminal history check through GCHEXS (Georgia Criminal History Check System via IdentoGo) with no disqualifying findings, and DBHDD clearance confirmation.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Approved Relief Caregivers must complete orientation to the individual's current ISP, daily routine, medication regimen, behavioral support strategies, and emergency procedures before providing unsupervised care.</w:t>
      </w:r>
    </w:p>
    <w:p>
      <w:pPr>
        <w:pStyle w:val="Normal"/>
        <w:spacing w:before="30" w:after="30"/>
        <w:ind w:hanging="360" w:start="720"/>
        <w:rPr/>
      </w:pPr>
      <w:r>
        <w:rPr>
          <w:rFonts w:eastAsia="Arial" w:cs="Arial"/>
          <w:b/>
          <w:bCs/>
          <w:sz w:val="22"/>
          <w:szCs w:val="22"/>
        </w:rPr>
        <w:t xml:space="preserve">d.  </w:t>
      </w:r>
      <w:r>
        <w:rPr>
          <w:rFonts w:eastAsia="Arial" w:cs="Arial"/>
          <w:sz w:val="22"/>
          <w:szCs w:val="22"/>
        </w:rPr>
        <w:t>Relief Caregivers who will administer medications must hold a current DBHDD-approved medication administration training certificate (Policy 2.02).</w:t>
      </w:r>
    </w:p>
    <w:p>
      <w:pPr>
        <w:pStyle w:val="Normal"/>
        <w:spacing w:before="140" w:after="60"/>
        <w:rPr/>
      </w:pPr>
      <w:r>
        <w:rPr>
          <w:rFonts w:eastAsia="Arial" w:cs="Arial"/>
          <w:b/>
          <w:bCs/>
          <w:sz w:val="22"/>
          <w:szCs w:val="22"/>
          <w:u w:val="single"/>
        </w:rPr>
        <w:t>B. Planned Absences — Notification and Coordination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For any planned absence of more than four (4) hours, [Host Home Provider Name] shall notify the CRA Provider Agency at least seven (7) days in advance whenever possible and confirm the approved Relief Caregiver.</w:t>
      </w:r>
    </w:p>
    <w:p>
      <w:pPr>
        <w:pStyle w:val="Normal"/>
        <w:spacing w:before="30" w:after="30"/>
        <w:ind w:hanging="360" w:start="720"/>
        <w:rPr/>
      </w:pPr>
      <w:r>
        <w:rPr>
          <w:rFonts w:eastAsia="Arial" w:cs="Arial"/>
          <w:b/>
          <w:bCs/>
          <w:sz w:val="22"/>
          <w:szCs w:val="22"/>
        </w:rPr>
        <w:t xml:space="preserve">b.  </w:t>
      </w:r>
      <w:r>
        <w:rPr>
          <w:rFonts w:eastAsia="Arial" w:cs="Arial"/>
          <w:sz w:val="22"/>
          <w:szCs w:val="22"/>
        </w:rPr>
        <w:t>For planned absences exceeding seventy-two (72) hours, [Host Home Provider Name] shall notify the Support Coordinator.</w:t>
      </w:r>
    </w:p>
    <w:p>
      <w:pPr>
        <w:pStyle w:val="Normal"/>
        <w:spacing w:before="140" w:after="60"/>
        <w:rPr/>
      </w:pPr>
      <w:r>
        <w:rPr>
          <w:rFonts w:eastAsia="Arial" w:cs="Arial"/>
          <w:b/>
          <w:bCs/>
          <w:sz w:val="22"/>
          <w:szCs w:val="22"/>
          <w:u w:val="single"/>
        </w:rPr>
        <w:t>C. Emergency Absences — Immediate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If [Host Home Provider Name] must leave unexpectedly, they shall contact the CRA Provider Agency within one (1) hour of departure.</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individual(s) must never be left without approved coverage.</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emergency absences shall be documented and reported to the CRA Provider Agency within twenty-four (24) hours.</w:t>
      </w:r>
    </w:p>
    <w:p>
      <w:pPr>
        <w:pStyle w:val="Normal"/>
        <w:spacing w:before="140" w:after="60"/>
        <w:rPr/>
      </w:pPr>
      <w:r>
        <w:rPr>
          <w:rFonts w:eastAsia="Arial" w:cs="Arial"/>
          <w:b/>
          <w:bCs/>
          <w:sz w:val="22"/>
          <w:szCs w:val="22"/>
          <w:u w:val="single"/>
        </w:rPr>
        <w:t>D.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[Host Home Provider Name] shall document all Relief Caregiver coverage in the Home Communication Log, including caregiver name, dates/hours, and any significant events.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Approved Relief Caregiver List</w:t>
      </w:r>
    </w:p>
    <w:p>
      <w:pPr>
        <w:pStyle w:val="ListParagraph"/>
        <w:numPr>
          <w:ilvl w:val="0"/>
          <w:numId w:val="1"/>
        </w:numPr>
        <w:spacing w:before="30" w:after="30"/>
        <w:rPr/>
      </w:pPr>
      <w:r>
        <w:rPr>
          <w:rFonts w:eastAsia="Arial" w:cs="Arial"/>
          <w:sz w:val="22"/>
          <w:szCs w:val="22"/>
        </w:rPr>
        <w:t>GCHEXS Background Check Confirmation (per caregiver)</w:t>
      </w:r>
    </w:p>
    <w:p>
      <w:pPr>
        <w:pStyle w:val="ListParagraph"/>
        <w:numPr>
          <w:ilvl w:val="0"/>
          <w:numId w:val="1"/>
        </w:numPr>
        <w:spacing w:before="30" w:after="30"/>
        <w:rPr/>
      </w:pPr>
      <w:r>
        <w:rPr>
          <w:rFonts w:eastAsia="Arial" w:cs="Arial"/>
          <w:sz w:val="22"/>
          <w:szCs w:val="22"/>
        </w:rPr>
        <w:t>CRA Provider Agency Contact: [Name] — [Phone]</w:t>
      </w:r>
    </w:p>
    <w:p>
      <w:pPr>
        <w:pStyle w:val="ListParagraph"/>
        <w:numPr>
          <w:ilvl w:val="0"/>
          <w:numId w:val="1"/>
        </w:numPr>
        <w:spacing w:before="30" w:after="30"/>
        <w:rPr/>
      </w:pPr>
      <w:r>
        <w:rPr>
          <w:rFonts w:eastAsia="Arial" w:cs="Arial"/>
          <w:sz w:val="22"/>
          <w:szCs w:val="22"/>
        </w:rPr>
        <w:t>Support Coordinator: [Name] — [Phone]</w:t>
      </w:r>
    </w:p>
    <w:p>
      <w:pPr>
        <w:pStyle w:val="ListParagraph"/>
        <w:numPr>
          <w:ilvl w:val="0"/>
          <w:numId w:val="1"/>
        </w:numPr>
        <w:spacing w:before="30" w:after="30"/>
        <w:rPr/>
      </w:pPr>
      <w:r>
        <w:rPr>
          <w:rFonts w:eastAsia="Arial" w:cs="Arial"/>
          <w:sz w:val="22"/>
          <w:szCs w:val="22"/>
        </w:rPr>
        <w:t>Home Communication Log</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[Host Home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[Host Home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DBHDD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[Host Home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#1.05: Supervision &amp; Communication with Your CRA Provider Agency and DBHDD</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Provider Relations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1.05</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DBHDD Policy 02-704 (Host Home Enrollment); DBHDD NOW/COMP Waiver Provider Manual; CRA Provider Agency Agreement</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[Host Home Provider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the ongoing working relationship between [Host Home Provider Name] and [CRA Provider Agency Name], including required communications, monitoring visits, documentation submission, and after-hours support.</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[Host Home Provider Name] operates under an agreement with [CRA Provider Agency Name], a DBHDD-approved CRA Provider Agency. The CRA Provider Agency provides oversight, training support, backup coordination, and serves as the primary liaison with DBHDD's Regional Field Office and the Georgia Collaborative ASO.</w:t>
      </w:r>
    </w:p>
    <w:p>
      <w:pPr>
        <w:pStyle w:val="Normal"/>
        <w:spacing w:before="120" w:after="40"/>
        <w:rPr/>
      </w:pPr>
      <w:r>
        <w:rPr>
          <w:rFonts w:eastAsia="Arial" w:cs="Arial"/>
          <w:b/>
          <w:bCs/>
          <w:color w:val="2E5DA8"/>
          <w:sz w:val="22"/>
          <w:szCs w:val="22"/>
        </w:rPr>
        <w:t>REQUIRED COMMUNICATIONS — NOTIFY CRA PROVIDER AGENCY IMMEDIATELY FOR</w:t>
      </w:r>
    </w:p>
    <w:p>
      <w:pPr>
        <w:pStyle w:val="ListParagraph"/>
        <w:numPr>
          <w:ilvl w:val="0"/>
          <w:numId w:val="1"/>
        </w:numPr>
        <w:spacing w:before="30" w:after="30"/>
        <w:rPr/>
      </w:pPr>
      <w:r>
        <w:rPr>
          <w:rFonts w:eastAsia="Arial" w:cs="Arial"/>
          <w:sz w:val="22"/>
          <w:szCs w:val="22"/>
        </w:rPr>
        <w:t>Any injury to or significant health change of an individual</w:t>
      </w:r>
    </w:p>
    <w:p>
      <w:pPr>
        <w:pStyle w:val="ListParagraph"/>
        <w:numPr>
          <w:ilvl w:val="0"/>
          <w:numId w:val="1"/>
        </w:numPr>
        <w:spacing w:before="30" w:after="30"/>
        <w:rPr/>
      </w:pPr>
      <w:r>
        <w:rPr>
          <w:rFonts w:eastAsia="Arial" w:cs="Arial"/>
          <w:sz w:val="22"/>
          <w:szCs w:val="22"/>
        </w:rPr>
        <w:t>Any incident requiring 911 or emergency medical evaluation</w:t>
      </w:r>
    </w:p>
    <w:p>
      <w:pPr>
        <w:pStyle w:val="ListParagraph"/>
        <w:numPr>
          <w:ilvl w:val="0"/>
          <w:numId w:val="1"/>
        </w:numPr>
        <w:spacing w:before="30" w:after="30"/>
        <w:rPr/>
      </w:pPr>
      <w:r>
        <w:rPr>
          <w:rFonts w:eastAsia="Arial" w:cs="Arial"/>
          <w:sz w:val="22"/>
          <w:szCs w:val="22"/>
        </w:rPr>
        <w:t>Any suspected or known abuse, neglect, or exploitation (call APS first: 1-800-878-6442, then notify CRA Provider Agency)</w:t>
      </w:r>
    </w:p>
    <w:p>
      <w:pPr>
        <w:pStyle w:val="ListParagraph"/>
        <w:numPr>
          <w:ilvl w:val="0"/>
          <w:numId w:val="1"/>
        </w:numPr>
        <w:spacing w:before="30" w:after="30"/>
        <w:rPr/>
      </w:pPr>
      <w:r>
        <w:rPr>
          <w:rFonts w:eastAsia="Arial" w:cs="Arial"/>
          <w:sz w:val="22"/>
          <w:szCs w:val="22"/>
        </w:rPr>
        <w:t>Any medication error</w:t>
      </w:r>
    </w:p>
    <w:p>
      <w:pPr>
        <w:pStyle w:val="ListParagraph"/>
        <w:numPr>
          <w:ilvl w:val="0"/>
          <w:numId w:val="1"/>
        </w:numPr>
        <w:spacing w:before="30" w:after="30"/>
        <w:rPr/>
      </w:pPr>
      <w:r>
        <w:rPr>
          <w:rFonts w:eastAsia="Arial" w:cs="Arial"/>
          <w:sz w:val="22"/>
          <w:szCs w:val="22"/>
        </w:rPr>
        <w:t>An individual is missing or cannot be accounted for</w:t>
      </w:r>
    </w:p>
    <w:p>
      <w:pPr>
        <w:pStyle w:val="ListParagraph"/>
        <w:numPr>
          <w:ilvl w:val="0"/>
          <w:numId w:val="1"/>
        </w:numPr>
        <w:spacing w:before="30" w:after="30"/>
        <w:rPr/>
      </w:pPr>
      <w:r>
        <w:rPr>
          <w:rFonts w:eastAsia="Arial" w:cs="Arial"/>
          <w:sz w:val="22"/>
          <w:szCs w:val="22"/>
        </w:rPr>
        <w:t>Any law enforcement contact at the home</w:t>
      </w:r>
    </w:p>
    <w:p>
      <w:pPr>
        <w:pStyle w:val="ListParagraph"/>
        <w:numPr>
          <w:ilvl w:val="0"/>
          <w:numId w:val="1"/>
        </w:numPr>
        <w:spacing w:before="30" w:after="30"/>
        <w:rPr/>
      </w:pPr>
      <w:r>
        <w:rPr>
          <w:rFonts w:eastAsia="Arial" w:cs="Arial"/>
          <w:sz w:val="22"/>
          <w:szCs w:val="22"/>
        </w:rPr>
        <w:t>Any unplanned absence by [Host Home Provider Name] (see Policy 1.04)</w:t>
      </w:r>
    </w:p>
    <w:p>
      <w:pPr>
        <w:pStyle w:val="ListParagraph"/>
        <w:numPr>
          <w:ilvl w:val="0"/>
          <w:numId w:val="1"/>
        </w:numPr>
        <w:spacing w:before="30" w:after="30"/>
        <w:rPr/>
      </w:pPr>
      <w:r>
        <w:rPr>
          <w:rFonts w:eastAsia="Arial" w:cs="Arial"/>
          <w:sz w:val="22"/>
          <w:szCs w:val="22"/>
        </w:rPr>
        <w:t>Death of an individual</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Monitoring Visits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CRA Provider Agency shall conduct monitoring visits at the frequency required by DBHDD Policy 02-704 and the provider agreement.</w:t>
      </w:r>
    </w:p>
    <w:p>
      <w:pPr>
        <w:pStyle w:val="Normal"/>
        <w:spacing w:before="30" w:after="30"/>
        <w:ind w:hanging="360" w:start="720"/>
        <w:rPr/>
      </w:pPr>
      <w:r>
        <w:rPr>
          <w:rFonts w:eastAsia="Arial" w:cs="Arial"/>
          <w:b/>
          <w:bCs/>
          <w:sz w:val="22"/>
          <w:szCs w:val="22"/>
        </w:rPr>
        <w:t xml:space="preserve">b.  </w:t>
      </w:r>
      <w:r>
        <w:rPr>
          <w:rFonts w:eastAsia="Arial" w:cs="Arial"/>
          <w:sz w:val="22"/>
          <w:szCs w:val="22"/>
        </w:rPr>
        <w:t>[Host Home Provider Name] shall cooperate fully with all CRA Provider Agency monitoring visits and DBHDD surveys.</w:t>
      </w:r>
    </w:p>
    <w:p>
      <w:pPr>
        <w:pStyle w:val="Normal"/>
        <w:spacing w:before="140" w:after="60"/>
        <w:rPr/>
      </w:pPr>
      <w:r>
        <w:rPr>
          <w:rFonts w:eastAsia="Arial" w:cs="Arial"/>
          <w:b/>
          <w:bCs/>
          <w:sz w:val="22"/>
          <w:szCs w:val="22"/>
          <w:u w:val="single"/>
        </w:rPr>
        <w:t>B. Documentation Submission</w:t>
      </w:r>
    </w:p>
    <w:p>
      <w:pPr>
        <w:pStyle w:val="Normal"/>
        <w:spacing w:before="30" w:after="30"/>
        <w:ind w:hanging="360" w:start="720"/>
        <w:rPr/>
      </w:pPr>
      <w:r>
        <w:rPr>
          <w:rFonts w:eastAsia="Arial" w:cs="Arial"/>
          <w:b/>
          <w:bCs/>
          <w:sz w:val="22"/>
          <w:szCs w:val="22"/>
        </w:rPr>
        <w:t xml:space="preserve">a.  </w:t>
      </w:r>
      <w:r>
        <w:rPr>
          <w:rFonts w:eastAsia="Arial" w:cs="Arial"/>
          <w:sz w:val="22"/>
          <w:szCs w:val="22"/>
        </w:rPr>
        <w:t>[Host Home Provider Name] shall submit required documentation to the CRA Provider Agency per the provider agreement schedule, including monthly progress notes, MAR, and incident reports.</w:t>
      </w:r>
    </w:p>
    <w:p>
      <w:pPr>
        <w:pStyle w:val="Normal"/>
        <w:spacing w:before="30" w:after="30"/>
        <w:ind w:hanging="360" w:start="720"/>
        <w:rPr/>
      </w:pPr>
      <w:r>
        <w:rPr>
          <w:rFonts w:eastAsia="Arial" w:cs="Arial"/>
          <w:b/>
          <w:bCs/>
          <w:sz w:val="22"/>
          <w:szCs w:val="22"/>
        </w:rPr>
        <w:t xml:space="preserve">b.  </w:t>
      </w:r>
      <w:r>
        <w:rPr>
          <w:rFonts w:eastAsia="Arial" w:cs="Arial"/>
          <w:sz w:val="22"/>
          <w:szCs w:val="22"/>
        </w:rPr>
        <w:t>[Host Home Provider Name] shall participate in ISP meetings including the annual ISP review.</w:t>
      </w:r>
    </w:p>
    <w:p>
      <w:pPr>
        <w:pStyle w:val="Normal"/>
        <w:spacing w:before="140" w:after="60"/>
        <w:rPr/>
      </w:pPr>
      <w:r>
        <w:rPr>
          <w:rFonts w:eastAsia="Arial" w:cs="Arial"/>
          <w:b/>
          <w:bCs/>
          <w:sz w:val="22"/>
          <w:szCs w:val="22"/>
          <w:u w:val="single"/>
        </w:rPr>
        <w:t>C. After-Hours Support</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CRA Provider Agency provides an after-hours on-call contact: [After-Hours Phone Number].</w:t>
      </w:r>
    </w:p>
    <w:p>
      <w:pPr>
        <w:pStyle w:val="Normal"/>
        <w:spacing w:before="30" w:after="30"/>
        <w:ind w:hanging="360" w:start="720"/>
        <w:rPr/>
      </w:pPr>
      <w:r>
        <w:rPr>
          <w:rFonts w:eastAsia="Arial" w:cs="Arial"/>
          <w:b/>
          <w:bCs/>
          <w:sz w:val="22"/>
          <w:szCs w:val="22"/>
        </w:rPr>
        <w:t xml:space="preserve">b.  </w:t>
      </w:r>
      <w:r>
        <w:rPr>
          <w:rFonts w:eastAsia="Arial" w:cs="Arial"/>
          <w:sz w:val="22"/>
          <w:szCs w:val="22"/>
        </w:rPr>
        <w:t>For life-threatening emergencies, call 911 first. Notify the CRA Provider Agency as soon as safely possible.</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CRA Provider Agency Agreement — signed copy on file</w:t>
      </w:r>
    </w:p>
    <w:p>
      <w:pPr>
        <w:pStyle w:val="ListParagraph"/>
        <w:numPr>
          <w:ilvl w:val="0"/>
          <w:numId w:val="1"/>
        </w:numPr>
        <w:spacing w:before="30" w:after="30"/>
        <w:rPr/>
      </w:pPr>
      <w:r>
        <w:rPr>
          <w:rFonts w:eastAsia="Arial" w:cs="Arial"/>
          <w:sz w:val="22"/>
          <w:szCs w:val="22"/>
        </w:rPr>
        <w:t>CRA Provider Agency Contact List</w:t>
      </w:r>
    </w:p>
    <w:p>
      <w:pPr>
        <w:pStyle w:val="ListParagraph"/>
        <w:numPr>
          <w:ilvl w:val="0"/>
          <w:numId w:val="1"/>
        </w:numPr>
        <w:spacing w:before="30" w:after="30"/>
        <w:rPr/>
      </w:pPr>
      <w:r>
        <w:rPr>
          <w:rFonts w:eastAsia="Arial" w:cs="Arial"/>
          <w:sz w:val="22"/>
          <w:szCs w:val="22"/>
        </w:rPr>
        <w:t>Support Coordinator Contact</w:t>
      </w:r>
    </w:p>
    <w:p>
      <w:pPr>
        <w:pStyle w:val="ListParagraph"/>
        <w:numPr>
          <w:ilvl w:val="0"/>
          <w:numId w:val="1"/>
        </w:numPr>
        <w:spacing w:before="30" w:after="30"/>
        <w:rPr/>
      </w:pPr>
      <w:r>
        <w:rPr>
          <w:rFonts w:eastAsia="Arial" w:cs="Arial"/>
          <w:sz w:val="22"/>
          <w:szCs w:val="22"/>
        </w:rPr>
        <w:t>DBHDD Regional Field Office Contact</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[Host Home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[Host Home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DBHDD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[Host Home Provider / Administrator]</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B: HOST HOME PROVIDER QUALIFICATIONS, BACKGROUND CLEARANCES &amp; RELIEF CAREGIVERS</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#2.00: Host Home Provider Qualifications &amp; Georgia Background Clearance Requirements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Provider Qualifications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DBHDD Policy 02-704; Ga. Comp. R. &amp; Regs. R. 111-8-12 (Criminal Background Checks); O.C.G.A. §37-1-1 et seq.; GCHEXS / IdentoGo Fingerprinting; DCH / DBHDD Requirements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[Host Home Provider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document the qualifications and Georgia background clearance requirements that [Host Home Provider Name] must meet and maintain as a DBHDD-approved Host Home/Life-Sharing provider under the NOW/COMP Waiver programs.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[Host Home Provider Name] understands that approval to serve as a DBHDD Host Home/Life-Sharing provider is granted through the CRA Provider Agency and is contingent on maintaining all required clearances and qualifications. Any disqualifying finding or lapse shall be reported to the CRA Provider Agency immediately.</w:t>
      </w:r>
    </w:p>
    <w:p>
      <w:pPr>
        <w:pStyle w:val="Normal"/>
        <w:spacing w:before="120" w:after="40"/>
        <w:rPr/>
      </w:pPr>
      <w:r>
        <w:rPr>
          <w:rFonts w:eastAsia="Arial" w:cs="Arial"/>
          <w:b/>
          <w:bCs/>
          <w:color w:val="2E5DA8"/>
          <w:sz w:val="22"/>
          <w:szCs w:val="22"/>
        </w:rPr>
        <w:t>GEORGIA BACKGROUND CLEARANCE — GCHEXS</w:t>
      </w:r>
    </w:p>
    <w:p>
      <w:pPr>
        <w:pStyle w:val="Normal"/>
        <w:spacing w:before="40" w:after="60"/>
        <w:rPr/>
      </w:pPr>
      <w:r>
        <w:rPr>
          <w:rFonts w:eastAsia="Arial" w:cs="Arial"/>
          <w:sz w:val="22"/>
          <w:szCs w:val="22"/>
        </w:rPr>
        <w:t>Per Ga. Comp. R. &amp; Regs. R. 111-8-12 and DBHDD requirements, all Host Home providers and adult household members (age 18+) must complete:</w:t>
      </w:r>
    </w:p>
    <w:p>
      <w:pPr>
        <w:pStyle w:val="Normal"/>
        <w:spacing w:before="30" w:after="30"/>
        <w:ind w:hanging="360" w:start="720"/>
        <w:rPr/>
      </w:pPr>
      <w:r>
        <w:rPr>
          <w:rFonts w:eastAsia="Arial" w:cs="Arial"/>
          <w:b/>
          <w:bCs/>
          <w:sz w:val="22"/>
          <w:szCs w:val="22"/>
        </w:rPr>
        <w:t xml:space="preserve">a.  </w:t>
      </w:r>
      <w:r>
        <w:rPr>
          <w:rFonts w:eastAsia="Arial" w:cs="Arial"/>
          <w:sz w:val="22"/>
          <w:szCs w:val="22"/>
        </w:rPr>
        <w:t>Fingerprint-based criminal history background check through GCHEXS (Georgia Criminal History Check System), submitted via IdentoGo — required before providing any care; must be completed before DBHDD site approval</w:t>
      </w:r>
    </w:p>
    <w:p>
      <w:pPr>
        <w:pStyle w:val="Normal"/>
        <w:spacing w:before="30" w:after="30"/>
        <w:ind w:hanging="360" w:start="720"/>
        <w:rPr/>
      </w:pPr>
      <w:r>
        <w:rPr>
          <w:rFonts w:eastAsia="Arial" w:cs="Arial"/>
          <w:b/>
          <w:bCs/>
          <w:sz w:val="22"/>
          <w:szCs w:val="22"/>
        </w:rPr>
        <w:t xml:space="preserve">b.  </w:t>
      </w:r>
      <w:r>
        <w:rPr>
          <w:rFonts w:eastAsia="Arial" w:cs="Arial"/>
          <w:sz w:val="22"/>
          <w:szCs w:val="22"/>
        </w:rPr>
        <w:t>DBHDD background check clearance confirmation (CheckPT system for DBHDD-funded programs, or GCHEXS for DCH-licensed settings)</w:t>
      </w:r>
    </w:p>
    <w:p>
      <w:pPr>
        <w:pStyle w:val="Normal"/>
        <w:spacing w:before="30" w:after="30"/>
        <w:ind w:hanging="360" w:start="720"/>
        <w:rPr/>
      </w:pPr>
      <w:r>
        <w:rPr>
          <w:rFonts w:eastAsia="Arial" w:cs="Arial"/>
          <w:b/>
          <w:bCs/>
          <w:sz w:val="22"/>
          <w:szCs w:val="22"/>
        </w:rPr>
        <w:t xml:space="preserve">c.  </w:t>
      </w:r>
      <w:r>
        <w:rPr>
          <w:rFonts w:eastAsia="Arial" w:cs="Arial"/>
          <w:sz w:val="22"/>
          <w:szCs w:val="22"/>
        </w:rPr>
        <w:t>Household adult members: all adults age 18+ residing in the home must also clear a fingerprint-based background check before any individual is placed</w:t>
      </w:r>
    </w:p>
    <w:p>
      <w:pPr>
        <w:pStyle w:val="Normal"/>
        <w:spacing w:before="30" w:after="30"/>
        <w:ind w:hanging="360" w:start="720"/>
        <w:rPr/>
      </w:pPr>
      <w:r>
        <w:rPr>
          <w:rFonts w:eastAsia="Arial" w:cs="Arial"/>
          <w:b/>
          <w:bCs/>
          <w:sz w:val="22"/>
          <w:szCs w:val="22"/>
        </w:rPr>
        <w:t xml:space="preserve">d.  </w:t>
      </w:r>
      <w:r>
        <w:rPr>
          <w:rFonts w:eastAsia="Arial" w:cs="Arial"/>
          <w:sz w:val="22"/>
          <w:szCs w:val="22"/>
        </w:rPr>
        <w:t>Annual re-check per CRA Provider Agency and DBHDD requirements</w:t>
      </w:r>
    </w:p>
    <w:p>
      <w:pPr>
        <w:pStyle w:val="Normal"/>
        <w:spacing w:before="120" w:after="40"/>
        <w:rPr/>
      </w:pPr>
      <w:r>
        <w:rPr>
          <w:rFonts w:eastAsia="Arial" w:cs="Arial"/>
          <w:b/>
          <w:bCs/>
          <w:color w:val="2E5DA8"/>
          <w:sz w:val="22"/>
          <w:szCs w:val="22"/>
        </w:rPr>
        <w:t>MINIMUM QUALIFICATIONS — HOST HOME PROVIDER</w:t>
      </w:r>
    </w:p>
    <w:p>
      <w:pPr>
        <w:pStyle w:val="ListParagraph"/>
        <w:numPr>
          <w:ilvl w:val="0"/>
          <w:numId w:val="1"/>
        </w:numPr>
        <w:spacing w:before="30" w:after="30"/>
        <w:rPr/>
      </w:pPr>
      <w:r>
        <w:rPr>
          <w:rFonts w:eastAsia="Arial" w:cs="Arial"/>
          <w:sz w:val="22"/>
          <w:szCs w:val="22"/>
        </w:rPr>
        <w:t>Minimum eighteen (18) years of age — Host Home Provider and all adults residing in the home</w:t>
      </w:r>
    </w:p>
    <w:p>
      <w:pPr>
        <w:pStyle w:val="ListParagraph"/>
        <w:numPr>
          <w:ilvl w:val="0"/>
          <w:numId w:val="1"/>
        </w:numPr>
        <w:spacing w:before="30" w:after="30"/>
        <w:rPr/>
      </w:pPr>
      <w:r>
        <w:rPr>
          <w:rFonts w:eastAsia="Arial" w:cs="Arial"/>
          <w:sz w:val="22"/>
          <w:szCs w:val="22"/>
        </w:rPr>
        <w:t>Cleared of all required background checks with no disqualifying findings</w:t>
      </w:r>
    </w:p>
    <w:p>
      <w:pPr>
        <w:pStyle w:val="ListParagraph"/>
        <w:numPr>
          <w:ilvl w:val="0"/>
          <w:numId w:val="1"/>
        </w:numPr>
        <w:spacing w:before="30" w:after="30"/>
        <w:rPr/>
      </w:pPr>
      <w:r>
        <w:rPr>
          <w:rFonts w:eastAsia="Arial" w:cs="Arial"/>
          <w:sz w:val="22"/>
          <w:szCs w:val="22"/>
        </w:rPr>
        <w:t>Physical health sufficient to provide required personal care and support, and to assist with emergency evacuation</w:t>
      </w:r>
    </w:p>
    <w:p>
      <w:pPr>
        <w:pStyle w:val="ListParagraph"/>
        <w:numPr>
          <w:ilvl w:val="0"/>
          <w:numId w:val="1"/>
        </w:numPr>
        <w:spacing w:before="30" w:after="30"/>
        <w:rPr/>
      </w:pPr>
      <w:r>
        <w:rPr>
          <w:rFonts w:eastAsia="Arial" w:cs="Arial"/>
          <w:sz w:val="22"/>
          <w:szCs w:val="22"/>
        </w:rPr>
        <w:t>Ability to communicate effectively in English (and/or the individual's primary language)</w:t>
      </w:r>
    </w:p>
    <w:p>
      <w:pPr>
        <w:pStyle w:val="ListParagraph"/>
        <w:numPr>
          <w:ilvl w:val="0"/>
          <w:numId w:val="1"/>
        </w:numPr>
        <w:spacing w:before="30" w:after="30"/>
        <w:rPr/>
      </w:pPr>
      <w:r>
        <w:rPr>
          <w:rFonts w:eastAsia="Arial" w:cs="Arial"/>
          <w:sz w:val="22"/>
          <w:szCs w:val="22"/>
        </w:rPr>
        <w:t>Financial stability to maintain the home independently, without reliance on individual personal funds for household expenses</w:t>
      </w:r>
    </w:p>
    <w:p>
      <w:pPr>
        <w:pStyle w:val="Normal"/>
        <w:spacing w:before="120" w:after="40"/>
        <w:rPr/>
      </w:pPr>
      <w:r>
        <w:rPr>
          <w:rFonts w:eastAsia="Arial" w:cs="Arial"/>
          <w:b/>
          <w:bCs/>
          <w:color w:val="2E5DA8"/>
          <w:sz w:val="22"/>
          <w:szCs w:val="22"/>
        </w:rPr>
        <w:t>HOST HOME CAPACITY LIMIT</w:t>
      </w:r>
    </w:p>
    <w:p>
      <w:pPr>
        <w:pStyle w:val="Normal"/>
        <w:spacing w:before="40" w:after="60"/>
        <w:rPr/>
      </w:pPr>
      <w:r>
        <w:rPr>
          <w:rFonts w:eastAsia="Arial" w:cs="Arial"/>
          <w:sz w:val="22"/>
          <w:szCs w:val="22"/>
        </w:rPr>
        <w:t>Per DBHDD Policy 02-704 and the COMP/NOW Waiver Provider Manual, this Host Home/Life-Sharing setting may serve a maximum of two (2) individuals with developmental disabilities at one time.</w:t>
      </w:r>
    </w:p>
    <w:p>
      <w:pPr>
        <w:pStyle w:val="Normal"/>
        <w:spacing w:before="120" w:after="40"/>
        <w:rPr/>
      </w:pPr>
      <w:r>
        <w:rPr>
          <w:rFonts w:eastAsia="Arial" w:cs="Arial"/>
          <w:b/>
          <w:bCs/>
          <w:color w:val="2E5DA8"/>
          <w:sz w:val="22"/>
          <w:szCs w:val="22"/>
        </w:rPr>
        <w:t>HOME CERTIFICATION REQUIREMENTS</w:t>
      </w:r>
    </w:p>
    <w:p>
      <w:pPr>
        <w:pStyle w:val="Normal"/>
        <w:spacing w:before="40" w:after="60"/>
        <w:rPr/>
      </w:pPr>
      <w:r>
        <w:rPr>
          <w:rFonts w:eastAsia="Arial" w:cs="Arial"/>
          <w:sz w:val="22"/>
          <w:szCs w:val="22"/>
        </w:rPr>
        <w:t>The Host Home must meet the physical standards required by DBHDD Policy 02-704 and the CRA Provider Agency, verified by site inspection prior to first placement: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Private, furnished bedroom for each individual with a door and right to lock (per HCBS Settings Final Rule 42 CFR 441.301)</w:t>
      </w:r>
    </w:p>
    <w:p>
      <w:pPr>
        <w:pStyle w:val="Normal"/>
        <w:spacing w:before="30" w:after="30"/>
        <w:ind w:hanging="360" w:start="720"/>
        <w:rPr/>
      </w:pPr>
      <w:r>
        <w:rPr>
          <w:rFonts w:eastAsia="Arial" w:cs="Arial"/>
          <w:b/>
          <w:bCs/>
          <w:sz w:val="22"/>
          <w:szCs w:val="22"/>
        </w:rPr>
        <w:t xml:space="preserve">b.  </w:t>
      </w:r>
      <w:r>
        <w:rPr>
          <w:rFonts w:eastAsia="Arial" w:cs="Arial"/>
          <w:sz w:val="22"/>
          <w:szCs w:val="22"/>
        </w:rPr>
        <w:t>Individual has a key or code to enter the home at any time</w:t>
      </w:r>
    </w:p>
    <w:p>
      <w:pPr>
        <w:pStyle w:val="Normal"/>
        <w:spacing w:before="30" w:after="30"/>
        <w:ind w:hanging="360" w:start="720"/>
        <w:rPr/>
      </w:pPr>
      <w:r>
        <w:rPr>
          <w:rFonts w:eastAsia="Arial" w:cs="Arial"/>
          <w:b/>
          <w:bCs/>
          <w:sz w:val="22"/>
          <w:szCs w:val="22"/>
        </w:rPr>
        <w:t xml:space="preserve">c.  </w:t>
      </w:r>
      <w:r>
        <w:rPr>
          <w:rFonts w:eastAsia="Arial" w:cs="Arial"/>
          <w:sz w:val="22"/>
          <w:szCs w:val="22"/>
        </w:rPr>
        <w:t>Accessible bathroom or accommodations per each individual's needs</w:t>
      </w:r>
    </w:p>
    <w:p>
      <w:pPr>
        <w:pStyle w:val="Normal"/>
        <w:spacing w:before="30" w:after="30"/>
        <w:ind w:hanging="360" w:start="720"/>
        <w:rPr/>
      </w:pPr>
      <w:r>
        <w:rPr>
          <w:rFonts w:eastAsia="Arial" w:cs="Arial"/>
          <w:b/>
          <w:bCs/>
          <w:sz w:val="22"/>
          <w:szCs w:val="22"/>
        </w:rPr>
        <w:t xml:space="preserve">d.  </w:t>
      </w:r>
      <w:r>
        <w:rPr>
          <w:rFonts w:eastAsia="Arial" w:cs="Arial"/>
          <w:sz w:val="22"/>
          <w:szCs w:val="22"/>
        </w:rPr>
        <w:t>All utilities (heat, electricity, hot water) operational and reliably maintained</w:t>
      </w:r>
    </w:p>
    <w:p>
      <w:pPr>
        <w:pStyle w:val="Normal"/>
        <w:spacing w:before="30" w:after="30"/>
        <w:ind w:hanging="360" w:start="720"/>
        <w:rPr/>
      </w:pPr>
      <w:r>
        <w:rPr>
          <w:rFonts w:eastAsia="Arial" w:cs="Arial"/>
          <w:b/>
          <w:bCs/>
          <w:sz w:val="22"/>
          <w:szCs w:val="22"/>
        </w:rPr>
        <w:t xml:space="preserve">e.  </w:t>
      </w:r>
      <w:r>
        <w:rPr>
          <w:rFonts w:eastAsia="Arial" w:cs="Arial"/>
          <w:sz w:val="22"/>
          <w:szCs w:val="22"/>
        </w:rPr>
        <w:t>Working smoke detectors, carbon monoxide detectors, and fire extinguishers</w:t>
      </w:r>
    </w:p>
    <w:p>
      <w:pPr>
        <w:pStyle w:val="Normal"/>
        <w:spacing w:before="30" w:after="30"/>
        <w:ind w:hanging="360" w:start="720"/>
        <w:rPr/>
      </w:pPr>
      <w:r>
        <w:rPr>
          <w:rFonts w:eastAsia="Arial" w:cs="Arial"/>
          <w:b/>
          <w:bCs/>
          <w:sz w:val="22"/>
          <w:szCs w:val="22"/>
        </w:rPr>
        <w:t xml:space="preserve">f.  </w:t>
      </w:r>
      <w:r>
        <w:rPr>
          <w:rFonts w:eastAsia="Arial" w:cs="Arial"/>
          <w:sz w:val="22"/>
          <w:szCs w:val="22"/>
        </w:rPr>
        <w:t>All exits clear and accessible</w:t>
      </w:r>
    </w:p>
    <w:p>
      <w:pPr>
        <w:pStyle w:val="Normal"/>
        <w:spacing w:before="30" w:after="30"/>
        <w:ind w:hanging="360" w:start="720"/>
        <w:rPr/>
      </w:pPr>
      <w:r>
        <w:rPr>
          <w:rFonts w:eastAsia="Arial" w:cs="Arial"/>
          <w:b/>
          <w:bCs/>
          <w:sz w:val="22"/>
          <w:szCs w:val="22"/>
        </w:rPr>
        <w:t xml:space="preserve">g.  </w:t>
      </w:r>
      <w:r>
        <w:rPr>
          <w:rFonts w:eastAsia="Arial" w:cs="Arial"/>
          <w:sz w:val="22"/>
          <w:szCs w:val="22"/>
        </w:rPr>
        <w:t>All medications in locked storage (Policy 4.00)</w:t>
      </w:r>
    </w:p>
    <w:p>
      <w:pPr>
        <w:pStyle w:val="Normal"/>
        <w:spacing w:before="30" w:after="30"/>
        <w:ind w:hanging="360" w:start="720"/>
        <w:rPr/>
      </w:pPr>
      <w:r>
        <w:rPr>
          <w:rFonts w:eastAsia="Arial" w:cs="Arial"/>
          <w:b/>
          <w:bCs/>
          <w:sz w:val="22"/>
          <w:szCs w:val="22"/>
        </w:rPr>
        <w:t xml:space="preserve">h.  </w:t>
      </w:r>
      <w:r>
        <w:rPr>
          <w:rFonts w:eastAsia="Arial" w:cs="Arial"/>
          <w:sz w:val="22"/>
          <w:szCs w:val="22"/>
        </w:rPr>
        <w:t>All cleaning chemicals and hazardous materials locked and inaccessible</w:t>
      </w:r>
    </w:p>
    <w:p>
      <w:pPr>
        <w:pStyle w:val="Normal"/>
        <w:spacing w:before="30" w:after="30"/>
        <w:ind w:hanging="360" w:start="720"/>
        <w:rPr/>
      </w:pPr>
      <w:r>
        <w:rPr>
          <w:rFonts w:eastAsia="Arial" w:cs="Arial"/>
          <w:b/>
          <w:bCs/>
          <w:sz w:val="22"/>
          <w:szCs w:val="22"/>
        </w:rPr>
        <w:t xml:space="preserve">i.  </w:t>
      </w:r>
      <w:r>
        <w:rPr>
          <w:rFonts w:eastAsia="Arial" w:cs="Arial"/>
          <w:sz w:val="22"/>
          <w:szCs w:val="22"/>
        </w:rPr>
        <w:t>No unsecured firearms or weapons</w:t>
      </w:r>
    </w:p>
    <w:p>
      <w:pPr>
        <w:pStyle w:val="Normal"/>
        <w:spacing w:before="120" w:after="40"/>
        <w:rPr/>
      </w:pPr>
      <w:r>
        <w:rPr>
          <w:rFonts w:eastAsia="Arial" w:cs="Arial"/>
          <w:b/>
          <w:bCs/>
          <w:color w:val="2E5DA8"/>
          <w:sz w:val="22"/>
          <w:szCs w:val="22"/>
        </w:rPr>
        <w:t>PROVIDER ENROLLMENT AND ANNUAL RENEWAL</w:t>
      </w:r>
    </w:p>
    <w:p>
      <w:pPr>
        <w:pStyle w:val="ListParagraph"/>
        <w:numPr>
          <w:ilvl w:val="0"/>
          <w:numId w:val="1"/>
        </w:numPr>
        <w:spacing w:before="30" w:after="30"/>
        <w:rPr/>
      </w:pPr>
      <w:r>
        <w:rPr>
          <w:rFonts w:eastAsia="Arial" w:cs="Arial"/>
          <w:sz w:val="22"/>
          <w:szCs w:val="22"/>
        </w:rPr>
        <w:t>Host Home providers are enrolled through the CRA Provider Agency per DBHDD Policy 02-704. The enrollment package includes: documentation of home ownership or lease, background check clearances for all household adults, signed attestation, and pre-service training verification.</w:t>
      </w:r>
    </w:p>
    <w:p>
      <w:pPr>
        <w:pStyle w:val="ListParagraph"/>
        <w:numPr>
          <w:ilvl w:val="0"/>
          <w:numId w:val="1"/>
        </w:numPr>
        <w:spacing w:before="30" w:after="30"/>
        <w:rPr/>
      </w:pPr>
      <w:r>
        <w:rPr>
          <w:rFonts w:eastAsia="Arial" w:cs="Arial"/>
          <w:sz w:val="22"/>
          <w:szCs w:val="22"/>
        </w:rPr>
        <w:t>Annual re-enrollment and home monitoring per CRA Provider Agency and DBHDD requirements.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GCHEXS / IdentoGo Fingerprint Clearance (on file)</w:t>
      </w:r>
    </w:p>
    <w:p>
      <w:pPr>
        <w:pStyle w:val="ListParagraph"/>
        <w:numPr>
          <w:ilvl w:val="0"/>
          <w:numId w:val="1"/>
        </w:numPr>
        <w:spacing w:before="30" w:after="30"/>
        <w:rPr/>
      </w:pPr>
      <w:r>
        <w:rPr>
          <w:rFonts w:eastAsia="Arial" w:cs="Arial"/>
          <w:sz w:val="22"/>
          <w:szCs w:val="22"/>
        </w:rPr>
        <w:t>DBHDD Background Check Clearance Confirmation</w:t>
      </w:r>
    </w:p>
    <w:p>
      <w:pPr>
        <w:pStyle w:val="ListParagraph"/>
        <w:numPr>
          <w:ilvl w:val="0"/>
          <w:numId w:val="1"/>
        </w:numPr>
        <w:spacing w:before="30" w:after="30"/>
        <w:rPr/>
      </w:pPr>
      <w:r>
        <w:rPr>
          <w:rFonts w:eastAsia="Arial" w:cs="Arial"/>
          <w:sz w:val="22"/>
          <w:szCs w:val="22"/>
        </w:rPr>
        <w:t>Home Inspection Documentation (CRA Provider Agency)</w:t>
      </w:r>
    </w:p>
    <w:p>
      <w:pPr>
        <w:pStyle w:val="ListParagraph"/>
        <w:numPr>
          <w:ilvl w:val="0"/>
          <w:numId w:val="1"/>
        </w:numPr>
        <w:spacing w:before="30" w:after="30"/>
        <w:rPr/>
      </w:pPr>
      <w:r>
        <w:rPr>
          <w:rFonts w:eastAsia="Arial" w:cs="Arial"/>
          <w:sz w:val="22"/>
          <w:szCs w:val="22"/>
        </w:rPr>
        <w:t>CRA Provider Agency Agreement</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[Host Home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[Host Home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DBHDD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[Host Home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#2.01: Host Home Provider Training, Orientation &amp; Competency Assessment Program</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Training / Provider Development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DBHDD NOW/COMP Waiver Provider Manual; DBHDD Policy 02-704; HR.01-HR.02 (JC Human Resources); PI.01 (JC Performance Improvement)</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[Host Home Provider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training and orientation requirements that must be met before services begin and maintained on an ongoing annual basis; and to establish a formal competency assessment program that verifies — through direct observation and skills demonstration — that staff and providers are not only trained but capable of safe, effective, person-centered practice. This policy distinguishes between training (the act of receiving instruction) and competency (the demonstrated ability to perform a skill or function safely and correctly).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No staff member or provider shall provide unsupervised direct services until all required orientation topics have been completed and competency has been assessed and verified. Annual training and competency re-verification are required to maintain active service status. Training records and competency assessment results shall be maintained in each personnel or provider file.</w:t>
      </w:r>
    </w:p>
    <w:p>
      <w:pPr>
        <w:pStyle w:val="Normal"/>
        <w:spacing w:before="120" w:after="40"/>
        <w:rPr/>
      </w:pPr>
      <w:r>
        <w:rPr>
          <w:rFonts w:eastAsia="Arial" w:cs="Arial"/>
          <w:b/>
          <w:bCs/>
          <w:color w:val="2E5DA8"/>
          <w:sz w:val="22"/>
          <w:szCs w:val="22"/>
        </w:rPr>
        <w:t>PART I — REQUIRED TRAINING</w:t>
      </w:r>
    </w:p>
    <w:p>
      <w:pPr>
        <w:pStyle w:val="Normal"/>
        <w:spacing w:before="140" w:after="60"/>
        <w:rPr/>
      </w:pPr>
      <w:r>
        <w:rPr>
          <w:rFonts w:eastAsia="Arial" w:cs="Arial"/>
          <w:b/>
          <w:bCs/>
          <w:sz w:val="22"/>
          <w:szCs w:val="22"/>
          <w:u w:val="single"/>
        </w:rPr>
        <w:t>A. Core Training — All Staff and Providers (Before Independent Service)</w:t>
      </w:r>
    </w:p>
    <w:p>
      <w:pPr>
        <w:pStyle w:val="ListParagraph"/>
        <w:numPr>
          <w:ilvl w:val="0"/>
          <w:numId w:val="1"/>
        </w:numPr>
        <w:spacing w:before="30" w:after="30"/>
        <w:rPr/>
      </w:pPr>
      <w:r>
        <w:rPr>
          <w:rFonts w:eastAsia="Arial" w:cs="Arial"/>
          <w:sz w:val="22"/>
          <w:szCs w:val="22"/>
        </w:rPr>
        <w:t>Individual rights and HCBS Settings Final Rule compliance</w:t>
      </w:r>
    </w:p>
    <w:p>
      <w:pPr>
        <w:pStyle w:val="ListParagraph"/>
        <w:numPr>
          <w:ilvl w:val="0"/>
          <w:numId w:val="1"/>
        </w:numPr>
        <w:spacing w:before="30" w:after="30"/>
        <w:rPr/>
      </w:pPr>
      <w:r>
        <w:rPr>
          <w:rFonts w:eastAsia="Arial" w:cs="Arial"/>
          <w:sz w:val="22"/>
          <w:szCs w:val="22"/>
        </w:rPr>
        <w:t>Abuse, neglect, and exploitation — recognition, prevention, and mandatory reporting obligations under Georgia law</w:t>
      </w:r>
    </w:p>
    <w:p>
      <w:pPr>
        <w:pStyle w:val="ListParagraph"/>
        <w:numPr>
          <w:ilvl w:val="0"/>
          <w:numId w:val="1"/>
        </w:numPr>
        <w:spacing w:before="30" w:after="30"/>
        <w:rPr/>
      </w:pPr>
      <w:r>
        <w:rPr>
          <w:rFonts w:eastAsia="Arial" w:cs="Arial"/>
          <w:sz w:val="22"/>
          <w:szCs w:val="22"/>
        </w:rPr>
        <w:t>Emergency procedures — fire, medical emergency, missing individual, natural disaster, shelter-in-place</w:t>
      </w:r>
    </w:p>
    <w:p>
      <w:pPr>
        <w:pStyle w:val="ListParagraph"/>
        <w:numPr>
          <w:ilvl w:val="0"/>
          <w:numId w:val="1"/>
        </w:numPr>
        <w:spacing w:before="30" w:after="30"/>
        <w:rPr/>
      </w:pPr>
      <w:r>
        <w:rPr>
          <w:rFonts w:eastAsia="Arial" w:cs="Arial"/>
          <w:sz w:val="22"/>
          <w:szCs w:val="22"/>
        </w:rPr>
        <w:t>Incident reporting — what constitutes a reportable incident, who to notify, required documentation, and timeframes</w:t>
      </w:r>
    </w:p>
    <w:p>
      <w:pPr>
        <w:pStyle w:val="ListParagraph"/>
        <w:numPr>
          <w:ilvl w:val="0"/>
          <w:numId w:val="1"/>
        </w:numPr>
        <w:spacing w:before="30" w:after="30"/>
        <w:rPr/>
      </w:pPr>
      <w:r>
        <w:rPr>
          <w:rFonts w:eastAsia="Arial" w:cs="Arial"/>
          <w:sz w:val="22"/>
          <w:szCs w:val="22"/>
        </w:rPr>
        <w:t>Confidentiality and HIPAA privacy requirements</w:t>
      </w:r>
    </w:p>
    <w:p>
      <w:pPr>
        <w:pStyle w:val="ListParagraph"/>
        <w:numPr>
          <w:ilvl w:val="0"/>
          <w:numId w:val="1"/>
        </w:numPr>
        <w:spacing w:before="30" w:after="30"/>
        <w:rPr/>
      </w:pPr>
      <w:r>
        <w:rPr>
          <w:rFonts w:eastAsia="Arial" w:cs="Arial"/>
          <w:sz w:val="22"/>
          <w:szCs w:val="22"/>
        </w:rPr>
        <w:t>Person-centered support philosophy and ISP/PCP/Support Plan implementation</w:t>
      </w:r>
    </w:p>
    <w:p>
      <w:pPr>
        <w:pStyle w:val="ListParagraph"/>
        <w:numPr>
          <w:ilvl w:val="0"/>
          <w:numId w:val="1"/>
        </w:numPr>
        <w:spacing w:before="30" w:after="30"/>
        <w:rPr/>
      </w:pPr>
      <w:r>
        <w:rPr>
          <w:rFonts w:eastAsia="Arial" w:cs="Arial"/>
          <w:sz w:val="22"/>
          <w:szCs w:val="22"/>
        </w:rPr>
        <w:t>Medication administration overview (DBHDD-approved medication administration training certification required before administering medications — see Policy 2.02)</w:t>
      </w:r>
    </w:p>
    <w:p>
      <w:pPr>
        <w:pStyle w:val="ListParagraph"/>
        <w:numPr>
          <w:ilvl w:val="0"/>
          <w:numId w:val="1"/>
        </w:numPr>
        <w:spacing w:before="30" w:after="30"/>
        <w:rPr/>
      </w:pPr>
      <w:r>
        <w:rPr>
          <w:rFonts w:eastAsia="Arial" w:cs="Arial"/>
          <w:sz w:val="22"/>
          <w:szCs w:val="22"/>
        </w:rPr>
        <w:t>Infection control and standard precautions, including proper hand hygiene and PPE use</w:t>
      </w:r>
    </w:p>
    <w:p>
      <w:pPr>
        <w:pStyle w:val="ListParagraph"/>
        <w:numPr>
          <w:ilvl w:val="0"/>
          <w:numId w:val="1"/>
        </w:numPr>
        <w:spacing w:before="30" w:after="30"/>
        <w:rPr/>
      </w:pPr>
      <w:r>
        <w:rPr>
          <w:rFonts w:eastAsia="Arial" w:cs="Arial"/>
          <w:sz w:val="22"/>
          <w:szCs w:val="22"/>
        </w:rPr>
        <w:t>Behavioral support — positive behavior strategies, de-escalation as the primary response, and DBHDD behavioral support requirements and positive behavior support practices (for those supporting individuals with behavioral support plans)</w:t>
      </w:r>
    </w:p>
    <w:p>
      <w:pPr>
        <w:pStyle w:val="ListParagraph"/>
        <w:numPr>
          <w:ilvl w:val="0"/>
          <w:numId w:val="1"/>
        </w:numPr>
        <w:spacing w:before="30" w:after="30"/>
        <w:rPr/>
      </w:pPr>
      <w:r>
        <w:rPr>
          <w:rFonts w:eastAsia="Arial" w:cs="Arial"/>
          <w:sz w:val="22"/>
          <w:szCs w:val="22"/>
        </w:rPr>
        <w:t>Cultural competency and trauma-informed support practices</w:t>
      </w:r>
    </w:p>
    <w:p>
      <w:pPr>
        <w:pStyle w:val="ListParagraph"/>
        <w:numPr>
          <w:ilvl w:val="0"/>
          <w:numId w:val="1"/>
        </w:numPr>
        <w:spacing w:before="30" w:after="30"/>
        <w:rPr/>
      </w:pPr>
      <w:r>
        <w:rPr>
          <w:rFonts w:eastAsia="Arial" w:cs="Arial"/>
          <w:sz w:val="22"/>
          <w:szCs w:val="22"/>
        </w:rPr>
        <w:t>Documentation standards — progress notes, shift logs, MAR, and incident reports</w:t>
      </w:r>
    </w:p>
    <w:p>
      <w:pPr>
        <w:pStyle w:val="ListParagraph"/>
        <w:numPr>
          <w:ilvl w:val="0"/>
          <w:numId w:val="1"/>
        </w:numPr>
        <w:spacing w:before="30" w:after="30"/>
        <w:rPr/>
      </w:pPr>
      <w:r>
        <w:rPr>
          <w:rFonts w:eastAsia="Arial" w:cs="Arial"/>
          <w:sz w:val="22"/>
          <w:szCs w:val="22"/>
        </w:rPr>
        <w:t>Grievance and complaint procedures</w:t>
      </w:r>
    </w:p>
    <w:p>
      <w:pPr>
        <w:pStyle w:val="ListParagraph"/>
        <w:numPr>
          <w:ilvl w:val="0"/>
          <w:numId w:val="1"/>
        </w:numPr>
        <w:spacing w:before="30" w:after="30"/>
        <w:rPr/>
      </w:pPr>
      <w:r>
        <w:rPr>
          <w:rFonts w:eastAsia="Arial" w:cs="Arial"/>
          <w:sz w:val="22"/>
          <w:szCs w:val="22"/>
        </w:rPr>
        <w:t>The non-punitive reporting environment (Policy 6.00) and the staff member's role in quality improvement</w:t>
      </w:r>
    </w:p>
    <w:p>
      <w:pPr>
        <w:pStyle w:val="Normal"/>
        <w:spacing w:before="140" w:after="60"/>
        <w:rPr/>
      </w:pPr>
      <w:r>
        <w:rPr>
          <w:rFonts w:eastAsia="Arial" w:cs="Arial"/>
          <w:b/>
          <w:bCs/>
          <w:sz w:val="22"/>
          <w:szCs w:val="22"/>
          <w:u w:val="single"/>
        </w:rPr>
        <w:t>B. Person-Specific Orientation (Before Working Independently with a Specific Individual)</w:t>
      </w:r>
    </w:p>
    <w:p>
      <w:pPr>
        <w:pStyle w:val="Normal"/>
        <w:spacing w:before="40" w:after="60"/>
        <w:rPr/>
      </w:pPr>
      <w:r>
        <w:rPr>
          <w:rFonts w:eastAsia="Arial" w:cs="Arial"/>
          <w:sz w:val="22"/>
          <w:szCs w:val="22"/>
        </w:rPr>
        <w:t>Before providing unsupervised care to a specific individual, staff and providers shall receive and document orientation covering:</w:t>
      </w:r>
    </w:p>
    <w:p>
      <w:pPr>
        <w:pStyle w:val="ListParagraph"/>
        <w:numPr>
          <w:ilvl w:val="0"/>
          <w:numId w:val="1"/>
        </w:numPr>
        <w:spacing w:before="30" w:after="30"/>
        <w:rPr/>
      </w:pPr>
      <w:r>
        <w:rPr>
          <w:rFonts w:eastAsia="Arial" w:cs="Arial"/>
          <w:sz w:val="22"/>
          <w:szCs w:val="22"/>
        </w:rPr>
        <w:t>The individual's current ISP/PCP/Support Plan — their specific goals, strategies, and the staff member's role in supporting each goal</w:t>
      </w:r>
    </w:p>
    <w:p>
      <w:pPr>
        <w:pStyle w:val="ListParagraph"/>
        <w:numPr>
          <w:ilvl w:val="0"/>
          <w:numId w:val="1"/>
        </w:numPr>
        <w:spacing w:before="30" w:after="30"/>
        <w:rPr/>
      </w:pPr>
      <w:r>
        <w:rPr>
          <w:rFonts w:eastAsia="Arial" w:cs="Arial"/>
          <w:sz w:val="22"/>
          <w:szCs w:val="22"/>
        </w:rPr>
        <w:t>The individual's preferred communication style, daily routine, preferences, and dislikes</w:t>
      </w:r>
    </w:p>
    <w:p>
      <w:pPr>
        <w:pStyle w:val="ListParagraph"/>
        <w:numPr>
          <w:ilvl w:val="0"/>
          <w:numId w:val="1"/>
        </w:numPr>
        <w:spacing w:before="30" w:after="30"/>
        <w:rPr/>
      </w:pPr>
      <w:r>
        <w:rPr>
          <w:rFonts w:eastAsia="Arial" w:cs="Arial"/>
          <w:sz w:val="22"/>
          <w:szCs w:val="22"/>
        </w:rPr>
        <w:t>Any active Behavior Support Plan (BSP) — triggers, de-escalation strategies, restricted techniques if authorized</w:t>
      </w:r>
    </w:p>
    <w:p>
      <w:pPr>
        <w:pStyle w:val="ListParagraph"/>
        <w:numPr>
          <w:ilvl w:val="0"/>
          <w:numId w:val="1"/>
        </w:numPr>
        <w:spacing w:before="30" w:after="30"/>
        <w:rPr/>
      </w:pPr>
      <w:r>
        <w:rPr>
          <w:rFonts w:eastAsia="Arial" w:cs="Arial"/>
          <w:sz w:val="22"/>
          <w:szCs w:val="22"/>
        </w:rPr>
        <w:t>Current health conditions, medications, and special care procedures</w:t>
      </w:r>
    </w:p>
    <w:p>
      <w:pPr>
        <w:pStyle w:val="ListParagraph"/>
        <w:numPr>
          <w:ilvl w:val="0"/>
          <w:numId w:val="1"/>
        </w:numPr>
        <w:spacing w:before="30" w:after="30"/>
        <w:rPr/>
      </w:pPr>
      <w:r>
        <w:rPr>
          <w:rFonts w:eastAsia="Arial" w:cs="Arial"/>
          <w:sz w:val="22"/>
          <w:szCs w:val="22"/>
        </w:rPr>
        <w:t>Emergency contacts and advance directive status (if any)</w:t>
      </w:r>
    </w:p>
    <w:p>
      <w:pPr>
        <w:pStyle w:val="ListParagraph"/>
        <w:numPr>
          <w:ilvl w:val="0"/>
          <w:numId w:val="1"/>
        </w:numPr>
        <w:spacing w:before="30" w:after="30"/>
        <w:rPr/>
      </w:pPr>
      <w:r>
        <w:rPr>
          <w:rFonts w:eastAsia="Arial" w:cs="Arial"/>
          <w:sz w:val="22"/>
          <w:szCs w:val="22"/>
        </w:rPr>
        <w:t>Community participation preferences and transportation needs</w:t>
      </w:r>
    </w:p>
    <w:p>
      <w:pPr>
        <w:pStyle w:val="ListParagraph"/>
        <w:numPr>
          <w:ilvl w:val="0"/>
          <w:numId w:val="1"/>
        </w:numPr>
        <w:spacing w:before="30" w:after="30"/>
        <w:rPr/>
      </w:pPr>
      <w:r>
        <w:rPr>
          <w:rFonts w:eastAsia="Arial" w:cs="Arial"/>
          <w:sz w:val="22"/>
          <w:szCs w:val="22"/>
        </w:rPr>
        <w:t>Individual-specific safety considerations and any required environmental modifications</w:t>
      </w:r>
    </w:p>
    <w:p>
      <w:pPr>
        <w:pStyle w:val="Normal"/>
        <w:spacing w:before="140" w:after="60"/>
        <w:rPr/>
      </w:pPr>
      <w:r>
        <w:rPr>
          <w:rFonts w:eastAsia="Arial" w:cs="Arial"/>
          <w:b/>
          <w:bCs/>
          <w:sz w:val="22"/>
          <w:szCs w:val="22"/>
          <w:u w:val="single"/>
        </w:rPr>
        <w:t>C. Ongoing Annual Training Requirements</w:t>
      </w:r>
    </w:p>
    <w:p>
      <w:pPr>
        <w:pStyle w:val="ListParagraph"/>
        <w:numPr>
          <w:ilvl w:val="0"/>
          <w:numId w:val="1"/>
        </w:numPr>
        <w:spacing w:before="30" w:after="30"/>
        <w:rPr/>
      </w:pPr>
      <w:r>
        <w:rPr>
          <w:rFonts w:eastAsia="Arial" w:cs="Arial"/>
          <w:sz w:val="22"/>
          <w:szCs w:val="22"/>
        </w:rPr>
        <w:t>First Aid and CPR — renewal per certification schedule (required for all staff and providers)</w:t>
      </w:r>
    </w:p>
    <w:p>
      <w:pPr>
        <w:pStyle w:val="ListParagraph"/>
        <w:numPr>
          <w:ilvl w:val="0"/>
          <w:numId w:val="1"/>
        </w:numPr>
        <w:spacing w:before="30" w:after="30"/>
        <w:rPr/>
      </w:pPr>
      <w:r>
        <w:rPr>
          <w:rFonts w:eastAsia="Arial" w:cs="Arial"/>
          <w:sz w:val="22"/>
          <w:szCs w:val="22"/>
        </w:rPr>
        <w:t>DBHDD-approved medication administration training renewal — per state certification schedule (required for all who administer medications)</w:t>
      </w:r>
    </w:p>
    <w:p>
      <w:pPr>
        <w:pStyle w:val="ListParagraph"/>
        <w:numPr>
          <w:ilvl w:val="0"/>
          <w:numId w:val="1"/>
        </w:numPr>
        <w:spacing w:before="30" w:after="30"/>
        <w:rPr/>
      </w:pPr>
      <w:r>
        <w:rPr>
          <w:rFonts w:eastAsia="Arial" w:cs="Arial"/>
          <w:sz w:val="22"/>
          <w:szCs w:val="22"/>
        </w:rPr>
        <w:t>Annual individual rights and HCBS Settings refresher</w:t>
      </w:r>
    </w:p>
    <w:p>
      <w:pPr>
        <w:pStyle w:val="ListParagraph"/>
        <w:numPr>
          <w:ilvl w:val="0"/>
          <w:numId w:val="1"/>
        </w:numPr>
        <w:spacing w:before="30" w:after="30"/>
        <w:rPr/>
      </w:pPr>
      <w:r>
        <w:rPr>
          <w:rFonts w:eastAsia="Arial" w:cs="Arial"/>
          <w:sz w:val="22"/>
          <w:szCs w:val="22"/>
        </w:rPr>
        <w:t>Annual abuse, neglect, and exploitation recognition and reporting refresher</w:t>
      </w:r>
    </w:p>
    <w:p>
      <w:pPr>
        <w:pStyle w:val="ListParagraph"/>
        <w:numPr>
          <w:ilvl w:val="0"/>
          <w:numId w:val="1"/>
        </w:numPr>
        <w:spacing w:before="30" w:after="30"/>
        <w:rPr/>
      </w:pPr>
      <w:r>
        <w:rPr>
          <w:rFonts w:eastAsia="Arial" w:cs="Arial"/>
          <w:sz w:val="22"/>
          <w:szCs w:val="22"/>
        </w:rPr>
        <w:t>Annual emergency preparedness review and drill participation</w:t>
      </w:r>
    </w:p>
    <w:p>
      <w:pPr>
        <w:pStyle w:val="ListParagraph"/>
        <w:numPr>
          <w:ilvl w:val="0"/>
          <w:numId w:val="1"/>
        </w:numPr>
        <w:spacing w:before="30" w:after="30"/>
        <w:rPr/>
      </w:pPr>
      <w:r>
        <w:rPr>
          <w:rFonts w:eastAsia="Arial" w:cs="Arial"/>
          <w:sz w:val="22"/>
          <w:szCs w:val="22"/>
        </w:rPr>
        <w:t>DBHDD behavioral support requirements and positive behavior support practices renewal — as required by Georgia regulations</w:t>
      </w:r>
    </w:p>
    <w:p>
      <w:pPr>
        <w:pStyle w:val="ListParagraph"/>
        <w:numPr>
          <w:ilvl w:val="0"/>
          <w:numId w:val="1"/>
        </w:numPr>
        <w:spacing w:before="30" w:after="30"/>
        <w:rPr/>
      </w:pPr>
      <w:r>
        <w:rPr>
          <w:rFonts w:eastAsia="Arial" w:cs="Arial"/>
          <w:sz w:val="22"/>
          <w:szCs w:val="22"/>
        </w:rPr>
        <w:t>Any additional topics identified through the Quality Management Program review or incident analysis</w:t>
      </w:r>
    </w:p>
    <w:p>
      <w:pPr>
        <w:pStyle w:val="Normal"/>
        <w:spacing w:before="120" w:after="40"/>
        <w:rPr/>
      </w:pPr>
      <w:r>
        <w:rPr>
          <w:rFonts w:eastAsia="Arial" w:cs="Arial"/>
          <w:b/>
          <w:bCs/>
          <w:color w:val="2E5DA8"/>
          <w:sz w:val="22"/>
          <w:szCs w:val="22"/>
        </w:rPr>
        <w:t>PART II — COMPETENCY ASSESSMENT PROGRAM</w:t>
      </w:r>
    </w:p>
    <w:p>
      <w:pPr>
        <w:pStyle w:val="Normal"/>
        <w:spacing w:before="40" w:after="60"/>
        <w:rPr/>
      </w:pPr>
      <w:r>
        <w:rPr>
          <w:rFonts w:eastAsia="Arial" w:cs="Arial"/>
          <w:sz w:val="22"/>
          <w:szCs w:val="22"/>
        </w:rPr>
        <w:t>The Joint Commission Behavioral Health Care standards require that organizations assess and verify the competency of staff — not merely their completion of training. Competency is the demonstrated ability to perform required functions safely, effectively, and in alignment with policy, not just knowledge that training occurred.</w:t>
      </w:r>
    </w:p>
    <w:p>
      <w:pPr>
        <w:pStyle w:val="Normal"/>
        <w:spacing w:before="140" w:after="60"/>
        <w:rPr/>
      </w:pPr>
      <w:r>
        <w:rPr>
          <w:rFonts w:eastAsia="Arial" w:cs="Arial"/>
          <w:b/>
          <w:bCs/>
          <w:sz w:val="22"/>
          <w:szCs w:val="22"/>
          <w:u w:val="single"/>
        </w:rPr>
        <w:t>D. Competency Assessment Framework</w:t>
      </w:r>
    </w:p>
    <w:p>
      <w:pPr>
        <w:pStyle w:val="Normal"/>
        <w:spacing w:before="40" w:after="60"/>
        <w:rPr/>
      </w:pPr>
      <w:r>
        <w:rPr>
          <w:rFonts w:eastAsia="Arial" w:cs="Arial"/>
          <w:sz w:val="22"/>
          <w:szCs w:val="22"/>
        </w:rPr>
        <w:t>Competency assessment at this Provider uses the following methods, selected based on the skill being assessed:</w:t>
      </w:r>
    </w:p>
    <w:p>
      <w:pPr>
        <w:pStyle w:val="Normal"/>
        <w:spacing w:before="30" w:after="30"/>
        <w:ind w:hanging="360" w:start="720"/>
        <w:rPr/>
      </w:pPr>
      <w:r>
        <w:rPr>
          <w:rFonts w:eastAsia="Arial" w:cs="Arial"/>
          <w:b/>
          <w:bCs/>
          <w:sz w:val="22"/>
          <w:szCs w:val="22"/>
        </w:rPr>
        <w:t xml:space="preserve">a.  </w:t>
      </w:r>
      <w:r>
        <w:rPr>
          <w:rFonts w:eastAsia="Arial" w:cs="Arial"/>
          <w:sz w:val="22"/>
          <w:szCs w:val="22"/>
        </w:rPr>
        <w:t>Direct Observation: The assessor directly observes the staff member or provider performing the skill with the actual individual (or in a simulated scenario for sensitive skills). This is the gold standard for competency assessment of hands-on clinical skills.</w:t>
      </w:r>
    </w:p>
    <w:p>
      <w:pPr>
        <w:pStyle w:val="Normal"/>
        <w:spacing w:before="30" w:after="30"/>
        <w:ind w:hanging="360" w:start="720"/>
        <w:rPr/>
      </w:pPr>
      <w:r>
        <w:rPr>
          <w:rFonts w:eastAsia="Arial" w:cs="Arial"/>
          <w:b/>
          <w:bCs/>
          <w:sz w:val="22"/>
          <w:szCs w:val="22"/>
        </w:rPr>
        <w:t xml:space="preserve">b.  </w:t>
      </w:r>
      <w:r>
        <w:rPr>
          <w:rFonts w:eastAsia="Arial" w:cs="Arial"/>
          <w:sz w:val="22"/>
          <w:szCs w:val="22"/>
        </w:rPr>
        <w:t>Return Demonstration: The staff member demonstrates a skill or procedure on request, without advance notice that the assessment is occurring.</w:t>
      </w:r>
    </w:p>
    <w:p>
      <w:pPr>
        <w:pStyle w:val="Normal"/>
        <w:spacing w:before="30" w:after="30"/>
        <w:ind w:hanging="360" w:start="720"/>
        <w:rPr/>
      </w:pPr>
      <w:r>
        <w:rPr>
          <w:rFonts w:eastAsia="Arial" w:cs="Arial"/>
          <w:b/>
          <w:bCs/>
          <w:sz w:val="22"/>
          <w:szCs w:val="22"/>
        </w:rPr>
        <w:t xml:space="preserve">c.  </w:t>
      </w:r>
      <w:r>
        <w:rPr>
          <w:rFonts w:eastAsia="Arial" w:cs="Arial"/>
          <w:sz w:val="22"/>
          <w:szCs w:val="22"/>
        </w:rPr>
        <w:t>Verbal or Written Questioning: Used to assess knowledge of policies, procedures, rights, reporting obligations, and theoretical understanding. Knowledge assessment alone is not sufficient for clinical or personal care skills.</w:t>
      </w:r>
    </w:p>
    <w:p>
      <w:pPr>
        <w:pStyle w:val="Normal"/>
        <w:spacing w:before="30" w:after="30"/>
        <w:ind w:hanging="360" w:start="720"/>
        <w:rPr/>
      </w:pPr>
      <w:r>
        <w:rPr>
          <w:rFonts w:eastAsia="Arial" w:cs="Arial"/>
          <w:b/>
          <w:bCs/>
          <w:sz w:val="22"/>
          <w:szCs w:val="22"/>
        </w:rPr>
        <w:t xml:space="preserve">d.  </w:t>
      </w:r>
      <w:r>
        <w:rPr>
          <w:rFonts w:eastAsia="Arial" w:cs="Arial"/>
          <w:sz w:val="22"/>
          <w:szCs w:val="22"/>
        </w:rPr>
        <w:t>Record Review: The assessor reviews documentation completed by the staff member to assess accuracy, timeliness, completeness, and compliance with standards.</w:t>
      </w:r>
    </w:p>
    <w:p>
      <w:pPr>
        <w:pStyle w:val="Normal"/>
        <w:spacing w:before="30" w:after="30"/>
        <w:ind w:hanging="360" w:start="720"/>
        <w:rPr/>
      </w:pPr>
      <w:r>
        <w:rPr>
          <w:rFonts w:eastAsia="Arial" w:cs="Arial"/>
          <w:b/>
          <w:bCs/>
          <w:sz w:val="22"/>
          <w:szCs w:val="22"/>
        </w:rPr>
        <w:t xml:space="preserve">e.  </w:t>
      </w:r>
      <w:r>
        <w:rPr>
          <w:rFonts w:eastAsia="Arial" w:cs="Arial"/>
          <w:sz w:val="22"/>
          <w:szCs w:val="22"/>
        </w:rPr>
        <w:t>Scenario-Based Assessment: The assessor presents a hypothetical situation and asks the staff member to describe or demonstrate their response. Used for emergency procedures, behavioral situations, and ethical dilemmas.</w:t>
      </w:r>
    </w:p>
    <w:p>
      <w:pPr>
        <w:pStyle w:val="Normal"/>
        <w:spacing w:before="140" w:after="60"/>
        <w:rPr/>
      </w:pPr>
      <w:r>
        <w:rPr>
          <w:rFonts w:eastAsia="Arial" w:cs="Arial"/>
          <w:b/>
          <w:bCs/>
          <w:sz w:val="22"/>
          <w:szCs w:val="22"/>
          <w:u w:val="single"/>
        </w:rPr>
        <w:t>E. Required Competency Areas and Assessment Schedule</w:t>
      </w:r>
    </w:p>
    <w:p>
      <w:pPr>
        <w:pStyle w:val="Normal"/>
        <w:spacing w:before="40" w:after="60"/>
        <w:rPr/>
      </w:pPr>
      <w:r>
        <w:rPr>
          <w:rFonts w:eastAsia="Arial" w:cs="Arial"/>
          <w:sz w:val="22"/>
          <w:szCs w:val="22"/>
        </w:rPr>
        <w:t>The following competencies shall be assessed for all applicable staff and providers:</w:t>
      </w:r>
    </w:p>
    <w:tbl>
      <w:tblPr>
        <w:tblW w:w="9360" w:type="dxa"/>
        <w:jc w:val="start"/>
        <w:tblInd w:w="0" w:type="dxa"/>
        <w:tblLayout w:type="fixed"/>
        <w:tblCellMar>
          <w:top w:w="60" w:type="dxa"/>
          <w:start w:w="80" w:type="dxa"/>
          <w:bottom w:w="60" w:type="dxa"/>
          <w:end w:w="80" w:type="dxa"/>
        </w:tblCellMar>
      </w:tblPr>
      <w:tblGrid>
        <w:gridCol w:w="3200"/>
        <w:gridCol w:w="2199"/>
        <w:gridCol w:w="2361"/>
        <w:gridCol w:w="1599"/>
      </w:tblGrid>
      <w:tr>
        <w:trPr/>
        <w:tc>
          <w:tcPr>
            <w:tcW w:w="32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6"/>
                <w:szCs w:val="16"/>
              </w:rPr>
              <w:t>Competency Area</w:t>
            </w:r>
          </w:p>
        </w:tc>
        <w:tc>
          <w:tcPr>
            <w:tcW w:w="219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6"/>
                <w:szCs w:val="16"/>
              </w:rPr>
              <w:t>Assessment Method</w:t>
            </w:r>
          </w:p>
        </w:tc>
        <w:tc>
          <w:tcPr>
            <w:tcW w:w="2361"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6"/>
                <w:szCs w:val="16"/>
              </w:rPr>
              <w:t>Initial (Before Solo Service)</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6"/>
                <w:szCs w:val="16"/>
              </w:rPr>
              <w:t>Annual</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Personal Care / ADL Assistance</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Direct observation</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Medication Administration (if applicable)</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Direct observation + return demonstration</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Hand Hygiene Technique</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Direct observation</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PPE Donning and Doffing</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Return demonstration</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Emergency Evacuation Procedure</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Scenario + direct observation (drill)</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 — via annual drill</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Missing Individual Response</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Scenario-based</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Incident Identification and Reporting</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Verbal/written + record review</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Mandatory Reporting Obligations</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Verbal/written questioning</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Rights and HCBS Settings Compliance</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Verbal/written + direct observation</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De-escalation Techniques</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Scenario-based + direct observation</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 (if BSP present)</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 (if BSP present)</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Documentation Accuracy and Timeliness</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Record review</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Within 30 days of hire</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 — via quarterly audit</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Individual-Specific BSP Implementation</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Direct observation</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Before solo service</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 — at each BSP update</w:t>
            </w:r>
          </w:p>
        </w:tc>
      </w:tr>
      <w:tr>
        <w:trPr/>
        <w:tc>
          <w:tcPr>
            <w:tcW w:w="3200"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Controlled Substance Count and Documentation</w:t>
            </w:r>
          </w:p>
        </w:tc>
        <w:tc>
          <w:tcPr>
            <w:tcW w:w="21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Return demonstration (if applicable)</w:t>
            </w:r>
          </w:p>
        </w:tc>
        <w:tc>
          <w:tcPr>
            <w:tcW w:w="2361"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EAF1FB" w:val="clear"/>
            <w:tcMar>
              <w:top w:w="50" w:type="dxa"/>
              <w:bottom w:w="50" w:type="dxa"/>
            </w:tcMar>
          </w:tcPr>
          <w:p>
            <w:pPr>
              <w:pStyle w:val="Normal"/>
              <w:rPr/>
            </w:pPr>
            <w:r>
              <w:rPr>
                <w:rFonts w:eastAsia="Arial" w:cs="Arial"/>
                <w:sz w:val="16"/>
                <w:szCs w:val="16"/>
              </w:rPr>
              <w:t>Required</w:t>
            </w:r>
          </w:p>
        </w:tc>
      </w:tr>
      <w:tr>
        <w:trPr/>
        <w:tc>
          <w:tcPr>
            <w:tcW w:w="3200"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Medication Reconciliation at Transitions</w:t>
            </w:r>
          </w:p>
        </w:tc>
        <w:tc>
          <w:tcPr>
            <w:tcW w:w="21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Scenario-based</w:t>
            </w:r>
          </w:p>
        </w:tc>
        <w:tc>
          <w:tcPr>
            <w:tcW w:w="2361"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c>
          <w:tcPr>
            <w:tcW w:w="1599" w:type="dxa"/>
            <w:tcBorders>
              <w:top w:val="single" w:sz="2" w:space="0" w:color="CCCCCC"/>
              <w:start w:val="single" w:sz="2" w:space="0" w:color="CCCCCC"/>
              <w:bottom w:val="single" w:sz="2" w:space="0" w:color="CCCCCC"/>
              <w:end w:val="single" w:sz="2" w:space="0" w:color="CCCCCC"/>
            </w:tcBorders>
            <w:shd w:fill="FFFFFF" w:val="clear"/>
            <w:tcMar>
              <w:top w:w="50" w:type="dxa"/>
              <w:bottom w:w="50" w:type="dxa"/>
            </w:tcMar>
          </w:tcPr>
          <w:p>
            <w:pPr>
              <w:pStyle w:val="Normal"/>
              <w:rPr/>
            </w:pPr>
            <w:r>
              <w:rPr>
                <w:rFonts w:eastAsia="Arial" w:cs="Arial"/>
                <w:sz w:val="16"/>
                <w:szCs w:val="16"/>
              </w:rPr>
              <w:t>Required</w:t>
            </w:r>
          </w:p>
        </w:tc>
      </w:tr>
    </w:tbl>
    <w:p>
      <w:pPr>
        <w:pStyle w:val="Normal"/>
        <w:spacing w:before="0" w:after="80"/>
        <w:rPr/>
      </w:pPr>
      <w:r>
        <w:rPr/>
      </w:r>
    </w:p>
    <w:p>
      <w:pPr>
        <w:pStyle w:val="Normal"/>
        <w:spacing w:before="140" w:after="60"/>
        <w:rPr/>
      </w:pPr>
      <w:r>
        <w:rPr>
          <w:rFonts w:eastAsia="Arial" w:cs="Arial"/>
          <w:b/>
          <w:bCs/>
          <w:sz w:val="22"/>
          <w:szCs w:val="22"/>
          <w:u w:val="single"/>
        </w:rPr>
        <w:t>F. Competency Assessment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Initial competency: all required competency areas shall be assessed before the staff member or provider works independently. The assessor shall use the Competency Assessment Checklist, completing one checklist per competency area per person.</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Competency Assessment Checklist shall document: the competency area, the assessment method used, the date, the assessor's name and role, the specific behaviors or skills observed, and a rating of Meets Standard / Does Not Yet Meet Standard.</w:t>
      </w:r>
    </w:p>
    <w:p>
      <w:pPr>
        <w:pStyle w:val="Normal"/>
        <w:spacing w:before="30" w:after="30"/>
        <w:ind w:hanging="360" w:start="720"/>
        <w:rPr/>
      </w:pPr>
      <w:r>
        <w:rPr>
          <w:rFonts w:eastAsia="Arial" w:cs="Arial"/>
          <w:b/>
          <w:bCs/>
          <w:sz w:val="22"/>
          <w:szCs w:val="22"/>
        </w:rPr>
        <w:t xml:space="preserve">c.  </w:t>
      </w:r>
      <w:r>
        <w:rPr>
          <w:rFonts w:eastAsia="Arial" w:cs="Arial"/>
          <w:sz w:val="22"/>
          <w:szCs w:val="22"/>
        </w:rPr>
        <w:t>A rating of Does Not Yet Meet Standard shall trigger immediate corrective action: the staff member shall not perform that function independently until re-assessment shows competency achieved. See Section G.</w:t>
      </w:r>
    </w:p>
    <w:p>
      <w:pPr>
        <w:pStyle w:val="Normal"/>
        <w:spacing w:before="30" w:after="30"/>
        <w:ind w:hanging="360" w:start="720"/>
        <w:rPr/>
      </w:pPr>
      <w:r>
        <w:rPr>
          <w:rFonts w:eastAsia="Arial" w:cs="Arial"/>
          <w:b/>
          <w:bCs/>
          <w:sz w:val="22"/>
          <w:szCs w:val="22"/>
        </w:rPr>
        <w:t xml:space="preserve">d.  </w:t>
      </w:r>
      <w:r>
        <w:rPr>
          <w:rFonts w:eastAsia="Arial" w:cs="Arial"/>
          <w:sz w:val="22"/>
          <w:szCs w:val="22"/>
        </w:rPr>
        <w:t>Annual competency re-assessment: all required competency areas shall be re-assessed annually. Annual reassessment shall be planned in advance and documented on the Competency Assessment Schedule maintained in the personnel/provider file.</w:t>
      </w:r>
    </w:p>
    <w:p>
      <w:pPr>
        <w:pStyle w:val="Normal"/>
        <w:spacing w:before="30" w:after="30"/>
        <w:ind w:hanging="360" w:start="720"/>
        <w:rPr/>
      </w:pPr>
      <w:r>
        <w:rPr>
          <w:rFonts w:eastAsia="Arial" w:cs="Arial"/>
          <w:b/>
          <w:bCs/>
          <w:sz w:val="22"/>
          <w:szCs w:val="22"/>
        </w:rPr>
        <w:t xml:space="preserve">e.  </w:t>
      </w:r>
      <w:r>
        <w:rPr>
          <w:rFonts w:eastAsia="Arial" w:cs="Arial"/>
          <w:sz w:val="22"/>
          <w:szCs w:val="22"/>
        </w:rPr>
        <w:t>Unscheduled competency assessment: the Administrator may conduct an unscheduled, unannounced competency assessment at any time. Assessment findings shall be documented with the same thoroughness as scheduled assessments.</w:t>
      </w:r>
    </w:p>
    <w:p>
      <w:pPr>
        <w:pStyle w:val="Normal"/>
        <w:spacing w:before="140" w:after="60"/>
        <w:rPr/>
      </w:pPr>
      <w:r>
        <w:rPr>
          <w:rFonts w:eastAsia="Arial" w:cs="Arial"/>
          <w:b/>
          <w:bCs/>
          <w:sz w:val="22"/>
          <w:szCs w:val="22"/>
          <w:u w:val="single"/>
        </w:rPr>
        <w:t>G. Competency Deficiency Response Protocol</w:t>
      </w:r>
    </w:p>
    <w:p>
      <w:pPr>
        <w:pStyle w:val="Normal"/>
        <w:spacing w:before="40" w:after="60"/>
        <w:rPr/>
      </w:pPr>
      <w:r>
        <w:rPr>
          <w:rFonts w:eastAsia="Arial" w:cs="Arial"/>
          <w:sz w:val="22"/>
          <w:szCs w:val="22"/>
        </w:rPr>
        <w:t>When a staff member or provider does not demonstrate required competency:</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staff member shall be immediately restricted from performing the function(s) in which competency was not demonstrated until competency is re-assessed and verified.</w:t>
      </w:r>
    </w:p>
    <w:p>
      <w:pPr>
        <w:pStyle w:val="Normal"/>
        <w:spacing w:before="30" w:after="30"/>
        <w:ind w:hanging="360" w:start="720"/>
        <w:rPr/>
      </w:pPr>
      <w:r>
        <w:rPr>
          <w:rFonts w:eastAsia="Arial" w:cs="Arial"/>
          <w:b/>
          <w:bCs/>
          <w:sz w:val="22"/>
          <w:szCs w:val="22"/>
        </w:rPr>
        <w:t xml:space="preserve">b.  </w:t>
      </w:r>
      <w:r>
        <w:rPr>
          <w:rFonts w:eastAsia="Arial" w:cs="Arial"/>
          <w:sz w:val="22"/>
          <w:szCs w:val="22"/>
        </w:rPr>
        <w:t>A Competency Improvement Plan shall be developed within forty-eight (48) hours of the assessment, specifying: the specific deficiency identified, the additional training or practice required, the timeline for re-assessment, and the criteria for demonstrating competency.</w:t>
      </w:r>
    </w:p>
    <w:p>
      <w:pPr>
        <w:pStyle w:val="Normal"/>
        <w:spacing w:before="30" w:after="30"/>
        <w:ind w:hanging="360" w:start="720"/>
        <w:rPr/>
      </w:pPr>
      <w:r>
        <w:rPr>
          <w:rFonts w:eastAsia="Arial" w:cs="Arial"/>
          <w:b/>
          <w:bCs/>
          <w:sz w:val="22"/>
          <w:szCs w:val="22"/>
        </w:rPr>
        <w:t xml:space="preserve">c.  </w:t>
      </w:r>
      <w:r>
        <w:rPr>
          <w:rFonts w:eastAsia="Arial" w:cs="Arial"/>
          <w:sz w:val="22"/>
          <w:szCs w:val="22"/>
        </w:rPr>
        <w:t>Re-assessment shall occur after the additional training or practice is complete, using the same or a more rigorous assessment method.</w:t>
      </w:r>
    </w:p>
    <w:p>
      <w:pPr>
        <w:pStyle w:val="Normal"/>
        <w:spacing w:before="30" w:after="30"/>
        <w:ind w:hanging="360" w:start="720"/>
        <w:rPr/>
      </w:pPr>
      <w:r>
        <w:rPr>
          <w:rFonts w:eastAsia="Arial" w:cs="Arial"/>
          <w:b/>
          <w:bCs/>
          <w:sz w:val="22"/>
          <w:szCs w:val="22"/>
        </w:rPr>
        <w:t xml:space="preserve">d.  </w:t>
      </w:r>
      <w:r>
        <w:rPr>
          <w:rFonts w:eastAsia="Arial" w:cs="Arial"/>
          <w:sz w:val="22"/>
          <w:szCs w:val="22"/>
        </w:rPr>
        <w:t>If a staff member fails to demonstrate competency after two (2) re-assessment attempts, the Administrator shall consult with the supervising agency and determine whether continued employment or provider status is appropriate.</w:t>
      </w:r>
    </w:p>
    <w:p>
      <w:pPr>
        <w:pStyle w:val="Normal"/>
        <w:spacing w:before="30" w:after="30"/>
        <w:ind w:hanging="360" w:start="720"/>
        <w:rPr/>
      </w:pPr>
      <w:r>
        <w:rPr>
          <w:rFonts w:eastAsia="Arial" w:cs="Arial"/>
          <w:b/>
          <w:bCs/>
          <w:sz w:val="22"/>
          <w:szCs w:val="22"/>
        </w:rPr>
        <w:t xml:space="preserve">e.  </w:t>
      </w:r>
      <w:r>
        <w:rPr>
          <w:rFonts w:eastAsia="Arial" w:cs="Arial"/>
          <w:sz w:val="22"/>
          <w:szCs w:val="22"/>
        </w:rPr>
        <w:t>All competency deficiencies and Improvement Plans shall be documented in the personnel or provider file.</w:t>
      </w:r>
    </w:p>
    <w:p>
      <w:pPr>
        <w:pStyle w:val="Normal"/>
        <w:spacing w:before="140" w:after="60"/>
        <w:rPr/>
      </w:pPr>
      <w:r>
        <w:rPr>
          <w:rFonts w:eastAsia="Arial" w:cs="Arial"/>
          <w:b/>
          <w:bCs/>
          <w:sz w:val="22"/>
          <w:szCs w:val="22"/>
          <w:u w:val="single"/>
        </w:rPr>
        <w:t>H. Competency Assessment Qualifications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Competency assessors shall have demonstrated competency in the area being assessed and shall have completed the organization's competency assessor orientation, which covers: how to use the Competency Assessment Checklist, objective observation techniques, how to provide constructive feedback, and documentation requirements.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No staff member shall assess their own competency. Self-report of competency is not sufficient; direct observation by a qualified assessor is required for clinical and personal care skills.</w:t>
      </w:r>
    </w:p>
    <w:p>
      <w:pPr>
        <w:pStyle w:val="Normal"/>
        <w:spacing w:before="140" w:after="60"/>
        <w:rPr/>
      </w:pPr>
      <w:r>
        <w:rPr>
          <w:rFonts w:eastAsia="Arial" w:cs="Arial"/>
          <w:b/>
          <w:bCs/>
          <w:sz w:val="22"/>
          <w:szCs w:val="22"/>
          <w:u w:val="single"/>
        </w:rPr>
        <w:t>I. Training Portability</w:t>
      </w:r>
    </w:p>
    <w:p>
      <w:pPr>
        <w:pStyle w:val="Normal"/>
        <w:spacing w:before="40" w:after="60"/>
        <w:rPr/>
      </w:pPr>
      <w:r>
        <w:rPr>
          <w:rFonts w:eastAsia="Arial" w:cs="Arial"/>
          <w:sz w:val="22"/>
          <w:szCs w:val="22"/>
        </w:rPr>
        <w:t>Prior training completed at another licensed Georgia provider may be accepted as meeting training requirements, subject to the following conditions: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training certificate includes: staff member's name, training organization, topic and content outline, hours completed, date, and trainer signature or organizational seal.</w:t>
      </w:r>
    </w:p>
    <w:p>
      <w:pPr>
        <w:pStyle w:val="Normal"/>
        <w:spacing w:before="30" w:after="30"/>
        <w:ind w:hanging="360" w:start="720"/>
        <w:rPr/>
      </w:pPr>
      <w:r>
        <w:rPr>
          <w:rFonts w:eastAsia="Arial" w:cs="Arial"/>
          <w:b/>
          <w:bCs/>
          <w:sz w:val="22"/>
          <w:szCs w:val="22"/>
        </w:rPr>
        <w:t xml:space="preserve">b.  </w:t>
      </w:r>
      <w:r>
        <w:rPr>
          <w:rFonts w:eastAsia="Arial" w:cs="Arial"/>
          <w:sz w:val="22"/>
          <w:szCs w:val="22"/>
        </w:rPr>
        <w:t>Portability does not substitute for person-specific orientation, competency assessment, or training topics required by this Provider's specific policies or the individual's BSP.</w:t>
      </w:r>
    </w:p>
    <w:p>
      <w:pPr>
        <w:pStyle w:val="Normal"/>
        <w:spacing w:before="30" w:after="30"/>
        <w:ind w:hanging="360" w:start="720"/>
        <w:rPr/>
      </w:pPr>
      <w:r>
        <w:rPr>
          <w:rFonts w:eastAsia="Arial" w:cs="Arial"/>
          <w:b/>
          <w:bCs/>
          <w:sz w:val="22"/>
          <w:szCs w:val="22"/>
        </w:rPr>
        <w:t xml:space="preserve">c.  </w:t>
      </w:r>
      <w:r>
        <w:rPr>
          <w:rFonts w:eastAsia="Arial" w:cs="Arial"/>
          <w:sz w:val="22"/>
          <w:szCs w:val="22"/>
        </w:rPr>
        <w:t>Acceptance of portable training is at the discretion of the Administrator.</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Training Completion Records</w:t>
      </w:r>
    </w:p>
    <w:p>
      <w:pPr>
        <w:pStyle w:val="ListParagraph"/>
        <w:numPr>
          <w:ilvl w:val="0"/>
          <w:numId w:val="1"/>
        </w:numPr>
        <w:spacing w:before="30" w:after="30"/>
        <w:rPr/>
      </w:pPr>
      <w:r>
        <w:rPr>
          <w:rFonts w:eastAsia="Arial" w:cs="Arial"/>
          <w:sz w:val="22"/>
          <w:szCs w:val="22"/>
        </w:rPr>
        <w:t>Person-Specific Orientation Checklist</w:t>
      </w:r>
    </w:p>
    <w:p>
      <w:pPr>
        <w:pStyle w:val="ListParagraph"/>
        <w:numPr>
          <w:ilvl w:val="0"/>
          <w:numId w:val="1"/>
        </w:numPr>
        <w:spacing w:before="30" w:after="30"/>
        <w:rPr/>
      </w:pPr>
      <w:r>
        <w:rPr>
          <w:rFonts w:eastAsia="Arial" w:cs="Arial"/>
          <w:sz w:val="22"/>
          <w:szCs w:val="22"/>
        </w:rPr>
        <w:t>Competency Assessment Checklist (per competency area)</w:t>
      </w:r>
    </w:p>
    <w:p>
      <w:pPr>
        <w:pStyle w:val="ListParagraph"/>
        <w:numPr>
          <w:ilvl w:val="0"/>
          <w:numId w:val="1"/>
        </w:numPr>
        <w:spacing w:before="30" w:after="30"/>
        <w:rPr/>
      </w:pPr>
      <w:r>
        <w:rPr>
          <w:rFonts w:eastAsia="Arial" w:cs="Arial"/>
          <w:sz w:val="22"/>
          <w:szCs w:val="22"/>
        </w:rPr>
        <w:t>Competency Assessment Schedule</w:t>
      </w:r>
    </w:p>
    <w:p>
      <w:pPr>
        <w:pStyle w:val="ListParagraph"/>
        <w:numPr>
          <w:ilvl w:val="0"/>
          <w:numId w:val="1"/>
        </w:numPr>
        <w:spacing w:before="30" w:after="30"/>
        <w:rPr/>
      </w:pPr>
      <w:r>
        <w:rPr>
          <w:rFonts w:eastAsia="Arial" w:cs="Arial"/>
          <w:sz w:val="22"/>
          <w:szCs w:val="22"/>
        </w:rPr>
        <w:t>Competency Improvement Plan</w:t>
      </w:r>
    </w:p>
    <w:p>
      <w:pPr>
        <w:pStyle w:val="ListParagraph"/>
        <w:numPr>
          <w:ilvl w:val="0"/>
          <w:numId w:val="1"/>
        </w:numPr>
        <w:spacing w:before="30" w:after="30"/>
        <w:rPr/>
      </w:pPr>
      <w:r>
        <w:rPr>
          <w:rFonts w:eastAsia="Arial" w:cs="Arial"/>
          <w:sz w:val="22"/>
          <w:szCs w:val="22"/>
        </w:rPr>
        <w:t>Annual Competency Re-Assessment Calendar</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[Host Home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[Host Home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DBHDD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[Host Home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#2.02: Medication Administration Training &amp; Certification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Training / Medication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DBHDD NOW/COMP Waiver Provider Manual; DBHDD Medication Administration Training Requirements; DCH Requirements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[Host Home Provider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document [Host Home Provider Name]'s responsibility to hold a current DBHDD-approved medication administration certification before administering or assisting with medications, and to ensure any Relief Caregiver who administers medications holds equivalent current certification.</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No person — including [Host Home Provider Name] or any approved Relief Caregiver — shall administer, assist with, or supervise medication administration unless they hold a current DBHDD-approved medication administration certification. Expired certification removes the provider or Relief Caregiver from all medication administration duties until renewal is completed.</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Certification — Host Home Provider</w:t>
      </w:r>
    </w:p>
    <w:p>
      <w:pPr>
        <w:pStyle w:val="Normal"/>
        <w:spacing w:before="30" w:after="30"/>
        <w:ind w:hanging="360" w:start="720"/>
        <w:rPr/>
      </w:pPr>
      <w:r>
        <w:rPr>
          <w:rFonts w:eastAsia="Arial" w:cs="Arial"/>
          <w:b/>
          <w:bCs/>
          <w:sz w:val="22"/>
          <w:szCs w:val="22"/>
        </w:rPr>
        <w:t xml:space="preserve">a.  </w:t>
      </w:r>
      <w:r>
        <w:rPr>
          <w:rFonts w:eastAsia="Arial" w:cs="Arial"/>
          <w:sz w:val="22"/>
          <w:szCs w:val="22"/>
        </w:rPr>
        <w:t>[Host Home Provider Name] shall complete DBHDD-approved medication administration training before the individual's placement if medication administration is part of the ISP.</w:t>
      </w:r>
    </w:p>
    <w:p>
      <w:pPr>
        <w:pStyle w:val="Normal"/>
        <w:spacing w:before="30" w:after="30"/>
        <w:ind w:hanging="360" w:start="720"/>
        <w:rPr/>
      </w:pPr>
      <w:r>
        <w:rPr>
          <w:rFonts w:eastAsia="Arial" w:cs="Arial"/>
          <w:b/>
          <w:bCs/>
          <w:sz w:val="22"/>
          <w:szCs w:val="22"/>
        </w:rPr>
        <w:t xml:space="preserve">b.  </w:t>
      </w:r>
      <w:r>
        <w:rPr>
          <w:rFonts w:eastAsia="Arial" w:cs="Arial"/>
          <w:sz w:val="22"/>
          <w:szCs w:val="22"/>
        </w:rPr>
        <w:t>A copy of the current certificate shall be filed in this manual and provided to the CRA Provider Agency.</w:t>
      </w:r>
    </w:p>
    <w:p>
      <w:pPr>
        <w:pStyle w:val="Normal"/>
        <w:spacing w:before="30" w:after="30"/>
        <w:ind w:hanging="360" w:start="720"/>
        <w:rPr/>
      </w:pPr>
      <w:r>
        <w:rPr>
          <w:rFonts w:eastAsia="Arial" w:cs="Arial"/>
          <w:b/>
          <w:bCs/>
          <w:sz w:val="22"/>
          <w:szCs w:val="22"/>
        </w:rPr>
        <w:t xml:space="preserve">c.  </w:t>
      </w:r>
      <w:r>
        <w:rPr>
          <w:rFonts w:eastAsia="Arial" w:cs="Arial"/>
          <w:sz w:val="22"/>
          <w:szCs w:val="22"/>
        </w:rPr>
        <w:t>Renewal shall be completed before the current certificate expires.</w:t>
      </w:r>
    </w:p>
    <w:p>
      <w:pPr>
        <w:pStyle w:val="Normal"/>
        <w:spacing w:before="140" w:after="60"/>
        <w:rPr/>
      </w:pPr>
      <w:r>
        <w:rPr>
          <w:rFonts w:eastAsia="Arial" w:cs="Arial"/>
          <w:b/>
          <w:bCs/>
          <w:sz w:val="22"/>
          <w:szCs w:val="22"/>
          <w:u w:val="single"/>
        </w:rPr>
        <w:t>B. Certification — Relief Caregivers</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Relief Caregiver who will administer medications must present a current DBHDD-approved medication administration certificate before their first coverage period involving medications.</w:t>
      </w:r>
    </w:p>
    <w:p>
      <w:pPr>
        <w:pStyle w:val="Normal"/>
        <w:spacing w:before="140" w:after="60"/>
        <w:rPr/>
      </w:pPr>
      <w:r>
        <w:rPr>
          <w:rFonts w:eastAsia="Arial" w:cs="Arial"/>
          <w:b/>
          <w:bCs/>
          <w:sz w:val="22"/>
          <w:szCs w:val="22"/>
          <w:u w:val="single"/>
        </w:rPr>
        <w:t>C. Scope</w:t>
      </w:r>
    </w:p>
    <w:p>
      <w:pPr>
        <w:pStyle w:val="Normal"/>
        <w:spacing w:before="40" w:after="60"/>
        <w:rPr/>
      </w:pPr>
      <w:r>
        <w:rPr>
          <w:rFonts w:eastAsia="Arial" w:cs="Arial"/>
          <w:sz w:val="22"/>
          <w:szCs w:val="22"/>
        </w:rPr>
        <w:t>DBHDD-approved certified providers may assist with or administer medications prescribed by a Georgia licensed practitioner, documented on a current MAR, via routes specified in the DBHDD-approved training. IV medications requiring nursing licensure are outside scope.</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DBHDD-Approved Medication Administration Certificate (on file)</w:t>
      </w:r>
    </w:p>
    <w:p>
      <w:pPr>
        <w:pStyle w:val="ListParagraph"/>
        <w:numPr>
          <w:ilvl w:val="0"/>
          <w:numId w:val="1"/>
        </w:numPr>
        <w:spacing w:before="30" w:after="30"/>
        <w:rPr/>
      </w:pPr>
      <w:r>
        <w:rPr>
          <w:rFonts w:eastAsia="Arial" w:cs="Arial"/>
          <w:sz w:val="22"/>
          <w:szCs w:val="22"/>
        </w:rPr>
        <w:t>Relief Caregiver Medication Certificates (on file)</w:t>
      </w:r>
    </w:p>
    <w:p>
      <w:pPr>
        <w:pStyle w:val="ListParagraph"/>
        <w:numPr>
          <w:ilvl w:val="0"/>
          <w:numId w:val="1"/>
        </w:numPr>
        <w:spacing w:before="30" w:after="30"/>
        <w:rPr/>
      </w:pPr>
      <w:r>
        <w:rPr>
          <w:rFonts w:eastAsia="Arial" w:cs="Arial"/>
          <w:sz w:val="22"/>
          <w:szCs w:val="22"/>
        </w:rPr>
        <w:t>Medication Administration Record (MAR) — Policy 4.00</w:t>
      </w:r>
    </w:p>
    <w:p>
      <w:pPr>
        <w:pStyle w:val="ListParagraph"/>
        <w:numPr>
          <w:ilvl w:val="0"/>
          <w:numId w:val="1"/>
        </w:numPr>
        <w:spacing w:before="30" w:after="30"/>
        <w:rPr/>
      </w:pPr>
      <w:r>
        <w:rPr>
          <w:rFonts w:eastAsia="Arial" w:cs="Arial"/>
          <w:sz w:val="22"/>
          <w:szCs w:val="22"/>
        </w:rPr>
        <w:t>Medication Error Report — Policy 4.03</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[Host Home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[Host Home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DBHDD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[Host Home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#2.03: Host Home Environment &amp; Physical Standards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Facilities / Safety</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DBHDD Policy 02-704; DBHDD NOW/COMP Waiver Provider Manual; HCBS Settings Final Rule 42 CFR 441.301; Georgia Fire Code</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[Host Home Provider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the physical standards that the Host Home/Life-Sharing setting at [Home Address] must meet and maintain under DBHDD requirements, ensuring the environment is safe, comfortable, accessible, home-like, and compliant with HCBS Settings Final Rule requirements. The CRA Provider Agency conducts regular home monitoring visits to verify these standards.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home is each individual's primary Georgia residence. [Host Home Provider Name] is responsible for maintaining it in a safe, sanitary condition consistent with a typical home in the community.</w:t>
      </w:r>
    </w:p>
    <w:p>
      <w:pPr>
        <w:pStyle w:val="Normal"/>
        <w:spacing w:before="120" w:after="40"/>
        <w:rPr/>
      </w:pPr>
      <w:r>
        <w:rPr>
          <w:rFonts w:eastAsia="Arial" w:cs="Arial"/>
          <w:b/>
          <w:bCs/>
          <w:color w:val="2E5DA8"/>
          <w:sz w:val="22"/>
          <w:szCs w:val="22"/>
        </w:rPr>
        <w:t>HOME ENVIRONMENT STANDARDS</w:t>
      </w:r>
    </w:p>
    <w:p>
      <w:pPr>
        <w:pStyle w:val="Normal"/>
        <w:spacing w:before="140" w:after="60"/>
        <w:rPr/>
      </w:pPr>
      <w:r>
        <w:rPr>
          <w:rFonts w:eastAsia="Arial" w:cs="Arial"/>
          <w:b/>
          <w:bCs/>
          <w:sz w:val="22"/>
          <w:szCs w:val="22"/>
          <w:u w:val="single"/>
        </w:rPr>
        <w:t>A. The Individual's Personal Space</w:t>
      </w:r>
    </w:p>
    <w:p>
      <w:pPr>
        <w:pStyle w:val="Normal"/>
        <w:spacing w:before="30" w:after="30"/>
        <w:ind w:hanging="360" w:start="720"/>
        <w:rPr/>
      </w:pPr>
      <w:r>
        <w:rPr>
          <w:rFonts w:eastAsia="Arial" w:cs="Arial"/>
          <w:b/>
          <w:bCs/>
          <w:sz w:val="22"/>
          <w:szCs w:val="22"/>
        </w:rPr>
        <w:t xml:space="preserve">a.  </w:t>
      </w:r>
      <w:r>
        <w:rPr>
          <w:rFonts w:eastAsia="Arial" w:cs="Arial"/>
          <w:sz w:val="22"/>
          <w:szCs w:val="22"/>
        </w:rPr>
        <w:t>Each individual shall have a private bedroom with a door and the right to lock it (42 CFR 441.301).</w:t>
      </w:r>
    </w:p>
    <w:p>
      <w:pPr>
        <w:pStyle w:val="Normal"/>
        <w:spacing w:before="30" w:after="30"/>
        <w:ind w:hanging="360" w:start="720"/>
        <w:rPr/>
      </w:pPr>
      <w:r>
        <w:rPr>
          <w:rFonts w:eastAsia="Arial" w:cs="Arial"/>
          <w:b/>
          <w:bCs/>
          <w:sz w:val="22"/>
          <w:szCs w:val="22"/>
        </w:rPr>
        <w:t xml:space="preserve">b.  </w:t>
      </w:r>
      <w:r>
        <w:rPr>
          <w:rFonts w:eastAsia="Arial" w:cs="Arial"/>
          <w:sz w:val="22"/>
          <w:szCs w:val="22"/>
        </w:rPr>
        <w:t>Each individual may furnish and decorate their bedroom per personal preferences within normal household guidelines.</w:t>
      </w:r>
    </w:p>
    <w:p>
      <w:pPr>
        <w:pStyle w:val="Normal"/>
        <w:spacing w:before="30" w:after="30"/>
        <w:ind w:hanging="360" w:start="720"/>
        <w:rPr/>
      </w:pPr>
      <w:r>
        <w:rPr>
          <w:rFonts w:eastAsia="Arial" w:cs="Arial"/>
          <w:b/>
          <w:bCs/>
          <w:sz w:val="22"/>
          <w:szCs w:val="22"/>
        </w:rPr>
        <w:t xml:space="preserve">c.  </w:t>
      </w:r>
      <w:r>
        <w:rPr>
          <w:rFonts w:eastAsia="Arial" w:cs="Arial"/>
          <w:sz w:val="22"/>
          <w:szCs w:val="22"/>
        </w:rPr>
        <w:t>Bedrooms shall maintain comfortable temperature, adequate ventilation, and lighting.</w:t>
      </w:r>
    </w:p>
    <w:p>
      <w:pPr>
        <w:pStyle w:val="Normal"/>
        <w:spacing w:before="140" w:after="60"/>
        <w:rPr/>
      </w:pPr>
      <w:r>
        <w:rPr>
          <w:rFonts w:eastAsia="Arial" w:cs="Arial"/>
          <w:b/>
          <w:bCs/>
          <w:sz w:val="22"/>
          <w:szCs w:val="22"/>
          <w:u w:val="single"/>
        </w:rPr>
        <w:t>B. Access and Common Areas</w:t>
      </w:r>
    </w:p>
    <w:p>
      <w:pPr>
        <w:pStyle w:val="Normal"/>
        <w:spacing w:before="30" w:after="30"/>
        <w:ind w:hanging="360" w:start="720"/>
        <w:rPr/>
      </w:pPr>
      <w:r>
        <w:rPr>
          <w:rFonts w:eastAsia="Arial" w:cs="Arial"/>
          <w:b/>
          <w:bCs/>
          <w:sz w:val="22"/>
          <w:szCs w:val="22"/>
        </w:rPr>
        <w:t xml:space="preserve">a.  </w:t>
      </w:r>
      <w:r>
        <w:rPr>
          <w:rFonts w:eastAsia="Arial" w:cs="Arial"/>
          <w:sz w:val="22"/>
          <w:szCs w:val="22"/>
        </w:rPr>
        <w:t>Each individual shall have a key or key code to the home and the right to enter and exit at any time consistent with their ISP and HCBS Settings Final Rule.</w:t>
      </w:r>
    </w:p>
    <w:p>
      <w:pPr>
        <w:pStyle w:val="Normal"/>
        <w:spacing w:before="30" w:after="30"/>
        <w:ind w:hanging="360" w:start="720"/>
        <w:rPr/>
      </w:pPr>
      <w:r>
        <w:rPr>
          <w:rFonts w:eastAsia="Arial" w:cs="Arial"/>
          <w:b/>
          <w:bCs/>
          <w:sz w:val="22"/>
          <w:szCs w:val="22"/>
        </w:rPr>
        <w:t xml:space="preserve">b.  </w:t>
      </w:r>
      <w:r>
        <w:rPr>
          <w:rFonts w:eastAsia="Arial" w:cs="Arial"/>
          <w:sz w:val="22"/>
          <w:szCs w:val="22"/>
        </w:rPr>
        <w:t>Each individual shall have unrestricted access to common areas and the right to access food at any time.</w:t>
      </w:r>
    </w:p>
    <w:p>
      <w:pPr>
        <w:pStyle w:val="Normal"/>
        <w:spacing w:before="140" w:after="60"/>
        <w:rPr/>
      </w:pPr>
      <w:r>
        <w:rPr>
          <w:rFonts w:eastAsia="Arial" w:cs="Arial"/>
          <w:b/>
          <w:bCs/>
          <w:sz w:val="22"/>
          <w:szCs w:val="22"/>
          <w:u w:val="single"/>
        </w:rPr>
        <w:t>C. Safety Requirements</w:t>
      </w:r>
    </w:p>
    <w:p>
      <w:pPr>
        <w:pStyle w:val="Normal"/>
        <w:spacing w:before="40" w:after="60"/>
        <w:rPr/>
      </w:pPr>
      <w:r>
        <w:rPr>
          <w:rFonts w:eastAsia="Arial" w:cs="Arial"/>
          <w:sz w:val="22"/>
          <w:szCs w:val="22"/>
        </w:rPr>
        <w:t>The home shall maintain ALL of the following at all times:</w:t>
      </w:r>
    </w:p>
    <w:p>
      <w:pPr>
        <w:pStyle w:val="Normal"/>
        <w:spacing w:before="30" w:after="30"/>
        <w:ind w:hanging="360" w:start="720"/>
        <w:rPr/>
      </w:pPr>
      <w:r>
        <w:rPr>
          <w:rFonts w:eastAsia="Arial" w:cs="Arial"/>
          <w:b/>
          <w:bCs/>
          <w:sz w:val="22"/>
          <w:szCs w:val="22"/>
        </w:rPr>
        <w:t xml:space="preserve">a.  </w:t>
      </w:r>
      <w:r>
        <w:rPr>
          <w:rFonts w:eastAsia="Arial" w:cs="Arial"/>
          <w:sz w:val="22"/>
          <w:szCs w:val="22"/>
        </w:rPr>
        <w:t>Working smoke detectors on every occupied level, tested monthly, batteries replaced annually</w:t>
      </w:r>
    </w:p>
    <w:p>
      <w:pPr>
        <w:pStyle w:val="Normal"/>
        <w:spacing w:before="30" w:after="30"/>
        <w:ind w:hanging="360" w:start="720"/>
        <w:rPr/>
      </w:pPr>
      <w:r>
        <w:rPr>
          <w:rFonts w:eastAsia="Arial" w:cs="Arial"/>
          <w:b/>
          <w:bCs/>
          <w:sz w:val="22"/>
          <w:szCs w:val="22"/>
        </w:rPr>
        <w:t xml:space="preserve">b.  </w:t>
      </w:r>
      <w:r>
        <w:rPr>
          <w:rFonts w:eastAsia="Arial" w:cs="Arial"/>
          <w:sz w:val="22"/>
          <w:szCs w:val="22"/>
        </w:rPr>
        <w:t>Working carbon monoxide detector near sleeping areas</w:t>
      </w:r>
    </w:p>
    <w:p>
      <w:pPr>
        <w:pStyle w:val="Normal"/>
        <w:spacing w:before="30" w:after="30"/>
        <w:ind w:hanging="360" w:start="720"/>
        <w:rPr/>
      </w:pPr>
      <w:r>
        <w:rPr>
          <w:rFonts w:eastAsia="Arial" w:cs="Arial"/>
          <w:b/>
          <w:bCs/>
          <w:sz w:val="22"/>
          <w:szCs w:val="22"/>
        </w:rPr>
        <w:t xml:space="preserve">c.  </w:t>
      </w:r>
      <w:r>
        <w:rPr>
          <w:rFonts w:eastAsia="Arial" w:cs="Arial"/>
          <w:sz w:val="22"/>
          <w:szCs w:val="22"/>
        </w:rPr>
        <w:t>ABC-type fire extinguisher on each occupied floor with current inspection tag</w:t>
      </w:r>
    </w:p>
    <w:p>
      <w:pPr>
        <w:pStyle w:val="Normal"/>
        <w:spacing w:before="30" w:after="30"/>
        <w:ind w:hanging="360" w:start="720"/>
        <w:rPr/>
      </w:pPr>
      <w:r>
        <w:rPr>
          <w:rFonts w:eastAsia="Arial" w:cs="Arial"/>
          <w:b/>
          <w:bCs/>
          <w:sz w:val="22"/>
          <w:szCs w:val="22"/>
        </w:rPr>
        <w:t xml:space="preserve">d.  </w:t>
      </w:r>
      <w:r>
        <w:rPr>
          <w:rFonts w:eastAsia="Arial" w:cs="Arial"/>
          <w:sz w:val="22"/>
          <w:szCs w:val="22"/>
        </w:rPr>
        <w:t>All exits clear and openable from inside without a key</w:t>
      </w:r>
    </w:p>
    <w:p>
      <w:pPr>
        <w:pStyle w:val="Normal"/>
        <w:spacing w:before="30" w:after="30"/>
        <w:ind w:hanging="360" w:start="720"/>
        <w:rPr/>
      </w:pPr>
      <w:r>
        <w:rPr>
          <w:rFonts w:eastAsia="Arial" w:cs="Arial"/>
          <w:b/>
          <w:bCs/>
          <w:sz w:val="22"/>
          <w:szCs w:val="22"/>
        </w:rPr>
        <w:t xml:space="preserve">e.  </w:t>
      </w:r>
      <w:r>
        <w:rPr>
          <w:rFonts w:eastAsia="Arial" w:cs="Arial"/>
          <w:sz w:val="22"/>
          <w:szCs w:val="22"/>
        </w:rPr>
        <w:t>Posted evacuation diagram with each individual's specific evacuation assistance needs noted</w:t>
      </w:r>
    </w:p>
    <w:p>
      <w:pPr>
        <w:pStyle w:val="Normal"/>
        <w:spacing w:before="30" w:after="30"/>
        <w:ind w:hanging="360" w:start="720"/>
        <w:rPr/>
      </w:pPr>
      <w:r>
        <w:rPr>
          <w:rFonts w:eastAsia="Arial" w:cs="Arial"/>
          <w:b/>
          <w:bCs/>
          <w:sz w:val="22"/>
          <w:szCs w:val="22"/>
        </w:rPr>
        <w:t xml:space="preserve">f.  </w:t>
      </w:r>
      <w:r>
        <w:rPr>
          <w:rFonts w:eastAsia="Arial" w:cs="Arial"/>
          <w:sz w:val="22"/>
          <w:szCs w:val="22"/>
        </w:rPr>
        <w:t>Working utilities: heat, electricity, hot water — outages exceeding four (4) hours shall be reported to the CRA Provider Agency</w:t>
      </w:r>
    </w:p>
    <w:p>
      <w:pPr>
        <w:pStyle w:val="Normal"/>
        <w:spacing w:before="30" w:after="30"/>
        <w:ind w:hanging="360" w:start="720"/>
        <w:rPr/>
      </w:pPr>
      <w:r>
        <w:rPr>
          <w:rFonts w:eastAsia="Arial" w:cs="Arial"/>
          <w:b/>
          <w:bCs/>
          <w:sz w:val="22"/>
          <w:szCs w:val="22"/>
        </w:rPr>
        <w:t xml:space="preserve">g.  </w:t>
      </w:r>
      <w:r>
        <w:rPr>
          <w:rFonts w:eastAsia="Arial" w:cs="Arial"/>
          <w:sz w:val="22"/>
          <w:szCs w:val="22"/>
        </w:rPr>
        <w:t>No unsecured firearms or weapons in the home</w:t>
      </w:r>
    </w:p>
    <w:p>
      <w:pPr>
        <w:pStyle w:val="Normal"/>
        <w:spacing w:before="30" w:after="30"/>
        <w:ind w:hanging="360" w:start="720"/>
        <w:rPr/>
      </w:pPr>
      <w:r>
        <w:rPr>
          <w:rFonts w:eastAsia="Arial" w:cs="Arial"/>
          <w:b/>
          <w:bCs/>
          <w:sz w:val="22"/>
          <w:szCs w:val="22"/>
        </w:rPr>
        <w:t xml:space="preserve">h.  </w:t>
      </w:r>
      <w:r>
        <w:rPr>
          <w:rFonts w:eastAsia="Arial" w:cs="Arial"/>
          <w:sz w:val="22"/>
          <w:szCs w:val="22"/>
        </w:rPr>
        <w:t>All medications in locked storage (Policy 4.00)</w:t>
      </w:r>
    </w:p>
    <w:p>
      <w:pPr>
        <w:pStyle w:val="Normal"/>
        <w:spacing w:before="30" w:after="30"/>
        <w:ind w:hanging="360" w:start="720"/>
        <w:rPr/>
      </w:pPr>
      <w:r>
        <w:rPr>
          <w:rFonts w:eastAsia="Arial" w:cs="Arial"/>
          <w:b/>
          <w:bCs/>
          <w:sz w:val="22"/>
          <w:szCs w:val="22"/>
        </w:rPr>
        <w:t xml:space="preserve">i.  </w:t>
      </w:r>
      <w:r>
        <w:rPr>
          <w:rFonts w:eastAsia="Arial" w:cs="Arial"/>
          <w:sz w:val="22"/>
          <w:szCs w:val="22"/>
        </w:rPr>
        <w:t>All cleaning chemicals and hazardous materials locked and inaccessible</w:t>
      </w:r>
    </w:p>
    <w:p>
      <w:pPr>
        <w:pStyle w:val="Normal"/>
        <w:spacing w:before="140" w:after="60"/>
        <w:rPr/>
      </w:pPr>
      <w:r>
        <w:rPr>
          <w:rFonts w:eastAsia="Arial" w:cs="Arial"/>
          <w:b/>
          <w:bCs/>
          <w:sz w:val="22"/>
          <w:szCs w:val="22"/>
          <w:u w:val="single"/>
        </w:rPr>
        <w:t>D. Home Monitoring</w:t>
      </w:r>
    </w:p>
    <w:p>
      <w:pPr>
        <w:pStyle w:val="Normal"/>
        <w:spacing w:before="30" w:after="30"/>
        <w:ind w:hanging="360" w:start="720"/>
        <w:rPr/>
      </w:pPr>
      <w:r>
        <w:rPr>
          <w:rFonts w:eastAsia="Arial" w:cs="Arial"/>
          <w:b/>
          <w:bCs/>
          <w:sz w:val="22"/>
          <w:szCs w:val="22"/>
        </w:rPr>
        <w:t xml:space="preserve">a.  </w:t>
      </w:r>
      <w:r>
        <w:rPr>
          <w:rFonts w:eastAsia="Arial" w:cs="Arial"/>
          <w:sz w:val="22"/>
          <w:szCs w:val="22"/>
        </w:rPr>
        <w:t>[Host Home Provider Name] shall conduct a monthly safety walkthrough and document findings in the Home Safety Log.</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CRA Provider Agency conducts monitoring visits per DBHDD Policy 02-704. [Host Home Provider Name] shall cooperate fully with all monitoring visits and DBHDD surveys.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Monthly Home Safety Log</w:t>
      </w:r>
    </w:p>
    <w:p>
      <w:pPr>
        <w:pStyle w:val="ListParagraph"/>
        <w:numPr>
          <w:ilvl w:val="0"/>
          <w:numId w:val="1"/>
        </w:numPr>
        <w:spacing w:before="30" w:after="30"/>
        <w:rPr/>
      </w:pPr>
      <w:r>
        <w:rPr>
          <w:rFonts w:eastAsia="Arial" w:cs="Arial"/>
          <w:sz w:val="22"/>
          <w:szCs w:val="22"/>
        </w:rPr>
        <w:t>CRA Provider Agency Monitoring Documentation</w:t>
      </w:r>
    </w:p>
    <w:p>
      <w:pPr>
        <w:pStyle w:val="ListParagraph"/>
        <w:numPr>
          <w:ilvl w:val="0"/>
          <w:numId w:val="1"/>
        </w:numPr>
        <w:spacing w:before="30" w:after="30"/>
        <w:rPr/>
      </w:pPr>
      <w:r>
        <w:rPr>
          <w:rFonts w:eastAsia="Arial" w:cs="Arial"/>
          <w:sz w:val="22"/>
          <w:szCs w:val="22"/>
        </w:rPr>
        <w:t>Emergency Preparedness &amp; Evacuation Diagram (Policy 5.01)</w:t>
      </w:r>
    </w:p>
    <w:p>
      <w:pPr>
        <w:pStyle w:val="ListParagraph"/>
        <w:numPr>
          <w:ilvl w:val="0"/>
          <w:numId w:val="1"/>
        </w:numPr>
        <w:spacing w:before="30" w:after="30"/>
        <w:rPr/>
      </w:pPr>
      <w:r>
        <w:rPr>
          <w:rFonts w:eastAsia="Arial" w:cs="Arial"/>
          <w:sz w:val="22"/>
          <w:szCs w:val="22"/>
        </w:rPr>
        <w:t>Maintenance Request Documentation</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[Host Home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[Host Home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DBHDD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[Host Home Provider / Administrator]</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#2.04: Relief Caregivers &amp; Respite Staff — Background Clearances, Training &amp; Documentation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Provider Operations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2.04</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DBHDD Policy 02-704; Ga. Comp. R. &amp; Regs. R. 111-8-12; GCHEXS / IdentoGo; CRA Provider Agency Agreement</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[Host Home Provider Name]</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standards for recruiting, background-clearing, training, and managing Relief Caregivers who provide temporary coverage in this Host Home/Life-Sharing setting when [Host Home Provider Name] is absent.</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[Host Home Provider Name] takes full responsibility for the quality and safety of care during relief coverage. All Relief Caregivers must complete fingerprint-based background clearance through GCHEXS and receive CRA Provider Agency approval before providing any care.</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Recruiting and Clearing Relief Caregivers</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Relief Caregivers must complete fingerprint-based background check through GCHEXS (IdentoGo) with no disqualifying findings before providing any care. [Host Home Provider Name] shall not allow care to begin until GCHEXS clearance is confirmed.</w:t>
      </w:r>
    </w:p>
    <w:p>
      <w:pPr>
        <w:pStyle w:val="Normal"/>
        <w:spacing w:before="140" w:after="60"/>
        <w:rPr/>
      </w:pPr>
      <w:r>
        <w:rPr>
          <w:rFonts w:eastAsia="Arial" w:cs="Arial"/>
          <w:b/>
          <w:bCs/>
          <w:sz w:val="22"/>
          <w:szCs w:val="22"/>
          <w:u w:val="single"/>
        </w:rPr>
        <w:t>B. Relief Caregiver Documentation Requirements</w:t>
      </w:r>
    </w:p>
    <w:p>
      <w:pPr>
        <w:pStyle w:val="ListParagraph"/>
        <w:numPr>
          <w:ilvl w:val="0"/>
          <w:numId w:val="1"/>
        </w:numPr>
        <w:spacing w:before="30" w:after="30"/>
        <w:rPr/>
      </w:pPr>
      <w:r>
        <w:rPr>
          <w:rFonts w:eastAsia="Arial" w:cs="Arial"/>
          <w:sz w:val="22"/>
          <w:szCs w:val="22"/>
        </w:rPr>
        <w:t>GCHEXS fingerprint clearance confirmation and date</w:t>
      </w:r>
    </w:p>
    <w:p>
      <w:pPr>
        <w:pStyle w:val="ListParagraph"/>
        <w:numPr>
          <w:ilvl w:val="0"/>
          <w:numId w:val="1"/>
        </w:numPr>
        <w:spacing w:before="30" w:after="30"/>
        <w:rPr/>
      </w:pPr>
      <w:r>
        <w:rPr>
          <w:rFonts w:eastAsia="Arial" w:cs="Arial"/>
          <w:sz w:val="22"/>
          <w:szCs w:val="22"/>
        </w:rPr>
        <w:t>DBHDD-approved medication administration certificate (if they will administer medications)</w:t>
      </w:r>
    </w:p>
    <w:p>
      <w:pPr>
        <w:pStyle w:val="ListParagraph"/>
        <w:numPr>
          <w:ilvl w:val="0"/>
          <w:numId w:val="1"/>
        </w:numPr>
        <w:spacing w:before="30" w:after="30"/>
        <w:rPr/>
      </w:pPr>
      <w:r>
        <w:rPr>
          <w:rFonts w:eastAsia="Arial" w:cs="Arial"/>
          <w:sz w:val="22"/>
          <w:szCs w:val="22"/>
        </w:rPr>
        <w:t>Current First Aid/CPR certification</w:t>
      </w:r>
    </w:p>
    <w:p>
      <w:pPr>
        <w:pStyle w:val="ListParagraph"/>
        <w:numPr>
          <w:ilvl w:val="0"/>
          <w:numId w:val="1"/>
        </w:numPr>
        <w:spacing w:before="30" w:after="30"/>
        <w:rPr/>
      </w:pPr>
      <w:r>
        <w:rPr>
          <w:rFonts w:eastAsia="Arial" w:cs="Arial"/>
          <w:sz w:val="22"/>
          <w:szCs w:val="22"/>
        </w:rPr>
        <w:t>Signed confidentiality acknowledgment</w:t>
      </w:r>
    </w:p>
    <w:p>
      <w:pPr>
        <w:pStyle w:val="ListParagraph"/>
        <w:numPr>
          <w:ilvl w:val="0"/>
          <w:numId w:val="1"/>
        </w:numPr>
        <w:spacing w:before="30" w:after="30"/>
        <w:rPr/>
      </w:pPr>
      <w:r>
        <w:rPr>
          <w:rFonts w:eastAsia="Arial" w:cs="Arial"/>
          <w:sz w:val="22"/>
          <w:szCs w:val="22"/>
        </w:rPr>
        <w:t>Completed person-specific orientation checklist</w:t>
      </w:r>
    </w:p>
    <w:p>
      <w:pPr>
        <w:pStyle w:val="Normal"/>
        <w:spacing w:before="140" w:after="60"/>
        <w:rPr/>
      </w:pPr>
      <w:r>
        <w:rPr>
          <w:rFonts w:eastAsia="Arial" w:cs="Arial"/>
          <w:b/>
          <w:bCs/>
          <w:sz w:val="22"/>
          <w:szCs w:val="22"/>
          <w:u w:val="single"/>
        </w:rPr>
        <w:t>C. Relief Caregiver Orientation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Before their first coverage period, [Host Home Provider Name] shall orient each approved Relief Caregiver on: the individual's ISP and daily routine, behavioral support strategies, medication procedures, emergency contacts and protocols, and the home's safety features and evacuation plan.</w:t>
      </w:r>
    </w:p>
    <w:p>
      <w:pPr>
        <w:pStyle w:val="Normal"/>
        <w:spacing w:before="140" w:after="60"/>
        <w:rPr/>
      </w:pPr>
      <w:r>
        <w:rPr>
          <w:rFonts w:eastAsia="Arial" w:cs="Arial"/>
          <w:b/>
          <w:bCs/>
          <w:sz w:val="22"/>
          <w:szCs w:val="22"/>
          <w:u w:val="single"/>
        </w:rPr>
        <w:t>D. Scheduling and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[Host Home Provider Name] shall notify the CRA Provider Agency of all Relief Caregiver coverage per Policy 1.04.</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incident during coverage shall be reported per Policy 5.00 and to the CRA Provider Agency immediately.</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Approved Relief Caregiver List</w:t>
      </w:r>
    </w:p>
    <w:p>
      <w:pPr>
        <w:pStyle w:val="ListParagraph"/>
        <w:numPr>
          <w:ilvl w:val="0"/>
          <w:numId w:val="1"/>
        </w:numPr>
        <w:spacing w:before="30" w:after="30"/>
        <w:rPr/>
      </w:pPr>
      <w:r>
        <w:rPr>
          <w:rFonts w:eastAsia="Arial" w:cs="Arial"/>
          <w:sz w:val="22"/>
          <w:szCs w:val="22"/>
        </w:rPr>
        <w:t>GCHEXS Background Check Clearance Confirmation</w:t>
      </w:r>
    </w:p>
    <w:p>
      <w:pPr>
        <w:pStyle w:val="ListParagraph"/>
        <w:numPr>
          <w:ilvl w:val="0"/>
          <w:numId w:val="1"/>
        </w:numPr>
        <w:spacing w:before="30" w:after="30"/>
        <w:rPr/>
      </w:pPr>
      <w:r>
        <w:rPr>
          <w:rFonts w:eastAsia="Arial" w:cs="Arial"/>
          <w:sz w:val="22"/>
          <w:szCs w:val="22"/>
        </w:rPr>
        <w:t>Relief Caregiver Orientation Record</w:t>
      </w:r>
    </w:p>
    <w:p>
      <w:pPr>
        <w:pStyle w:val="ListParagraph"/>
        <w:numPr>
          <w:ilvl w:val="0"/>
          <w:numId w:val="1"/>
        </w:numPr>
        <w:spacing w:before="30" w:after="30"/>
        <w:rPr/>
      </w:pPr>
      <w:r>
        <w:rPr>
          <w:rFonts w:eastAsia="Arial" w:cs="Arial"/>
          <w:sz w:val="22"/>
          <w:szCs w:val="22"/>
        </w:rPr>
        <w:t>Home Communication Log</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[Host Home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[Host Home Provider / Administrator]</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DBHDD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[Host Home Provider / Administrator]</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C: CARE, TREATMENT &amp; SUPPORT SERVICES</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#3.00: Person-Centered Planning, Assessment &amp; ISP Implementation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42 CFR 441.301 (HCBS Settings Final Rule); CTS.01–CTS.04 (JC Care, Treatment &amp; Services); State HCBS Waiver Requirements; Individual Support Plan / Person-Centered Plan</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every individual served receives supports and services based on a documented, current, person-centered plan (PCP/ISP) that reflects their assessed needs, preferences, goals, and strengths; that assessments are comprehensive and regularly updated; and that all services are implemented consistently and monitored for effectiveness.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All services shall be guided by the individual's current ISP/PCP. Assessments shall be completed prior to service initiation and updated as required. Staff shall implement the plan consistently and document progress. The Provider/Administrator shall ensure that plan requirements are communicated to all involved staff.</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Person-Centered Plan (PCP) / Individual Support Plan (ISP): The written, interdisciplinary plan that identifies the individual's needs, goals, preferences, and the services and supports to be provided.</w:t>
      </w:r>
    </w:p>
    <w:p>
      <w:pPr>
        <w:pStyle w:val="ListParagraph"/>
        <w:numPr>
          <w:ilvl w:val="0"/>
          <w:numId w:val="1"/>
        </w:numPr>
        <w:spacing w:before="30" w:after="30"/>
        <w:rPr/>
      </w:pPr>
      <w:r>
        <w:rPr>
          <w:rFonts w:eastAsia="Arial" w:cs="Arial"/>
          <w:sz w:val="22"/>
          <w:szCs w:val="22"/>
        </w:rPr>
        <w:t>Assessment: A systematic process of gathering information about the individual's functional abilities, health status, behavioral needs, preferences, and risks, used to develop and update the care plan.</w:t>
      </w:r>
    </w:p>
    <w:p>
      <w:pPr>
        <w:pStyle w:val="ListParagraph"/>
        <w:numPr>
          <w:ilvl w:val="0"/>
          <w:numId w:val="1"/>
        </w:numPr>
        <w:spacing w:before="30" w:after="30"/>
        <w:rPr/>
      </w:pPr>
      <w:r>
        <w:rPr>
          <w:rFonts w:eastAsia="Arial" w:cs="Arial"/>
          <w:sz w:val="22"/>
          <w:szCs w:val="22"/>
        </w:rPr>
        <w:t>Support Coordinator / Case Manager: The designated professional responsible for coordinating the individual's services and facilitating PCP/ISP development and review.</w:t>
      </w:r>
    </w:p>
    <w:p>
      <w:pPr>
        <w:pStyle w:val="ListParagraph"/>
        <w:numPr>
          <w:ilvl w:val="0"/>
          <w:numId w:val="1"/>
        </w:numPr>
        <w:spacing w:before="30" w:after="30"/>
        <w:rPr/>
      </w:pPr>
      <w:r>
        <w:rPr>
          <w:rFonts w:eastAsia="Arial" w:cs="Arial"/>
          <w:sz w:val="22"/>
          <w:szCs w:val="22"/>
        </w:rPr>
        <w:t>Interdisciplinary Team (IDT): The group of individuals, including the person served and their chosen supports, involved in planning and reviewing services.</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Assessment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A comprehensive initial assessment shall be completed prior to or within seven (7) days of placement, reviewing: functional abilities (ADLs, IADLs), health status and medical needs, behavioral support needs, communication needs, social history and preferences, financial and legal status, risk factors, and support network.</w:t>
      </w:r>
    </w:p>
    <w:p>
      <w:pPr>
        <w:pStyle w:val="Normal"/>
        <w:spacing w:before="30" w:after="30"/>
        <w:ind w:hanging="360" w:start="720"/>
        <w:rPr/>
      </w:pPr>
      <w:r>
        <w:rPr>
          <w:rFonts w:eastAsia="Arial" w:cs="Arial"/>
          <w:b/>
          <w:bCs/>
          <w:sz w:val="22"/>
          <w:szCs w:val="22"/>
        </w:rPr>
        <w:t xml:space="preserve">b.  </w:t>
      </w:r>
      <w:r>
        <w:rPr>
          <w:rFonts w:eastAsia="Arial" w:cs="Arial"/>
          <w:sz w:val="22"/>
          <w:szCs w:val="22"/>
        </w:rPr>
        <w:t>Assessment tools shall be standardized, evidence-based, and appropriate to the individual's age, disability, and cultural background.</w:t>
      </w:r>
    </w:p>
    <w:p>
      <w:pPr>
        <w:pStyle w:val="Normal"/>
        <w:spacing w:before="30" w:after="30"/>
        <w:ind w:hanging="360" w:start="720"/>
        <w:rPr/>
      </w:pPr>
      <w:r>
        <w:rPr>
          <w:rFonts w:eastAsia="Arial" w:cs="Arial"/>
          <w:b/>
          <w:bCs/>
          <w:sz w:val="22"/>
          <w:szCs w:val="22"/>
        </w:rPr>
        <w:t xml:space="preserve">c.  </w:t>
      </w:r>
      <w:r>
        <w:rPr>
          <w:rFonts w:eastAsia="Arial" w:cs="Arial"/>
          <w:sz w:val="22"/>
          <w:szCs w:val="22"/>
        </w:rPr>
        <w:t>Reassessment shall occur: at a minimum annually (at each ISP/PCP review), whenever a significant change in the individual's condition or circumstances is identified, and following any critical incident involving the individual.</w:t>
      </w:r>
    </w:p>
    <w:p>
      <w:pPr>
        <w:pStyle w:val="Normal"/>
        <w:spacing w:before="30" w:after="30"/>
        <w:ind w:hanging="360" w:start="720"/>
        <w:rPr/>
      </w:pPr>
      <w:r>
        <w:rPr>
          <w:rFonts w:eastAsia="Arial" w:cs="Arial"/>
          <w:b/>
          <w:bCs/>
          <w:sz w:val="22"/>
          <w:szCs w:val="22"/>
        </w:rPr>
        <w:t xml:space="preserve">d.  </w:t>
      </w:r>
      <w:r>
        <w:rPr>
          <w:rFonts w:eastAsia="Arial" w:cs="Arial"/>
          <w:sz w:val="22"/>
          <w:szCs w:val="22"/>
        </w:rPr>
        <w:t>All assessments shall be documented, dated, signed by the assessor, and filed in the individual's clinical record within twenty-four (24) hours of completion.</w:t>
      </w:r>
    </w:p>
    <w:p>
      <w:pPr>
        <w:pStyle w:val="Normal"/>
        <w:spacing w:before="140" w:after="60"/>
        <w:rPr/>
      </w:pPr>
      <w:r>
        <w:rPr>
          <w:rFonts w:eastAsia="Arial" w:cs="Arial"/>
          <w:b/>
          <w:bCs/>
          <w:sz w:val="22"/>
          <w:szCs w:val="22"/>
          <w:u w:val="single"/>
        </w:rPr>
        <w:t>B. Person-Centered Plan (PCP / ISP) Development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Services shall not be initiated until a current PCP/ISP is in place, or until an interim plan is developed for emergency placements.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PCP/ISP shall be developed collaboratively with the individual and their chosen supports in a manner that reflects the individual's preferred communication style.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plan shall include at minimum: identified goals and measurable objectives; specific strategies and interventions; the Provider's responsibilities; frequency and duration of services; behavioral support strategies (if applicable); health and medication management requirements; emergency procedures specific to the individual; and review schedule.</w:t>
      </w:r>
    </w:p>
    <w:p>
      <w:pPr>
        <w:pStyle w:val="Normal"/>
        <w:spacing w:before="30" w:after="30"/>
        <w:ind w:hanging="360" w:start="720"/>
        <w:rPr/>
      </w:pPr>
      <w:r>
        <w:rPr>
          <w:rFonts w:eastAsia="Arial" w:cs="Arial"/>
          <w:b/>
          <w:bCs/>
          <w:sz w:val="22"/>
          <w:szCs w:val="22"/>
        </w:rPr>
        <w:t xml:space="preserve">d.  </w:t>
      </w:r>
      <w:r>
        <w:rPr>
          <w:rFonts w:eastAsia="Arial" w:cs="Arial"/>
          <w:sz w:val="22"/>
          <w:szCs w:val="22"/>
        </w:rPr>
        <w:t>A copy of the current PCP/ISP shall be maintained in the individual's clinical record and accessible to all staff involved in care at all times.</w:t>
      </w:r>
    </w:p>
    <w:p>
      <w:pPr>
        <w:pStyle w:val="Normal"/>
        <w:spacing w:before="140" w:after="60"/>
        <w:rPr/>
      </w:pPr>
      <w:r>
        <w:rPr>
          <w:rFonts w:eastAsia="Arial" w:cs="Arial"/>
          <w:b/>
          <w:bCs/>
          <w:sz w:val="22"/>
          <w:szCs w:val="22"/>
          <w:u w:val="single"/>
        </w:rPr>
        <w:t>C. PCP/ISP Implementation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staff providing care to the individual shall be briefed on the current PCP/ISP before providing any unsupervised service.</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implement the plan consistently, using the strategies and interventions documented therein.</w:t>
      </w:r>
    </w:p>
    <w:p>
      <w:pPr>
        <w:pStyle w:val="Normal"/>
        <w:spacing w:before="30" w:after="30"/>
        <w:ind w:hanging="360" w:start="720"/>
        <w:rPr/>
      </w:pPr>
      <w:r>
        <w:rPr>
          <w:rFonts w:eastAsia="Arial" w:cs="Arial"/>
          <w:b/>
          <w:bCs/>
          <w:sz w:val="22"/>
          <w:szCs w:val="22"/>
        </w:rPr>
        <w:t xml:space="preserve">c.  </w:t>
      </w:r>
      <w:r>
        <w:rPr>
          <w:rFonts w:eastAsia="Arial" w:cs="Arial"/>
          <w:sz w:val="22"/>
          <w:szCs w:val="22"/>
        </w:rPr>
        <w:t>Progress toward goals shall be documented in progress notes at each shift or at the frequency specified in the PCP/ISP.</w:t>
      </w:r>
    </w:p>
    <w:p>
      <w:pPr>
        <w:pStyle w:val="Normal"/>
        <w:spacing w:before="30" w:after="30"/>
        <w:ind w:hanging="360" w:start="720"/>
        <w:rPr/>
      </w:pPr>
      <w:r>
        <w:rPr>
          <w:rFonts w:eastAsia="Arial" w:cs="Arial"/>
          <w:b/>
          <w:bCs/>
          <w:sz w:val="22"/>
          <w:szCs w:val="22"/>
        </w:rPr>
        <w:t xml:space="preserve">d.  </w:t>
      </w:r>
      <w:r>
        <w:rPr>
          <w:rFonts w:eastAsia="Arial" w:cs="Arial"/>
          <w:sz w:val="22"/>
          <w:szCs w:val="22"/>
        </w:rPr>
        <w:t>Any significant change in the individual's condition, goal achievement, or preferences shall be reported to the Administrator and the Support Coordinator/Case Manager within twenty-four (24) hours.</w:t>
      </w:r>
    </w:p>
    <w:p>
      <w:pPr>
        <w:pStyle w:val="Normal"/>
        <w:spacing w:before="140" w:after="60"/>
        <w:rPr/>
      </w:pPr>
      <w:r>
        <w:rPr>
          <w:rFonts w:eastAsia="Arial" w:cs="Arial"/>
          <w:b/>
          <w:bCs/>
          <w:sz w:val="22"/>
          <w:szCs w:val="22"/>
          <w:u w:val="single"/>
        </w:rPr>
        <w:t>D. Plan Review and Revision</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Provider/Administrator shall participate in the annual PCP/ISP review meeting and any interim team meetings.</w:t>
      </w:r>
    </w:p>
    <w:p>
      <w:pPr>
        <w:pStyle w:val="Normal"/>
        <w:spacing w:before="30" w:after="30"/>
        <w:ind w:hanging="360" w:start="720"/>
        <w:rPr/>
      </w:pPr>
      <w:r>
        <w:rPr>
          <w:rFonts w:eastAsia="Arial" w:cs="Arial"/>
          <w:b/>
          <w:bCs/>
          <w:sz w:val="22"/>
          <w:szCs w:val="22"/>
        </w:rPr>
        <w:t xml:space="preserve">b.  </w:t>
      </w:r>
      <w:r>
        <w:rPr>
          <w:rFonts w:eastAsia="Arial" w:cs="Arial"/>
          <w:sz w:val="22"/>
          <w:szCs w:val="22"/>
        </w:rPr>
        <w:t>PCP/ISP updates or revisions shall be communicated to all involved staff within twenty-four (24) hours of receipt.</w:t>
      </w:r>
    </w:p>
    <w:p>
      <w:pPr>
        <w:pStyle w:val="Normal"/>
        <w:spacing w:before="30" w:after="30"/>
        <w:ind w:hanging="360" w:start="720"/>
        <w:rPr/>
      </w:pPr>
      <w:r>
        <w:rPr>
          <w:rFonts w:eastAsia="Arial" w:cs="Arial"/>
          <w:b/>
          <w:bCs/>
          <w:sz w:val="22"/>
          <w:szCs w:val="22"/>
        </w:rPr>
        <w:t xml:space="preserve">c.  </w:t>
      </w:r>
      <w:r>
        <w:rPr>
          <w:rFonts w:eastAsia="Arial" w:cs="Arial"/>
          <w:sz w:val="22"/>
          <w:szCs w:val="22"/>
        </w:rPr>
        <w:t>If the current plan is not meeting the individual's needs, the Provider/Administrator shall request an interim review from the Support Coordinator/Case Manager.</w:t>
      </w:r>
    </w:p>
    <w:p>
      <w:pPr>
        <w:pStyle w:val="Normal"/>
        <w:spacing w:before="140" w:after="60"/>
        <w:rPr/>
      </w:pPr>
      <w:r>
        <w:rPr>
          <w:rFonts w:eastAsia="Arial" w:cs="Arial"/>
          <w:b/>
          <w:bCs/>
          <w:sz w:val="22"/>
          <w:szCs w:val="22"/>
          <w:u w:val="single"/>
        </w:rPr>
        <w:t>E. Individual Participation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Individuals shall be supported to participate meaningfully in all aspects of their own planning, including choice of who participates in their planning meetings.</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actively advocate for the individual's expressed preferences and goals in all planning forums.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Initial and Annual Assessment Forms</w:t>
      </w:r>
    </w:p>
    <w:p>
      <w:pPr>
        <w:pStyle w:val="ListParagraph"/>
        <w:numPr>
          <w:ilvl w:val="0"/>
          <w:numId w:val="1"/>
        </w:numPr>
        <w:spacing w:before="30" w:after="30"/>
        <w:rPr/>
      </w:pPr>
      <w:r>
        <w:rPr>
          <w:rFonts w:eastAsia="Arial" w:cs="Arial"/>
          <w:sz w:val="22"/>
          <w:szCs w:val="22"/>
        </w:rPr>
        <w:t>PCP/ISP — maintained in individual's clinical record</w:t>
      </w:r>
    </w:p>
    <w:p>
      <w:pPr>
        <w:pStyle w:val="ListParagraph"/>
        <w:numPr>
          <w:ilvl w:val="0"/>
          <w:numId w:val="1"/>
        </w:numPr>
        <w:spacing w:before="30" w:after="30"/>
        <w:rPr/>
      </w:pPr>
      <w:r>
        <w:rPr>
          <w:rFonts w:eastAsia="Arial" w:cs="Arial"/>
          <w:sz w:val="22"/>
          <w:szCs w:val="22"/>
        </w:rPr>
        <w:t>Progress Note Form</w:t>
      </w:r>
    </w:p>
    <w:p>
      <w:pPr>
        <w:pStyle w:val="ListParagraph"/>
        <w:numPr>
          <w:ilvl w:val="0"/>
          <w:numId w:val="1"/>
        </w:numPr>
        <w:spacing w:before="30" w:after="30"/>
        <w:rPr/>
      </w:pPr>
      <w:r>
        <w:rPr>
          <w:rFonts w:eastAsia="Arial" w:cs="Arial"/>
          <w:sz w:val="22"/>
          <w:szCs w:val="22"/>
        </w:rPr>
        <w:t>PCP/ISP Change Notification Form</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#3.01: Admission, Transition &amp; Discharge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42 CFR 441.301; CTS.06 (JC Transitions of Care); State HCBS Waiver Conditions of Participation</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the process for admitting new individuals, managing planned and emergency transitions between settings, and conducting safe, dignified, and thoroughly documented discharges, in compliance with applicable state HCBS waiver requirements and Joint Commission standards for continuity of care at transitions.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admit, transition, and discharge individuals in a manner that protects their rights, maintains continuity of care, and ensures all receiving parties have the information needed to continue services safely. Discharges shall never be conducted punitively or without appropriate notice except where immediate safety requires emergency action.</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Admission: The formal process of accepting an individual into this residential placement.</w:t>
      </w:r>
    </w:p>
    <w:p>
      <w:pPr>
        <w:pStyle w:val="ListParagraph"/>
        <w:numPr>
          <w:ilvl w:val="0"/>
          <w:numId w:val="1"/>
        </w:numPr>
        <w:spacing w:before="30" w:after="30"/>
        <w:rPr/>
      </w:pPr>
      <w:r>
        <w:rPr>
          <w:rFonts w:eastAsia="Arial" w:cs="Arial"/>
          <w:sz w:val="22"/>
          <w:szCs w:val="22"/>
        </w:rPr>
        <w:t>Transition: Movement of an individual between settings (e.g., from this placement to a hospital, respite, or alternative placement) with the expectation of return or continuation of services.</w:t>
      </w:r>
    </w:p>
    <w:p>
      <w:pPr>
        <w:pStyle w:val="ListParagraph"/>
        <w:numPr>
          <w:ilvl w:val="0"/>
          <w:numId w:val="1"/>
        </w:numPr>
        <w:spacing w:before="30" w:after="30"/>
        <w:rPr/>
      </w:pPr>
      <w:r>
        <w:rPr>
          <w:rFonts w:eastAsia="Arial" w:cs="Arial"/>
          <w:sz w:val="22"/>
          <w:szCs w:val="22"/>
        </w:rPr>
        <w:t>Discharge: The formal end of the individual's placement at this setting.</w:t>
      </w:r>
    </w:p>
    <w:p>
      <w:pPr>
        <w:pStyle w:val="ListParagraph"/>
        <w:numPr>
          <w:ilvl w:val="0"/>
          <w:numId w:val="1"/>
        </w:numPr>
        <w:spacing w:before="30" w:after="30"/>
        <w:rPr/>
      </w:pPr>
      <w:r>
        <w:rPr>
          <w:rFonts w:eastAsia="Arial" w:cs="Arial"/>
          <w:sz w:val="22"/>
          <w:szCs w:val="22"/>
        </w:rPr>
        <w:t>Transition of Care Documentation: The standardized set of information transferred to a receiving provider to ensure continuity and safety of care.</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Admission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Prior to admission, the Provider/Administrator shall review the individual's current PCP/ISP, assessments, health history, and support needs to confirm this setting can safely meet those needs.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individual and/or legal guardian shall receive, review, and sign the Residency/Placement Agreement and all required disclosures prior to or at the time of admission.</w:t>
      </w:r>
    </w:p>
    <w:p>
      <w:pPr>
        <w:pStyle w:val="Normal"/>
        <w:spacing w:before="30" w:after="30"/>
        <w:ind w:hanging="360" w:start="720"/>
        <w:rPr/>
      </w:pPr>
      <w:r>
        <w:rPr>
          <w:rFonts w:eastAsia="Arial" w:cs="Arial"/>
          <w:b/>
          <w:bCs/>
          <w:sz w:val="22"/>
          <w:szCs w:val="22"/>
        </w:rPr>
        <w:t xml:space="preserve">c.  </w:t>
      </w:r>
      <w:r>
        <w:rPr>
          <w:rFonts w:eastAsia="Arial" w:cs="Arial"/>
          <w:sz w:val="22"/>
          <w:szCs w:val="22"/>
        </w:rPr>
        <w:t>Within twenty-four (24) hours of admission, the individual shall receive orientation to: the home/facility, household routines, staff contacts, emergency procedures, and their rights (per Policy 1.00).</w:t>
      </w:r>
    </w:p>
    <w:p>
      <w:pPr>
        <w:pStyle w:val="Normal"/>
        <w:spacing w:before="30" w:after="30"/>
        <w:ind w:hanging="360" w:start="720"/>
        <w:rPr/>
      </w:pPr>
      <w:r>
        <w:rPr>
          <w:rFonts w:eastAsia="Arial" w:cs="Arial"/>
          <w:b/>
          <w:bCs/>
          <w:sz w:val="22"/>
          <w:szCs w:val="22"/>
        </w:rPr>
        <w:t xml:space="preserve">d.  </w:t>
      </w:r>
      <w:r>
        <w:rPr>
          <w:rFonts w:eastAsia="Arial" w:cs="Arial"/>
          <w:sz w:val="22"/>
          <w:szCs w:val="22"/>
        </w:rPr>
        <w:t>A complete admission assessment (Policy 3.00) shall be initiated within twenty-four (24) hours and finalized within seven (7) days.</w:t>
      </w:r>
    </w:p>
    <w:p>
      <w:pPr>
        <w:pStyle w:val="Normal"/>
        <w:spacing w:before="30" w:after="30"/>
        <w:ind w:hanging="360" w:start="720"/>
        <w:rPr/>
      </w:pPr>
      <w:r>
        <w:rPr>
          <w:rFonts w:eastAsia="Arial" w:cs="Arial"/>
          <w:b/>
          <w:bCs/>
          <w:sz w:val="22"/>
          <w:szCs w:val="22"/>
        </w:rPr>
        <w:t xml:space="preserve">e.  </w:t>
      </w:r>
      <w:r>
        <w:rPr>
          <w:rFonts w:eastAsia="Arial" w:cs="Arial"/>
          <w:sz w:val="22"/>
          <w:szCs w:val="22"/>
        </w:rPr>
        <w:t>All admission documentation shall be complete and filed within forty-eight (48) hours.</w:t>
      </w:r>
    </w:p>
    <w:p>
      <w:pPr>
        <w:pStyle w:val="Normal"/>
        <w:spacing w:before="140" w:after="60"/>
        <w:rPr/>
      </w:pPr>
      <w:r>
        <w:rPr>
          <w:rFonts w:eastAsia="Arial" w:cs="Arial"/>
          <w:b/>
          <w:bCs/>
          <w:sz w:val="22"/>
          <w:szCs w:val="22"/>
          <w:u w:val="single"/>
        </w:rPr>
        <w:t>B. Transition Between Settings — Documentation Requirements</w:t>
      </w:r>
    </w:p>
    <w:p>
      <w:pPr>
        <w:pStyle w:val="Normal"/>
        <w:spacing w:before="40" w:after="60"/>
        <w:rPr/>
      </w:pPr>
      <w:r>
        <w:rPr>
          <w:rFonts w:eastAsia="Arial" w:cs="Arial"/>
          <w:sz w:val="22"/>
          <w:szCs w:val="22"/>
        </w:rPr>
        <w:t>When an individual transitions to another setting (hospital, respite, specialized care, alternative placement), the following information shall be transferred to the receiving provider to ensure continuity and safety:</w:t>
      </w:r>
    </w:p>
    <w:p>
      <w:pPr>
        <w:pStyle w:val="Normal"/>
        <w:spacing w:before="30" w:after="30"/>
        <w:ind w:hanging="360" w:start="720"/>
        <w:rPr/>
      </w:pPr>
      <w:r>
        <w:rPr>
          <w:rFonts w:eastAsia="Arial" w:cs="Arial"/>
          <w:b/>
          <w:bCs/>
          <w:sz w:val="22"/>
          <w:szCs w:val="22"/>
        </w:rPr>
        <w:t xml:space="preserve">a.  </w:t>
      </w:r>
      <w:r>
        <w:rPr>
          <w:rFonts w:eastAsia="Arial" w:cs="Arial"/>
          <w:sz w:val="22"/>
          <w:szCs w:val="22"/>
        </w:rPr>
        <w:t>Current PCP/ISP and any active goals</w:t>
      </w:r>
    </w:p>
    <w:p>
      <w:pPr>
        <w:pStyle w:val="Normal"/>
        <w:spacing w:before="30" w:after="30"/>
        <w:ind w:hanging="360" w:start="720"/>
        <w:rPr/>
      </w:pPr>
      <w:r>
        <w:rPr>
          <w:rFonts w:eastAsia="Arial" w:cs="Arial"/>
          <w:b/>
          <w:bCs/>
          <w:sz w:val="22"/>
          <w:szCs w:val="22"/>
        </w:rPr>
        <w:t xml:space="preserve">b.  </w:t>
      </w:r>
      <w:r>
        <w:rPr>
          <w:rFonts w:eastAsia="Arial" w:cs="Arial"/>
          <w:sz w:val="22"/>
          <w:szCs w:val="22"/>
        </w:rPr>
        <w:t>Current medication list with doses, routes, frequencies, and last administration time</w:t>
      </w:r>
    </w:p>
    <w:p>
      <w:pPr>
        <w:pStyle w:val="Normal"/>
        <w:spacing w:before="30" w:after="30"/>
        <w:ind w:hanging="360" w:start="720"/>
        <w:rPr/>
      </w:pPr>
      <w:r>
        <w:rPr>
          <w:rFonts w:eastAsia="Arial" w:cs="Arial"/>
          <w:b/>
          <w:bCs/>
          <w:sz w:val="22"/>
          <w:szCs w:val="22"/>
        </w:rPr>
        <w:t xml:space="preserve">c.  </w:t>
      </w:r>
      <w:r>
        <w:rPr>
          <w:rFonts w:eastAsia="Arial" w:cs="Arial"/>
          <w:sz w:val="22"/>
          <w:szCs w:val="22"/>
        </w:rPr>
        <w:t>Allergy and adverse reaction history</w:t>
      </w:r>
    </w:p>
    <w:p>
      <w:pPr>
        <w:pStyle w:val="Normal"/>
        <w:spacing w:before="30" w:after="30"/>
        <w:ind w:hanging="360" w:start="720"/>
        <w:rPr/>
      </w:pPr>
      <w:r>
        <w:rPr>
          <w:rFonts w:eastAsia="Arial" w:cs="Arial"/>
          <w:b/>
          <w:bCs/>
          <w:sz w:val="22"/>
          <w:szCs w:val="22"/>
        </w:rPr>
        <w:t xml:space="preserve">d.  </w:t>
      </w:r>
      <w:r>
        <w:rPr>
          <w:rFonts w:eastAsia="Arial" w:cs="Arial"/>
          <w:sz w:val="22"/>
          <w:szCs w:val="22"/>
        </w:rPr>
        <w:t>Current health status and recent significant health events</w:t>
      </w:r>
    </w:p>
    <w:p>
      <w:pPr>
        <w:pStyle w:val="Normal"/>
        <w:spacing w:before="30" w:after="30"/>
        <w:ind w:hanging="360" w:start="720"/>
        <w:rPr/>
      </w:pPr>
      <w:r>
        <w:rPr>
          <w:rFonts w:eastAsia="Arial" w:cs="Arial"/>
          <w:b/>
          <w:bCs/>
          <w:sz w:val="22"/>
          <w:szCs w:val="22"/>
        </w:rPr>
        <w:t xml:space="preserve">e.  </w:t>
      </w:r>
      <w:r>
        <w:rPr>
          <w:rFonts w:eastAsia="Arial" w:cs="Arial"/>
          <w:sz w:val="22"/>
          <w:szCs w:val="22"/>
        </w:rPr>
        <w:t>Active behavioral support plan and known triggers/de-escalation strategies (if applicable)</w:t>
      </w:r>
    </w:p>
    <w:p>
      <w:pPr>
        <w:pStyle w:val="Normal"/>
        <w:spacing w:before="30" w:after="30"/>
        <w:ind w:hanging="360" w:start="720"/>
        <w:rPr/>
      </w:pPr>
      <w:r>
        <w:rPr>
          <w:rFonts w:eastAsia="Arial" w:cs="Arial"/>
          <w:b/>
          <w:bCs/>
          <w:sz w:val="22"/>
          <w:szCs w:val="22"/>
        </w:rPr>
        <w:t xml:space="preserve">f.  </w:t>
      </w:r>
      <w:r>
        <w:rPr>
          <w:rFonts w:eastAsia="Arial" w:cs="Arial"/>
          <w:sz w:val="22"/>
          <w:szCs w:val="22"/>
        </w:rPr>
        <w:t>Emergency contacts and legal guardian information</w:t>
      </w:r>
    </w:p>
    <w:p>
      <w:pPr>
        <w:pStyle w:val="Normal"/>
        <w:spacing w:before="30" w:after="30"/>
        <w:ind w:hanging="360" w:start="720"/>
        <w:rPr/>
      </w:pPr>
      <w:r>
        <w:rPr>
          <w:rFonts w:eastAsia="Arial" w:cs="Arial"/>
          <w:b/>
          <w:bCs/>
          <w:sz w:val="22"/>
          <w:szCs w:val="22"/>
        </w:rPr>
        <w:t xml:space="preserve">g.  </w:t>
      </w:r>
      <w:r>
        <w:rPr>
          <w:rFonts w:eastAsia="Arial" w:cs="Arial"/>
          <w:sz w:val="22"/>
          <w:szCs w:val="22"/>
        </w:rPr>
        <w:t>Advance directive status (if applicable)</w:t>
      </w:r>
    </w:p>
    <w:p>
      <w:pPr>
        <w:pStyle w:val="Normal"/>
        <w:spacing w:before="30" w:after="30"/>
        <w:ind w:hanging="360" w:start="720"/>
        <w:rPr/>
      </w:pPr>
      <w:r>
        <w:rPr>
          <w:rFonts w:eastAsia="Arial" w:cs="Arial"/>
          <w:b/>
          <w:bCs/>
          <w:sz w:val="22"/>
          <w:szCs w:val="22"/>
        </w:rPr>
        <w:t xml:space="preserve">h.  </w:t>
      </w:r>
      <w:r>
        <w:rPr>
          <w:rFonts w:eastAsia="Arial" w:cs="Arial"/>
          <w:sz w:val="22"/>
          <w:szCs w:val="22"/>
        </w:rPr>
        <w:t>Insurance/Medicaid/waiver information</w:t>
      </w:r>
    </w:p>
    <w:p>
      <w:pPr>
        <w:pStyle w:val="Normal"/>
        <w:spacing w:before="30" w:after="30"/>
        <w:ind w:hanging="360" w:start="720"/>
        <w:rPr/>
      </w:pPr>
      <w:r>
        <w:rPr>
          <w:rFonts w:eastAsia="Arial" w:cs="Arial"/>
          <w:b/>
          <w:bCs/>
          <w:sz w:val="22"/>
          <w:szCs w:val="22"/>
        </w:rPr>
        <w:t xml:space="preserve">i.  </w:t>
      </w:r>
      <w:r>
        <w:rPr>
          <w:rFonts w:eastAsia="Arial" w:cs="Arial"/>
          <w:sz w:val="22"/>
          <w:szCs w:val="22"/>
        </w:rPr>
        <w:t>Any pending appointments, orders, or follow-up required</w:t>
      </w:r>
    </w:p>
    <w:p>
      <w:pPr>
        <w:pStyle w:val="Normal"/>
        <w:spacing w:before="40" w:after="60"/>
        <w:rPr/>
      </w:pPr>
      <w:r>
        <w:rPr>
          <w:rFonts w:eastAsia="Arial" w:cs="Arial"/>
          <w:sz w:val="22"/>
          <w:szCs w:val="22"/>
        </w:rPr>
        <w:t>The Provider/Administrator shall document what information was transferred, to whom, at what time, and by what method (verbal, written, electronic) for every transition.</w:t>
      </w:r>
    </w:p>
    <w:p>
      <w:pPr>
        <w:pStyle w:val="Normal"/>
        <w:spacing w:before="140" w:after="60"/>
        <w:rPr/>
      </w:pPr>
      <w:r>
        <w:rPr>
          <w:rFonts w:eastAsia="Arial" w:cs="Arial"/>
          <w:b/>
          <w:bCs/>
          <w:sz w:val="22"/>
          <w:szCs w:val="22"/>
          <w:u w:val="single"/>
        </w:rPr>
        <w:t>C. Planned Discharge</w:t>
      </w:r>
    </w:p>
    <w:p>
      <w:pPr>
        <w:pStyle w:val="Normal"/>
        <w:spacing w:before="30" w:after="30"/>
        <w:ind w:hanging="360" w:start="720"/>
        <w:rPr/>
      </w:pPr>
      <w:r>
        <w:rPr>
          <w:rFonts w:eastAsia="Arial" w:cs="Arial"/>
          <w:b/>
          <w:bCs/>
          <w:sz w:val="22"/>
          <w:szCs w:val="22"/>
        </w:rPr>
        <w:t xml:space="preserve">a.  </w:t>
      </w:r>
      <w:r>
        <w:rPr>
          <w:rFonts w:eastAsia="Arial" w:cs="Arial"/>
          <w:sz w:val="22"/>
          <w:szCs w:val="22"/>
        </w:rPr>
        <w:t>When a planned discharge is anticipated, the Provider/Administrator shall coordinate with the Support Coordinator/Case Manager, the individual, and the receiving provider with at least thirty (30) days' notice whenever possible.</w:t>
      </w:r>
    </w:p>
    <w:p>
      <w:pPr>
        <w:pStyle w:val="Normal"/>
        <w:spacing w:before="30" w:after="30"/>
        <w:ind w:hanging="360" w:start="720"/>
        <w:rPr/>
      </w:pPr>
      <w:r>
        <w:rPr>
          <w:rFonts w:eastAsia="Arial" w:cs="Arial"/>
          <w:b/>
          <w:bCs/>
          <w:sz w:val="22"/>
          <w:szCs w:val="22"/>
        </w:rPr>
        <w:t xml:space="preserve">b.  </w:t>
      </w:r>
      <w:r>
        <w:rPr>
          <w:rFonts w:eastAsia="Arial" w:cs="Arial"/>
          <w:sz w:val="22"/>
          <w:szCs w:val="22"/>
        </w:rPr>
        <w:t>All transition of care documentation (subsection B above) shall be provided to the receiving provider no later than forty-eight (48) hours before the transfer date.</w:t>
      </w:r>
    </w:p>
    <w:p>
      <w:pPr>
        <w:pStyle w:val="Normal"/>
        <w:spacing w:before="30" w:after="30"/>
        <w:ind w:hanging="360" w:start="720"/>
        <w:rPr/>
      </w:pPr>
      <w:r>
        <w:rPr>
          <w:rFonts w:eastAsia="Arial" w:cs="Arial"/>
          <w:b/>
          <w:bCs/>
          <w:sz w:val="22"/>
          <w:szCs w:val="22"/>
        </w:rPr>
        <w:t xml:space="preserve">c.  </w:t>
      </w:r>
      <w:r>
        <w:rPr>
          <w:rFonts w:eastAsia="Arial" w:cs="Arial"/>
          <w:sz w:val="22"/>
          <w:szCs w:val="22"/>
        </w:rPr>
        <w:t>Staff shall support the individual throughout the transition to minimize disruption.</w:t>
      </w:r>
    </w:p>
    <w:p>
      <w:pPr>
        <w:pStyle w:val="Normal"/>
        <w:spacing w:before="140" w:after="60"/>
        <w:rPr/>
      </w:pPr>
      <w:r>
        <w:rPr>
          <w:rFonts w:eastAsia="Arial" w:cs="Arial"/>
          <w:b/>
          <w:bCs/>
          <w:sz w:val="22"/>
          <w:szCs w:val="22"/>
          <w:u w:val="single"/>
        </w:rPr>
        <w:t>D. Emergency Discharge</w:t>
      </w:r>
    </w:p>
    <w:p>
      <w:pPr>
        <w:pStyle w:val="Normal"/>
        <w:spacing w:before="40" w:after="60"/>
        <w:rPr/>
      </w:pPr>
      <w:r>
        <w:rPr>
          <w:rFonts w:eastAsia="Arial" w:cs="Arial"/>
          <w:sz w:val="22"/>
          <w:szCs w:val="22"/>
        </w:rPr>
        <w:t>Grounds for emergency involuntary discharge are limited to situations where the individual's needs exceed what can be safely provided here, where the individual's behavior poses a documented imminent danger that cannot be managed in this setting, or where other circumstances documented in the Provider Agreement require immediate action.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Even in emergency discharges, all transition of care documentation shall be transferred to the receiving setting before or at the time of transition.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Emergency discharges shall be reported to the state licensing/waiver authority within the required timeframe (state-specific — see Policy 6.02).</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Residency/Placement Agreement</w:t>
      </w:r>
    </w:p>
    <w:p>
      <w:pPr>
        <w:pStyle w:val="ListParagraph"/>
        <w:numPr>
          <w:ilvl w:val="0"/>
          <w:numId w:val="1"/>
        </w:numPr>
        <w:spacing w:before="30" w:after="30"/>
        <w:rPr/>
      </w:pPr>
      <w:r>
        <w:rPr>
          <w:rFonts w:eastAsia="Arial" w:cs="Arial"/>
          <w:sz w:val="22"/>
          <w:szCs w:val="22"/>
        </w:rPr>
        <w:t>Admission Checklist</w:t>
      </w:r>
    </w:p>
    <w:p>
      <w:pPr>
        <w:pStyle w:val="ListParagraph"/>
        <w:numPr>
          <w:ilvl w:val="0"/>
          <w:numId w:val="1"/>
        </w:numPr>
        <w:spacing w:before="30" w:after="30"/>
        <w:rPr/>
      </w:pPr>
      <w:r>
        <w:rPr>
          <w:rFonts w:eastAsia="Arial" w:cs="Arial"/>
          <w:sz w:val="22"/>
          <w:szCs w:val="22"/>
        </w:rPr>
        <w:t>Transition of Care Documentation Packet</w:t>
      </w:r>
    </w:p>
    <w:p>
      <w:pPr>
        <w:pStyle w:val="ListParagraph"/>
        <w:numPr>
          <w:ilvl w:val="0"/>
          <w:numId w:val="1"/>
        </w:numPr>
        <w:spacing w:before="30" w:after="30"/>
        <w:rPr/>
      </w:pPr>
      <w:r>
        <w:rPr>
          <w:rFonts w:eastAsia="Arial" w:cs="Arial"/>
          <w:sz w:val="22"/>
          <w:szCs w:val="22"/>
        </w:rPr>
        <w:t>Discharge Summary Form</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#3.02: Assessment &amp; Individualized Care Planning</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CTS.01–CTS.04 (JC Care, Treatment &amp; Services); State HCBS Waiver Assessment Requirements; Functional Assessment Standards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each individual's care and support needs are assessed comprehensively using standardized tools, that an individualized care plan is developed and maintained in collaboration with the interdisciplinary team, and that both the assessment and care plan are updated whenever the individual's condition changes significantly.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Care planning at this setting shall be based on thorough, standardized assessments that capture the individual's functional abilities, health status, behavioral needs, preferences, goals, and risks. Assessments are active clinical tools — not intake paperwork — and shall inform every aspect of daily support.</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Initial 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Upon placement, the Provider/Administrator shall review all existing assessments from the referring team, case management agency, and previous providers.</w:t>
      </w:r>
    </w:p>
    <w:p>
      <w:pPr>
        <w:pStyle w:val="Normal"/>
        <w:spacing w:before="30" w:after="30"/>
        <w:ind w:hanging="360" w:start="720"/>
        <w:rPr/>
      </w:pPr>
      <w:r>
        <w:rPr>
          <w:rFonts w:eastAsia="Arial" w:cs="Arial"/>
          <w:b/>
          <w:bCs/>
          <w:sz w:val="22"/>
          <w:szCs w:val="22"/>
        </w:rPr>
        <w:t xml:space="preserve">b.  </w:t>
      </w:r>
      <w:r>
        <w:rPr>
          <w:rFonts w:eastAsia="Arial" w:cs="Arial"/>
          <w:sz w:val="22"/>
          <w:szCs w:val="22"/>
        </w:rPr>
        <w:t>A home/facility-specific functional assessment shall be completed within seven (7) days of placement, documenting observed abilities, routines, preferences, and risk factors specific to this setting.</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discrepancy between the individual's assessed needs and the current PCP/ISP shall be communicated to the Support Coordinator/Case Manager within forty-eight (48) hours.</w:t>
      </w:r>
    </w:p>
    <w:p>
      <w:pPr>
        <w:pStyle w:val="Normal"/>
        <w:spacing w:before="140" w:after="60"/>
        <w:rPr/>
      </w:pPr>
      <w:r>
        <w:rPr>
          <w:rFonts w:eastAsia="Arial" w:cs="Arial"/>
          <w:b/>
          <w:bCs/>
          <w:sz w:val="22"/>
          <w:szCs w:val="22"/>
          <w:u w:val="single"/>
        </w:rPr>
        <w:t>B. Individualized Care Plan Content</w:t>
      </w:r>
    </w:p>
    <w:p>
      <w:pPr>
        <w:pStyle w:val="Normal"/>
        <w:spacing w:before="40" w:after="60"/>
        <w:rPr/>
      </w:pPr>
      <w:r>
        <w:rPr>
          <w:rFonts w:eastAsia="Arial" w:cs="Arial"/>
          <w:sz w:val="22"/>
          <w:szCs w:val="22"/>
        </w:rPr>
        <w:t>The individualized care plan shall document, at minimum:</w:t>
      </w:r>
    </w:p>
    <w:p>
      <w:pPr>
        <w:pStyle w:val="Normal"/>
        <w:spacing w:before="30" w:after="30"/>
        <w:ind w:hanging="360" w:start="720"/>
        <w:rPr/>
      </w:pPr>
      <w:r>
        <w:rPr>
          <w:rFonts w:eastAsia="Arial" w:cs="Arial"/>
          <w:b/>
          <w:bCs/>
          <w:sz w:val="22"/>
          <w:szCs w:val="22"/>
        </w:rPr>
        <w:t xml:space="preserve">a.  </w:t>
      </w:r>
      <w:r>
        <w:rPr>
          <w:rFonts w:eastAsia="Arial" w:cs="Arial"/>
          <w:sz w:val="22"/>
          <w:szCs w:val="22"/>
        </w:rPr>
        <w:t>Active health conditions and diagnoses, including relevant medical history</w:t>
      </w:r>
    </w:p>
    <w:p>
      <w:pPr>
        <w:pStyle w:val="Normal"/>
        <w:spacing w:before="30" w:after="30"/>
        <w:ind w:hanging="360" w:start="720"/>
        <w:rPr/>
      </w:pPr>
      <w:r>
        <w:rPr>
          <w:rFonts w:eastAsia="Arial" w:cs="Arial"/>
          <w:b/>
          <w:bCs/>
          <w:sz w:val="22"/>
          <w:szCs w:val="22"/>
        </w:rPr>
        <w:t xml:space="preserve">b.  </w:t>
      </w:r>
      <w:r>
        <w:rPr>
          <w:rFonts w:eastAsia="Arial" w:cs="Arial"/>
          <w:sz w:val="22"/>
          <w:szCs w:val="22"/>
        </w:rPr>
        <w:t>Current medication regimen and administration requirements</w:t>
      </w:r>
    </w:p>
    <w:p>
      <w:pPr>
        <w:pStyle w:val="Normal"/>
        <w:spacing w:before="30" w:after="30"/>
        <w:ind w:hanging="360" w:start="720"/>
        <w:rPr/>
      </w:pPr>
      <w:r>
        <w:rPr>
          <w:rFonts w:eastAsia="Arial" w:cs="Arial"/>
          <w:b/>
          <w:bCs/>
          <w:sz w:val="22"/>
          <w:szCs w:val="22"/>
        </w:rPr>
        <w:t xml:space="preserve">c.  </w:t>
      </w:r>
      <w:r>
        <w:rPr>
          <w:rFonts w:eastAsia="Arial" w:cs="Arial"/>
          <w:sz w:val="22"/>
          <w:szCs w:val="22"/>
        </w:rPr>
        <w:t>Personal care needs and the level of assistance required for each ADL</w:t>
      </w:r>
    </w:p>
    <w:p>
      <w:pPr>
        <w:pStyle w:val="Normal"/>
        <w:spacing w:before="30" w:after="30"/>
        <w:ind w:hanging="360" w:start="720"/>
        <w:rPr/>
      </w:pPr>
      <w:r>
        <w:rPr>
          <w:rFonts w:eastAsia="Arial" w:cs="Arial"/>
          <w:b/>
          <w:bCs/>
          <w:sz w:val="22"/>
          <w:szCs w:val="22"/>
        </w:rPr>
        <w:t xml:space="preserve">d.  </w:t>
      </w:r>
      <w:r>
        <w:rPr>
          <w:rFonts w:eastAsia="Arial" w:cs="Arial"/>
          <w:sz w:val="22"/>
          <w:szCs w:val="22"/>
        </w:rPr>
        <w:t>Behavioral support strategies, known triggers, de-escalation approaches, and any active restrictions</w:t>
      </w:r>
    </w:p>
    <w:p>
      <w:pPr>
        <w:pStyle w:val="Normal"/>
        <w:spacing w:before="30" w:after="30"/>
        <w:ind w:hanging="360" w:start="720"/>
        <w:rPr/>
      </w:pPr>
      <w:r>
        <w:rPr>
          <w:rFonts w:eastAsia="Arial" w:cs="Arial"/>
          <w:b/>
          <w:bCs/>
          <w:sz w:val="22"/>
          <w:szCs w:val="22"/>
        </w:rPr>
        <w:t xml:space="preserve">e.  </w:t>
      </w:r>
      <w:r>
        <w:rPr>
          <w:rFonts w:eastAsia="Arial" w:cs="Arial"/>
          <w:sz w:val="22"/>
          <w:szCs w:val="22"/>
        </w:rPr>
        <w:t>Communication needs and preferred communication methods</w:t>
      </w:r>
    </w:p>
    <w:p>
      <w:pPr>
        <w:pStyle w:val="Normal"/>
        <w:spacing w:before="30" w:after="30"/>
        <w:ind w:hanging="360" w:start="720"/>
        <w:rPr/>
      </w:pPr>
      <w:r>
        <w:rPr>
          <w:rFonts w:eastAsia="Arial" w:cs="Arial"/>
          <w:b/>
          <w:bCs/>
          <w:sz w:val="22"/>
          <w:szCs w:val="22"/>
        </w:rPr>
        <w:t xml:space="preserve">f.  </w:t>
      </w:r>
      <w:r>
        <w:rPr>
          <w:rFonts w:eastAsia="Arial" w:cs="Arial"/>
          <w:sz w:val="22"/>
          <w:szCs w:val="22"/>
        </w:rPr>
        <w:t>Preferred daily routine and schedule</w:t>
      </w:r>
    </w:p>
    <w:p>
      <w:pPr>
        <w:pStyle w:val="Normal"/>
        <w:spacing w:before="30" w:after="30"/>
        <w:ind w:hanging="360" w:start="720"/>
        <w:rPr/>
      </w:pPr>
      <w:r>
        <w:rPr>
          <w:rFonts w:eastAsia="Arial" w:cs="Arial"/>
          <w:b/>
          <w:bCs/>
          <w:sz w:val="22"/>
          <w:szCs w:val="22"/>
        </w:rPr>
        <w:t xml:space="preserve">g.  </w:t>
      </w:r>
      <w:r>
        <w:rPr>
          <w:rFonts w:eastAsia="Arial" w:cs="Arial"/>
          <w:sz w:val="22"/>
          <w:szCs w:val="22"/>
        </w:rPr>
        <w:t>Emergency response instructions specific to the individual</w:t>
      </w:r>
    </w:p>
    <w:p>
      <w:pPr>
        <w:pStyle w:val="Normal"/>
        <w:spacing w:before="30" w:after="30"/>
        <w:ind w:hanging="360" w:start="720"/>
        <w:rPr/>
      </w:pPr>
      <w:r>
        <w:rPr>
          <w:rFonts w:eastAsia="Arial" w:cs="Arial"/>
          <w:b/>
          <w:bCs/>
          <w:sz w:val="22"/>
          <w:szCs w:val="22"/>
        </w:rPr>
        <w:t xml:space="preserve">h.  </w:t>
      </w:r>
      <w:r>
        <w:rPr>
          <w:rFonts w:eastAsia="Arial" w:cs="Arial"/>
          <w:sz w:val="22"/>
          <w:szCs w:val="22"/>
        </w:rPr>
        <w:t>Nutrition and dietary requirements and preferences</w:t>
      </w:r>
    </w:p>
    <w:p>
      <w:pPr>
        <w:pStyle w:val="Normal"/>
        <w:spacing w:before="30" w:after="30"/>
        <w:ind w:hanging="360" w:start="720"/>
        <w:rPr/>
      </w:pPr>
      <w:r>
        <w:rPr>
          <w:rFonts w:eastAsia="Arial" w:cs="Arial"/>
          <w:b/>
          <w:bCs/>
          <w:sz w:val="22"/>
          <w:szCs w:val="22"/>
        </w:rPr>
        <w:t xml:space="preserve">i.  </w:t>
      </w:r>
      <w:r>
        <w:rPr>
          <w:rFonts w:eastAsia="Arial" w:cs="Arial"/>
          <w:sz w:val="22"/>
          <w:szCs w:val="22"/>
        </w:rPr>
        <w:t>Transportation and community access needs</w:t>
      </w:r>
    </w:p>
    <w:p>
      <w:pPr>
        <w:pStyle w:val="Normal"/>
        <w:spacing w:before="30" w:after="30"/>
        <w:ind w:hanging="360" w:start="720"/>
        <w:rPr/>
      </w:pPr>
      <w:r>
        <w:rPr>
          <w:rFonts w:eastAsia="Arial" w:cs="Arial"/>
          <w:b/>
          <w:bCs/>
          <w:sz w:val="22"/>
          <w:szCs w:val="22"/>
        </w:rPr>
        <w:t xml:space="preserve">j.  </w:t>
      </w:r>
      <w:r>
        <w:rPr>
          <w:rFonts w:eastAsia="Arial" w:cs="Arial"/>
          <w:sz w:val="22"/>
          <w:szCs w:val="22"/>
        </w:rPr>
        <w:t>Active goals from the PCP/ISP with the Provider's specific role in supporting each goal</w:t>
      </w:r>
    </w:p>
    <w:p>
      <w:pPr>
        <w:pStyle w:val="Normal"/>
        <w:spacing w:before="30" w:after="30"/>
        <w:ind w:hanging="360" w:start="720"/>
        <w:rPr/>
      </w:pPr>
      <w:r>
        <w:rPr>
          <w:rFonts w:eastAsia="Arial" w:cs="Arial"/>
          <w:b/>
          <w:bCs/>
          <w:sz w:val="22"/>
          <w:szCs w:val="22"/>
        </w:rPr>
        <w:t xml:space="preserve">k.  </w:t>
      </w:r>
      <w:r>
        <w:rPr>
          <w:rFonts w:eastAsia="Arial" w:cs="Arial"/>
          <w:sz w:val="22"/>
          <w:szCs w:val="22"/>
        </w:rPr>
        <w:t>Safety considerations and environmental modifications required</w:t>
      </w:r>
    </w:p>
    <w:p>
      <w:pPr>
        <w:pStyle w:val="Normal"/>
        <w:spacing w:before="140" w:after="60"/>
        <w:rPr/>
      </w:pPr>
      <w:r>
        <w:rPr>
          <w:rFonts w:eastAsia="Arial" w:cs="Arial"/>
          <w:b/>
          <w:bCs/>
          <w:sz w:val="22"/>
          <w:szCs w:val="22"/>
          <w:u w:val="single"/>
        </w:rPr>
        <w:t>C. Assessment Tools</w:t>
      </w:r>
    </w:p>
    <w:p>
      <w:pPr>
        <w:pStyle w:val="Normal"/>
        <w:spacing w:before="30" w:after="30"/>
        <w:ind w:hanging="360" w:start="720"/>
        <w:rPr/>
      </w:pPr>
      <w:r>
        <w:rPr>
          <w:rFonts w:eastAsia="Arial" w:cs="Arial"/>
          <w:b/>
          <w:bCs/>
          <w:sz w:val="22"/>
          <w:szCs w:val="22"/>
        </w:rPr>
        <w:t xml:space="preserve">a.  </w:t>
      </w:r>
      <w:r>
        <w:rPr>
          <w:rFonts w:eastAsia="Arial" w:cs="Arial"/>
          <w:sz w:val="22"/>
          <w:szCs w:val="22"/>
        </w:rPr>
        <w:t>Standardized, evidence-based assessment tools appropriate to the individual's disability type, age, and cultural background shall be used.</w:t>
      </w:r>
    </w:p>
    <w:p>
      <w:pPr>
        <w:pStyle w:val="Normal"/>
        <w:spacing w:before="30" w:after="30"/>
        <w:ind w:hanging="360" w:start="720"/>
        <w:rPr/>
      </w:pPr>
      <w:r>
        <w:rPr>
          <w:rFonts w:eastAsia="Arial" w:cs="Arial"/>
          <w:b/>
          <w:bCs/>
          <w:sz w:val="22"/>
          <w:szCs w:val="22"/>
        </w:rPr>
        <w:t xml:space="preserve">b.  </w:t>
      </w:r>
      <w:r>
        <w:rPr>
          <w:rFonts w:eastAsia="Arial" w:cs="Arial"/>
          <w:sz w:val="22"/>
          <w:szCs w:val="22"/>
        </w:rPr>
        <w:t>Assessment results shall be documented with instrument name, version, date administered, and the assessor's name and credentials.</w:t>
      </w:r>
    </w:p>
    <w:p>
      <w:pPr>
        <w:pStyle w:val="Normal"/>
        <w:spacing w:before="140" w:after="60"/>
        <w:rPr/>
      </w:pPr>
      <w:r>
        <w:rPr>
          <w:rFonts w:eastAsia="Arial" w:cs="Arial"/>
          <w:b/>
          <w:bCs/>
          <w:sz w:val="22"/>
          <w:szCs w:val="22"/>
          <w:u w:val="single"/>
        </w:rPr>
        <w:t>D. Reassessment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Formal reassessment shall occur at minimum annually, at each PCP/ISP review meeting.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Interim reassessment is triggered by: a significant change in health status or functioning, a behavioral incident or crisis, a change in medication regimen, a change in living situation, or staff or family request.</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reassessments shall be documented within twenty-four (24) hours of completion and filed in the clinical record.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Functional Assessment Form</w:t>
      </w:r>
    </w:p>
    <w:p>
      <w:pPr>
        <w:pStyle w:val="ListParagraph"/>
        <w:numPr>
          <w:ilvl w:val="0"/>
          <w:numId w:val="1"/>
        </w:numPr>
        <w:spacing w:before="30" w:after="30"/>
        <w:rPr/>
      </w:pPr>
      <w:r>
        <w:rPr>
          <w:rFonts w:eastAsia="Arial" w:cs="Arial"/>
          <w:sz w:val="22"/>
          <w:szCs w:val="22"/>
        </w:rPr>
        <w:t>Individualized Care Plan Template</w:t>
      </w:r>
    </w:p>
    <w:p>
      <w:pPr>
        <w:pStyle w:val="ListParagraph"/>
        <w:numPr>
          <w:ilvl w:val="0"/>
          <w:numId w:val="1"/>
        </w:numPr>
        <w:spacing w:before="30" w:after="30"/>
        <w:rPr/>
      </w:pPr>
      <w:r>
        <w:rPr>
          <w:rFonts w:eastAsia="Arial" w:cs="Arial"/>
          <w:sz w:val="22"/>
          <w:szCs w:val="22"/>
        </w:rPr>
        <w:t>Annual Reassessment Documentation</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#3.03: Activities of Daily Living &amp; Personal Care Services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42 CFR 441.301 (HCBS Settings Final Rule); CTS.02 (JC Individualized Care); State HCBS Waiver Service Definitions; Individual PCP/ISP</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standards for the provision of personal care services and assistance with Activities of Daily Living (ADLs) in a manner that promotes dignity, independence, individual choice, and the highest practicable level of functional ability for each individual served.</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Personal care shall be provided in a manner that respects each individual's dignity, privacy, and expressed preferences at all times. Staff shall promote the greatest level of independence possible and shall provide only the level of assistance indicated by the individual's current care plan. Staff shall never perform a task for an individual that the individual is able to perform independently or with prompting.</w:t>
      </w:r>
    </w:p>
    <w:p>
      <w:pPr>
        <w:pStyle w:val="Normal"/>
        <w:spacing w:before="120" w:after="40"/>
        <w:rPr/>
      </w:pPr>
      <w:r>
        <w:rPr>
          <w:rFonts w:eastAsia="Arial" w:cs="Arial"/>
          <w:b/>
          <w:bCs/>
          <w:color w:val="2E5DA8"/>
          <w:sz w:val="22"/>
          <w:szCs w:val="22"/>
        </w:rPr>
        <w:t>SCOPE OF PERSONAL CARE SERVICES</w:t>
      </w:r>
    </w:p>
    <w:p>
      <w:pPr>
        <w:pStyle w:val="ListParagraph"/>
        <w:numPr>
          <w:ilvl w:val="0"/>
          <w:numId w:val="1"/>
        </w:numPr>
        <w:spacing w:before="30" w:after="30"/>
        <w:rPr/>
      </w:pPr>
      <w:r>
        <w:rPr>
          <w:rFonts w:eastAsia="Arial" w:cs="Arial"/>
          <w:sz w:val="22"/>
          <w:szCs w:val="22"/>
        </w:rPr>
        <w:t>Bathing, showering, and personal hygiene assistance</w:t>
      </w:r>
    </w:p>
    <w:p>
      <w:pPr>
        <w:pStyle w:val="ListParagraph"/>
        <w:numPr>
          <w:ilvl w:val="0"/>
          <w:numId w:val="1"/>
        </w:numPr>
        <w:spacing w:before="30" w:after="30"/>
        <w:rPr/>
      </w:pPr>
      <w:r>
        <w:rPr>
          <w:rFonts w:eastAsia="Arial" w:cs="Arial"/>
          <w:sz w:val="22"/>
          <w:szCs w:val="22"/>
        </w:rPr>
        <w:t>Grooming — hair care, oral hygiene, nail care, shaving</w:t>
      </w:r>
    </w:p>
    <w:p>
      <w:pPr>
        <w:pStyle w:val="ListParagraph"/>
        <w:numPr>
          <w:ilvl w:val="0"/>
          <w:numId w:val="1"/>
        </w:numPr>
        <w:spacing w:before="30" w:after="30"/>
        <w:rPr/>
      </w:pPr>
      <w:r>
        <w:rPr>
          <w:rFonts w:eastAsia="Arial" w:cs="Arial"/>
          <w:sz w:val="22"/>
          <w:szCs w:val="22"/>
        </w:rPr>
        <w:t>Dressing and undressing</w:t>
      </w:r>
    </w:p>
    <w:p>
      <w:pPr>
        <w:pStyle w:val="ListParagraph"/>
        <w:numPr>
          <w:ilvl w:val="0"/>
          <w:numId w:val="1"/>
        </w:numPr>
        <w:spacing w:before="30" w:after="30"/>
        <w:rPr/>
      </w:pPr>
      <w:r>
        <w:rPr>
          <w:rFonts w:eastAsia="Arial" w:cs="Arial"/>
          <w:sz w:val="22"/>
          <w:szCs w:val="22"/>
        </w:rPr>
        <w:t>Toileting, bowel and bladder management, and continence care</w:t>
      </w:r>
    </w:p>
    <w:p>
      <w:pPr>
        <w:pStyle w:val="ListParagraph"/>
        <w:numPr>
          <w:ilvl w:val="0"/>
          <w:numId w:val="1"/>
        </w:numPr>
        <w:spacing w:before="30" w:after="30"/>
        <w:rPr/>
      </w:pPr>
      <w:r>
        <w:rPr>
          <w:rFonts w:eastAsia="Arial" w:cs="Arial"/>
          <w:sz w:val="22"/>
          <w:szCs w:val="22"/>
        </w:rPr>
        <w:t>Mobility assistance, positioning, transfers, and ambulation</w:t>
      </w:r>
    </w:p>
    <w:p>
      <w:pPr>
        <w:pStyle w:val="ListParagraph"/>
        <w:numPr>
          <w:ilvl w:val="0"/>
          <w:numId w:val="1"/>
        </w:numPr>
        <w:spacing w:before="30" w:after="30"/>
        <w:rPr/>
      </w:pPr>
      <w:r>
        <w:rPr>
          <w:rFonts w:eastAsia="Arial" w:cs="Arial"/>
          <w:sz w:val="22"/>
          <w:szCs w:val="22"/>
        </w:rPr>
        <w:t>Meal preparation, mealtime assistance, and dietary/fluid monitoring per care plan</w:t>
      </w:r>
    </w:p>
    <w:p>
      <w:pPr>
        <w:pStyle w:val="ListParagraph"/>
        <w:numPr>
          <w:ilvl w:val="0"/>
          <w:numId w:val="1"/>
        </w:numPr>
        <w:spacing w:before="30" w:after="30"/>
        <w:rPr/>
      </w:pPr>
      <w:r>
        <w:rPr>
          <w:rFonts w:eastAsia="Arial" w:cs="Arial"/>
          <w:sz w:val="22"/>
          <w:szCs w:val="22"/>
        </w:rPr>
        <w:t>Medication assistance and administration per applicable training certification (Policy 4.00)</w:t>
      </w:r>
    </w:p>
    <w:p>
      <w:pPr>
        <w:pStyle w:val="ListParagraph"/>
        <w:numPr>
          <w:ilvl w:val="0"/>
          <w:numId w:val="1"/>
        </w:numPr>
        <w:spacing w:before="30" w:after="30"/>
        <w:rPr/>
      </w:pPr>
      <w:r>
        <w:rPr>
          <w:rFonts w:eastAsia="Arial" w:cs="Arial"/>
          <w:sz w:val="22"/>
          <w:szCs w:val="22"/>
        </w:rPr>
        <w:t>Housekeeping, laundry, and home maintenance support</w:t>
      </w:r>
    </w:p>
    <w:p>
      <w:pPr>
        <w:pStyle w:val="ListParagraph"/>
        <w:numPr>
          <w:ilvl w:val="0"/>
          <w:numId w:val="1"/>
        </w:numPr>
        <w:spacing w:before="30" w:after="30"/>
        <w:rPr/>
      </w:pPr>
      <w:r>
        <w:rPr>
          <w:rFonts w:eastAsia="Arial" w:cs="Arial"/>
          <w:sz w:val="22"/>
          <w:szCs w:val="22"/>
        </w:rPr>
        <w:t>Community transportation and accompaniment</w:t>
      </w:r>
    </w:p>
    <w:p>
      <w:pPr>
        <w:pStyle w:val="ListParagraph"/>
        <w:numPr>
          <w:ilvl w:val="0"/>
          <w:numId w:val="1"/>
        </w:numPr>
        <w:spacing w:before="30" w:after="30"/>
        <w:rPr/>
      </w:pPr>
      <w:r>
        <w:rPr>
          <w:rFonts w:eastAsia="Arial" w:cs="Arial"/>
          <w:sz w:val="22"/>
          <w:szCs w:val="22"/>
        </w:rPr>
        <w:t>Community integration, social participation, and recreational activity support</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Delivery of Personal Care</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personal care shall be performed in accordance with the individual's current care plan, ISP/PCP, and their stated preferences for that day.</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announce themselves and request permission before entering any private space. Privacy shall be provided during all personal care activities.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individual's choice of products (soap, shampoo, clothing, food, grooming items) shall be honored whenever safe and practicable.</w:t>
      </w:r>
    </w:p>
    <w:p>
      <w:pPr>
        <w:pStyle w:val="Normal"/>
        <w:spacing w:before="30" w:after="30"/>
        <w:ind w:hanging="360" w:start="720"/>
        <w:rPr/>
      </w:pPr>
      <w:r>
        <w:rPr>
          <w:rFonts w:eastAsia="Arial" w:cs="Arial"/>
          <w:b/>
          <w:bCs/>
          <w:sz w:val="22"/>
          <w:szCs w:val="22"/>
        </w:rPr>
        <w:t xml:space="preserve">d.  </w:t>
      </w:r>
      <w:r>
        <w:rPr>
          <w:rFonts w:eastAsia="Arial" w:cs="Arial"/>
          <w:sz w:val="22"/>
          <w:szCs w:val="22"/>
        </w:rPr>
        <w:t>Staff shall use proper body mechanics and approved transfer techniques at all times. No transfer shall be attempted by staff who are not trained in the appropriate method for that individual. If a two-person transfer is required by the care plan, it shall not be performed by a single staff member.</w:t>
      </w:r>
    </w:p>
    <w:p>
      <w:pPr>
        <w:pStyle w:val="Normal"/>
        <w:spacing w:before="30" w:after="30"/>
        <w:ind w:hanging="360" w:start="720"/>
        <w:rPr/>
      </w:pPr>
      <w:r>
        <w:rPr>
          <w:rFonts w:eastAsia="Arial" w:cs="Arial"/>
          <w:b/>
          <w:bCs/>
          <w:sz w:val="22"/>
          <w:szCs w:val="22"/>
        </w:rPr>
        <w:t xml:space="preserve">e.  </w:t>
      </w:r>
      <w:r>
        <w:rPr>
          <w:rFonts w:eastAsia="Arial" w:cs="Arial"/>
          <w:sz w:val="22"/>
          <w:szCs w:val="22"/>
        </w:rPr>
        <w:t>Staff shall actively encourage independence and skill development consistent with the individual's goals, rather than performing tasks the individual can do independently or with prompting.</w:t>
      </w:r>
    </w:p>
    <w:p>
      <w:pPr>
        <w:pStyle w:val="Normal"/>
        <w:spacing w:before="140" w:after="60"/>
        <w:rPr/>
      </w:pPr>
      <w:r>
        <w:rPr>
          <w:rFonts w:eastAsia="Arial" w:cs="Arial"/>
          <w:b/>
          <w:bCs/>
          <w:sz w:val="22"/>
          <w:szCs w:val="22"/>
          <w:u w:val="single"/>
        </w:rPr>
        <w:t>B. Dignity and Respect</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address the individual by their preferred name and in a manner consistent with their communication preferences.</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not discuss the individual's care, health status, or personal matters within earshot of other household members or visitors without the individual's consent.</w:t>
      </w:r>
    </w:p>
    <w:p>
      <w:pPr>
        <w:pStyle w:val="Normal"/>
        <w:spacing w:before="30" w:after="30"/>
        <w:ind w:hanging="360" w:start="720"/>
        <w:rPr/>
      </w:pPr>
      <w:r>
        <w:rPr>
          <w:rFonts w:eastAsia="Arial" w:cs="Arial"/>
          <w:b/>
          <w:bCs/>
          <w:sz w:val="22"/>
          <w:szCs w:val="22"/>
        </w:rPr>
        <w:t xml:space="preserve">c.  </w:t>
      </w:r>
      <w:r>
        <w:rPr>
          <w:rFonts w:eastAsia="Arial" w:cs="Arial"/>
          <w:sz w:val="22"/>
          <w:szCs w:val="22"/>
        </w:rPr>
        <w:t>Staff shall not use language that is infantilizing, demeaning, or disrespectful at any time.</w:t>
      </w:r>
    </w:p>
    <w:p>
      <w:pPr>
        <w:pStyle w:val="Normal"/>
        <w:spacing w:before="140" w:after="60"/>
        <w:rPr/>
      </w:pPr>
      <w:r>
        <w:rPr>
          <w:rFonts w:eastAsia="Arial" w:cs="Arial"/>
          <w:b/>
          <w:bCs/>
          <w:sz w:val="22"/>
          <w:szCs w:val="22"/>
          <w:u w:val="single"/>
        </w:rPr>
        <w:t>C.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Completion of personal care tasks, assistance levels provided, and any variations from the care plan shall be documented in the daily shift log or progress note.</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refusal of personal care shall be documented with the individual's stated reason, the staff response, and shall be reported to the Administrator.</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injury, skin change, bruise, or health concern observed during personal care shall be reported immediately to the Administrator and documented in the clinical record with a description and body map notation if applicable.</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Daily Shift Communication Log</w:t>
      </w:r>
    </w:p>
    <w:p>
      <w:pPr>
        <w:pStyle w:val="ListParagraph"/>
        <w:numPr>
          <w:ilvl w:val="0"/>
          <w:numId w:val="1"/>
        </w:numPr>
        <w:spacing w:before="30" w:after="30"/>
        <w:rPr/>
      </w:pPr>
      <w:r>
        <w:rPr>
          <w:rFonts w:eastAsia="Arial" w:cs="Arial"/>
          <w:sz w:val="22"/>
          <w:szCs w:val="22"/>
        </w:rPr>
        <w:t>Progress Note Form</w:t>
      </w:r>
    </w:p>
    <w:p>
      <w:pPr>
        <w:pStyle w:val="ListParagraph"/>
        <w:numPr>
          <w:ilvl w:val="0"/>
          <w:numId w:val="1"/>
        </w:numPr>
        <w:spacing w:before="30" w:after="30"/>
        <w:rPr/>
      </w:pPr>
      <w:r>
        <w:rPr>
          <w:rFonts w:eastAsia="Arial" w:cs="Arial"/>
          <w:sz w:val="22"/>
          <w:szCs w:val="22"/>
        </w:rPr>
        <w:t>Body Map / Skin Condition Documentation</w:t>
      </w:r>
    </w:p>
    <w:p>
      <w:pPr>
        <w:pStyle w:val="ListParagraph"/>
        <w:numPr>
          <w:ilvl w:val="0"/>
          <w:numId w:val="1"/>
        </w:numPr>
        <w:spacing w:before="30" w:after="30"/>
        <w:rPr/>
      </w:pPr>
      <w:r>
        <w:rPr>
          <w:rFonts w:eastAsia="Arial" w:cs="Arial"/>
          <w:sz w:val="22"/>
          <w:szCs w:val="22"/>
        </w:rPr>
        <w:t>Incident Report Form (Policy 5.00)</w:t>
      </w:r>
    </w:p>
    <w:p>
      <w:pPr>
        <w:pStyle w:val="ListParagraph"/>
        <w:numPr>
          <w:ilvl w:val="0"/>
          <w:numId w:val="1"/>
        </w:numPr>
        <w:spacing w:before="30" w:after="30"/>
        <w:rPr/>
      </w:pPr>
      <w:r>
        <w:rPr>
          <w:rFonts w:eastAsia="Arial" w:cs="Arial"/>
          <w:sz w:val="22"/>
          <w:szCs w:val="22"/>
        </w:rPr>
        <w:t>Current Individualized Care Plan (Policy 3.02)</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#3.04: Health Monitoring &amp; Coordination with Healthcare Providers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3.04</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CTS.03 (JC Health Monitoring); State HCBS Waiver Health &amp; Safety Requirements; Individual Physician Orders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ongoing monitoring of each individual's health status, prompt identification and response to changes in condition, effective coordination with the individual's healthcare team, and accurate documentation of all health-related observations, communications, and interventions.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Staff shall conduct and document routine health observations at each shift in accordance with each individual's care plan. Any change in the individual's health status or baseline shall be reported to the Administrator and the individual's healthcare provider within required timeframes. The Provider/Administrator shall maintain current, accurate healthcare provider contact information for each individual.</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Routine Health Monitoring</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observe and document the following at each shift or as specified in the care plan: general health appearance and demeanor, mood and behavioral baseline, skin integrity (noting any new marks, bruises, or areas of concern), appetite and fluid intake, elimination patterns, pain indicators (verbal or behavioral), and level of engagement and communication.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Vital signs shall be obtained at the frequency and within the parameters specified in the individual's care plan or physician standing orders. Any vital sign outside established parameters shall be reported to the Administrator within the shift.</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deviation from the individual's established baseline shall be documented in the progress note and reported to the Administrator within the shift it is observed.</w:t>
      </w:r>
    </w:p>
    <w:p>
      <w:pPr>
        <w:pStyle w:val="Normal"/>
        <w:spacing w:before="140" w:after="60"/>
        <w:rPr/>
      </w:pPr>
      <w:r>
        <w:rPr>
          <w:rFonts w:eastAsia="Arial" w:cs="Arial"/>
          <w:b/>
          <w:bCs/>
          <w:sz w:val="22"/>
          <w:szCs w:val="22"/>
          <w:u w:val="single"/>
        </w:rPr>
        <w:t>B. Communication with Healthcare Providers</w:t>
      </w:r>
    </w:p>
    <w:p>
      <w:pPr>
        <w:pStyle w:val="Normal"/>
        <w:spacing w:before="30" w:after="30"/>
        <w:ind w:hanging="360" w:start="720"/>
        <w:rPr/>
      </w:pPr>
      <w:r>
        <w:rPr>
          <w:rFonts w:eastAsia="Arial" w:cs="Arial"/>
          <w:b/>
          <w:bCs/>
          <w:sz w:val="22"/>
          <w:szCs w:val="22"/>
        </w:rPr>
        <w:t xml:space="preserve">a.  </w:t>
      </w:r>
      <w:r>
        <w:rPr>
          <w:rFonts w:eastAsia="Arial" w:cs="Arial"/>
          <w:sz w:val="22"/>
          <w:szCs w:val="22"/>
        </w:rPr>
        <w:t>Changes in health status — new symptoms, change in behavior that may have a health basis, change in functional ability, or apparent pain — shall be reported to the primary care provider within four (4) hours of identification unless the change is immediately life-threatening, in which case 911 shall be called first.</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maintain a current Healthcare Provider Contact List for each individual, including: primary care physician, all specialists, pharmacy, dentist, and mental health providers, with current phone numbers and addresses.</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healthcare provider communications — calls, visits, instructions received, and medication changes — shall be documented in the clinical record with the date, time, name of the provider contacted, and the substance of the communication.</w:t>
      </w:r>
    </w:p>
    <w:p>
      <w:pPr>
        <w:pStyle w:val="Normal"/>
        <w:spacing w:before="140" w:after="60"/>
        <w:rPr/>
      </w:pPr>
      <w:r>
        <w:rPr>
          <w:rFonts w:eastAsia="Arial" w:cs="Arial"/>
          <w:b/>
          <w:bCs/>
          <w:sz w:val="22"/>
          <w:szCs w:val="22"/>
          <w:u w:val="single"/>
        </w:rPr>
        <w:t>C. Healthcare Appointments</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accompany the individual to medical appointments when required by the care plan or requested by the individual or guardian. The individual's right to have a support person present shall be honored.</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attending appointments shall communicate relevant observations (recent health changes, behaviors, concerns) to the provider and shall document the outcome of all appointments in the clinical record within twenty-four (24) hours.</w:t>
      </w:r>
    </w:p>
    <w:p>
      <w:pPr>
        <w:pStyle w:val="Normal"/>
        <w:spacing w:before="30" w:after="30"/>
        <w:ind w:hanging="360" w:start="720"/>
        <w:rPr/>
      </w:pPr>
      <w:r>
        <w:rPr>
          <w:rFonts w:eastAsia="Arial" w:cs="Arial"/>
          <w:b/>
          <w:bCs/>
          <w:sz w:val="22"/>
          <w:szCs w:val="22"/>
        </w:rPr>
        <w:t xml:space="preserve">c.  </w:t>
      </w:r>
      <w:r>
        <w:rPr>
          <w:rFonts w:eastAsia="Arial" w:cs="Arial"/>
          <w:sz w:val="22"/>
          <w:szCs w:val="22"/>
        </w:rPr>
        <w:t>New orders, prescription changes, or referrals received at appointments shall be communicated to the Administrator immediately, entered on the MAR within two (2) hours, and communicated to all incoming shift staff.</w:t>
      </w:r>
    </w:p>
    <w:p>
      <w:pPr>
        <w:pStyle w:val="Normal"/>
        <w:spacing w:before="140" w:after="60"/>
        <w:rPr/>
      </w:pPr>
      <w:r>
        <w:rPr>
          <w:rFonts w:eastAsia="Arial" w:cs="Arial"/>
          <w:b/>
          <w:bCs/>
          <w:sz w:val="22"/>
          <w:szCs w:val="22"/>
          <w:u w:val="single"/>
        </w:rPr>
        <w:t>D. Emergency Medical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In any life-threatening emergency (unresponsiveness, severe respiratory distress, chest pain, uncontrolled bleeding, seizure in a person without a known seizure disorder, or severe injury), staff shall call 911 immediately.</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remain with the individual and follow dispatcher instructions until emergency services arrive. Staff shall have the individual's emergency information packet — current medication list, diagnoses, advance directive status, and insurance information — ready for emergency responders upon arrival.</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Administrator shall be notified of any emergency medical event immediately or as soon as safely possible. An incident report (Policy 5.00) shall be completed for all emergency medical events.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Health Monitoring Documentation / Flow Sheet</w:t>
      </w:r>
    </w:p>
    <w:p>
      <w:pPr>
        <w:pStyle w:val="ListParagraph"/>
        <w:numPr>
          <w:ilvl w:val="0"/>
          <w:numId w:val="1"/>
        </w:numPr>
        <w:spacing w:before="30" w:after="30"/>
        <w:rPr/>
      </w:pPr>
      <w:r>
        <w:rPr>
          <w:rFonts w:eastAsia="Arial" w:cs="Arial"/>
          <w:sz w:val="22"/>
          <w:szCs w:val="22"/>
        </w:rPr>
        <w:t>Healthcare Provider Contact List</w:t>
      </w:r>
    </w:p>
    <w:p>
      <w:pPr>
        <w:pStyle w:val="ListParagraph"/>
        <w:numPr>
          <w:ilvl w:val="0"/>
          <w:numId w:val="1"/>
        </w:numPr>
        <w:spacing w:before="30" w:after="30"/>
        <w:rPr/>
      </w:pPr>
      <w:r>
        <w:rPr>
          <w:rFonts w:eastAsia="Arial" w:cs="Arial"/>
          <w:sz w:val="22"/>
          <w:szCs w:val="22"/>
        </w:rPr>
        <w:t>Progress Note Form</w:t>
      </w:r>
    </w:p>
    <w:p>
      <w:pPr>
        <w:pStyle w:val="ListParagraph"/>
        <w:numPr>
          <w:ilvl w:val="0"/>
          <w:numId w:val="1"/>
        </w:numPr>
        <w:spacing w:before="30" w:after="30"/>
        <w:rPr/>
      </w:pPr>
      <w:r>
        <w:rPr>
          <w:rFonts w:eastAsia="Arial" w:cs="Arial"/>
          <w:sz w:val="22"/>
          <w:szCs w:val="22"/>
        </w:rPr>
        <w:t>Appointment Summary Form</w:t>
      </w:r>
    </w:p>
    <w:p>
      <w:pPr>
        <w:pStyle w:val="ListParagraph"/>
        <w:numPr>
          <w:ilvl w:val="0"/>
          <w:numId w:val="1"/>
        </w:numPr>
        <w:spacing w:before="30" w:after="30"/>
        <w:rPr/>
      </w:pPr>
      <w:r>
        <w:rPr>
          <w:rFonts w:eastAsia="Arial" w:cs="Arial"/>
          <w:sz w:val="22"/>
          <w:szCs w:val="22"/>
        </w:rPr>
        <w:t>Individual Emergency Information Packet</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#3.05: Behavioral Support &amp; Positive Behavior Strategies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Care Services</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3.05</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CTS.04 (JC Behavioral Care); State HCBS Behavioral Support Requirements; Individual Behavior Support Plan (BSP);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standards for delivering respectful, effective, person-centered behavioral support using positive strategies; to prohibit aversive, punitive, or restrictive interventions without proper authorization; and to ensure that all staff are trained in de-escalation as the primary response to behavioral challenges.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support individuals using the positive behavior strategies identified in the individual's Behavior Support Plan (BSP) or PCP/ISP. Aversive techniques, unauthorized physical restraints, and punitive interventions are strictly prohibited. De-escalation is the first and preferred response to all behavioral challenges. Staff shall be trained in de-escalation and positive behavior support before working independently with any individual who has a behavioral support plan.</w:t>
      </w:r>
    </w:p>
    <w:p>
      <w:pPr>
        <w:pStyle w:val="Normal"/>
        <w:spacing w:before="120" w:after="40"/>
        <w:rPr/>
      </w:pPr>
      <w:r>
        <w:rPr>
          <w:rFonts w:eastAsia="Arial" w:cs="Arial"/>
          <w:b/>
          <w:bCs/>
          <w:color w:val="2E5DA8"/>
          <w:sz w:val="22"/>
          <w:szCs w:val="22"/>
        </w:rPr>
        <w:t>PROHIBITED PRACTICES — ABSOLUTE</w:t>
      </w:r>
    </w:p>
    <w:p>
      <w:pPr>
        <w:pStyle w:val="Normal"/>
        <w:spacing w:before="40" w:after="60"/>
        <w:rPr/>
      </w:pPr>
      <w:r>
        <w:rPr>
          <w:rFonts w:eastAsia="Arial" w:cs="Arial"/>
          <w:sz w:val="22"/>
          <w:szCs w:val="22"/>
        </w:rPr>
        <w:t>The following are prohibited under all circumstances without exception:</w:t>
      </w:r>
    </w:p>
    <w:p>
      <w:pPr>
        <w:pStyle w:val="ListParagraph"/>
        <w:numPr>
          <w:ilvl w:val="0"/>
          <w:numId w:val="1"/>
        </w:numPr>
        <w:spacing w:before="30" w:after="30"/>
        <w:rPr/>
      </w:pPr>
      <w:r>
        <w:rPr>
          <w:rFonts w:eastAsia="Arial" w:cs="Arial"/>
          <w:sz w:val="22"/>
          <w:szCs w:val="22"/>
        </w:rPr>
        <w:t>Any form of physical punishment or use of pain as a consequence</w:t>
      </w:r>
    </w:p>
    <w:p>
      <w:pPr>
        <w:pStyle w:val="ListParagraph"/>
        <w:numPr>
          <w:ilvl w:val="0"/>
          <w:numId w:val="1"/>
        </w:numPr>
        <w:spacing w:before="30" w:after="30"/>
        <w:rPr/>
      </w:pPr>
      <w:r>
        <w:rPr>
          <w:rFonts w:eastAsia="Arial" w:cs="Arial"/>
          <w:sz w:val="22"/>
          <w:szCs w:val="22"/>
        </w:rPr>
        <w:t>Withholding of food, water, clothing, shelter, communication, or basic care as a consequence</w:t>
      </w:r>
    </w:p>
    <w:p>
      <w:pPr>
        <w:pStyle w:val="ListParagraph"/>
        <w:numPr>
          <w:ilvl w:val="0"/>
          <w:numId w:val="1"/>
        </w:numPr>
        <w:spacing w:before="30" w:after="30"/>
        <w:rPr/>
      </w:pPr>
      <w:r>
        <w:rPr>
          <w:rFonts w:eastAsia="Arial" w:cs="Arial"/>
          <w:sz w:val="22"/>
          <w:szCs w:val="22"/>
        </w:rPr>
        <w:t>Seclusion — placing an individual alone in a locked room or space</w:t>
      </w:r>
    </w:p>
    <w:p>
      <w:pPr>
        <w:pStyle w:val="ListParagraph"/>
        <w:numPr>
          <w:ilvl w:val="0"/>
          <w:numId w:val="1"/>
        </w:numPr>
        <w:spacing w:before="30" w:after="30"/>
        <w:rPr/>
      </w:pPr>
      <w:r>
        <w:rPr>
          <w:rFonts w:eastAsia="Arial" w:cs="Arial"/>
          <w:sz w:val="22"/>
          <w:szCs w:val="22"/>
        </w:rPr>
        <w:t>Unauthorized mechanical restraint (the use of any device to restrict movement without a properly authorized, reviewed, and consented BSP restraint procedure)</w:t>
      </w:r>
    </w:p>
    <w:p>
      <w:pPr>
        <w:pStyle w:val="ListParagraph"/>
        <w:numPr>
          <w:ilvl w:val="0"/>
          <w:numId w:val="1"/>
        </w:numPr>
        <w:spacing w:before="30" w:after="30"/>
        <w:rPr/>
      </w:pPr>
      <w:r>
        <w:rPr>
          <w:rFonts w:eastAsia="Arial" w:cs="Arial"/>
          <w:sz w:val="22"/>
          <w:szCs w:val="22"/>
        </w:rPr>
        <w:t>Physical restraint, unless specifically authorized in a reviewed BSP with all required regulatory safeguards in place and only by staff currently trained in the authorized method</w:t>
      </w:r>
    </w:p>
    <w:p>
      <w:pPr>
        <w:pStyle w:val="ListParagraph"/>
        <w:numPr>
          <w:ilvl w:val="0"/>
          <w:numId w:val="1"/>
        </w:numPr>
        <w:spacing w:before="30" w:after="30"/>
        <w:rPr/>
      </w:pPr>
      <w:r>
        <w:rPr>
          <w:rFonts w:eastAsia="Arial" w:cs="Arial"/>
          <w:sz w:val="22"/>
          <w:szCs w:val="22"/>
        </w:rPr>
        <w:t>Threats, intimidation, or use of fear as a behavioral management tool</w:t>
      </w:r>
    </w:p>
    <w:p>
      <w:pPr>
        <w:pStyle w:val="ListParagraph"/>
        <w:numPr>
          <w:ilvl w:val="0"/>
          <w:numId w:val="1"/>
        </w:numPr>
        <w:spacing w:before="30" w:after="30"/>
        <w:rPr/>
      </w:pPr>
      <w:r>
        <w:rPr>
          <w:rFonts w:eastAsia="Arial" w:cs="Arial"/>
          <w:sz w:val="22"/>
          <w:szCs w:val="22"/>
        </w:rPr>
        <w:t>Humiliation, ridicule, or verbal degradation in any form</w:t>
      </w:r>
    </w:p>
    <w:p>
      <w:pPr>
        <w:pStyle w:val="ListParagraph"/>
        <w:numPr>
          <w:ilvl w:val="0"/>
          <w:numId w:val="1"/>
        </w:numPr>
        <w:spacing w:before="30" w:after="30"/>
        <w:rPr/>
      </w:pPr>
      <w:r>
        <w:rPr>
          <w:rFonts w:eastAsia="Arial" w:cs="Arial"/>
          <w:sz w:val="22"/>
          <w:szCs w:val="22"/>
        </w:rPr>
        <w:t>Any technique not explicitly authorized in the individual's current BSP</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BSP Implementation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review and demonstrate understanding of each individual's BSP or behavioral strategies documented in the PCP/ISP before providing unsupervised care to that individual.</w:t>
      </w:r>
    </w:p>
    <w:p>
      <w:pPr>
        <w:pStyle w:val="Normal"/>
        <w:spacing w:before="30" w:after="30"/>
        <w:ind w:hanging="360" w:start="720"/>
        <w:rPr/>
      </w:pPr>
      <w:r>
        <w:rPr>
          <w:rFonts w:eastAsia="Arial" w:cs="Arial"/>
          <w:b/>
          <w:bCs/>
          <w:sz w:val="22"/>
          <w:szCs w:val="22"/>
        </w:rPr>
        <w:t xml:space="preserve">b.  </w:t>
      </w:r>
      <w:r>
        <w:rPr>
          <w:rFonts w:eastAsia="Arial" w:cs="Arial"/>
          <w:sz w:val="22"/>
          <w:szCs w:val="22"/>
        </w:rPr>
        <w:t>Positive strategies shall be applied consistently across all staff, all settings, and all times of day.</w:t>
      </w:r>
    </w:p>
    <w:p>
      <w:pPr>
        <w:pStyle w:val="Normal"/>
        <w:spacing w:before="30" w:after="30"/>
        <w:ind w:hanging="360" w:start="720"/>
        <w:rPr/>
      </w:pPr>
      <w:r>
        <w:rPr>
          <w:rFonts w:eastAsia="Arial" w:cs="Arial"/>
          <w:b/>
          <w:bCs/>
          <w:sz w:val="22"/>
          <w:szCs w:val="22"/>
        </w:rPr>
        <w:t xml:space="preserve">c.  </w:t>
      </w:r>
      <w:r>
        <w:rPr>
          <w:rFonts w:eastAsia="Arial" w:cs="Arial"/>
          <w:sz w:val="22"/>
          <w:szCs w:val="22"/>
        </w:rPr>
        <w:t>Staff shall document behavioral observations in the progress note at each shift, noting: antecedents, behavior observed (specific, objective description), staff response, individual's response to the intervention, and outcome.</w:t>
      </w:r>
    </w:p>
    <w:p>
      <w:pPr>
        <w:pStyle w:val="Normal"/>
        <w:spacing w:before="140" w:after="60"/>
        <w:rPr/>
      </w:pPr>
      <w:r>
        <w:rPr>
          <w:rFonts w:eastAsia="Arial" w:cs="Arial"/>
          <w:b/>
          <w:bCs/>
          <w:sz w:val="22"/>
          <w:szCs w:val="22"/>
          <w:u w:val="single"/>
        </w:rPr>
        <w:t>B. De-escalation as the Primary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use verbal de-escalation strategies as the first and preferred response to any escalating behavior. De-escalation includes: using a calm voice and non-threatening body language, offering choices, reducing environmental stimuli, validating the individual's feelings, and giving the individual space when safe to do so.</w:t>
      </w:r>
    </w:p>
    <w:p>
      <w:pPr>
        <w:pStyle w:val="Normal"/>
        <w:spacing w:before="30" w:after="30"/>
        <w:ind w:hanging="360" w:start="720"/>
        <w:rPr/>
      </w:pPr>
      <w:r>
        <w:rPr>
          <w:rFonts w:eastAsia="Arial" w:cs="Arial"/>
          <w:b/>
          <w:bCs/>
          <w:sz w:val="22"/>
          <w:szCs w:val="22"/>
        </w:rPr>
        <w:t xml:space="preserve">b.  </w:t>
      </w:r>
      <w:r>
        <w:rPr>
          <w:rFonts w:eastAsia="Arial" w:cs="Arial"/>
          <w:sz w:val="22"/>
          <w:szCs w:val="22"/>
        </w:rPr>
        <w:t>Physical intervention shall be used only as an absolute last resort to prevent imminent harm, only within the scope of authorized procedures, and only by staff trained in the authorized method. All physical interventions shall be documented immediately and reviewed by the Administrator within twenty-four (24) hours.</w:t>
      </w:r>
    </w:p>
    <w:p>
      <w:pPr>
        <w:pStyle w:val="Normal"/>
        <w:spacing w:before="140" w:after="60"/>
        <w:rPr/>
      </w:pPr>
      <w:r>
        <w:rPr>
          <w:rFonts w:eastAsia="Arial" w:cs="Arial"/>
          <w:b/>
          <w:bCs/>
          <w:sz w:val="22"/>
          <w:szCs w:val="22"/>
          <w:u w:val="single"/>
        </w:rPr>
        <w:t>C. Behavioral Incident Reporting</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behavioral incident shall be documented on a Behavioral Incident Report within the shift and communicated to the Administrator.</w:t>
      </w:r>
    </w:p>
    <w:p>
      <w:pPr>
        <w:pStyle w:val="Normal"/>
        <w:spacing w:before="30" w:after="30"/>
        <w:ind w:hanging="360" w:start="720"/>
        <w:rPr/>
      </w:pPr>
      <w:r>
        <w:rPr>
          <w:rFonts w:eastAsia="Arial" w:cs="Arial"/>
          <w:b/>
          <w:bCs/>
          <w:sz w:val="22"/>
          <w:szCs w:val="22"/>
        </w:rPr>
        <w:t xml:space="preserve">b.  </w:t>
      </w:r>
      <w:r>
        <w:rPr>
          <w:rFonts w:eastAsia="Arial" w:cs="Arial"/>
          <w:sz w:val="22"/>
          <w:szCs w:val="22"/>
        </w:rPr>
        <w:t>Patterns of behavioral incidents shall be reviewed at the Quality Management meeting and used to inform BSP revision requests.</w:t>
      </w:r>
    </w:p>
    <w:p>
      <w:pPr>
        <w:pStyle w:val="Normal"/>
        <w:spacing w:before="140" w:after="60"/>
        <w:rPr/>
      </w:pPr>
      <w:r>
        <w:rPr>
          <w:rFonts w:eastAsia="Arial" w:cs="Arial"/>
          <w:b/>
          <w:bCs/>
          <w:sz w:val="22"/>
          <w:szCs w:val="22"/>
          <w:u w:val="single"/>
        </w:rPr>
        <w:t>D. BSP Review Requests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request an urgent BSP review with the interdisciplinary team when: the plan is not reducing target behaviors over a thirty (30) day period, a new significant behavior emerges, staff express consistent difficulty with implementation, or a restraint is used.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Behavioral Incident Report</w:t>
      </w:r>
    </w:p>
    <w:p>
      <w:pPr>
        <w:pStyle w:val="ListParagraph"/>
        <w:numPr>
          <w:ilvl w:val="0"/>
          <w:numId w:val="1"/>
        </w:numPr>
        <w:spacing w:before="30" w:after="30"/>
        <w:rPr/>
      </w:pPr>
      <w:r>
        <w:rPr>
          <w:rFonts w:eastAsia="Arial" w:cs="Arial"/>
          <w:sz w:val="22"/>
          <w:szCs w:val="22"/>
        </w:rPr>
        <w:t>Current BSP — maintained by Case Management/Support Coordinator</w:t>
      </w:r>
    </w:p>
    <w:p>
      <w:pPr>
        <w:pStyle w:val="ListParagraph"/>
        <w:numPr>
          <w:ilvl w:val="0"/>
          <w:numId w:val="1"/>
        </w:numPr>
        <w:spacing w:before="30" w:after="30"/>
        <w:rPr/>
      </w:pPr>
      <w:r>
        <w:rPr>
          <w:rFonts w:eastAsia="Arial" w:cs="Arial"/>
          <w:sz w:val="22"/>
          <w:szCs w:val="22"/>
        </w:rPr>
        <w:t>Progress Note Form</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#3.06: Management of Individual Funds &amp; Personal Property</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Finance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3.06</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CTS.05 (JC Fiduciary Responsibility); State HCBS Waiver Financial Management Requirements; State Statute — Individual Rights to Personal Property</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any funds or property entrusted to this Provider on behalf of an individual are managed with full transparency, strict accountability, complete separation from Provider operating funds, and in compliance with applicable state requirements.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acts as a fiduciary for any individual funds managed on behalf of an individual. Fiduciary duty is among the highest obligations in law. Individual funds shall at all times be kept separate from Provider operating funds, properly accounted for, and available for the individual's use at their request. No Provider, staff member, or household member shall borrow from, accept gifts from, or use any individual funds for any personal purpose. Violation of this policy constitutes financial exploitation and may be reported to Adult Protective Services.</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Personal Funds: Any money belonging to the individual, including income, benefits, personal spending allowances, or any other personal financial resource.</w:t>
      </w:r>
    </w:p>
    <w:p>
      <w:pPr>
        <w:pStyle w:val="ListParagraph"/>
        <w:numPr>
          <w:ilvl w:val="0"/>
          <w:numId w:val="1"/>
        </w:numPr>
        <w:spacing w:before="30" w:after="30"/>
        <w:rPr/>
      </w:pPr>
      <w:r>
        <w:rPr>
          <w:rFonts w:eastAsia="Arial" w:cs="Arial"/>
          <w:sz w:val="22"/>
          <w:szCs w:val="22"/>
        </w:rPr>
        <w:t>Fiduciary: An individual or organization that manages money or property on another's behalf under the highest legal obligation of good faith, loyalty, and care.</w:t>
      </w:r>
    </w:p>
    <w:p>
      <w:pPr>
        <w:pStyle w:val="ListParagraph"/>
        <w:numPr>
          <w:ilvl w:val="0"/>
          <w:numId w:val="1"/>
        </w:numPr>
        <w:spacing w:before="30" w:after="30"/>
        <w:rPr/>
      </w:pPr>
      <w:r>
        <w:rPr>
          <w:rFonts w:eastAsia="Arial" w:cs="Arial"/>
          <w:sz w:val="22"/>
          <w:szCs w:val="22"/>
        </w:rPr>
        <w:t>Financial Exploitation: Unauthorized use, misappropriation, theft, or mismanagement of an individual's money or property.</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Fund Accounts and Separation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Individual personal funds entrusted to this Provider shall be held in a dedicated, labeled account or secured lock box. Funds shall never be commingled with Provider operating funds under any circumstances.</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individual account holding funds in excess of the threshold established by state regulation shall be maintained in a federally insured interest-bearing account. Interest earned belongs to the individual.</w:t>
      </w:r>
    </w:p>
    <w:p>
      <w:pPr>
        <w:pStyle w:val="Normal"/>
        <w:spacing w:before="140" w:after="60"/>
        <w:rPr/>
      </w:pPr>
      <w:r>
        <w:rPr>
          <w:rFonts w:eastAsia="Arial" w:cs="Arial"/>
          <w:b/>
          <w:bCs/>
          <w:sz w:val="22"/>
          <w:szCs w:val="22"/>
          <w:u w:val="single"/>
        </w:rPr>
        <w:t>B. Disbursement Authorization and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disbursements from individual funds require written or documented verbal authorization from the individual and/or their legal guardian prior to expenditure.</w:t>
      </w:r>
    </w:p>
    <w:p>
      <w:pPr>
        <w:pStyle w:val="Normal"/>
        <w:spacing w:before="30" w:after="30"/>
        <w:ind w:hanging="360" w:start="720"/>
        <w:rPr/>
      </w:pPr>
      <w:r>
        <w:rPr>
          <w:rFonts w:eastAsia="Arial" w:cs="Arial"/>
          <w:b/>
          <w:bCs/>
          <w:sz w:val="22"/>
          <w:szCs w:val="22"/>
        </w:rPr>
        <w:t xml:space="preserve">b.  </w:t>
      </w:r>
      <w:r>
        <w:rPr>
          <w:rFonts w:eastAsia="Arial" w:cs="Arial"/>
          <w:sz w:val="22"/>
          <w:szCs w:val="22"/>
        </w:rPr>
        <w:t>A receipt shall be obtained for every expenditure and filed in the individual's financial record. If no receipt is available (e.g., vending machine), the amount, date, and purpose shall be documented and signed by both the staff member who assisted and the individual.</w:t>
      </w:r>
    </w:p>
    <w:p>
      <w:pPr>
        <w:pStyle w:val="Normal"/>
        <w:spacing w:before="30" w:after="30"/>
        <w:ind w:hanging="360" w:start="720"/>
        <w:rPr/>
      </w:pPr>
      <w:r>
        <w:rPr>
          <w:rFonts w:eastAsia="Arial" w:cs="Arial"/>
          <w:b/>
          <w:bCs/>
          <w:sz w:val="22"/>
          <w:szCs w:val="22"/>
        </w:rPr>
        <w:t xml:space="preserve">c.  </w:t>
      </w:r>
      <w:r>
        <w:rPr>
          <w:rFonts w:eastAsia="Arial" w:cs="Arial"/>
          <w:sz w:val="22"/>
          <w:szCs w:val="22"/>
        </w:rPr>
        <w:t>No Provider or staff member shall accept cash, gifts, bequests, or other transfers of personal property from individuals or their families. Any unsolicited gift shall be reported to the Administrator and handled per state policy.</w:t>
      </w:r>
    </w:p>
    <w:p>
      <w:pPr>
        <w:pStyle w:val="Normal"/>
        <w:spacing w:before="140" w:after="60"/>
        <w:rPr/>
      </w:pPr>
      <w:r>
        <w:rPr>
          <w:rFonts w:eastAsia="Arial" w:cs="Arial"/>
          <w:b/>
          <w:bCs/>
          <w:sz w:val="22"/>
          <w:szCs w:val="22"/>
          <w:u w:val="single"/>
        </w:rPr>
        <w:t>C. Accounting, Reporting, and Transparency</w:t>
      </w:r>
    </w:p>
    <w:p>
      <w:pPr>
        <w:pStyle w:val="Normal"/>
        <w:spacing w:before="30" w:after="30"/>
        <w:ind w:hanging="360" w:start="720"/>
        <w:rPr/>
      </w:pPr>
      <w:r>
        <w:rPr>
          <w:rFonts w:eastAsia="Arial" w:cs="Arial"/>
          <w:b/>
          <w:bCs/>
          <w:sz w:val="22"/>
          <w:szCs w:val="22"/>
        </w:rPr>
        <w:t xml:space="preserve">a.  </w:t>
      </w:r>
      <w:r>
        <w:rPr>
          <w:rFonts w:eastAsia="Arial" w:cs="Arial"/>
          <w:sz w:val="22"/>
          <w:szCs w:val="22"/>
        </w:rPr>
        <w:t>A written monthly account statement shall be provided to each individual (or legal guardian) whose funds are managed by this Provider. The statement shall include: opening balance, all deposits with dates and sources, all withdrawals with dates, amounts, and purposes, and closing balance.</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complete financial record shall be available for inspection by the individual, the individual's guardian, the Support Coordinator/Case Manager, and state regulatory or licensing authorities at any time upon request.</w:t>
      </w:r>
    </w:p>
    <w:p>
      <w:pPr>
        <w:pStyle w:val="Normal"/>
        <w:spacing w:before="30" w:after="30"/>
        <w:ind w:hanging="360" w:start="720"/>
        <w:rPr/>
      </w:pPr>
      <w:r>
        <w:rPr>
          <w:rFonts w:eastAsia="Arial" w:cs="Arial"/>
          <w:b/>
          <w:bCs/>
          <w:sz w:val="22"/>
          <w:szCs w:val="22"/>
        </w:rPr>
        <w:t xml:space="preserve">c.  </w:t>
      </w:r>
      <w:r>
        <w:rPr>
          <w:rFonts w:eastAsia="Arial" w:cs="Arial"/>
          <w:sz w:val="22"/>
          <w:szCs w:val="22"/>
        </w:rPr>
        <w:t>Financial records shall be retained for a minimum of three (3) years, or longer if required by state law.</w:t>
      </w:r>
    </w:p>
    <w:p>
      <w:pPr>
        <w:pStyle w:val="Normal"/>
        <w:spacing w:before="140" w:after="60"/>
        <w:rPr/>
      </w:pPr>
      <w:r>
        <w:rPr>
          <w:rFonts w:eastAsia="Arial" w:cs="Arial"/>
          <w:b/>
          <w:bCs/>
          <w:sz w:val="22"/>
          <w:szCs w:val="22"/>
          <w:u w:val="single"/>
        </w:rPr>
        <w:t>D. Property Inventory</w:t>
      </w:r>
    </w:p>
    <w:p>
      <w:pPr>
        <w:pStyle w:val="Normal"/>
        <w:spacing w:before="30" w:after="30"/>
        <w:ind w:hanging="360" w:start="720"/>
        <w:rPr/>
      </w:pPr>
      <w:r>
        <w:rPr>
          <w:rFonts w:eastAsia="Arial" w:cs="Arial"/>
          <w:b/>
          <w:bCs/>
          <w:sz w:val="22"/>
          <w:szCs w:val="22"/>
        </w:rPr>
        <w:t xml:space="preserve">a.  </w:t>
      </w:r>
      <w:r>
        <w:rPr>
          <w:rFonts w:eastAsia="Arial" w:cs="Arial"/>
          <w:sz w:val="22"/>
          <w:szCs w:val="22"/>
        </w:rPr>
        <w:t>An inventory of the individual's significant personal property shall be completed at admission and updated when items are added or removed. The individual and/or guardian shall sign the inventory at each annual review.</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loss, damage, or theft of personal property shall be reported to the Administrator immediately and documented. Stolen property shall be reported to law enforcement.</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Individual Fund Account / Ledger</w:t>
      </w:r>
    </w:p>
    <w:p>
      <w:pPr>
        <w:pStyle w:val="ListParagraph"/>
        <w:numPr>
          <w:ilvl w:val="0"/>
          <w:numId w:val="1"/>
        </w:numPr>
        <w:spacing w:before="30" w:after="30"/>
        <w:rPr/>
      </w:pPr>
      <w:r>
        <w:rPr>
          <w:rFonts w:eastAsia="Arial" w:cs="Arial"/>
          <w:sz w:val="22"/>
          <w:szCs w:val="22"/>
        </w:rPr>
        <w:t>Disbursement Authorization and Receipt Form</w:t>
      </w:r>
    </w:p>
    <w:p>
      <w:pPr>
        <w:pStyle w:val="ListParagraph"/>
        <w:numPr>
          <w:ilvl w:val="0"/>
          <w:numId w:val="1"/>
        </w:numPr>
        <w:spacing w:before="30" w:after="30"/>
        <w:rPr/>
      </w:pPr>
      <w:r>
        <w:rPr>
          <w:rFonts w:eastAsia="Arial" w:cs="Arial"/>
          <w:sz w:val="22"/>
          <w:szCs w:val="22"/>
        </w:rPr>
        <w:t>Monthly Account Statement</w:t>
      </w:r>
    </w:p>
    <w:p>
      <w:pPr>
        <w:pStyle w:val="ListParagraph"/>
        <w:numPr>
          <w:ilvl w:val="0"/>
          <w:numId w:val="1"/>
        </w:numPr>
        <w:spacing w:before="30" w:after="30"/>
        <w:rPr/>
      </w:pPr>
      <w:r>
        <w:rPr>
          <w:rFonts w:eastAsia="Arial" w:cs="Arial"/>
          <w:sz w:val="22"/>
          <w:szCs w:val="22"/>
        </w:rPr>
        <w:t>Personal Property Inventory Form</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D: MEDICATION MANAGEMENT</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#4.00: Medication Management — Ordering, Storage, Administration &amp; Monitoring</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Medication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4.00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MM.01–MM.09 (JC Medication Management); State QMAP / Medication Administration Regulations; Controlled Substances Act 21 U.S.C. §801; HIPAA; Individual Physician Orders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a comprehensive, safe medication management system that covers the full medication sub-process chain from procurement through monitoring and evaluation, in alignment with Joint Commission Medication Management standards. This policy ensures that medications are managed safely at every stage, that transitions of care include medication reconciliation, that high-alert medications receive enhanced safeguards, and that all adverse drug events are identified, reported, and acted upon.</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Medications shall be managed safely across all sub-processes. Only authorized, appropriately trained personnel shall administer medications. The Medication Administration Record (MAR) is the controlling document for all medication activities. Medication management processes shall be reviewed through the Quality Management Program and improved based on error, adverse event, and near-miss data.</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MAR (Medication Administration Record): The written or electronic record documenting all medications prescribed, scheduled, and administered, including date, time, dose, route, and administering staff's initials.</w:t>
      </w:r>
    </w:p>
    <w:p>
      <w:pPr>
        <w:pStyle w:val="ListParagraph"/>
        <w:numPr>
          <w:ilvl w:val="0"/>
          <w:numId w:val="1"/>
        </w:numPr>
        <w:spacing w:before="30" w:after="30"/>
        <w:rPr/>
      </w:pPr>
      <w:r>
        <w:rPr>
          <w:rFonts w:eastAsia="Arial" w:cs="Arial"/>
          <w:sz w:val="22"/>
          <w:szCs w:val="22"/>
        </w:rPr>
        <w:t>High-Alert Medication: A medication that bears a heightened risk of causing significant patient harm when used in error. Common high-alert medications in community residential settings include: anticoagulants (warfarin), insulin, opioid analgesics, sedatives/hypnotics, antiepileptics, and psychotropic medications.</w:t>
      </w:r>
    </w:p>
    <w:p>
      <w:pPr>
        <w:pStyle w:val="ListParagraph"/>
        <w:numPr>
          <w:ilvl w:val="0"/>
          <w:numId w:val="1"/>
        </w:numPr>
        <w:spacing w:before="30" w:after="30"/>
        <w:rPr/>
      </w:pPr>
      <w:r>
        <w:rPr>
          <w:rFonts w:eastAsia="Arial" w:cs="Arial"/>
          <w:sz w:val="22"/>
          <w:szCs w:val="22"/>
        </w:rPr>
        <w:t>Adverse Drug Event (ADE): Any injury resulting from medical intervention related to a drug, including adverse drug reactions, medication errors resulting in harm, and allergic reactions. ADEs are distinct from medication errors — an ADE may occur even without an error (adverse reaction to a correctly administered medication).</w:t>
      </w:r>
    </w:p>
    <w:p>
      <w:pPr>
        <w:pStyle w:val="ListParagraph"/>
        <w:numPr>
          <w:ilvl w:val="0"/>
          <w:numId w:val="1"/>
        </w:numPr>
        <w:spacing w:before="30" w:after="30"/>
        <w:rPr/>
      </w:pPr>
      <w:r>
        <w:rPr>
          <w:rFonts w:eastAsia="Arial" w:cs="Arial"/>
          <w:sz w:val="22"/>
          <w:szCs w:val="22"/>
        </w:rPr>
        <w:t>Medication Reconciliation: The process of comparing a patient's current medication orders to all medications the patient has been taking in order to avoid medication errors at transitions of care.</w:t>
      </w:r>
    </w:p>
    <w:p>
      <w:pPr>
        <w:pStyle w:val="ListParagraph"/>
        <w:numPr>
          <w:ilvl w:val="0"/>
          <w:numId w:val="1"/>
        </w:numPr>
        <w:spacing w:before="30" w:after="30"/>
        <w:rPr/>
      </w:pPr>
      <w:r>
        <w:rPr>
          <w:rFonts w:eastAsia="Arial" w:cs="Arial"/>
          <w:sz w:val="22"/>
          <w:szCs w:val="22"/>
        </w:rPr>
        <w:t>PRN (Pro Re Nata): A medication ordered to be given on an as-needed basis based on specific clinical criteria.</w:t>
      </w:r>
    </w:p>
    <w:p>
      <w:pPr>
        <w:pStyle w:val="Normal"/>
        <w:spacing w:before="120" w:after="40"/>
        <w:rPr/>
      </w:pPr>
      <w:r>
        <w:rPr>
          <w:rFonts w:eastAsia="Arial" w:cs="Arial"/>
          <w:b/>
          <w:bCs/>
          <w:color w:val="2E5DA8"/>
          <w:sz w:val="22"/>
          <w:szCs w:val="22"/>
        </w:rPr>
        <w:t>MEDICATION MANAGEMENT SUB-PROCESS FRAMEWORK</w:t>
      </w:r>
    </w:p>
    <w:p>
      <w:pPr>
        <w:pStyle w:val="Normal"/>
        <w:spacing w:before="40" w:after="60"/>
        <w:rPr/>
      </w:pPr>
      <w:r>
        <w:rPr>
          <w:rFonts w:eastAsia="Arial" w:cs="Arial"/>
          <w:sz w:val="22"/>
          <w:szCs w:val="22"/>
        </w:rPr>
        <w:t>The JC Medication Management standards require organizations to address medications across the full sub-process chain. This Provider's medication management framework encompasses the following sub-processes:</w:t>
      </w:r>
    </w:p>
    <w:p>
      <w:pPr>
        <w:pStyle w:val="Normal"/>
        <w:spacing w:before="30" w:after="30"/>
        <w:ind w:hanging="360" w:start="720"/>
        <w:rPr/>
      </w:pPr>
      <w:r>
        <w:rPr>
          <w:rFonts w:eastAsia="Arial" w:cs="Arial"/>
          <w:b/>
          <w:bCs/>
          <w:sz w:val="22"/>
          <w:szCs w:val="22"/>
        </w:rPr>
        <w:t xml:space="preserve">a.  </w:t>
      </w:r>
      <w:r>
        <w:rPr>
          <w:rFonts w:eastAsia="Arial" w:cs="Arial"/>
          <w:sz w:val="22"/>
          <w:szCs w:val="22"/>
        </w:rPr>
        <w:t>Selection &amp; Procurement — identifying needed medications, ordering from licensed pharmacies</w:t>
      </w:r>
    </w:p>
    <w:p>
      <w:pPr>
        <w:pStyle w:val="Normal"/>
        <w:spacing w:before="30" w:after="30"/>
        <w:ind w:hanging="360" w:start="720"/>
        <w:rPr/>
      </w:pPr>
      <w:r>
        <w:rPr>
          <w:rFonts w:eastAsia="Arial" w:cs="Arial"/>
          <w:b/>
          <w:bCs/>
          <w:sz w:val="22"/>
          <w:szCs w:val="22"/>
        </w:rPr>
        <w:t xml:space="preserve">b.  </w:t>
      </w:r>
      <w:r>
        <w:rPr>
          <w:rFonts w:eastAsia="Arial" w:cs="Arial"/>
          <w:sz w:val="22"/>
          <w:szCs w:val="22"/>
        </w:rPr>
        <w:t>Storage — securing medications appropriately by type, temperature requirements, and controlled substance classification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Ordering &amp; Transcribing — receiving and accurately documenting prescriber orders on the MAR</w:t>
      </w:r>
    </w:p>
    <w:p>
      <w:pPr>
        <w:pStyle w:val="Normal"/>
        <w:spacing w:before="30" w:after="30"/>
        <w:ind w:hanging="360" w:start="720"/>
        <w:rPr/>
      </w:pPr>
      <w:r>
        <w:rPr>
          <w:rFonts w:eastAsia="Arial" w:cs="Arial"/>
          <w:b/>
          <w:bCs/>
          <w:sz w:val="22"/>
          <w:szCs w:val="22"/>
        </w:rPr>
        <w:t xml:space="preserve">d.  </w:t>
      </w:r>
      <w:r>
        <w:rPr>
          <w:rFonts w:eastAsia="Arial" w:cs="Arial"/>
          <w:sz w:val="22"/>
          <w:szCs w:val="22"/>
        </w:rPr>
        <w:t>Dispensing — receiving medications from the pharmacy, verifying accuracy, and making available for administration</w:t>
      </w:r>
    </w:p>
    <w:p>
      <w:pPr>
        <w:pStyle w:val="Normal"/>
        <w:spacing w:before="30" w:after="30"/>
        <w:ind w:hanging="360" w:start="720"/>
        <w:rPr/>
      </w:pPr>
      <w:r>
        <w:rPr>
          <w:rFonts w:eastAsia="Arial" w:cs="Arial"/>
          <w:b/>
          <w:bCs/>
          <w:sz w:val="22"/>
          <w:szCs w:val="22"/>
        </w:rPr>
        <w:t xml:space="preserve">e.  </w:t>
      </w:r>
      <w:r>
        <w:rPr>
          <w:rFonts w:eastAsia="Arial" w:cs="Arial"/>
          <w:sz w:val="22"/>
          <w:szCs w:val="22"/>
        </w:rPr>
        <w:t>Administration — the actual preparation and delivery of the medication to the individual</w:t>
      </w:r>
    </w:p>
    <w:p>
      <w:pPr>
        <w:pStyle w:val="Normal"/>
        <w:spacing w:before="30" w:after="30"/>
        <w:ind w:hanging="360" w:start="720"/>
        <w:rPr/>
      </w:pPr>
      <w:r>
        <w:rPr>
          <w:rFonts w:eastAsia="Arial" w:cs="Arial"/>
          <w:b/>
          <w:bCs/>
          <w:sz w:val="22"/>
          <w:szCs w:val="22"/>
        </w:rPr>
        <w:t xml:space="preserve">f.  </w:t>
      </w:r>
      <w:r>
        <w:rPr>
          <w:rFonts w:eastAsia="Arial" w:cs="Arial"/>
          <w:sz w:val="22"/>
          <w:szCs w:val="22"/>
        </w:rPr>
        <w:t>Monitoring &amp; Evaluation — assessing the individual's response to medications, identifying ADEs, and communicating with prescribers</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Medication Procurement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Medications shall be ordered exclusively from licensed pharmacies with which this Provider maintains an active account.</w:t>
      </w:r>
    </w:p>
    <w:p>
      <w:pPr>
        <w:pStyle w:val="Normal"/>
        <w:spacing w:before="30" w:after="30"/>
        <w:ind w:hanging="360" w:start="720"/>
        <w:rPr/>
      </w:pPr>
      <w:r>
        <w:rPr>
          <w:rFonts w:eastAsia="Arial" w:cs="Arial"/>
          <w:b/>
          <w:bCs/>
          <w:sz w:val="22"/>
          <w:szCs w:val="22"/>
        </w:rPr>
        <w:t xml:space="preserve">b.  </w:t>
      </w:r>
      <w:r>
        <w:rPr>
          <w:rFonts w:eastAsia="Arial" w:cs="Arial"/>
          <w:sz w:val="22"/>
          <w:szCs w:val="22"/>
        </w:rPr>
        <w:t>New medication orders and prescription changes shall be communicated to the pharmacy within two (2) hours of receipt.</w:t>
      </w:r>
    </w:p>
    <w:p>
      <w:pPr>
        <w:pStyle w:val="Normal"/>
        <w:spacing w:before="30" w:after="30"/>
        <w:ind w:hanging="360" w:start="720"/>
        <w:rPr/>
      </w:pPr>
      <w:r>
        <w:rPr>
          <w:rFonts w:eastAsia="Arial" w:cs="Arial"/>
          <w:b/>
          <w:bCs/>
          <w:sz w:val="22"/>
          <w:szCs w:val="22"/>
        </w:rPr>
        <w:t xml:space="preserve">c.  </w:t>
      </w:r>
      <w:r>
        <w:rPr>
          <w:rFonts w:eastAsia="Arial" w:cs="Arial"/>
          <w:sz w:val="22"/>
          <w:szCs w:val="22"/>
        </w:rPr>
        <w:t>Refills for regularly scheduled medications shall be initiated at least seven (7) days before the current supply is exhausted.</w:t>
      </w:r>
    </w:p>
    <w:p>
      <w:pPr>
        <w:pStyle w:val="Normal"/>
        <w:spacing w:before="30" w:after="30"/>
        <w:ind w:hanging="360" w:start="720"/>
        <w:rPr/>
      </w:pPr>
      <w:r>
        <w:rPr>
          <w:rFonts w:eastAsia="Arial" w:cs="Arial"/>
          <w:b/>
          <w:bCs/>
          <w:sz w:val="22"/>
          <w:szCs w:val="22"/>
        </w:rPr>
        <w:t xml:space="preserve">d.  </w:t>
      </w:r>
      <w:r>
        <w:rPr>
          <w:rFonts w:eastAsia="Arial" w:cs="Arial"/>
          <w:sz w:val="22"/>
          <w:szCs w:val="22"/>
        </w:rPr>
        <w:t>No medication shall be obtained from any source other than a licensed pharmacy (e.g., no borrowing medications from other individuals or household members).</w:t>
      </w:r>
    </w:p>
    <w:p>
      <w:pPr>
        <w:pStyle w:val="Normal"/>
        <w:spacing w:before="140" w:after="60"/>
        <w:rPr/>
      </w:pPr>
      <w:r>
        <w:rPr>
          <w:rFonts w:eastAsia="Arial" w:cs="Arial"/>
          <w:b/>
          <w:bCs/>
          <w:sz w:val="22"/>
          <w:szCs w:val="22"/>
          <w:u w:val="single"/>
        </w:rPr>
        <w:t>B. Medication Storage</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medications shall be stored in a locked medication cabinet or container in a location that is temperature-appropriate per pharmacy instructions, inaccessible to unauthorized individuals, and separate from household cleaning products and hazardous materials.</w:t>
      </w:r>
    </w:p>
    <w:p>
      <w:pPr>
        <w:pStyle w:val="Normal"/>
        <w:spacing w:before="30" w:after="30"/>
        <w:ind w:hanging="360" w:start="720"/>
        <w:rPr/>
      </w:pPr>
      <w:r>
        <w:rPr>
          <w:rFonts w:eastAsia="Arial" w:cs="Arial"/>
          <w:b/>
          <w:bCs/>
          <w:sz w:val="22"/>
          <w:szCs w:val="22"/>
        </w:rPr>
        <w:t xml:space="preserve">b.  </w:t>
      </w:r>
      <w:r>
        <w:rPr>
          <w:rFonts w:eastAsia="Arial" w:cs="Arial"/>
          <w:sz w:val="22"/>
          <w:szCs w:val="22"/>
        </w:rPr>
        <w:t>Medications requiring refrigeration shall be stored in a dedicated, locked refrigerator or locked section of a refrigerator, maintaining proper temperature (generally 35°F–46°F / 2°C–8°C). Temperature shall be logged daily.</w:t>
      </w:r>
    </w:p>
    <w:p>
      <w:pPr>
        <w:pStyle w:val="Normal"/>
        <w:spacing w:before="30" w:after="30"/>
        <w:ind w:hanging="360" w:start="720"/>
        <w:rPr/>
      </w:pPr>
      <w:r>
        <w:rPr>
          <w:rFonts w:eastAsia="Arial" w:cs="Arial"/>
          <w:b/>
          <w:bCs/>
          <w:sz w:val="22"/>
          <w:szCs w:val="22"/>
        </w:rPr>
        <w:t xml:space="preserve">c.  </w:t>
      </w:r>
      <w:r>
        <w:rPr>
          <w:rFonts w:eastAsia="Arial" w:cs="Arial"/>
          <w:sz w:val="22"/>
          <w:szCs w:val="22"/>
        </w:rPr>
        <w:t>Controlled substances and high-alert medications shall be stored in a double-locked container per Policy 4.01.</w:t>
      </w:r>
    </w:p>
    <w:p>
      <w:pPr>
        <w:pStyle w:val="Normal"/>
        <w:spacing w:before="30" w:after="30"/>
        <w:ind w:hanging="360" w:start="720"/>
        <w:rPr/>
      </w:pPr>
      <w:r>
        <w:rPr>
          <w:rFonts w:eastAsia="Arial" w:cs="Arial"/>
          <w:b/>
          <w:bCs/>
          <w:sz w:val="22"/>
          <w:szCs w:val="22"/>
        </w:rPr>
        <w:t xml:space="preserve">d.  </w:t>
      </w:r>
      <w:r>
        <w:rPr>
          <w:rFonts w:eastAsia="Arial" w:cs="Arial"/>
          <w:sz w:val="22"/>
          <w:szCs w:val="22"/>
        </w:rPr>
        <w:t>Expired, discontinued, or unneeded medications shall be segregated immediately, labeled 'Do Not Use,' and disposed of per state and federal pharmacy law within thirty (30) days of discontinuation. Disposal shall be documented.</w:t>
      </w:r>
    </w:p>
    <w:p>
      <w:pPr>
        <w:pStyle w:val="Normal"/>
        <w:spacing w:before="140" w:after="60"/>
        <w:rPr/>
      </w:pPr>
      <w:r>
        <w:rPr>
          <w:rFonts w:eastAsia="Arial" w:cs="Arial"/>
          <w:b/>
          <w:bCs/>
          <w:sz w:val="22"/>
          <w:szCs w:val="22"/>
          <w:u w:val="single"/>
        </w:rPr>
        <w:t>C. Medication Ordering and Transcription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New medication orders shall be received in writing whenever possible. Verbal orders are only accepted in urgent situations and must be followed by written order within twenty-four (24) hours.</w:t>
      </w:r>
    </w:p>
    <w:p>
      <w:pPr>
        <w:pStyle w:val="Normal"/>
        <w:spacing w:before="30" w:after="30"/>
        <w:ind w:hanging="360" w:start="720"/>
        <w:rPr/>
      </w:pPr>
      <w:r>
        <w:rPr>
          <w:rFonts w:eastAsia="Arial" w:cs="Arial"/>
          <w:b/>
          <w:bCs/>
          <w:sz w:val="22"/>
          <w:szCs w:val="22"/>
        </w:rPr>
        <w:t xml:space="preserve">b.  </w:t>
      </w:r>
      <w:r>
        <w:rPr>
          <w:rFonts w:eastAsia="Arial" w:cs="Arial"/>
          <w:sz w:val="22"/>
          <w:szCs w:val="22"/>
        </w:rPr>
        <w:t>All orders shall be transcribed to the MAR within two (2) hours of receipt. MAR entries shall include: medication name (generic and brand), dose, route, frequency, prescriber name, and start date.</w:t>
      </w:r>
    </w:p>
    <w:p>
      <w:pPr>
        <w:pStyle w:val="Normal"/>
        <w:spacing w:before="30" w:after="30"/>
        <w:ind w:hanging="360" w:start="720"/>
        <w:rPr/>
      </w:pPr>
      <w:r>
        <w:rPr>
          <w:rFonts w:eastAsia="Arial" w:cs="Arial"/>
          <w:b/>
          <w:bCs/>
          <w:sz w:val="22"/>
          <w:szCs w:val="22"/>
        </w:rPr>
        <w:t xml:space="preserve">c.  </w:t>
      </w:r>
      <w:r>
        <w:rPr>
          <w:rFonts w:eastAsia="Arial" w:cs="Arial"/>
          <w:sz w:val="22"/>
          <w:szCs w:val="22"/>
        </w:rPr>
        <w:t>Any discrepancy between the pharmacy label and the written physician order shall be clarified with the prescribing physician and/or pharmacist before the medication is administered. No medication shall be given if an unresolved discrepancy exists.</w:t>
      </w:r>
    </w:p>
    <w:p>
      <w:pPr>
        <w:pStyle w:val="Normal"/>
        <w:spacing w:before="140" w:after="60"/>
        <w:rPr/>
      </w:pPr>
      <w:r>
        <w:rPr>
          <w:rFonts w:eastAsia="Arial" w:cs="Arial"/>
          <w:b/>
          <w:bCs/>
          <w:sz w:val="22"/>
          <w:szCs w:val="22"/>
          <w:u w:val="single"/>
        </w:rPr>
        <w:t>D. Medication Administration — The Six Rights</w:t>
      </w:r>
    </w:p>
    <w:p>
      <w:pPr>
        <w:pStyle w:val="Normal"/>
        <w:spacing w:before="40" w:after="60"/>
        <w:rPr/>
      </w:pPr>
      <w:r>
        <w:rPr>
          <w:rFonts w:eastAsia="Arial" w:cs="Arial"/>
          <w:sz w:val="22"/>
          <w:szCs w:val="22"/>
        </w:rPr>
        <w:t>Before every medication administration, the administering staff shall verify all Six Rights:</w:t>
      </w:r>
    </w:p>
    <w:p>
      <w:pPr>
        <w:pStyle w:val="Normal"/>
        <w:spacing w:before="30" w:after="30"/>
        <w:ind w:hanging="360" w:start="720"/>
        <w:rPr/>
      </w:pPr>
      <w:r>
        <w:rPr>
          <w:rFonts w:eastAsia="Arial" w:cs="Arial"/>
          <w:b/>
          <w:bCs/>
          <w:sz w:val="22"/>
          <w:szCs w:val="22"/>
        </w:rPr>
        <w:t xml:space="preserve">a.  </w:t>
      </w:r>
      <w:r>
        <w:rPr>
          <w:rFonts w:eastAsia="Arial" w:cs="Arial"/>
          <w:sz w:val="22"/>
          <w:szCs w:val="22"/>
        </w:rPr>
        <w:t>Right Individual — confirm identity using at least two identifiers (name and one additional: date of birth, photo ID, or specific identifier from the MAR)</w:t>
      </w:r>
    </w:p>
    <w:p>
      <w:pPr>
        <w:pStyle w:val="Normal"/>
        <w:spacing w:before="30" w:after="30"/>
        <w:ind w:hanging="360" w:start="720"/>
        <w:rPr/>
      </w:pPr>
      <w:r>
        <w:rPr>
          <w:rFonts w:eastAsia="Arial" w:cs="Arial"/>
          <w:b/>
          <w:bCs/>
          <w:sz w:val="22"/>
          <w:szCs w:val="22"/>
        </w:rPr>
        <w:t xml:space="preserve">b.  </w:t>
      </w:r>
      <w:r>
        <w:rPr>
          <w:rFonts w:eastAsia="Arial" w:cs="Arial"/>
          <w:sz w:val="22"/>
          <w:szCs w:val="22"/>
        </w:rPr>
        <w:t>Right Medication — confirm the medication name matches the MAR; do not administer look-alike or sound-alike medications without additional verification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Right Dose — confirm the dose matches the MAR and physician order exactly</w:t>
      </w:r>
    </w:p>
    <w:p>
      <w:pPr>
        <w:pStyle w:val="Normal"/>
        <w:spacing w:before="30" w:after="30"/>
        <w:ind w:hanging="360" w:start="720"/>
        <w:rPr/>
      </w:pPr>
      <w:r>
        <w:rPr>
          <w:rFonts w:eastAsia="Arial" w:cs="Arial"/>
          <w:b/>
          <w:bCs/>
          <w:sz w:val="22"/>
          <w:szCs w:val="22"/>
        </w:rPr>
        <w:t xml:space="preserve">d.  </w:t>
      </w:r>
      <w:r>
        <w:rPr>
          <w:rFonts w:eastAsia="Arial" w:cs="Arial"/>
          <w:sz w:val="22"/>
          <w:szCs w:val="22"/>
        </w:rPr>
        <w:t>Right Route — confirm the administration route as ordered; never substitute a route without prescriber authorization</w:t>
      </w:r>
    </w:p>
    <w:p>
      <w:pPr>
        <w:pStyle w:val="Normal"/>
        <w:spacing w:before="30" w:after="30"/>
        <w:ind w:hanging="360" w:start="720"/>
        <w:rPr/>
      </w:pPr>
      <w:r>
        <w:rPr>
          <w:rFonts w:eastAsia="Arial" w:cs="Arial"/>
          <w:b/>
          <w:bCs/>
          <w:sz w:val="22"/>
          <w:szCs w:val="22"/>
        </w:rPr>
        <w:t xml:space="preserve">e.  </w:t>
      </w:r>
      <w:r>
        <w:rPr>
          <w:rFonts w:eastAsia="Arial" w:cs="Arial"/>
          <w:sz w:val="22"/>
          <w:szCs w:val="22"/>
        </w:rPr>
        <w:t>Right Time — confirm the scheduled time; medications shall not be administered more than one (1) hour before or after the scheduled time without prescriber authorization</w:t>
      </w:r>
    </w:p>
    <w:p>
      <w:pPr>
        <w:pStyle w:val="Normal"/>
        <w:spacing w:before="30" w:after="30"/>
        <w:ind w:hanging="360" w:start="720"/>
        <w:rPr/>
      </w:pPr>
      <w:r>
        <w:rPr>
          <w:rFonts w:eastAsia="Arial" w:cs="Arial"/>
          <w:b/>
          <w:bCs/>
          <w:sz w:val="22"/>
          <w:szCs w:val="22"/>
        </w:rPr>
        <w:t xml:space="preserve">f.  </w:t>
      </w:r>
      <w:r>
        <w:rPr>
          <w:rFonts w:eastAsia="Arial" w:cs="Arial"/>
          <w:sz w:val="22"/>
          <w:szCs w:val="22"/>
        </w:rPr>
        <w:t>Right Documentation — document in the MAR immediately after administration; never document before administering</w:t>
      </w:r>
    </w:p>
    <w:p>
      <w:pPr>
        <w:pStyle w:val="Normal"/>
        <w:spacing w:before="40" w:after="60"/>
        <w:rPr/>
      </w:pPr>
      <w:r>
        <w:rPr>
          <w:rFonts w:eastAsia="Arial" w:cs="Arial"/>
          <w:sz w:val="22"/>
          <w:szCs w:val="22"/>
        </w:rPr>
        <w:t>Following verification of the Six Rights, the administering staff shall also:</w:t>
      </w:r>
    </w:p>
    <w:p>
      <w:pPr>
        <w:pStyle w:val="ListParagraph"/>
        <w:numPr>
          <w:ilvl w:val="0"/>
          <w:numId w:val="1"/>
        </w:numPr>
        <w:spacing w:before="30" w:after="30"/>
        <w:rPr/>
      </w:pPr>
      <w:r>
        <w:rPr>
          <w:rFonts w:eastAsia="Arial" w:cs="Arial"/>
          <w:sz w:val="22"/>
          <w:szCs w:val="22"/>
        </w:rPr>
        <w:t>Observe the individual take the medication (unless non-observation is specified in the care plan for a specific medication and individual)</w:t>
      </w:r>
    </w:p>
    <w:p>
      <w:pPr>
        <w:pStyle w:val="ListParagraph"/>
        <w:numPr>
          <w:ilvl w:val="0"/>
          <w:numId w:val="1"/>
        </w:numPr>
        <w:spacing w:before="30" w:after="30"/>
        <w:rPr/>
      </w:pPr>
      <w:r>
        <w:rPr>
          <w:rFonts w:eastAsia="Arial" w:cs="Arial"/>
          <w:sz w:val="22"/>
          <w:szCs w:val="22"/>
        </w:rPr>
        <w:t>Document the administration in the MAR immediately, including time, dose, and initials</w:t>
      </w:r>
    </w:p>
    <w:p>
      <w:pPr>
        <w:pStyle w:val="ListParagraph"/>
        <w:numPr>
          <w:ilvl w:val="0"/>
          <w:numId w:val="1"/>
        </w:numPr>
        <w:spacing w:before="30" w:after="30"/>
        <w:rPr/>
      </w:pPr>
      <w:r>
        <w:rPr>
          <w:rFonts w:eastAsia="Arial" w:cs="Arial"/>
          <w:sz w:val="22"/>
          <w:szCs w:val="22"/>
        </w:rPr>
        <w:t>For PRN medications: document the clinical indication for administration, the time administered, and the individual's response within one (1) hour</w:t>
      </w:r>
    </w:p>
    <w:p>
      <w:pPr>
        <w:pStyle w:val="Normal"/>
        <w:spacing w:before="140" w:after="60"/>
        <w:rPr/>
      </w:pPr>
      <w:r>
        <w:rPr>
          <w:rFonts w:eastAsia="Arial" w:cs="Arial"/>
          <w:b/>
          <w:bCs/>
          <w:sz w:val="22"/>
          <w:szCs w:val="22"/>
          <w:u w:val="single"/>
        </w:rPr>
        <w:t>E. Medication Reconciliation at Transitions of Care</w:t>
      </w:r>
    </w:p>
    <w:p>
      <w:pPr>
        <w:pStyle w:val="Normal"/>
        <w:spacing w:before="40" w:after="60"/>
        <w:rPr/>
      </w:pPr>
      <w:r>
        <w:rPr>
          <w:rFonts w:eastAsia="Arial" w:cs="Arial"/>
          <w:sz w:val="22"/>
          <w:szCs w:val="22"/>
        </w:rPr>
        <w:t>Medication reconciliation shall be performed at all transitions of care to prevent medication errors from omissions, duplications, dosing errors, or drug interactions: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AT ADMISSION: Staff shall reconcile the complete list of medications the individual was taking at their prior setting with the medications ordered at this placement. Any discrepancies shall be reported to the prescribing physician within four (4) hours of identification.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AT DISCHARGE / TRANSFER: Staff shall provide the receiving setting with a complete, current medication list including: medication name, dose, route, frequency, prescriber, and the time and date of the last administration. The list shall be signed and dated by the staff member preparing it.</w:t>
      </w:r>
    </w:p>
    <w:p>
      <w:pPr>
        <w:pStyle w:val="Normal"/>
        <w:spacing w:before="30" w:after="30"/>
        <w:ind w:hanging="360" w:start="720"/>
        <w:rPr/>
      </w:pPr>
      <w:r>
        <w:rPr>
          <w:rFonts w:eastAsia="Arial" w:cs="Arial"/>
          <w:b/>
          <w:bCs/>
          <w:sz w:val="22"/>
          <w:szCs w:val="22"/>
        </w:rPr>
        <w:t xml:space="preserve">c.  </w:t>
      </w:r>
      <w:r>
        <w:rPr>
          <w:rFonts w:eastAsia="Arial" w:cs="Arial"/>
          <w:sz w:val="22"/>
          <w:szCs w:val="22"/>
        </w:rPr>
        <w:t>AFTER HOSPITALIZATION: When an individual returns from a hospital stay, a full medication reconciliation shall be completed before the next scheduled medication administration. Hospital discharge medication lists shall be compared to pre-hospitalization medications. Any new medications or changes shall be verified with the prescribing provider before administration.</w:t>
      </w:r>
    </w:p>
    <w:p>
      <w:pPr>
        <w:pStyle w:val="Normal"/>
        <w:spacing w:before="30" w:after="30"/>
        <w:ind w:hanging="360" w:start="720"/>
        <w:rPr/>
      </w:pPr>
      <w:r>
        <w:rPr>
          <w:rFonts w:eastAsia="Arial" w:cs="Arial"/>
          <w:b/>
          <w:bCs/>
          <w:sz w:val="22"/>
          <w:szCs w:val="22"/>
        </w:rPr>
        <w:t xml:space="preserve">d.  </w:t>
      </w:r>
      <w:r>
        <w:rPr>
          <w:rFonts w:eastAsia="Arial" w:cs="Arial"/>
          <w:sz w:val="22"/>
          <w:szCs w:val="22"/>
        </w:rPr>
        <w:t>All medication reconciliation activities shall be documented in the clinical record.</w:t>
      </w:r>
    </w:p>
    <w:p>
      <w:pPr>
        <w:pStyle w:val="Normal"/>
        <w:spacing w:before="140" w:after="60"/>
        <w:rPr/>
      </w:pPr>
      <w:r>
        <w:rPr>
          <w:rFonts w:eastAsia="Arial" w:cs="Arial"/>
          <w:b/>
          <w:bCs/>
          <w:sz w:val="22"/>
          <w:szCs w:val="22"/>
          <w:u w:val="single"/>
        </w:rPr>
        <w:t>F. High-Alert Medications — Enhanced Safeguards</w:t>
      </w:r>
    </w:p>
    <w:p>
      <w:pPr>
        <w:pStyle w:val="Normal"/>
        <w:spacing w:before="40" w:after="60"/>
        <w:rPr/>
      </w:pPr>
      <w:r>
        <w:rPr>
          <w:rFonts w:eastAsia="Arial" w:cs="Arial"/>
          <w:sz w:val="22"/>
          <w:szCs w:val="22"/>
        </w:rPr>
        <w:t>High-alert medications require additional verification steps beyond the standard Six Rights. The following are considered high-alert in this setting:</w:t>
      </w:r>
    </w:p>
    <w:p>
      <w:pPr>
        <w:pStyle w:val="ListParagraph"/>
        <w:numPr>
          <w:ilvl w:val="0"/>
          <w:numId w:val="1"/>
        </w:numPr>
        <w:spacing w:before="30" w:after="30"/>
        <w:rPr/>
      </w:pPr>
      <w:r>
        <w:rPr>
          <w:rFonts w:eastAsia="Arial" w:cs="Arial"/>
          <w:sz w:val="22"/>
          <w:szCs w:val="22"/>
        </w:rPr>
        <w:t>Anticoagulants (e.g., warfarin, heparin, direct oral anticoagulants)</w:t>
      </w:r>
    </w:p>
    <w:p>
      <w:pPr>
        <w:pStyle w:val="ListParagraph"/>
        <w:numPr>
          <w:ilvl w:val="0"/>
          <w:numId w:val="1"/>
        </w:numPr>
        <w:spacing w:before="30" w:after="30"/>
        <w:rPr/>
      </w:pPr>
      <w:r>
        <w:rPr>
          <w:rFonts w:eastAsia="Arial" w:cs="Arial"/>
          <w:sz w:val="22"/>
          <w:szCs w:val="22"/>
        </w:rPr>
        <w:t>Insulin and other injectable hypoglycemic agents</w:t>
      </w:r>
    </w:p>
    <w:p>
      <w:pPr>
        <w:pStyle w:val="ListParagraph"/>
        <w:numPr>
          <w:ilvl w:val="0"/>
          <w:numId w:val="1"/>
        </w:numPr>
        <w:spacing w:before="30" w:after="30"/>
        <w:rPr/>
      </w:pPr>
      <w:r>
        <w:rPr>
          <w:rFonts w:eastAsia="Arial" w:cs="Arial"/>
          <w:sz w:val="22"/>
          <w:szCs w:val="22"/>
        </w:rPr>
        <w:t>Opioid analgesics and opioid-containing combination products</w:t>
      </w:r>
    </w:p>
    <w:p>
      <w:pPr>
        <w:pStyle w:val="ListParagraph"/>
        <w:numPr>
          <w:ilvl w:val="0"/>
          <w:numId w:val="1"/>
        </w:numPr>
        <w:spacing w:before="30" w:after="30"/>
        <w:rPr/>
      </w:pPr>
      <w:r>
        <w:rPr>
          <w:rFonts w:eastAsia="Arial" w:cs="Arial"/>
          <w:sz w:val="22"/>
          <w:szCs w:val="22"/>
        </w:rPr>
        <w:t>Sedatives, hypnotics, and benzodiazepines</w:t>
      </w:r>
    </w:p>
    <w:p>
      <w:pPr>
        <w:pStyle w:val="ListParagraph"/>
        <w:numPr>
          <w:ilvl w:val="0"/>
          <w:numId w:val="1"/>
        </w:numPr>
        <w:spacing w:before="30" w:after="30"/>
        <w:rPr/>
      </w:pPr>
      <w:r>
        <w:rPr>
          <w:rFonts w:eastAsia="Arial" w:cs="Arial"/>
          <w:sz w:val="22"/>
          <w:szCs w:val="22"/>
        </w:rPr>
        <w:t>Antiepileptic medications</w:t>
      </w:r>
    </w:p>
    <w:p>
      <w:pPr>
        <w:pStyle w:val="ListParagraph"/>
        <w:numPr>
          <w:ilvl w:val="0"/>
          <w:numId w:val="1"/>
        </w:numPr>
        <w:spacing w:before="30" w:after="30"/>
        <w:rPr/>
      </w:pPr>
      <w:r>
        <w:rPr>
          <w:rFonts w:eastAsia="Arial" w:cs="Arial"/>
          <w:sz w:val="22"/>
          <w:szCs w:val="22"/>
        </w:rPr>
        <w:t>Psychotropic medications (antipsychotics, mood stabilizers, lithium)</w:t>
      </w:r>
    </w:p>
    <w:p>
      <w:pPr>
        <w:pStyle w:val="ListParagraph"/>
        <w:numPr>
          <w:ilvl w:val="0"/>
          <w:numId w:val="1"/>
        </w:numPr>
        <w:spacing w:before="30" w:after="30"/>
        <w:rPr/>
      </w:pPr>
      <w:r>
        <w:rPr>
          <w:rFonts w:eastAsia="Arial" w:cs="Arial"/>
          <w:sz w:val="22"/>
          <w:szCs w:val="22"/>
        </w:rPr>
        <w:t>Any medication with a narrow therapeutic index</w:t>
      </w:r>
    </w:p>
    <w:p>
      <w:pPr>
        <w:pStyle w:val="Normal"/>
        <w:spacing w:before="40" w:after="60"/>
        <w:rPr/>
      </w:pPr>
      <w:r>
        <w:rPr>
          <w:rFonts w:eastAsia="Arial" w:cs="Arial"/>
          <w:sz w:val="22"/>
          <w:szCs w:val="22"/>
        </w:rPr>
        <w:t>For each high-alert medication administration, the Provider/staff shall:</w:t>
      </w:r>
    </w:p>
    <w:p>
      <w:pPr>
        <w:pStyle w:val="Normal"/>
        <w:spacing w:before="30" w:after="30"/>
        <w:ind w:hanging="360" w:start="720"/>
        <w:rPr/>
      </w:pPr>
      <w:r>
        <w:rPr>
          <w:rFonts w:eastAsia="Arial" w:cs="Arial"/>
          <w:b/>
          <w:bCs/>
          <w:sz w:val="22"/>
          <w:szCs w:val="22"/>
        </w:rPr>
        <w:t xml:space="preserve">a.  </w:t>
      </w:r>
      <w:r>
        <w:rPr>
          <w:rFonts w:eastAsia="Arial" w:cs="Arial"/>
          <w:sz w:val="22"/>
          <w:szCs w:val="22"/>
        </w:rPr>
        <w:t>Complete all Six Rights verification as standard</w:t>
      </w:r>
    </w:p>
    <w:p>
      <w:pPr>
        <w:pStyle w:val="Normal"/>
        <w:spacing w:before="30" w:after="30"/>
        <w:ind w:hanging="360" w:start="720"/>
        <w:rPr/>
      </w:pPr>
      <w:r>
        <w:rPr>
          <w:rFonts w:eastAsia="Arial" w:cs="Arial"/>
          <w:b/>
          <w:bCs/>
          <w:sz w:val="22"/>
          <w:szCs w:val="22"/>
        </w:rPr>
        <w:t xml:space="preserve">b.  </w:t>
      </w:r>
      <w:r>
        <w:rPr>
          <w:rFonts w:eastAsia="Arial" w:cs="Arial"/>
          <w:sz w:val="22"/>
          <w:szCs w:val="22"/>
        </w:rPr>
        <w:t>Double-check the dose calculation (if applicable) with a second staff member or pharmacist before administration whenever a second qualified person is available</w:t>
      </w:r>
    </w:p>
    <w:p>
      <w:pPr>
        <w:pStyle w:val="Normal"/>
        <w:spacing w:before="30" w:after="30"/>
        <w:ind w:hanging="360" w:start="720"/>
        <w:rPr/>
      </w:pPr>
      <w:r>
        <w:rPr>
          <w:rFonts w:eastAsia="Arial" w:cs="Arial"/>
          <w:b/>
          <w:bCs/>
          <w:sz w:val="22"/>
          <w:szCs w:val="22"/>
        </w:rPr>
        <w:t xml:space="preserve">c.  </w:t>
      </w:r>
      <w:r>
        <w:rPr>
          <w:rFonts w:eastAsia="Arial" w:cs="Arial"/>
          <w:sz w:val="22"/>
          <w:szCs w:val="22"/>
        </w:rPr>
        <w:t>Check and document relevant clinical parameters specified by the prescriber (e.g., blood glucose before insulin, INR before warfarin, heart rate before certain cardiac medications)</w:t>
      </w:r>
    </w:p>
    <w:p>
      <w:pPr>
        <w:pStyle w:val="Normal"/>
        <w:spacing w:before="30" w:after="30"/>
        <w:ind w:hanging="360" w:start="720"/>
        <w:rPr/>
      </w:pPr>
      <w:r>
        <w:rPr>
          <w:rFonts w:eastAsia="Arial" w:cs="Arial"/>
          <w:b/>
          <w:bCs/>
          <w:sz w:val="22"/>
          <w:szCs w:val="22"/>
        </w:rPr>
        <w:t xml:space="preserve">d.  </w:t>
      </w:r>
      <w:r>
        <w:rPr>
          <w:rFonts w:eastAsia="Arial" w:cs="Arial"/>
          <w:sz w:val="22"/>
          <w:szCs w:val="22"/>
        </w:rPr>
        <w:t>Document the clinical parameter check in the MAR alongside the administration record</w:t>
      </w:r>
    </w:p>
    <w:p>
      <w:pPr>
        <w:pStyle w:val="Normal"/>
        <w:spacing w:before="30" w:after="30"/>
        <w:ind w:hanging="360" w:start="720"/>
        <w:rPr/>
      </w:pPr>
      <w:r>
        <w:rPr>
          <w:rFonts w:eastAsia="Arial" w:cs="Arial"/>
          <w:b/>
          <w:bCs/>
          <w:sz w:val="22"/>
          <w:szCs w:val="22"/>
        </w:rPr>
        <w:t xml:space="preserve">e.  </w:t>
      </w:r>
      <w:r>
        <w:rPr>
          <w:rFonts w:eastAsia="Arial" w:cs="Arial"/>
          <w:sz w:val="22"/>
          <w:szCs w:val="22"/>
        </w:rPr>
        <w:t>Know and document the signs of toxicity or adverse effects specific to each high-alert medication, and report any such signs immediately to the prescribing provider</w:t>
      </w:r>
    </w:p>
    <w:p>
      <w:pPr>
        <w:pStyle w:val="Normal"/>
        <w:spacing w:before="140" w:after="60"/>
        <w:rPr/>
      </w:pPr>
      <w:r>
        <w:rPr>
          <w:rFonts w:eastAsia="Arial" w:cs="Arial"/>
          <w:b/>
          <w:bCs/>
          <w:sz w:val="22"/>
          <w:szCs w:val="22"/>
          <w:u w:val="single"/>
        </w:rPr>
        <w:t>G. Adverse Drug Event (ADE) Monitoring and Reporting</w:t>
      </w:r>
    </w:p>
    <w:p>
      <w:pPr>
        <w:pStyle w:val="Normal"/>
        <w:spacing w:before="40" w:after="60"/>
        <w:rPr/>
      </w:pPr>
      <w:r>
        <w:rPr>
          <w:rFonts w:eastAsia="Arial" w:cs="Arial"/>
          <w:sz w:val="22"/>
          <w:szCs w:val="22"/>
        </w:rPr>
        <w:t>Adverse Drug Events are distinct from medication errors and require active monitoring:</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monitor each individual for adverse effects of prescribed medications at every shift, using the individual's established baseline as the reference point. Changes in behavior, physical condition, or vital signs that may indicate an adverse drug reaction shall be documented and reported.</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suspected adverse drug reaction — rash, allergic response, change in mental status, new physical symptom following medication change — shall be reported to the prescribing provider within four (4) hours and documented in the clinical record.</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ADEs, whether or not an error was involved, shall be documented on an Adverse Drug Event Report and reviewed by the Administrator within twenty-four (24) hours.</w:t>
      </w:r>
    </w:p>
    <w:p>
      <w:pPr>
        <w:pStyle w:val="Normal"/>
        <w:spacing w:before="30" w:after="30"/>
        <w:ind w:hanging="360" w:start="720"/>
        <w:rPr/>
      </w:pPr>
      <w:r>
        <w:rPr>
          <w:rFonts w:eastAsia="Arial" w:cs="Arial"/>
          <w:b/>
          <w:bCs/>
          <w:sz w:val="22"/>
          <w:szCs w:val="22"/>
        </w:rPr>
        <w:t xml:space="preserve">d.  </w:t>
      </w:r>
      <w:r>
        <w:rPr>
          <w:rFonts w:eastAsia="Arial" w:cs="Arial"/>
          <w:sz w:val="22"/>
          <w:szCs w:val="22"/>
        </w:rPr>
        <w:t>Aggregate ADE data shall be tracked monthly in the Quality Management log and reviewed at the quarterly QM meeting to identify patterns. Recurring ADEs with specific medications shall trigger a review with the prescribing provider.</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prescribing provider shall be contacted immediately (911 if life-threatening) for any ADE that results in: a significant change in the individual's condition, a visit to an emergency department or hospital, or an overdose or toxicity reaction.</w:t>
      </w:r>
    </w:p>
    <w:p>
      <w:pPr>
        <w:pStyle w:val="Normal"/>
        <w:spacing w:before="140" w:after="60"/>
        <w:rPr/>
      </w:pPr>
      <w:r>
        <w:rPr>
          <w:rFonts w:eastAsia="Arial" w:cs="Arial"/>
          <w:b/>
          <w:bCs/>
          <w:sz w:val="22"/>
          <w:szCs w:val="22"/>
          <w:u w:val="single"/>
        </w:rPr>
        <w:t>H. Medication Monitoring and Evaluation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monitor and document the individual's response to all medications at each shift, noting: effectiveness for the intended purpose (e.g., pain relief, seizure control, mood stability), any concerning changes in condition, and any refusals or observed difficulties with administration.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Monitoring findings shall be communicated to the prescribing physician at all regularly scheduled appointments and immediately if a significant concern arises.</w:t>
      </w:r>
    </w:p>
    <w:p>
      <w:pPr>
        <w:pStyle w:val="Normal"/>
        <w:spacing w:before="30" w:after="30"/>
        <w:ind w:hanging="360" w:start="720"/>
        <w:rPr/>
      </w:pPr>
      <w:r>
        <w:rPr>
          <w:rFonts w:eastAsia="Arial" w:cs="Arial"/>
          <w:b/>
          <w:bCs/>
          <w:sz w:val="22"/>
          <w:szCs w:val="22"/>
        </w:rPr>
        <w:t xml:space="preserve">c.  </w:t>
      </w:r>
      <w:r>
        <w:rPr>
          <w:rFonts w:eastAsia="Arial" w:cs="Arial"/>
          <w:sz w:val="22"/>
          <w:szCs w:val="22"/>
        </w:rPr>
        <w:t>When a medication is discontinued, staff shall document the reason for discontinuation and monitor for withdrawal effects per prescriber instructions.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Medication Administration Record (MAR)</w:t>
      </w:r>
    </w:p>
    <w:p>
      <w:pPr>
        <w:pStyle w:val="ListParagraph"/>
        <w:numPr>
          <w:ilvl w:val="0"/>
          <w:numId w:val="1"/>
        </w:numPr>
        <w:spacing w:before="30" w:after="30"/>
        <w:rPr/>
      </w:pPr>
      <w:r>
        <w:rPr>
          <w:rFonts w:eastAsia="Arial" w:cs="Arial"/>
          <w:sz w:val="22"/>
          <w:szCs w:val="22"/>
        </w:rPr>
        <w:t>High-Alert Medication Verification Log</w:t>
      </w:r>
    </w:p>
    <w:p>
      <w:pPr>
        <w:pStyle w:val="ListParagraph"/>
        <w:numPr>
          <w:ilvl w:val="0"/>
          <w:numId w:val="1"/>
        </w:numPr>
        <w:spacing w:before="30" w:after="30"/>
        <w:rPr/>
      </w:pPr>
      <w:r>
        <w:rPr>
          <w:rFonts w:eastAsia="Arial" w:cs="Arial"/>
          <w:sz w:val="22"/>
          <w:szCs w:val="22"/>
        </w:rPr>
        <w:t>Adverse Drug Event Report</w:t>
      </w:r>
    </w:p>
    <w:p>
      <w:pPr>
        <w:pStyle w:val="ListParagraph"/>
        <w:numPr>
          <w:ilvl w:val="0"/>
          <w:numId w:val="1"/>
        </w:numPr>
        <w:spacing w:before="30" w:after="30"/>
        <w:rPr/>
      </w:pPr>
      <w:r>
        <w:rPr>
          <w:rFonts w:eastAsia="Arial" w:cs="Arial"/>
          <w:sz w:val="22"/>
          <w:szCs w:val="22"/>
        </w:rPr>
        <w:t>Medication Reconciliation Form</w:t>
      </w:r>
    </w:p>
    <w:p>
      <w:pPr>
        <w:pStyle w:val="ListParagraph"/>
        <w:numPr>
          <w:ilvl w:val="0"/>
          <w:numId w:val="1"/>
        </w:numPr>
        <w:spacing w:before="30" w:after="30"/>
        <w:rPr/>
      </w:pPr>
      <w:r>
        <w:rPr>
          <w:rFonts w:eastAsia="Arial" w:cs="Arial"/>
          <w:sz w:val="22"/>
          <w:szCs w:val="22"/>
        </w:rPr>
        <w:t>Controlled Substances Count Sheet — Appendix C</w:t>
      </w:r>
    </w:p>
    <w:p>
      <w:pPr>
        <w:pStyle w:val="ListParagraph"/>
        <w:numPr>
          <w:ilvl w:val="0"/>
          <w:numId w:val="1"/>
        </w:numPr>
        <w:spacing w:before="30" w:after="30"/>
        <w:rPr/>
      </w:pPr>
      <w:r>
        <w:rPr>
          <w:rFonts w:eastAsia="Arial" w:cs="Arial"/>
          <w:sz w:val="22"/>
          <w:szCs w:val="22"/>
        </w:rPr>
        <w:t>Medication Error Report — Policy 4.03</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#4.01: Controlled Substances &amp; Narcotics Management</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Medication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4.01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21 U.S.C. §801 (Controlled Substances Act); DEA 21 CFR Part 1301; MM.04 (JC Controlled Substances); State Controlled Substance Regulations; Policy 4.00</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strict controls for the procurement, storage, counting, administration, waste, and disposal of all controlled substances and narcotics, in compliance with federal DEA regulations and applicable state law, and to ensure that any discrepancy, loss, or diversion is identified and reported promptly.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Controlled substances are among the highest-risk medications in any residential setting. This Provider shall maintain a double-locked storage system, a perpetual inventory record, and a shift-change count protocol verified by two authorized individuals. Any count discrepancy, loss, theft, or suspected diversion shall be treated as a critical safety event, investigated immediately, and reported to law enforcement and the prescribing physician.</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Storage</w:t>
      </w:r>
    </w:p>
    <w:p>
      <w:pPr>
        <w:pStyle w:val="Normal"/>
        <w:spacing w:before="30" w:after="30"/>
        <w:ind w:hanging="360" w:start="720"/>
        <w:rPr/>
      </w:pPr>
      <w:r>
        <w:rPr>
          <w:rFonts w:eastAsia="Arial" w:cs="Arial"/>
          <w:b/>
          <w:bCs/>
          <w:sz w:val="22"/>
          <w:szCs w:val="22"/>
        </w:rPr>
        <w:t xml:space="preserve">a.  </w:t>
      </w:r>
      <w:r>
        <w:rPr>
          <w:rFonts w:eastAsia="Arial" w:cs="Arial"/>
          <w:sz w:val="22"/>
          <w:szCs w:val="22"/>
        </w:rPr>
        <w:t>Controlled substances shall be stored in a double-locked, fixed security container accessible only to authorized, trained staff. Keys or access codes shall not be shared and shall be transferred person-to-person at each shift change.</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controlled substance count sheet shall be maintained in or adjacent to the locked storage, accessible only to authorized staff.</w:t>
      </w:r>
    </w:p>
    <w:p>
      <w:pPr>
        <w:pStyle w:val="Normal"/>
        <w:spacing w:before="140" w:after="60"/>
        <w:rPr/>
      </w:pPr>
      <w:r>
        <w:rPr>
          <w:rFonts w:eastAsia="Arial" w:cs="Arial"/>
          <w:b/>
          <w:bCs/>
          <w:sz w:val="22"/>
          <w:szCs w:val="22"/>
          <w:u w:val="single"/>
        </w:rPr>
        <w:t>B. Shift-Change Count Protocol</w:t>
      </w:r>
    </w:p>
    <w:p>
      <w:pPr>
        <w:pStyle w:val="Normal"/>
        <w:spacing w:before="30" w:after="30"/>
        <w:ind w:hanging="360" w:start="720"/>
        <w:rPr/>
      </w:pPr>
      <w:r>
        <w:rPr>
          <w:rFonts w:eastAsia="Arial" w:cs="Arial"/>
          <w:b/>
          <w:bCs/>
          <w:sz w:val="22"/>
          <w:szCs w:val="22"/>
        </w:rPr>
        <w:t xml:space="preserve">a.  </w:t>
      </w:r>
      <w:r>
        <w:rPr>
          <w:rFonts w:eastAsia="Arial" w:cs="Arial"/>
          <w:sz w:val="22"/>
          <w:szCs w:val="22"/>
        </w:rPr>
        <w:t>At every shift change, the outgoing and incoming staff member shall together count all controlled substances and verify the count against the Narcotics &amp; Controlled Substances Count Sheet (Appendix C).</w:t>
      </w:r>
    </w:p>
    <w:p>
      <w:pPr>
        <w:pStyle w:val="Normal"/>
        <w:spacing w:before="30" w:after="30"/>
        <w:ind w:hanging="360" w:start="720"/>
        <w:rPr/>
      </w:pPr>
      <w:r>
        <w:rPr>
          <w:rFonts w:eastAsia="Arial" w:cs="Arial"/>
          <w:b/>
          <w:bCs/>
          <w:sz w:val="22"/>
          <w:szCs w:val="22"/>
        </w:rPr>
        <w:t xml:space="preserve">b.  </w:t>
      </w:r>
      <w:r>
        <w:rPr>
          <w:rFonts w:eastAsia="Arial" w:cs="Arial"/>
          <w:sz w:val="22"/>
          <w:szCs w:val="22"/>
        </w:rPr>
        <w:t>Both staff shall sign the count sheet attesting to the accuracy of the count, the time, and any notes regarding condition of the supply.</w:t>
      </w:r>
    </w:p>
    <w:p>
      <w:pPr>
        <w:pStyle w:val="Normal"/>
        <w:spacing w:before="30" w:after="30"/>
        <w:ind w:hanging="360" w:start="720"/>
        <w:rPr/>
      </w:pPr>
      <w:r>
        <w:rPr>
          <w:rFonts w:eastAsia="Arial" w:cs="Arial"/>
          <w:b/>
          <w:bCs/>
          <w:sz w:val="22"/>
          <w:szCs w:val="22"/>
        </w:rPr>
        <w:t xml:space="preserve">c.  </w:t>
      </w:r>
      <w:r>
        <w:rPr>
          <w:rFonts w:eastAsia="Arial" w:cs="Arial"/>
          <w:sz w:val="22"/>
          <w:szCs w:val="22"/>
        </w:rPr>
        <w:t>If a count discrepancy is found: do not administer additional doses from the affected supply, immediately contact the Administrator, document all circumstances on the count sheet and in an Incident Report, and do not alter, destroy, or move any records or supplies until the investigation is complete.</w:t>
      </w:r>
    </w:p>
    <w:p>
      <w:pPr>
        <w:pStyle w:val="Normal"/>
        <w:spacing w:before="140" w:after="60"/>
        <w:rPr/>
      </w:pPr>
      <w:r>
        <w:rPr>
          <w:rFonts w:eastAsia="Arial" w:cs="Arial"/>
          <w:b/>
          <w:bCs/>
          <w:sz w:val="22"/>
          <w:szCs w:val="22"/>
          <w:u w:val="single"/>
        </w:rPr>
        <w:t>C. Administration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Controlled substance administration shall follow all procedures in Policy 4.00 (Six Rights, high-alert safeguards) with the additional requirement that when a second qualified staff member is present, they shall witness and co-sign the administration in the MAR and on the count sheet.</w:t>
      </w:r>
    </w:p>
    <w:p>
      <w:pPr>
        <w:pStyle w:val="Normal"/>
        <w:spacing w:before="30" w:after="30"/>
        <w:ind w:hanging="360" w:start="720"/>
        <w:rPr/>
      </w:pPr>
      <w:r>
        <w:rPr>
          <w:rFonts w:eastAsia="Arial" w:cs="Arial"/>
          <w:b/>
          <w:bCs/>
          <w:sz w:val="22"/>
          <w:szCs w:val="22"/>
        </w:rPr>
        <w:t xml:space="preserve">b.  </w:t>
      </w:r>
      <w:r>
        <w:rPr>
          <w:rFonts w:eastAsia="Arial" w:cs="Arial"/>
          <w:sz w:val="22"/>
          <w:szCs w:val="22"/>
        </w:rPr>
        <w:t>Single staff administrations shall be documented with the staff name, time, dose, and the count before and after administration.</w:t>
      </w:r>
    </w:p>
    <w:p>
      <w:pPr>
        <w:pStyle w:val="Normal"/>
        <w:spacing w:before="140" w:after="60"/>
        <w:rPr/>
      </w:pPr>
      <w:r>
        <w:rPr>
          <w:rFonts w:eastAsia="Arial" w:cs="Arial"/>
          <w:b/>
          <w:bCs/>
          <w:sz w:val="22"/>
          <w:szCs w:val="22"/>
          <w:u w:val="single"/>
        </w:rPr>
        <w:t>D. Waste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partial dose that must be wasted (e.g., pre-filled syringe with excess medication) shall be wasted in the presence of a witness when available, with both the administering staff and witness signing the waste record.</w:t>
      </w:r>
    </w:p>
    <w:p>
      <w:pPr>
        <w:pStyle w:val="Normal"/>
        <w:spacing w:before="30" w:after="30"/>
        <w:ind w:hanging="360" w:start="720"/>
        <w:rPr/>
      </w:pPr>
      <w:r>
        <w:rPr>
          <w:rFonts w:eastAsia="Arial" w:cs="Arial"/>
          <w:b/>
          <w:bCs/>
          <w:sz w:val="22"/>
          <w:szCs w:val="22"/>
        </w:rPr>
        <w:t xml:space="preserve">b.  </w:t>
      </w:r>
      <w:r>
        <w:rPr>
          <w:rFonts w:eastAsia="Arial" w:cs="Arial"/>
          <w:sz w:val="22"/>
          <w:szCs w:val="22"/>
        </w:rPr>
        <w:t>If no witness is available, the administering staff shall document the waste with the amount, method of destruction, date, and time, and shall notify the Administrator.</w:t>
      </w:r>
    </w:p>
    <w:p>
      <w:pPr>
        <w:pStyle w:val="Normal"/>
        <w:spacing w:before="140" w:after="60"/>
        <w:rPr/>
      </w:pPr>
      <w:r>
        <w:rPr>
          <w:rFonts w:eastAsia="Arial" w:cs="Arial"/>
          <w:b/>
          <w:bCs/>
          <w:sz w:val="22"/>
          <w:szCs w:val="22"/>
          <w:u w:val="single"/>
        </w:rPr>
        <w:t>E. Disposal of Discontinued or Expired Controlled Substances</w:t>
      </w:r>
    </w:p>
    <w:p>
      <w:pPr>
        <w:pStyle w:val="Normal"/>
        <w:spacing w:before="30" w:after="30"/>
        <w:ind w:hanging="360" w:start="720"/>
        <w:rPr/>
      </w:pPr>
      <w:r>
        <w:rPr>
          <w:rFonts w:eastAsia="Arial" w:cs="Arial"/>
          <w:b/>
          <w:bCs/>
          <w:sz w:val="22"/>
          <w:szCs w:val="22"/>
        </w:rPr>
        <w:t xml:space="preserve">a.  </w:t>
      </w:r>
      <w:r>
        <w:rPr>
          <w:rFonts w:eastAsia="Arial" w:cs="Arial"/>
          <w:sz w:val="22"/>
          <w:szCs w:val="22"/>
        </w:rPr>
        <w:t>Discontinued, expired, or returned controlled substances shall be disposed of using a DEA-authorized method: an authorized take-back program, DEA-compliant destruction kit, or licensed reverse distributor.</w:t>
      </w:r>
    </w:p>
    <w:p>
      <w:pPr>
        <w:pStyle w:val="Normal"/>
        <w:spacing w:before="30" w:after="30"/>
        <w:ind w:hanging="360" w:start="720"/>
        <w:rPr/>
      </w:pPr>
      <w:r>
        <w:rPr>
          <w:rFonts w:eastAsia="Arial" w:cs="Arial"/>
          <w:b/>
          <w:bCs/>
          <w:sz w:val="22"/>
          <w:szCs w:val="22"/>
        </w:rPr>
        <w:t xml:space="preserve">b.  </w:t>
      </w:r>
      <w:r>
        <w:rPr>
          <w:rFonts w:eastAsia="Arial" w:cs="Arial"/>
          <w:sz w:val="22"/>
          <w:szCs w:val="22"/>
        </w:rPr>
        <w:t>Disposal shall be witnessed by two authorized individuals whenever possible and documented with: medication name, dose, quantity disposed, date, method, and signatures of both witnesses.</w:t>
      </w:r>
    </w:p>
    <w:p>
      <w:pPr>
        <w:pStyle w:val="Normal"/>
        <w:spacing w:before="140" w:after="60"/>
        <w:rPr/>
      </w:pPr>
      <w:r>
        <w:rPr>
          <w:rFonts w:eastAsia="Arial" w:cs="Arial"/>
          <w:b/>
          <w:bCs/>
          <w:sz w:val="22"/>
          <w:szCs w:val="22"/>
          <w:u w:val="single"/>
        </w:rPr>
        <w:t>F. Reporting of Discrepancies, Theft, or Diversion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unresolved count discrepancy, suspected theft, or suspected diversion shall be reported to: the Administrator immediately, law enforcement as required by state law, the prescribing physician, and the DEA if required by federal regulation.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All documentation related to the incident shall be preserved and made available for investigation.</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Narcotics &amp; Controlled Substances Count Sheet — Appendix C</w:t>
      </w:r>
    </w:p>
    <w:p>
      <w:pPr>
        <w:pStyle w:val="ListParagraph"/>
        <w:numPr>
          <w:ilvl w:val="0"/>
          <w:numId w:val="1"/>
        </w:numPr>
        <w:spacing w:before="30" w:after="30"/>
        <w:rPr/>
      </w:pPr>
      <w:r>
        <w:rPr>
          <w:rFonts w:eastAsia="Arial" w:cs="Arial"/>
          <w:sz w:val="22"/>
          <w:szCs w:val="22"/>
        </w:rPr>
        <w:t>Waste Documentation Record</w:t>
      </w:r>
    </w:p>
    <w:p>
      <w:pPr>
        <w:pStyle w:val="ListParagraph"/>
        <w:numPr>
          <w:ilvl w:val="0"/>
          <w:numId w:val="1"/>
        </w:numPr>
        <w:spacing w:before="30" w:after="30"/>
        <w:rPr/>
      </w:pPr>
      <w:r>
        <w:rPr>
          <w:rFonts w:eastAsia="Arial" w:cs="Arial"/>
          <w:sz w:val="22"/>
          <w:szCs w:val="22"/>
        </w:rPr>
        <w:t>Incident Report Form — Policy 5.00</w:t>
      </w:r>
    </w:p>
    <w:p>
      <w:pPr>
        <w:pStyle w:val="ListParagraph"/>
        <w:numPr>
          <w:ilvl w:val="0"/>
          <w:numId w:val="1"/>
        </w:numPr>
        <w:spacing w:before="30" w:after="30"/>
        <w:rPr/>
      </w:pPr>
      <w:r>
        <w:rPr>
          <w:rFonts w:eastAsia="Arial" w:cs="Arial"/>
          <w:sz w:val="22"/>
          <w:szCs w:val="22"/>
        </w:rPr>
        <w:t>Adverse Drug Event Report — Policy 4.00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#4.02: Self-Administration of Medications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Medication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4.02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MM.04 (JC Self-Administration); State QMAP / Medication Administration Regulations; Individual PCP/ISP; Physician Order</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define the criteria, authorization process, level of supervision, and safeguards for self-administration of medications by individuals in this setting, and to ensure that self-administration is appropriately monitored for safety and accuracy.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An individual may self-administer medications only when a licensed prescribing practitioner has documented that the individual is capable of safe self-administration of specific medications, and when this authorization is reflected in the individual's current PCP/ISP. Self-administration is a skill and a right — it shall be actively supported when safe and appropriate. Staff shall provide oversight without removing the individual's autonomy.</w:t>
      </w:r>
    </w:p>
    <w:p>
      <w:pPr>
        <w:pStyle w:val="Normal"/>
        <w:spacing w:before="120" w:after="40"/>
        <w:rPr/>
      </w:pPr>
      <w:r>
        <w:rPr>
          <w:rFonts w:eastAsia="Arial" w:cs="Arial"/>
          <w:b/>
          <w:bCs/>
          <w:color w:val="2E5DA8"/>
          <w:sz w:val="22"/>
          <w:szCs w:val="22"/>
        </w:rPr>
        <w:t>CRITERIA FOR SELF-ADMINISTRATION AUTHORIZATION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 licensed prescribing practitioner has issued a written order stating the individual is capable of self-administering specified medications.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PCP/ISP reflects self-medication administration as a support goal or current strategy.</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individual can correctly identify each medication, understand the purpose and dose, and recognize their own medications by appearance.</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individual has demonstrated a consistent pattern of safe self-administration without error over a documented observation period.</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Authorization Process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Provider/Administrator shall obtain the prescribing practitioner's written self-administration order and file it in the clinical record and MAR before self-administration begins.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PCP/ISP shall be updated to reflect self-administration at the next plan meeting or via an interim plan update.</w:t>
      </w:r>
    </w:p>
    <w:p>
      <w:pPr>
        <w:pStyle w:val="Normal"/>
        <w:spacing w:before="140" w:after="60"/>
        <w:rPr/>
      </w:pPr>
      <w:r>
        <w:rPr>
          <w:rFonts w:eastAsia="Arial" w:cs="Arial"/>
          <w:b/>
          <w:bCs/>
          <w:sz w:val="22"/>
          <w:szCs w:val="22"/>
          <w:u w:val="single"/>
        </w:rPr>
        <w:t>B. Staff Monitoring During Self-Administration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Even when self-administration is authorized, staff shall observe or be in proximity to confirm: the correct medication and dose are selected, the medication is taken at the scheduled time, and the individual does not exhibit signs of confusion about their medications.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degree of staff oversight (direct observation vs. proximity vs. medication access only) shall be specified in the PCP/ISP and the physician's order.</w:t>
      </w:r>
    </w:p>
    <w:p>
      <w:pPr>
        <w:pStyle w:val="Normal"/>
        <w:spacing w:before="30" w:after="30"/>
        <w:ind w:hanging="360" w:start="720"/>
        <w:rPr/>
      </w:pPr>
      <w:r>
        <w:rPr>
          <w:rFonts w:eastAsia="Arial" w:cs="Arial"/>
          <w:b/>
          <w:bCs/>
          <w:sz w:val="22"/>
          <w:szCs w:val="22"/>
        </w:rPr>
        <w:t xml:space="preserve">c.  </w:t>
      </w:r>
      <w:r>
        <w:rPr>
          <w:rFonts w:eastAsia="Arial" w:cs="Arial"/>
          <w:sz w:val="22"/>
          <w:szCs w:val="22"/>
        </w:rPr>
        <w:t>Each self-administration shall be documented in the MAR with a notation that the individual self-administered under staff observation (or per the level of supervision specified).</w:t>
      </w:r>
    </w:p>
    <w:p>
      <w:pPr>
        <w:pStyle w:val="Normal"/>
        <w:spacing w:before="140" w:after="60"/>
        <w:rPr/>
      </w:pPr>
      <w:r>
        <w:rPr>
          <w:rFonts w:eastAsia="Arial" w:cs="Arial"/>
          <w:b/>
          <w:bCs/>
          <w:sz w:val="22"/>
          <w:szCs w:val="22"/>
          <w:u w:val="single"/>
        </w:rPr>
        <w:t>C. Mismanagement Response Protocol</w:t>
      </w:r>
    </w:p>
    <w:p>
      <w:pPr>
        <w:pStyle w:val="Normal"/>
        <w:spacing w:before="30" w:after="30"/>
        <w:ind w:hanging="360" w:start="720"/>
        <w:rPr/>
      </w:pPr>
      <w:r>
        <w:rPr>
          <w:rFonts w:eastAsia="Arial" w:cs="Arial"/>
          <w:b/>
          <w:bCs/>
          <w:sz w:val="22"/>
          <w:szCs w:val="22"/>
        </w:rPr>
        <w:t xml:space="preserve">a.  </w:t>
      </w:r>
      <w:r>
        <w:rPr>
          <w:rFonts w:eastAsia="Arial" w:cs="Arial"/>
          <w:sz w:val="22"/>
          <w:szCs w:val="22"/>
        </w:rPr>
        <w:t>If an individual self-administering medications is found to have: taken the wrong medication, taken the wrong dose, missed doses consistently, stockpiled medications, or taken medications belonging to another household member — the following steps shall be taken immediately:</w:t>
      </w:r>
    </w:p>
    <w:p>
      <w:pPr>
        <w:pStyle w:val="ListParagraph"/>
        <w:numPr>
          <w:ilvl w:val="1"/>
          <w:numId w:val="1"/>
        </w:numPr>
        <w:spacing w:before="30" w:after="30"/>
        <w:rPr/>
      </w:pPr>
      <w:r>
        <w:rPr>
          <w:rFonts w:eastAsia="Arial" w:cs="Arial"/>
          <w:sz w:val="22"/>
          <w:szCs w:val="22"/>
        </w:rPr>
        <w:t>Notify the Administrator</w:t>
      </w:r>
    </w:p>
    <w:p>
      <w:pPr>
        <w:pStyle w:val="ListParagraph"/>
        <w:numPr>
          <w:ilvl w:val="1"/>
          <w:numId w:val="1"/>
        </w:numPr>
        <w:spacing w:before="30" w:after="30"/>
        <w:rPr/>
      </w:pPr>
      <w:r>
        <w:rPr>
          <w:rFonts w:eastAsia="Arial" w:cs="Arial"/>
          <w:sz w:val="22"/>
          <w:szCs w:val="22"/>
        </w:rPr>
        <w:t>Contact the prescribing physician for clinical guidance</w:t>
      </w:r>
    </w:p>
    <w:p>
      <w:pPr>
        <w:pStyle w:val="ListParagraph"/>
        <w:numPr>
          <w:ilvl w:val="1"/>
          <w:numId w:val="1"/>
        </w:numPr>
        <w:spacing w:before="30" w:after="30"/>
        <w:rPr/>
      </w:pPr>
      <w:r>
        <w:rPr>
          <w:rFonts w:eastAsia="Arial" w:cs="Arial"/>
          <w:sz w:val="22"/>
          <w:szCs w:val="22"/>
        </w:rPr>
        <w:t>Document the incident on a Medication Error Report (Policy 4.03) and an Adverse Drug Event Report if any harm occurred</w:t>
      </w:r>
    </w:p>
    <w:p>
      <w:pPr>
        <w:pStyle w:val="ListParagraph"/>
        <w:numPr>
          <w:ilvl w:val="1"/>
          <w:numId w:val="1"/>
        </w:numPr>
        <w:spacing w:before="30" w:after="30"/>
        <w:rPr/>
      </w:pPr>
      <w:r>
        <w:rPr>
          <w:rFonts w:eastAsia="Arial" w:cs="Arial"/>
          <w:sz w:val="22"/>
          <w:szCs w:val="22"/>
        </w:rPr>
        <w:t>Do not allow further self-administration pending physician review and team decision</w:t>
      </w:r>
    </w:p>
    <w:p>
      <w:pPr>
        <w:pStyle w:val="Normal"/>
        <w:spacing w:before="30" w:after="30"/>
        <w:ind w:hanging="360" w:start="720"/>
        <w:rPr/>
      </w:pPr>
      <w:r>
        <w:rPr>
          <w:rFonts w:eastAsia="Arial" w:cs="Arial"/>
          <w:b/>
          <w:bCs/>
          <w:sz w:val="22"/>
          <w:szCs w:val="22"/>
        </w:rPr>
        <w:t xml:space="preserve">b.  </w:t>
      </w:r>
      <w:r>
        <w:rPr>
          <w:rFonts w:eastAsia="Arial" w:cs="Arial"/>
          <w:sz w:val="22"/>
          <w:szCs w:val="22"/>
        </w:rPr>
        <w:t>Self-administration authorization may be suspended by the Administrator pending physician review whenever a safety concern is identified. Suspension shall be documented and the individual and guardian notified.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Physician Order for Self-Administration</w:t>
      </w:r>
    </w:p>
    <w:p>
      <w:pPr>
        <w:pStyle w:val="ListParagraph"/>
        <w:numPr>
          <w:ilvl w:val="0"/>
          <w:numId w:val="1"/>
        </w:numPr>
        <w:spacing w:before="30" w:after="30"/>
        <w:rPr/>
      </w:pPr>
      <w:r>
        <w:rPr>
          <w:rFonts w:eastAsia="Arial" w:cs="Arial"/>
          <w:sz w:val="22"/>
          <w:szCs w:val="22"/>
        </w:rPr>
        <w:t>Medication Administration Record (MAR)</w:t>
      </w:r>
    </w:p>
    <w:p>
      <w:pPr>
        <w:pStyle w:val="ListParagraph"/>
        <w:numPr>
          <w:ilvl w:val="0"/>
          <w:numId w:val="1"/>
        </w:numPr>
        <w:spacing w:before="30" w:after="30"/>
        <w:rPr/>
      </w:pPr>
      <w:r>
        <w:rPr>
          <w:rFonts w:eastAsia="Arial" w:cs="Arial"/>
          <w:sz w:val="22"/>
          <w:szCs w:val="22"/>
        </w:rPr>
        <w:t>Medication Error / Incident Report — Policy 4.03</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#4.03: Medication Errors &amp; Adverse Drug Events — Reporting, Investigation &amp; Prevention</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Clinical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4.03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MM.08 (JC Medication Error Reporting); PI.01 (JC Performance Improvement); State Incident Reporting Requirements; Policy 4.00</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all medication errors and adverse drug events (ADEs) are identified quickly, reported promptly, managed safely, documented thoroughly, investigated systematically, and used to drive genuine improvements in medication management processes.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Every medication error and ADE, regardless of whether harm occurred, shall be reported immediately, documented fully, and reviewed by the Administrator. Near-misses (errors caught before reaching the individual) are equally valuable and shall be documented and reviewed without punitive consequence to the reporting staff. Aggregate error and ADE data shall be reviewed quarterly as part of the Quality Management Program.</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Medication Error: Any deviation from the prescribed medication order — including wrong medication, wrong dose, wrong route, wrong time, wrong individual, missed dose, unauthorized medication, dose given to wrong person, or documentation error.</w:t>
      </w:r>
    </w:p>
    <w:p>
      <w:pPr>
        <w:pStyle w:val="ListParagraph"/>
        <w:numPr>
          <w:ilvl w:val="0"/>
          <w:numId w:val="1"/>
        </w:numPr>
        <w:spacing w:before="30" w:after="30"/>
        <w:rPr/>
      </w:pPr>
      <w:r>
        <w:rPr>
          <w:rFonts w:eastAsia="Arial" w:cs="Arial"/>
          <w:sz w:val="22"/>
          <w:szCs w:val="22"/>
        </w:rPr>
        <w:t>Near-Miss: A medication error that was caught before the medication reached the individual. Near-misses are as important as errors for quality improvement purposes.</w:t>
      </w:r>
    </w:p>
    <w:p>
      <w:pPr>
        <w:pStyle w:val="ListParagraph"/>
        <w:numPr>
          <w:ilvl w:val="0"/>
          <w:numId w:val="1"/>
        </w:numPr>
        <w:spacing w:before="30" w:after="30"/>
        <w:rPr/>
      </w:pPr>
      <w:r>
        <w:rPr>
          <w:rFonts w:eastAsia="Arial" w:cs="Arial"/>
          <w:sz w:val="22"/>
          <w:szCs w:val="22"/>
        </w:rPr>
        <w:t>Adverse Drug Event (ADE): Any injury resulting from a medication, whether or not an error was involved. ADEs include adverse reactions, allergic responses, toxicity events, and drug interactions. (See Policy 4.00, Section G for full ADE protocol.)</w:t>
      </w:r>
    </w:p>
    <w:p>
      <w:pPr>
        <w:pStyle w:val="ListParagraph"/>
        <w:numPr>
          <w:ilvl w:val="0"/>
          <w:numId w:val="1"/>
        </w:numPr>
        <w:spacing w:before="30" w:after="30"/>
        <w:rPr/>
      </w:pPr>
      <w:r>
        <w:rPr>
          <w:rFonts w:eastAsia="Arial" w:cs="Arial"/>
          <w:sz w:val="22"/>
          <w:szCs w:val="22"/>
        </w:rPr>
        <w:t>Root Cause Analysis (RCA): A structured investigation process that identifies the fundamental system-level causes of an event, rather than focusing solely on individual staff performance.</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Immediate Response to a Medication Error</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staff member who identifies or commits a medication error shall immediately notify the Administrator or on-call supervisor — before the end of the shift, without exception.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contact the prescribing physician or on-call clinician to report the error and receive clinical instructions.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If the individual shows any adverse reaction: call 911 if life-threatening; contact Poison Control (1-800-222-1222) if toxicity is a concern; notify the Administrator simultaneously.</w:t>
      </w:r>
    </w:p>
    <w:p>
      <w:pPr>
        <w:pStyle w:val="Normal"/>
        <w:spacing w:before="30" w:after="30"/>
        <w:ind w:hanging="360" w:start="720"/>
        <w:rPr/>
      </w:pPr>
      <w:r>
        <w:rPr>
          <w:rFonts w:eastAsia="Arial" w:cs="Arial"/>
          <w:b/>
          <w:bCs/>
          <w:sz w:val="22"/>
          <w:szCs w:val="22"/>
        </w:rPr>
        <w:t xml:space="preserve">d.  </w:t>
      </w:r>
      <w:r>
        <w:rPr>
          <w:rFonts w:eastAsia="Arial" w:cs="Arial"/>
          <w:sz w:val="22"/>
          <w:szCs w:val="22"/>
        </w:rPr>
        <w:t>Staff shall observe and document the individual's condition closely following any error, noting any changes from baseline.</w:t>
      </w:r>
    </w:p>
    <w:p>
      <w:pPr>
        <w:pStyle w:val="Normal"/>
        <w:spacing w:before="140" w:after="60"/>
        <w:rPr/>
      </w:pPr>
      <w:r>
        <w:rPr>
          <w:rFonts w:eastAsia="Arial" w:cs="Arial"/>
          <w:b/>
          <w:bCs/>
          <w:sz w:val="22"/>
          <w:szCs w:val="22"/>
          <w:u w:val="single"/>
        </w:rPr>
        <w:t>B. Mandatory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 Medication Error Report shall be completed by the involved staff member within the shift the error occurred. The report shall include: medication involved, the prescribed order, exactly what occurred and what was different from the order, time of error, time discovered, the individual's condition at the time of discovery and one hour later, the prescribing physician's instructions, any intervention provided, and the name of the Administrator notified.</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MAR shall be annotated with a notation of the error, cross-referencing the Medication Error Report, without altering or obscuring the original entry.</w:t>
      </w:r>
    </w:p>
    <w:p>
      <w:pPr>
        <w:pStyle w:val="Normal"/>
        <w:spacing w:before="30" w:after="30"/>
        <w:ind w:hanging="360" w:start="720"/>
        <w:rPr/>
      </w:pPr>
      <w:r>
        <w:rPr>
          <w:rFonts w:eastAsia="Arial" w:cs="Arial"/>
          <w:b/>
          <w:bCs/>
          <w:sz w:val="22"/>
          <w:szCs w:val="22"/>
        </w:rPr>
        <w:t xml:space="preserve">c.  </w:t>
      </w:r>
      <w:r>
        <w:rPr>
          <w:rFonts w:eastAsia="Arial" w:cs="Arial"/>
          <w:sz w:val="22"/>
          <w:szCs w:val="22"/>
        </w:rPr>
        <w:t>Near-misses shall be documented on a Near-Miss Report form with equal detail. Near-miss documentation shall note what prevented the error from reaching the individual.</w:t>
      </w:r>
    </w:p>
    <w:p>
      <w:pPr>
        <w:pStyle w:val="Normal"/>
        <w:spacing w:before="140" w:after="60"/>
        <w:rPr/>
      </w:pPr>
      <w:r>
        <w:rPr>
          <w:rFonts w:eastAsia="Arial" w:cs="Arial"/>
          <w:b/>
          <w:bCs/>
          <w:sz w:val="22"/>
          <w:szCs w:val="22"/>
          <w:u w:val="single"/>
        </w:rPr>
        <w:t>C. Investigation — Root Cause Analysis</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review every Medication Error Report within twenty-four (24) hours and conduct a root cause investigation within seventy-two (72) hours of a serious error.</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root cause analysis shall examine: contributing system factors (labeling, storage, MAR design, workflow), contributing training factors (knowledge gaps, competency), contributing communication factors (order transmission, handoffs), and environmental factors.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goal of the RCA is to identify system improvements, not to assign blame to individuals.</w:t>
      </w:r>
    </w:p>
    <w:p>
      <w:pPr>
        <w:pStyle w:val="Normal"/>
        <w:spacing w:before="140" w:after="60"/>
        <w:rPr/>
      </w:pPr>
      <w:r>
        <w:rPr>
          <w:rFonts w:eastAsia="Arial" w:cs="Arial"/>
          <w:b/>
          <w:bCs/>
          <w:sz w:val="22"/>
          <w:szCs w:val="22"/>
          <w:u w:val="single"/>
        </w:rPr>
        <w:t>D. Corrective Action and Follow-Up</w:t>
      </w:r>
    </w:p>
    <w:p>
      <w:pPr>
        <w:pStyle w:val="Normal"/>
        <w:spacing w:before="30" w:after="30"/>
        <w:ind w:hanging="360" w:start="720"/>
        <w:rPr/>
      </w:pPr>
      <w:r>
        <w:rPr>
          <w:rFonts w:eastAsia="Arial" w:cs="Arial"/>
          <w:b/>
          <w:bCs/>
          <w:sz w:val="22"/>
          <w:szCs w:val="22"/>
        </w:rPr>
        <w:t xml:space="preserve">a.  </w:t>
      </w:r>
      <w:r>
        <w:rPr>
          <w:rFonts w:eastAsia="Arial" w:cs="Arial"/>
          <w:sz w:val="22"/>
          <w:szCs w:val="22"/>
        </w:rPr>
        <w:t>Every medication error investigation shall produce a documented corrective action plan. Corrective actions shall address identified root causes and shall be implemented within thirty (30) days.</w:t>
      </w:r>
    </w:p>
    <w:p>
      <w:pPr>
        <w:pStyle w:val="Normal"/>
        <w:spacing w:before="30" w:after="30"/>
        <w:ind w:hanging="360" w:start="720"/>
        <w:rPr/>
      </w:pPr>
      <w:r>
        <w:rPr>
          <w:rFonts w:eastAsia="Arial" w:cs="Arial"/>
          <w:b/>
          <w:bCs/>
          <w:sz w:val="22"/>
          <w:szCs w:val="22"/>
        </w:rPr>
        <w:t xml:space="preserve">b.  </w:t>
      </w:r>
      <w:r>
        <w:rPr>
          <w:rFonts w:eastAsia="Arial" w:cs="Arial"/>
          <w:sz w:val="22"/>
          <w:szCs w:val="22"/>
        </w:rPr>
        <w:t>If the error reflects a training gap, the staff member shall receive documented additional training before their next medication administration assignment.</w:t>
      </w:r>
    </w:p>
    <w:p>
      <w:pPr>
        <w:pStyle w:val="Normal"/>
        <w:spacing w:before="30" w:after="30"/>
        <w:ind w:hanging="360" w:start="720"/>
        <w:rPr/>
      </w:pPr>
      <w:r>
        <w:rPr>
          <w:rFonts w:eastAsia="Arial" w:cs="Arial"/>
          <w:b/>
          <w:bCs/>
          <w:sz w:val="22"/>
          <w:szCs w:val="22"/>
        </w:rPr>
        <w:t xml:space="preserve">c.  </w:t>
      </w:r>
      <w:r>
        <w:rPr>
          <w:rFonts w:eastAsia="Arial" w:cs="Arial"/>
          <w:sz w:val="22"/>
          <w:szCs w:val="22"/>
        </w:rPr>
        <w:t>Repeated errors by the same staff member, or the same type of error by multiple staff members, shall be treated as a systemic issue requiring a process-level solution, not solely individual disciplinary action.</w:t>
      </w:r>
    </w:p>
    <w:p>
      <w:pPr>
        <w:pStyle w:val="Normal"/>
        <w:spacing w:before="140" w:after="60"/>
        <w:rPr/>
      </w:pPr>
      <w:r>
        <w:rPr>
          <w:rFonts w:eastAsia="Arial" w:cs="Arial"/>
          <w:b/>
          <w:bCs/>
          <w:sz w:val="22"/>
          <w:szCs w:val="22"/>
          <w:u w:val="single"/>
        </w:rPr>
        <w:t>E. Aggregate Data Review and Prevention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medication errors, near-misses, and ADEs shall be logged in the Medication Safety Log and reviewed in the quarterly Quality Management meeting.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QM review shall examine: error frequency by type, time, and staff; patterns suggesting system vulnerabilities; effectiveness of prior corrective actions; and ADE trends by medication category.</w:t>
      </w:r>
    </w:p>
    <w:p>
      <w:pPr>
        <w:pStyle w:val="Normal"/>
        <w:spacing w:before="30" w:after="30"/>
        <w:ind w:hanging="360" w:start="720"/>
        <w:rPr/>
      </w:pPr>
      <w:r>
        <w:rPr>
          <w:rFonts w:eastAsia="Arial" w:cs="Arial"/>
          <w:b/>
          <w:bCs/>
          <w:sz w:val="22"/>
          <w:szCs w:val="22"/>
        </w:rPr>
        <w:t xml:space="preserve">c.  </w:t>
      </w:r>
      <w:r>
        <w:rPr>
          <w:rFonts w:eastAsia="Arial" w:cs="Arial"/>
          <w:sz w:val="22"/>
          <w:szCs w:val="22"/>
        </w:rPr>
        <w:t>Findings shall generate documented improvement actions with assigned accountability and follow-up dates.</w:t>
      </w:r>
    </w:p>
    <w:p>
      <w:pPr>
        <w:pStyle w:val="Normal"/>
        <w:spacing w:before="140" w:after="60"/>
        <w:rPr/>
      </w:pPr>
      <w:r>
        <w:rPr>
          <w:rFonts w:eastAsia="Arial" w:cs="Arial"/>
          <w:b/>
          <w:bCs/>
          <w:sz w:val="22"/>
          <w:szCs w:val="22"/>
          <w:u w:val="single"/>
        </w:rPr>
        <w:t>F. Look-Alike / Sound-Alike Medication Precautions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be educated at orientation and annually about the specific look-alike/sound-alike medications present in this setting. A current list of look-alike/sound-alike medication pairs shall be posted in the medication storage area.</w:t>
      </w:r>
    </w:p>
    <w:p>
      <w:pPr>
        <w:pStyle w:val="Normal"/>
        <w:spacing w:before="30" w:after="30"/>
        <w:ind w:hanging="360" w:start="720"/>
        <w:rPr/>
      </w:pPr>
      <w:r>
        <w:rPr>
          <w:rFonts w:eastAsia="Arial" w:cs="Arial"/>
          <w:b/>
          <w:bCs/>
          <w:sz w:val="22"/>
          <w:szCs w:val="22"/>
        </w:rPr>
        <w:t xml:space="preserve">b.  </w:t>
      </w:r>
      <w:r>
        <w:rPr>
          <w:rFonts w:eastAsia="Arial" w:cs="Arial"/>
          <w:sz w:val="22"/>
          <w:szCs w:val="22"/>
        </w:rPr>
        <w:t>When a new medication is ordered that looks or sounds like an existing medication, the Provider/Administrator shall alert all staff before administration begins.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Medication Error Report</w:t>
      </w:r>
    </w:p>
    <w:p>
      <w:pPr>
        <w:pStyle w:val="ListParagraph"/>
        <w:numPr>
          <w:ilvl w:val="0"/>
          <w:numId w:val="1"/>
        </w:numPr>
        <w:spacing w:before="30" w:after="30"/>
        <w:rPr/>
      </w:pPr>
      <w:r>
        <w:rPr>
          <w:rFonts w:eastAsia="Arial" w:cs="Arial"/>
          <w:sz w:val="22"/>
          <w:szCs w:val="22"/>
        </w:rPr>
        <w:t>Near-Miss Report</w:t>
      </w:r>
    </w:p>
    <w:p>
      <w:pPr>
        <w:pStyle w:val="ListParagraph"/>
        <w:numPr>
          <w:ilvl w:val="0"/>
          <w:numId w:val="1"/>
        </w:numPr>
        <w:spacing w:before="30" w:after="30"/>
        <w:rPr/>
      </w:pPr>
      <w:r>
        <w:rPr>
          <w:rFonts w:eastAsia="Arial" w:cs="Arial"/>
          <w:sz w:val="22"/>
          <w:szCs w:val="22"/>
        </w:rPr>
        <w:t>Adverse Drug Event Report (Policy 4.00)</w:t>
      </w:r>
    </w:p>
    <w:p>
      <w:pPr>
        <w:pStyle w:val="ListParagraph"/>
        <w:numPr>
          <w:ilvl w:val="0"/>
          <w:numId w:val="1"/>
        </w:numPr>
        <w:spacing w:before="30" w:after="30"/>
        <w:rPr/>
      </w:pPr>
      <w:r>
        <w:rPr>
          <w:rFonts w:eastAsia="Arial" w:cs="Arial"/>
          <w:sz w:val="22"/>
          <w:szCs w:val="22"/>
        </w:rPr>
        <w:t>Medication Safety Log</w:t>
      </w:r>
    </w:p>
    <w:p>
      <w:pPr>
        <w:pStyle w:val="ListParagraph"/>
        <w:numPr>
          <w:ilvl w:val="0"/>
          <w:numId w:val="1"/>
        </w:numPr>
        <w:spacing w:before="30" w:after="30"/>
        <w:rPr/>
      </w:pPr>
      <w:r>
        <w:rPr>
          <w:rFonts w:eastAsia="Arial" w:cs="Arial"/>
          <w:sz w:val="22"/>
          <w:szCs w:val="22"/>
        </w:rPr>
        <w:t>Incident Report Form (Policy 5.00)</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E: HEALTH, SAFETY &amp; EMERGENCY RESPONSE</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#5.00: Incident Reporting, Critical Incidents &amp; Sentinel Events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PI.01–PI.03 (JC Performance Improvement / Sentinel Events); State HCBS Incident Reporting Requirements; Mandatory Reporting Statutes;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all incidents, critical incidents, and sentinel events involving individuals served are identified promptly, responded to safely, reported to required agencies within mandated timeframes, thoroughly documented, and investigated using root cause methodology to prevent recurrence and drive systemic quality improvement.</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All staff are mandatory reporters and shall report suspected abuse, neglect, or exploitation of at-risk individuals to the appropriate Adult Protective Services hotline immediately — before notifying the Administrator — without exception. All incidents shall be documented. Critical incidents shall be reported to the appropriate state agency within required timeframes. Sentinel events shall trigger a formal root cause analysis with an action plan. This Provider maintains a non-punitive reporting environment; staff shall never be disciplined for good-faith reporting of incidents or safety concerns.</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Incident: Any unplanned event involving an individual that results in or has the potential for physical or emotional harm, including falls, injuries, behavioral events, property damage, medication errors, or near-misses.</w:t>
      </w:r>
    </w:p>
    <w:p>
      <w:pPr>
        <w:pStyle w:val="ListParagraph"/>
        <w:numPr>
          <w:ilvl w:val="0"/>
          <w:numId w:val="1"/>
        </w:numPr>
        <w:spacing w:before="30" w:after="30"/>
        <w:rPr/>
      </w:pPr>
      <w:r>
        <w:rPr>
          <w:rFonts w:eastAsia="Arial" w:cs="Arial"/>
          <w:sz w:val="22"/>
          <w:szCs w:val="22"/>
        </w:rPr>
        <w:t>Critical Incident: A serious incident meeting state-specific criteria for mandatory reporting to the state waiver or licensing agency. Generally includes: death, serious injury, abuse/neglect/exploitation, elopement, hospitalization, law enforcement contact, suicide attempt, or significant behavioral event.</w:t>
      </w:r>
    </w:p>
    <w:p>
      <w:pPr>
        <w:pStyle w:val="ListParagraph"/>
        <w:numPr>
          <w:ilvl w:val="0"/>
          <w:numId w:val="1"/>
        </w:numPr>
        <w:spacing w:before="30" w:after="30"/>
        <w:rPr/>
      </w:pPr>
      <w:r>
        <w:rPr>
          <w:rFonts w:eastAsia="Arial" w:cs="Arial"/>
          <w:sz w:val="22"/>
          <w:szCs w:val="22"/>
        </w:rPr>
        <w:t>Sentinel Event: A patient safety event that results in death, serious physical injury, or serious psychological injury, or that is of sufficient concern to warrant immediate investigation. Sentinel events include: unexpected death, self-harm resulting in serious injury, assault resulting in injury, medication error resulting in serious harm, and elopement resulting in injury. Sentinel events require a root cause analysis regardless of whether state reporting is also required.</w:t>
      </w:r>
    </w:p>
    <w:p>
      <w:pPr>
        <w:pStyle w:val="ListParagraph"/>
        <w:numPr>
          <w:ilvl w:val="0"/>
          <w:numId w:val="1"/>
        </w:numPr>
        <w:spacing w:before="30" w:after="30"/>
        <w:rPr/>
      </w:pPr>
      <w:r>
        <w:rPr>
          <w:rFonts w:eastAsia="Arial" w:cs="Arial"/>
          <w:sz w:val="22"/>
          <w:szCs w:val="22"/>
        </w:rPr>
        <w:t>Mandatory Reporter: Any person required by law to report known or suspected abuse, neglect, or exploitation of at-risk adults or children. All employees and contracted personnel of this Provider are mandatory reporters.</w:t>
      </w:r>
    </w:p>
    <w:p>
      <w:pPr>
        <w:pStyle w:val="ListParagraph"/>
        <w:numPr>
          <w:ilvl w:val="0"/>
          <w:numId w:val="1"/>
        </w:numPr>
        <w:spacing w:before="30" w:after="30"/>
        <w:rPr/>
      </w:pPr>
      <w:r>
        <w:rPr>
          <w:rFonts w:eastAsia="Arial" w:cs="Arial"/>
          <w:sz w:val="22"/>
          <w:szCs w:val="22"/>
        </w:rPr>
        <w:t>Root Cause Analysis (RCA): A structured, systematic investigation of the fundamental causes of a sentinel event or serious incident, with the goal of identifying system-level improvements to prevent recurrence.</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Immediate Response — All Incidents</w:t>
      </w:r>
    </w:p>
    <w:p>
      <w:pPr>
        <w:pStyle w:val="Normal"/>
        <w:spacing w:before="30" w:after="30"/>
        <w:ind w:hanging="360" w:start="720"/>
        <w:rPr/>
      </w:pPr>
      <w:r>
        <w:rPr>
          <w:rFonts w:eastAsia="Arial" w:cs="Arial"/>
          <w:b/>
          <w:bCs/>
          <w:sz w:val="22"/>
          <w:szCs w:val="22"/>
        </w:rPr>
        <w:t xml:space="preserve">a.  </w:t>
      </w:r>
      <w:r>
        <w:rPr>
          <w:rFonts w:eastAsia="Arial" w:cs="Arial"/>
          <w:sz w:val="22"/>
          <w:szCs w:val="22"/>
        </w:rPr>
        <w:t>Ensure the safety and health of the individual first. Call 911 immediately for any life-threatening emergency.</w:t>
      </w:r>
    </w:p>
    <w:p>
      <w:pPr>
        <w:pStyle w:val="Normal"/>
        <w:spacing w:before="30" w:after="30"/>
        <w:ind w:hanging="360" w:start="720"/>
        <w:rPr/>
      </w:pPr>
      <w:r>
        <w:rPr>
          <w:rFonts w:eastAsia="Arial" w:cs="Arial"/>
          <w:b/>
          <w:bCs/>
          <w:sz w:val="22"/>
          <w:szCs w:val="22"/>
        </w:rPr>
        <w:t xml:space="preserve">b.  </w:t>
      </w:r>
      <w:r>
        <w:rPr>
          <w:rFonts w:eastAsia="Arial" w:cs="Arial"/>
          <w:sz w:val="22"/>
          <w:szCs w:val="22"/>
        </w:rPr>
        <w:t>Notify the Administrator or on-call supervisor by phone during the shift the incident occurs, without exception.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For suspected abuse, neglect, or exploitation: call the state APS hotline immediately (see Appendix B for state-specific number), then notify the Administrator. The APS report is an independent legal obligation and shall not be delayed.</w:t>
      </w:r>
    </w:p>
    <w:p>
      <w:pPr>
        <w:pStyle w:val="Normal"/>
        <w:spacing w:before="30" w:after="30"/>
        <w:ind w:hanging="360" w:start="720"/>
        <w:rPr/>
      </w:pPr>
      <w:r>
        <w:rPr>
          <w:rFonts w:eastAsia="Arial" w:cs="Arial"/>
          <w:b/>
          <w:bCs/>
          <w:sz w:val="22"/>
          <w:szCs w:val="22"/>
        </w:rPr>
        <w:t xml:space="preserve">d.  </w:t>
      </w:r>
      <w:r>
        <w:rPr>
          <w:rFonts w:eastAsia="Arial" w:cs="Arial"/>
          <w:sz w:val="22"/>
          <w:szCs w:val="22"/>
        </w:rPr>
        <w:t>Contact law enforcement if a crime is suspected or if instructed by APS.</w:t>
      </w:r>
    </w:p>
    <w:p>
      <w:pPr>
        <w:pStyle w:val="Normal"/>
        <w:spacing w:before="30" w:after="30"/>
        <w:ind w:hanging="360" w:start="720"/>
        <w:rPr/>
      </w:pPr>
      <w:r>
        <w:rPr>
          <w:rFonts w:eastAsia="Arial" w:cs="Arial"/>
          <w:b/>
          <w:bCs/>
          <w:sz w:val="22"/>
          <w:szCs w:val="22"/>
        </w:rPr>
        <w:t xml:space="preserve">e.  </w:t>
      </w:r>
      <w:r>
        <w:rPr>
          <w:rFonts w:eastAsia="Arial" w:cs="Arial"/>
          <w:sz w:val="22"/>
          <w:szCs w:val="22"/>
        </w:rPr>
        <w:t>Preserve the scene in the case of suspected abuse, crime, or unexplained injury. Do not clean up, move items, or alter the environment until law enforcement or APS has assessed the scene, unless necessary for the individual's immediate safety.</w:t>
      </w:r>
    </w:p>
    <w:p>
      <w:pPr>
        <w:pStyle w:val="Normal"/>
        <w:spacing w:before="140" w:after="60"/>
        <w:rPr/>
      </w:pPr>
      <w:r>
        <w:rPr>
          <w:rFonts w:eastAsia="Arial" w:cs="Arial"/>
          <w:b/>
          <w:bCs/>
          <w:sz w:val="22"/>
          <w:szCs w:val="22"/>
          <w:u w:val="single"/>
        </w:rPr>
        <w:t>B. Mandatory Reporting — Abuse, Neglect, Exploitation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staff are mandatory reporters. Any staff member who witnesses, suspects, or receives a report of abuse, neglect, or exploitation shall call the state APS hotline immediately — even before notifying the Administrator.</w:t>
      </w:r>
    </w:p>
    <w:p>
      <w:pPr>
        <w:pStyle w:val="Normal"/>
        <w:spacing w:before="30" w:after="30"/>
        <w:ind w:hanging="360" w:start="720"/>
        <w:rPr/>
      </w:pPr>
      <w:r>
        <w:rPr>
          <w:rFonts w:eastAsia="Arial" w:cs="Arial"/>
          <w:b/>
          <w:bCs/>
          <w:sz w:val="22"/>
          <w:szCs w:val="22"/>
        </w:rPr>
        <w:t xml:space="preserve">b.  </w:t>
      </w:r>
      <w:r>
        <w:rPr>
          <w:rFonts w:eastAsia="Arial" w:cs="Arial"/>
          <w:sz w:val="22"/>
          <w:szCs w:val="22"/>
        </w:rPr>
        <w:t>No supervisor, administrator, or other staff member may instruct a mandatory reporter not to make a required APS report. Interference with mandatory reporting is itself a reportable violation and a terminable offense.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staff making the APS report shall document: the time of the call, the APS representative's name, the case or report number assigned, and the instructions received.</w:t>
      </w:r>
    </w:p>
    <w:p>
      <w:pPr>
        <w:pStyle w:val="Normal"/>
        <w:spacing w:before="140" w:after="60"/>
        <w:rPr/>
      </w:pPr>
      <w:r>
        <w:rPr>
          <w:rFonts w:eastAsia="Arial" w:cs="Arial"/>
          <w:b/>
          <w:bCs/>
          <w:sz w:val="22"/>
          <w:szCs w:val="22"/>
          <w:u w:val="single"/>
        </w:rPr>
        <w:t>C. Incident Documentation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 Incident Report shall be completed before the end of the shift in which the incident occurred, or as soon as safely possible if shift demands prevent same-shift completion.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Incident Reports shall include: date, time, location; individual(s) involved; staff present; factual description of what occurred; immediate actions taken; individual's condition; witnesses; APS/law enforcement contacts made; and Administrator notification time.</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Administrator shall review and countersign all incident reports within twenty-four (24) hours.</w:t>
      </w:r>
    </w:p>
    <w:p>
      <w:pPr>
        <w:pStyle w:val="Normal"/>
        <w:spacing w:before="140" w:after="60"/>
        <w:rPr/>
      </w:pPr>
      <w:r>
        <w:rPr>
          <w:rFonts w:eastAsia="Arial" w:cs="Arial"/>
          <w:b/>
          <w:bCs/>
          <w:sz w:val="22"/>
          <w:szCs w:val="22"/>
          <w:u w:val="single"/>
        </w:rPr>
        <w:t>D. State Critical Incident Reporting</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submit required critical incident reports to the appropriate state agency within the mandated timeframe (see Policy 6.02 for state-specific requirements).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A follow-up written report shall be submitted with complete investigation findings and corrective actions within the timeframe required by the state.</w:t>
      </w:r>
    </w:p>
    <w:p>
      <w:pPr>
        <w:pStyle w:val="Normal"/>
        <w:spacing w:before="140" w:after="60"/>
        <w:rPr/>
      </w:pPr>
      <w:r>
        <w:rPr>
          <w:rFonts w:eastAsia="Arial" w:cs="Arial"/>
          <w:b/>
          <w:bCs/>
          <w:sz w:val="22"/>
          <w:szCs w:val="22"/>
          <w:u w:val="single"/>
        </w:rPr>
        <w:t>E. Sentinel Event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Upon identification of a sentinel event, the Administrator shall notify the appropriate supervisory agency immediately and initiate a formal root cause analysis (RCA) within seventy-two (72) hours.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RCA shall be conducted by a team that includes the Administrator, involved staff, and the individual's Support Coordinator/Case Manager. The RCA shall examine contributing factors across people, processes, environment, equipment, and communication.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RCA shall produce a written corrective action plan with specific, measurable actions, assigned responsibility, and implementation timeline. The plan shall be implemented within thirty (30) days.</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effectiveness of sentinel event corrective actions shall be measured and reported at the next quarterly QM meeting.</w:t>
      </w:r>
    </w:p>
    <w:p>
      <w:pPr>
        <w:pStyle w:val="Normal"/>
        <w:spacing w:before="140" w:after="60"/>
        <w:rPr/>
      </w:pPr>
      <w:r>
        <w:rPr>
          <w:rFonts w:eastAsia="Arial" w:cs="Arial"/>
          <w:b/>
          <w:bCs/>
          <w:sz w:val="22"/>
          <w:szCs w:val="22"/>
          <w:u w:val="single"/>
        </w:rPr>
        <w:t>F. Non-Punitive Reporting Culture</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never face disciplinary action for good-faith reporting of incidents, near-misses, or safety concerns. The Provider/Administrator shall actively encourage reporting as a mechanism of safety, not a source of punishment.</w:t>
      </w:r>
    </w:p>
    <w:p>
      <w:pPr>
        <w:pStyle w:val="Normal"/>
        <w:spacing w:before="30" w:after="30"/>
        <w:ind w:hanging="360" w:start="720"/>
        <w:rPr/>
      </w:pPr>
      <w:r>
        <w:rPr>
          <w:rFonts w:eastAsia="Arial" w:cs="Arial"/>
          <w:b/>
          <w:bCs/>
          <w:sz w:val="22"/>
          <w:szCs w:val="22"/>
        </w:rPr>
        <w:t xml:space="preserve">b.  </w:t>
      </w:r>
      <w:r>
        <w:rPr>
          <w:rFonts w:eastAsia="Arial" w:cs="Arial"/>
          <w:sz w:val="22"/>
          <w:szCs w:val="22"/>
        </w:rPr>
        <w:t>When staff self-report their own errors, the response shall be supportive and investigative — focused on system improvement — rather than punitive, unless the error involved deliberate falsification, criminal conduct, or gross negligence.</w:t>
      </w:r>
    </w:p>
    <w:p>
      <w:pPr>
        <w:pStyle w:val="Normal"/>
        <w:spacing w:before="30" w:after="30"/>
        <w:ind w:hanging="360" w:start="720"/>
        <w:rPr/>
      </w:pPr>
      <w:r>
        <w:rPr>
          <w:rFonts w:eastAsia="Arial" w:cs="Arial"/>
          <w:b/>
          <w:bCs/>
          <w:sz w:val="22"/>
          <w:szCs w:val="22"/>
        </w:rPr>
        <w:t xml:space="preserve">c.  </w:t>
      </w:r>
      <w:r>
        <w:rPr>
          <w:rFonts w:eastAsia="Arial" w:cs="Arial"/>
          <w:sz w:val="22"/>
          <w:szCs w:val="22"/>
        </w:rPr>
        <w:t>Staff who experience or witness retaliation for good-faith reporting shall report the retaliation to the supervising agency or state licensing authority.</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Incident Report Form</w:t>
      </w:r>
    </w:p>
    <w:p>
      <w:pPr>
        <w:pStyle w:val="ListParagraph"/>
        <w:numPr>
          <w:ilvl w:val="0"/>
          <w:numId w:val="1"/>
        </w:numPr>
        <w:spacing w:before="30" w:after="30"/>
        <w:rPr/>
      </w:pPr>
      <w:r>
        <w:rPr>
          <w:rFonts w:eastAsia="Arial" w:cs="Arial"/>
          <w:sz w:val="22"/>
          <w:szCs w:val="22"/>
        </w:rPr>
        <w:t>State Critical Incident Report (state-specific portal or form)</w:t>
      </w:r>
    </w:p>
    <w:p>
      <w:pPr>
        <w:pStyle w:val="ListParagraph"/>
        <w:numPr>
          <w:ilvl w:val="0"/>
          <w:numId w:val="1"/>
        </w:numPr>
        <w:spacing w:before="30" w:after="30"/>
        <w:rPr/>
      </w:pPr>
      <w:r>
        <w:rPr>
          <w:rFonts w:eastAsia="Arial" w:cs="Arial"/>
          <w:sz w:val="22"/>
          <w:szCs w:val="22"/>
        </w:rPr>
        <w:t>Sentinel Event RCA Template</w:t>
      </w:r>
    </w:p>
    <w:p>
      <w:pPr>
        <w:pStyle w:val="ListParagraph"/>
        <w:numPr>
          <w:ilvl w:val="0"/>
          <w:numId w:val="1"/>
        </w:numPr>
        <w:spacing w:before="30" w:after="30"/>
        <w:rPr/>
      </w:pPr>
      <w:r>
        <w:rPr>
          <w:rFonts w:eastAsia="Arial" w:cs="Arial"/>
          <w:sz w:val="22"/>
          <w:szCs w:val="22"/>
        </w:rPr>
        <w:t>APS Hotline Numbers — Appendix B</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#5.01: Emergency Preparedness, Hazard Vulnerability Analysis &amp; Continuity of Care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Safety / Administration</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EM.01–EM.03 (JC Emergency Management — Revised July 2025); State Emergency Management Requirements; FEMA Preparedness Standards;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this Provider maintains a comprehensive, proactive emergency preparedness program aligned with the July 2025 revised Joint Commission Emergency Management standards, which shift the focus from checklist compliance to genuine readiness, resilience, and continuity of care. This policy requires annual hazard vulnerability analysis, realistic training exercises, structured after-action review, expanded coordination with community emergency partners, and continuity planning that ensures services to individuals are maintained or rapidly restored following any emergency.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Emergency preparedness is a shared organizational responsibility — not a periodic compliance task. This Provider shall maintain a living Emergency Preparedness and Response Plan that is regularly tested, reviewed, and updated based on exercise findings, incident experience, and changes in the environment. The health, safety, and continuity of care for individuals served is the paramount priority in all emergency planning activities.</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Hazard Vulnerability Analysis (HVA): An annual structured process that identifies and prioritizes potential hazards that could affect this setting, the likelihood of occurrence, and the potential severity of impact on individuals, staff, and operations.</w:t>
      </w:r>
    </w:p>
    <w:p>
      <w:pPr>
        <w:pStyle w:val="ListParagraph"/>
        <w:numPr>
          <w:ilvl w:val="0"/>
          <w:numId w:val="1"/>
        </w:numPr>
        <w:spacing w:before="30" w:after="30"/>
        <w:rPr/>
      </w:pPr>
      <w:r>
        <w:rPr>
          <w:rFonts w:eastAsia="Arial" w:cs="Arial"/>
          <w:sz w:val="22"/>
          <w:szCs w:val="22"/>
        </w:rPr>
        <w:t>Continuity of Care Plan: The documented strategy for maintaining or rapidly restoring essential services to individuals when normal operations are disrupted by an emergency.</w:t>
      </w:r>
    </w:p>
    <w:p>
      <w:pPr>
        <w:pStyle w:val="ListParagraph"/>
        <w:numPr>
          <w:ilvl w:val="0"/>
          <w:numId w:val="1"/>
        </w:numPr>
        <w:spacing w:before="30" w:after="30"/>
        <w:rPr/>
      </w:pPr>
      <w:r>
        <w:rPr>
          <w:rFonts w:eastAsia="Arial" w:cs="Arial"/>
          <w:sz w:val="22"/>
          <w:szCs w:val="22"/>
        </w:rPr>
        <w:t>Tabletop Exercise: A discussion-based exercise where staff walk through a simulated emergency scenario to identify gaps in plans, roles, and communications without physically executing the response.</w:t>
      </w:r>
    </w:p>
    <w:p>
      <w:pPr>
        <w:pStyle w:val="ListParagraph"/>
        <w:numPr>
          <w:ilvl w:val="0"/>
          <w:numId w:val="1"/>
        </w:numPr>
        <w:spacing w:before="30" w:after="30"/>
        <w:rPr/>
      </w:pPr>
      <w:r>
        <w:rPr>
          <w:rFonts w:eastAsia="Arial" w:cs="Arial"/>
          <w:sz w:val="22"/>
          <w:szCs w:val="22"/>
        </w:rPr>
        <w:t>After-Action Report (AAR): A structured review conducted after each drill, exercise, or actual emergency that documents what was tested, what worked well, what needs improvement, and specific corrective actions with assigned accountability.</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Annual Hazard Vulnerability Analysis (HVA)</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conduct a formal Hazard Vulnerability Analysis at minimum annually, and update it whenever the environment, population served, or regional hazard profile changes significantly.</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HVA shall assess at minimum the following hazard categories as they apply to this specific setting and geographic location:</w:t>
      </w:r>
    </w:p>
    <w:p>
      <w:pPr>
        <w:pStyle w:val="ListParagraph"/>
        <w:numPr>
          <w:ilvl w:val="1"/>
          <w:numId w:val="1"/>
        </w:numPr>
        <w:spacing w:before="30" w:after="30"/>
        <w:rPr/>
      </w:pPr>
      <w:r>
        <w:rPr>
          <w:rFonts w:eastAsia="Arial" w:cs="Arial"/>
          <w:sz w:val="22"/>
          <w:szCs w:val="22"/>
        </w:rPr>
        <w:t>Natural hazards: weather events (tornado, flood, hurricane, wildfire, extreme heat/cold, earthquake), relevant to the state/region</w:t>
      </w:r>
    </w:p>
    <w:p>
      <w:pPr>
        <w:pStyle w:val="ListParagraph"/>
        <w:numPr>
          <w:ilvl w:val="1"/>
          <w:numId w:val="1"/>
        </w:numPr>
        <w:spacing w:before="30" w:after="30"/>
        <w:rPr/>
      </w:pPr>
      <w:r>
        <w:rPr>
          <w:rFonts w:eastAsia="Arial" w:cs="Arial"/>
          <w:sz w:val="22"/>
          <w:szCs w:val="22"/>
        </w:rPr>
        <w:t>Technological hazards: extended utility failures (power, water, heat/cooling), HVAC failure, fire, structural damage, vehicle accidents</w:t>
      </w:r>
    </w:p>
    <w:p>
      <w:pPr>
        <w:pStyle w:val="ListParagraph"/>
        <w:numPr>
          <w:ilvl w:val="1"/>
          <w:numId w:val="1"/>
        </w:numPr>
        <w:spacing w:before="30" w:after="30"/>
        <w:rPr/>
      </w:pPr>
      <w:r>
        <w:rPr>
          <w:rFonts w:eastAsia="Arial" w:cs="Arial"/>
          <w:sz w:val="22"/>
          <w:szCs w:val="22"/>
        </w:rPr>
        <w:t>Human-caused hazards: violence on premises, elopement resulting in danger, criminal activity, cybersecurity breach affecting records</w:t>
      </w:r>
    </w:p>
    <w:p>
      <w:pPr>
        <w:pStyle w:val="ListParagraph"/>
        <w:numPr>
          <w:ilvl w:val="1"/>
          <w:numId w:val="1"/>
        </w:numPr>
        <w:spacing w:before="30" w:after="30"/>
        <w:rPr/>
      </w:pPr>
      <w:r>
        <w:rPr>
          <w:rFonts w:eastAsia="Arial" w:cs="Arial"/>
          <w:sz w:val="22"/>
          <w:szCs w:val="22"/>
        </w:rPr>
        <w:t>Public health hazards: communicable disease outbreak, pandemic, bioterrorism event</w:t>
      </w:r>
    </w:p>
    <w:p>
      <w:pPr>
        <w:pStyle w:val="Normal"/>
        <w:spacing w:before="30" w:after="30"/>
        <w:ind w:hanging="360" w:start="720"/>
        <w:rPr/>
      </w:pPr>
      <w:r>
        <w:rPr>
          <w:rFonts w:eastAsia="Arial" w:cs="Arial"/>
          <w:b/>
          <w:bCs/>
          <w:sz w:val="22"/>
          <w:szCs w:val="22"/>
        </w:rPr>
        <w:t xml:space="preserve">c.  </w:t>
      </w:r>
      <w:r>
        <w:rPr>
          <w:rFonts w:eastAsia="Arial" w:cs="Arial"/>
          <w:sz w:val="22"/>
          <w:szCs w:val="22"/>
        </w:rPr>
        <w:t>For each identified hazard, the HVA shall assess: likelihood of occurrence (rare/possible/likely/highly likely), severity of potential impact on individuals and operations (low/moderate/high/critical), and current level of preparedness.</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HVA output shall be a prioritized list of hazards requiring specific preparedness actions, with the highest-priority hazards driving the greatest emergency planning investment.</w:t>
      </w:r>
    </w:p>
    <w:p>
      <w:pPr>
        <w:pStyle w:val="Normal"/>
        <w:spacing w:before="30" w:after="30"/>
        <w:ind w:hanging="360" w:start="720"/>
        <w:rPr/>
      </w:pPr>
      <w:r>
        <w:rPr>
          <w:rFonts w:eastAsia="Arial" w:cs="Arial"/>
          <w:b/>
          <w:bCs/>
          <w:sz w:val="22"/>
          <w:szCs w:val="22"/>
        </w:rPr>
        <w:t xml:space="preserve">e.  </w:t>
      </w:r>
      <w:r>
        <w:rPr>
          <w:rFonts w:eastAsia="Arial" w:cs="Arial"/>
          <w:sz w:val="22"/>
          <w:szCs w:val="22"/>
        </w:rPr>
        <w:t>The completed HVA shall be documented, signed by the Administrator, and filed. The HVA shall be reviewed at the annual emergency planning update meeting.</w:t>
      </w:r>
    </w:p>
    <w:p>
      <w:pPr>
        <w:pStyle w:val="Normal"/>
        <w:spacing w:before="140" w:after="60"/>
        <w:rPr/>
      </w:pPr>
      <w:r>
        <w:rPr>
          <w:rFonts w:eastAsia="Arial" w:cs="Arial"/>
          <w:b/>
          <w:bCs/>
          <w:sz w:val="22"/>
          <w:szCs w:val="22"/>
          <w:u w:val="single"/>
        </w:rPr>
        <w:t>B. Emergency Preparedness and Response Plan</w:t>
      </w:r>
    </w:p>
    <w:p>
      <w:pPr>
        <w:pStyle w:val="Normal"/>
        <w:spacing w:before="30" w:after="30"/>
        <w:ind w:hanging="360" w:start="720"/>
        <w:rPr/>
      </w:pPr>
      <w:r>
        <w:rPr>
          <w:rFonts w:eastAsia="Arial" w:cs="Arial"/>
          <w:b/>
          <w:bCs/>
          <w:sz w:val="22"/>
          <w:szCs w:val="22"/>
        </w:rPr>
        <w:t xml:space="preserve">a.  </w:t>
      </w:r>
      <w:r>
        <w:rPr>
          <w:rFonts w:eastAsia="Arial" w:cs="Arial"/>
          <w:sz w:val="22"/>
          <w:szCs w:val="22"/>
        </w:rPr>
        <w:t>Based on the HVA, this Provider shall maintain a written Emergency Preparedness and Response Plan addressing at minimum: fire, natural disaster (prioritized by HVA), extended utility failure, medical emergency, missing individual, communicable disease outbreak, and violence on premises.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Plan shall include for each hazard type: specific step-by-step response procedures; defined roles and responsibilities for each person in the household; communication protocols (who to call, in what order, with what information); evacuation and shelter-in-place procedures as applicable; and resource requirements (supplies, equipment, alternative locations).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Plan shall identify at minimum two alternative settings or locations where individuals could be temporarily housed if the primary setting becomes uninhabitable.</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Plan shall be reviewed and updated annually at minimum, and after any actual emergency or drill that reveals gaps.</w:t>
      </w:r>
    </w:p>
    <w:p>
      <w:pPr>
        <w:pStyle w:val="Normal"/>
        <w:spacing w:before="140" w:after="60"/>
        <w:rPr/>
      </w:pPr>
      <w:r>
        <w:rPr>
          <w:rFonts w:eastAsia="Arial" w:cs="Arial"/>
          <w:b/>
          <w:bCs/>
          <w:sz w:val="22"/>
          <w:szCs w:val="22"/>
          <w:u w:val="single"/>
        </w:rPr>
        <w:t>C. Emergency Drills — Physical and Tabletop</w:t>
      </w:r>
    </w:p>
    <w:p>
      <w:pPr>
        <w:pStyle w:val="Normal"/>
        <w:spacing w:before="40" w:after="60"/>
        <w:rPr/>
      </w:pPr>
      <w:r>
        <w:rPr>
          <w:rFonts w:eastAsia="Arial" w:cs="Arial"/>
          <w:sz w:val="22"/>
          <w:szCs w:val="22"/>
        </w:rPr>
        <w:t>Two types of exercises are required:</w:t>
      </w:r>
    </w:p>
    <w:p>
      <w:pPr>
        <w:pStyle w:val="Normal"/>
        <w:spacing w:before="30" w:after="30"/>
        <w:ind w:hanging="360" w:start="720"/>
        <w:rPr/>
      </w:pPr>
      <w:r>
        <w:rPr>
          <w:rFonts w:eastAsia="Arial" w:cs="Arial"/>
          <w:b/>
          <w:bCs/>
          <w:sz w:val="22"/>
          <w:szCs w:val="22"/>
        </w:rPr>
        <w:t xml:space="preserve">a.  </w:t>
      </w:r>
      <w:r>
        <w:rPr>
          <w:rFonts w:eastAsia="Arial" w:cs="Arial"/>
          <w:sz w:val="22"/>
          <w:szCs w:val="22"/>
        </w:rPr>
        <w:t>Physical drills (e.g., fire/evacuation drills) shall be conducted at minimum quarterly. At least one (1) drill per year shall be conducted at night or during an atypical time to test response under non-ideal conditions. All household members, including all staff on duty and, as appropriate, individuals served, shall participate.</w:t>
      </w:r>
    </w:p>
    <w:p>
      <w:pPr>
        <w:pStyle w:val="Normal"/>
        <w:spacing w:before="30" w:after="30"/>
        <w:ind w:hanging="360" w:start="720"/>
        <w:rPr/>
      </w:pPr>
      <w:r>
        <w:rPr>
          <w:rFonts w:eastAsia="Arial" w:cs="Arial"/>
          <w:b/>
          <w:bCs/>
          <w:sz w:val="22"/>
          <w:szCs w:val="22"/>
        </w:rPr>
        <w:t xml:space="preserve">b.  </w:t>
      </w:r>
      <w:r>
        <w:rPr>
          <w:rFonts w:eastAsia="Arial" w:cs="Arial"/>
          <w:sz w:val="22"/>
          <w:szCs w:val="22"/>
        </w:rPr>
        <w:t>Tabletop exercises shall be conducted at minimum annually. Tabletop exercises shall use realistic scenarios drawn from the HVA (e.g., 'It is a Friday night and the electricity has gone out for 18 hours in freezing temperatures — walk through the full response'). All staff shall participate in the annual tabletop exercise, scheduling multiple sessions if needed to include all staff.</w:t>
      </w:r>
    </w:p>
    <w:p>
      <w:pPr>
        <w:pStyle w:val="Normal"/>
        <w:spacing w:before="30" w:after="30"/>
        <w:ind w:hanging="360" w:start="720"/>
        <w:rPr/>
      </w:pPr>
      <w:r>
        <w:rPr>
          <w:rFonts w:eastAsia="Arial" w:cs="Arial"/>
          <w:b/>
          <w:bCs/>
          <w:sz w:val="22"/>
          <w:szCs w:val="22"/>
        </w:rPr>
        <w:t xml:space="preserve">c.  </w:t>
      </w:r>
      <w:r>
        <w:rPr>
          <w:rFonts w:eastAsia="Arial" w:cs="Arial"/>
          <w:sz w:val="22"/>
          <w:szCs w:val="22"/>
        </w:rPr>
        <w:t>Documentation of every drill and tabletop exercise shall include: date, time, type of exercise, scenario used (tabletop), participants present, evacuation time (physical drills), issues identified during the exercise, and the After-Action Report.</w:t>
      </w:r>
    </w:p>
    <w:p>
      <w:pPr>
        <w:pStyle w:val="Normal"/>
        <w:spacing w:before="140" w:after="60"/>
        <w:rPr/>
      </w:pPr>
      <w:r>
        <w:rPr>
          <w:rFonts w:eastAsia="Arial" w:cs="Arial"/>
          <w:b/>
          <w:bCs/>
          <w:sz w:val="22"/>
          <w:szCs w:val="22"/>
          <w:u w:val="single"/>
        </w:rPr>
        <w:t>D. After-Action Reports (AARs)</w:t>
      </w:r>
    </w:p>
    <w:p>
      <w:pPr>
        <w:pStyle w:val="Normal"/>
        <w:spacing w:before="30" w:after="30"/>
        <w:ind w:hanging="360" w:start="720"/>
        <w:rPr/>
      </w:pPr>
      <w:r>
        <w:rPr>
          <w:rFonts w:eastAsia="Arial" w:cs="Arial"/>
          <w:b/>
          <w:bCs/>
          <w:sz w:val="22"/>
          <w:szCs w:val="22"/>
        </w:rPr>
        <w:t xml:space="preserve">a.  </w:t>
      </w:r>
      <w:r>
        <w:rPr>
          <w:rFonts w:eastAsia="Arial" w:cs="Arial"/>
          <w:sz w:val="22"/>
          <w:szCs w:val="22"/>
        </w:rPr>
        <w:t>An After-Action Report (AAR) shall be completed within seventy-two (72) hours of every drill, tabletop exercise, or actual emergency. The AAR shall be the structured mechanism for continuous improvement of emergency preparedness.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AAR shall document at minimum:</w:t>
      </w:r>
    </w:p>
    <w:p>
      <w:pPr>
        <w:pStyle w:val="ListParagraph"/>
        <w:numPr>
          <w:ilvl w:val="1"/>
          <w:numId w:val="1"/>
        </w:numPr>
        <w:spacing w:before="30" w:after="30"/>
        <w:rPr/>
      </w:pPr>
      <w:r>
        <w:rPr>
          <w:rFonts w:eastAsia="Arial" w:cs="Arial"/>
          <w:sz w:val="22"/>
          <w:szCs w:val="22"/>
        </w:rPr>
        <w:t>What aspects of the response worked well</w:t>
      </w:r>
    </w:p>
    <w:p>
      <w:pPr>
        <w:pStyle w:val="ListParagraph"/>
        <w:numPr>
          <w:ilvl w:val="1"/>
          <w:numId w:val="1"/>
        </w:numPr>
        <w:spacing w:before="30" w:after="30"/>
        <w:rPr/>
      </w:pPr>
      <w:r>
        <w:rPr>
          <w:rFonts w:eastAsia="Arial" w:cs="Arial"/>
          <w:sz w:val="22"/>
          <w:szCs w:val="22"/>
        </w:rPr>
        <w:t>What aspects did not work as intended</w:t>
      </w:r>
    </w:p>
    <w:p>
      <w:pPr>
        <w:pStyle w:val="ListParagraph"/>
        <w:numPr>
          <w:ilvl w:val="1"/>
          <w:numId w:val="1"/>
        </w:numPr>
        <w:spacing w:before="30" w:after="30"/>
        <w:rPr/>
      </w:pPr>
      <w:r>
        <w:rPr>
          <w:rFonts w:eastAsia="Arial" w:cs="Arial"/>
          <w:sz w:val="22"/>
          <w:szCs w:val="22"/>
        </w:rPr>
        <w:t>Specific corrective actions identified — with the person responsible for each action and the target completion date</w:t>
      </w:r>
    </w:p>
    <w:p>
      <w:pPr>
        <w:pStyle w:val="ListParagraph"/>
        <w:numPr>
          <w:ilvl w:val="1"/>
          <w:numId w:val="1"/>
        </w:numPr>
        <w:spacing w:before="30" w:after="30"/>
        <w:rPr/>
      </w:pPr>
      <w:r>
        <w:rPr>
          <w:rFonts w:eastAsia="Arial" w:cs="Arial"/>
          <w:sz w:val="22"/>
          <w:szCs w:val="22"/>
        </w:rPr>
        <w:t>Changes to the Emergency Preparedness and Response Plan indicated by the exercise findings</w:t>
      </w:r>
    </w:p>
    <w:p>
      <w:pPr>
        <w:pStyle w:val="Normal"/>
        <w:spacing w:before="30" w:after="30"/>
        <w:ind w:hanging="360" w:start="720"/>
        <w:rPr/>
      </w:pPr>
      <w:r>
        <w:rPr>
          <w:rFonts w:eastAsia="Arial" w:cs="Arial"/>
          <w:b/>
          <w:bCs/>
          <w:sz w:val="22"/>
          <w:szCs w:val="22"/>
        </w:rPr>
        <w:t xml:space="preserve">c.  </w:t>
      </w:r>
      <w:r>
        <w:rPr>
          <w:rFonts w:eastAsia="Arial" w:cs="Arial"/>
          <w:sz w:val="22"/>
          <w:szCs w:val="22"/>
        </w:rPr>
        <w:t>Corrective actions identified in AARs shall be tracked to completion in the Quality Management log and verified at the next exercise or QM review, whichever comes first.</w:t>
      </w:r>
    </w:p>
    <w:p>
      <w:pPr>
        <w:pStyle w:val="Normal"/>
        <w:spacing w:before="140" w:after="60"/>
        <w:rPr/>
      </w:pPr>
      <w:r>
        <w:rPr>
          <w:rFonts w:eastAsia="Arial" w:cs="Arial"/>
          <w:b/>
          <w:bCs/>
          <w:sz w:val="22"/>
          <w:szCs w:val="22"/>
          <w:u w:val="single"/>
        </w:rPr>
        <w:t>E. Continuity of Care Planning</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Provider's Continuity of Care Plan shall ensure that services to individuals are maintained or restored as rapidly as possible following any emergency. The Plan shall address:</w:t>
      </w:r>
    </w:p>
    <w:p>
      <w:pPr>
        <w:pStyle w:val="ListParagraph"/>
        <w:numPr>
          <w:ilvl w:val="1"/>
          <w:numId w:val="1"/>
        </w:numPr>
        <w:spacing w:before="30" w:after="30"/>
        <w:rPr/>
      </w:pPr>
      <w:r>
        <w:rPr>
          <w:rFonts w:eastAsia="Arial" w:cs="Arial"/>
          <w:sz w:val="22"/>
          <w:szCs w:val="22"/>
        </w:rPr>
        <w:t>Essential supplies: medications, food, water, personal care items, durable medical equipment — a minimum 72-hour supply shall be maintained on-premises at all times</w:t>
      </w:r>
    </w:p>
    <w:p>
      <w:pPr>
        <w:pStyle w:val="ListParagraph"/>
        <w:numPr>
          <w:ilvl w:val="1"/>
          <w:numId w:val="1"/>
        </w:numPr>
        <w:spacing w:before="30" w:after="30"/>
        <w:rPr/>
      </w:pPr>
      <w:r>
        <w:rPr>
          <w:rFonts w:eastAsia="Arial" w:cs="Arial"/>
          <w:sz w:val="22"/>
          <w:szCs w:val="22"/>
        </w:rPr>
        <w:t>Alternative care locations: at least two identified alternative settings where individuals could be placed if this setting becomes unusable, with pre-established contact for each</w:t>
      </w:r>
    </w:p>
    <w:p>
      <w:pPr>
        <w:pStyle w:val="ListParagraph"/>
        <w:numPr>
          <w:ilvl w:val="1"/>
          <w:numId w:val="1"/>
        </w:numPr>
        <w:spacing w:before="30" w:after="30"/>
        <w:rPr/>
      </w:pPr>
      <w:r>
        <w:rPr>
          <w:rFonts w:eastAsia="Arial" w:cs="Arial"/>
          <w:sz w:val="22"/>
          <w:szCs w:val="22"/>
        </w:rPr>
        <w:t>Record availability: how clinical records and medication lists are accessible if physical files are inaccessible (backup copies, electronic access, emergency information packets)</w:t>
      </w:r>
    </w:p>
    <w:p>
      <w:pPr>
        <w:pStyle w:val="ListParagraph"/>
        <w:numPr>
          <w:ilvl w:val="1"/>
          <w:numId w:val="1"/>
        </w:numPr>
        <w:spacing w:before="30" w:after="30"/>
        <w:rPr/>
      </w:pPr>
      <w:r>
        <w:rPr>
          <w:rFonts w:eastAsia="Arial" w:cs="Arial"/>
          <w:sz w:val="22"/>
          <w:szCs w:val="22"/>
        </w:rPr>
        <w:t>Staff communication: how staff are notified of emergencies and operational changes</w:t>
      </w:r>
    </w:p>
    <w:p>
      <w:pPr>
        <w:pStyle w:val="ListParagraph"/>
        <w:numPr>
          <w:ilvl w:val="1"/>
          <w:numId w:val="1"/>
        </w:numPr>
        <w:spacing w:before="30" w:after="30"/>
        <w:rPr/>
      </w:pPr>
      <w:r>
        <w:rPr>
          <w:rFonts w:eastAsia="Arial" w:cs="Arial"/>
          <w:sz w:val="22"/>
          <w:szCs w:val="22"/>
        </w:rPr>
        <w:t>Communication with the supervising agency and individuals' families / guardians during emergencies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supervising agency / state licensing authority shall be contacted within twenty-four (24) hours of any emergency that disrupts services to individuals or requires a change in the individual's placement.</w:t>
      </w:r>
    </w:p>
    <w:p>
      <w:pPr>
        <w:pStyle w:val="Normal"/>
        <w:spacing w:before="140" w:after="60"/>
        <w:rPr/>
      </w:pPr>
      <w:r>
        <w:rPr>
          <w:rFonts w:eastAsia="Arial" w:cs="Arial"/>
          <w:b/>
          <w:bCs/>
          <w:sz w:val="22"/>
          <w:szCs w:val="22"/>
          <w:u w:val="single"/>
        </w:rPr>
        <w:t>F. Communication with Community Emergency Partners</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establish and maintain relationships with key community emergency partners, including: the local fire department (notify at initial licensure of facility occupancy and individuals with evacuation assistance needs); local law enforcement (notify of any individual with known elopement risk); and the local emergency management agency.</w:t>
      </w:r>
    </w:p>
    <w:p>
      <w:pPr>
        <w:pStyle w:val="Normal"/>
        <w:spacing w:before="30" w:after="30"/>
        <w:ind w:hanging="360" w:start="720"/>
        <w:rPr/>
      </w:pPr>
      <w:r>
        <w:rPr>
          <w:rFonts w:eastAsia="Arial" w:cs="Arial"/>
          <w:b/>
          <w:bCs/>
          <w:sz w:val="22"/>
          <w:szCs w:val="22"/>
        </w:rPr>
        <w:t xml:space="preserve">b.  </w:t>
      </w:r>
      <w:r>
        <w:rPr>
          <w:rFonts w:eastAsia="Arial" w:cs="Arial"/>
          <w:sz w:val="22"/>
          <w:szCs w:val="22"/>
        </w:rPr>
        <w:t>Emergency contact information for the local fire department, police, utility providers, and the state emergency management agency shall be posted in the home and included in the Emergency Preparedness and Response Plan.</w:t>
      </w:r>
    </w:p>
    <w:p>
      <w:pPr>
        <w:pStyle w:val="Normal"/>
        <w:spacing w:before="140" w:after="60"/>
        <w:rPr/>
      </w:pPr>
      <w:r>
        <w:rPr>
          <w:rFonts w:eastAsia="Arial" w:cs="Arial"/>
          <w:b/>
          <w:bCs/>
          <w:sz w:val="22"/>
          <w:szCs w:val="22"/>
          <w:u w:val="single"/>
        </w:rPr>
        <w:t>G. Specific Emergency Response Procedures</w:t>
      </w:r>
    </w:p>
    <w:p>
      <w:pPr>
        <w:pStyle w:val="Normal"/>
        <w:spacing w:before="40" w:after="60"/>
        <w:rPr/>
      </w:pPr>
      <w:r>
        <w:rPr>
          <w:rFonts w:eastAsia="Arial" w:cs="Arial"/>
          <w:sz w:val="22"/>
          <w:szCs w:val="22"/>
        </w:rPr>
        <w:t>Fire / Evacuation: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Activate fire alarm; call 911 immediately.</w:t>
      </w:r>
    </w:p>
    <w:p>
      <w:pPr>
        <w:pStyle w:val="Normal"/>
        <w:spacing w:before="30" w:after="30"/>
        <w:ind w:hanging="360" w:start="720"/>
        <w:rPr/>
      </w:pPr>
      <w:r>
        <w:rPr>
          <w:rFonts w:eastAsia="Arial" w:cs="Arial"/>
          <w:b/>
          <w:bCs/>
          <w:sz w:val="22"/>
          <w:szCs w:val="22"/>
        </w:rPr>
        <w:t xml:space="preserve">b.  </w:t>
      </w:r>
      <w:r>
        <w:rPr>
          <w:rFonts w:eastAsia="Arial" w:cs="Arial"/>
          <w:sz w:val="22"/>
          <w:szCs w:val="22"/>
        </w:rPr>
        <w:t>Assist all individuals to evacuate via the primary exit route on the posted evacuation diagram. Use secondary exits if primary is blocked.</w:t>
      </w:r>
    </w:p>
    <w:p>
      <w:pPr>
        <w:pStyle w:val="Normal"/>
        <w:spacing w:before="30" w:after="30"/>
        <w:ind w:hanging="360" w:start="720"/>
        <w:rPr/>
      </w:pPr>
      <w:r>
        <w:rPr>
          <w:rFonts w:eastAsia="Arial" w:cs="Arial"/>
          <w:b/>
          <w:bCs/>
          <w:sz w:val="22"/>
          <w:szCs w:val="22"/>
        </w:rPr>
        <w:t xml:space="preserve">c.  </w:t>
      </w:r>
      <w:r>
        <w:rPr>
          <w:rFonts w:eastAsia="Arial" w:cs="Arial"/>
          <w:sz w:val="22"/>
          <w:szCs w:val="22"/>
        </w:rPr>
        <w:t>Account for all individuals and staff at the designated outdoor assembly point before contacting the fire department regarding any missing persons.</w:t>
      </w:r>
    </w:p>
    <w:p>
      <w:pPr>
        <w:pStyle w:val="Normal"/>
        <w:spacing w:before="30" w:after="30"/>
        <w:ind w:hanging="360" w:start="720"/>
        <w:rPr/>
      </w:pPr>
      <w:r>
        <w:rPr>
          <w:rFonts w:eastAsia="Arial" w:cs="Arial"/>
          <w:b/>
          <w:bCs/>
          <w:sz w:val="22"/>
          <w:szCs w:val="22"/>
        </w:rPr>
        <w:t xml:space="preserve">d.  </w:t>
      </w:r>
      <w:r>
        <w:rPr>
          <w:rFonts w:eastAsia="Arial" w:cs="Arial"/>
          <w:sz w:val="22"/>
          <w:szCs w:val="22"/>
        </w:rPr>
        <w:t>Do not re-enter the building until the fire department provides clearance.</w:t>
      </w:r>
    </w:p>
    <w:p>
      <w:pPr>
        <w:pStyle w:val="Normal"/>
        <w:spacing w:before="40" w:after="60"/>
        <w:rPr/>
      </w:pPr>
      <w:r>
        <w:rPr>
          <w:rFonts w:eastAsia="Arial" w:cs="Arial"/>
          <w:sz w:val="22"/>
          <w:szCs w:val="22"/>
        </w:rPr>
        <w:t>Missing Individual (Elopement):</w:t>
      </w:r>
    </w:p>
    <w:p>
      <w:pPr>
        <w:pStyle w:val="Normal"/>
        <w:spacing w:before="30" w:after="30"/>
        <w:ind w:hanging="360" w:start="720"/>
        <w:rPr/>
      </w:pPr>
      <w:r>
        <w:rPr>
          <w:rFonts w:eastAsia="Arial" w:cs="Arial"/>
          <w:b/>
          <w:bCs/>
          <w:sz w:val="22"/>
          <w:szCs w:val="22"/>
        </w:rPr>
        <w:t xml:space="preserve">e.  </w:t>
      </w:r>
      <w:r>
        <w:rPr>
          <w:rFonts w:eastAsia="Arial" w:cs="Arial"/>
          <w:sz w:val="22"/>
          <w:szCs w:val="22"/>
        </w:rPr>
        <w:t>Search the home and immediate exterior. If not located within five (5) minutes, call 911 and notify the Administrator.</w:t>
      </w:r>
    </w:p>
    <w:p>
      <w:pPr>
        <w:pStyle w:val="Normal"/>
        <w:spacing w:before="30" w:after="30"/>
        <w:ind w:hanging="360" w:start="720"/>
        <w:rPr/>
      </w:pPr>
      <w:r>
        <w:rPr>
          <w:rFonts w:eastAsia="Arial" w:cs="Arial"/>
          <w:b/>
          <w:bCs/>
          <w:sz w:val="22"/>
          <w:szCs w:val="22"/>
        </w:rPr>
        <w:t xml:space="preserve">f.  </w:t>
      </w:r>
      <w:r>
        <w:rPr>
          <w:rFonts w:eastAsia="Arial" w:cs="Arial"/>
          <w:sz w:val="22"/>
          <w:szCs w:val="22"/>
        </w:rPr>
        <w:t>Provide law enforcement with: name, physical description, photograph, last known location and time, any known destinations or routes, and any safety concerns.</w:t>
      </w:r>
    </w:p>
    <w:p>
      <w:pPr>
        <w:pStyle w:val="Normal"/>
        <w:spacing w:before="40" w:after="60"/>
        <w:rPr/>
      </w:pPr>
      <w:r>
        <w:rPr>
          <w:rFonts w:eastAsia="Arial" w:cs="Arial"/>
          <w:sz w:val="22"/>
          <w:szCs w:val="22"/>
        </w:rPr>
        <w:t>Medical Emergency:</w:t>
      </w:r>
    </w:p>
    <w:p>
      <w:pPr>
        <w:pStyle w:val="Normal"/>
        <w:spacing w:before="30" w:after="30"/>
        <w:ind w:hanging="360" w:start="720"/>
        <w:rPr/>
      </w:pPr>
      <w:r>
        <w:rPr>
          <w:rFonts w:eastAsia="Arial" w:cs="Arial"/>
          <w:b/>
          <w:bCs/>
          <w:sz w:val="22"/>
          <w:szCs w:val="22"/>
        </w:rPr>
        <w:t xml:space="preserve">g.  </w:t>
      </w:r>
      <w:r>
        <w:rPr>
          <w:rFonts w:eastAsia="Arial" w:cs="Arial"/>
          <w:sz w:val="22"/>
          <w:szCs w:val="22"/>
        </w:rPr>
        <w:t>Call 911 for any life-threatening condition. Remain on the line and follow dispatcher instructions.</w:t>
      </w:r>
    </w:p>
    <w:p>
      <w:pPr>
        <w:pStyle w:val="Normal"/>
        <w:spacing w:before="30" w:after="30"/>
        <w:ind w:hanging="360" w:start="720"/>
        <w:rPr/>
      </w:pPr>
      <w:r>
        <w:rPr>
          <w:rFonts w:eastAsia="Arial" w:cs="Arial"/>
          <w:b/>
          <w:bCs/>
          <w:sz w:val="22"/>
          <w:szCs w:val="22"/>
        </w:rPr>
        <w:t xml:space="preserve">h.  </w:t>
      </w:r>
      <w:r>
        <w:rPr>
          <w:rFonts w:eastAsia="Arial" w:cs="Arial"/>
          <w:sz w:val="22"/>
          <w:szCs w:val="22"/>
        </w:rPr>
        <w:t>Have the individual's Emergency Information Packet (medications, diagnoses, advance directive) ready for emergency responders upon arrival.</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Annual Hazard Vulnerability Analysis Document</w:t>
      </w:r>
    </w:p>
    <w:p>
      <w:pPr>
        <w:pStyle w:val="ListParagraph"/>
        <w:numPr>
          <w:ilvl w:val="0"/>
          <w:numId w:val="1"/>
        </w:numPr>
        <w:spacing w:before="30" w:after="30"/>
        <w:rPr/>
      </w:pPr>
      <w:r>
        <w:rPr>
          <w:rFonts w:eastAsia="Arial" w:cs="Arial"/>
          <w:sz w:val="22"/>
          <w:szCs w:val="22"/>
        </w:rPr>
        <w:t>Emergency Preparedness and Response Plan</w:t>
      </w:r>
    </w:p>
    <w:p>
      <w:pPr>
        <w:pStyle w:val="ListParagraph"/>
        <w:numPr>
          <w:ilvl w:val="0"/>
          <w:numId w:val="1"/>
        </w:numPr>
        <w:spacing w:before="30" w:after="30"/>
        <w:rPr/>
      </w:pPr>
      <w:r>
        <w:rPr>
          <w:rFonts w:eastAsia="Arial" w:cs="Arial"/>
          <w:sz w:val="22"/>
          <w:szCs w:val="22"/>
        </w:rPr>
        <w:t>Drill / Exercise Documentation Log</w:t>
      </w:r>
    </w:p>
    <w:p>
      <w:pPr>
        <w:pStyle w:val="ListParagraph"/>
        <w:numPr>
          <w:ilvl w:val="0"/>
          <w:numId w:val="1"/>
        </w:numPr>
        <w:spacing w:before="30" w:after="30"/>
        <w:rPr/>
      </w:pPr>
      <w:r>
        <w:rPr>
          <w:rFonts w:eastAsia="Arial" w:cs="Arial"/>
          <w:sz w:val="22"/>
          <w:szCs w:val="22"/>
        </w:rPr>
        <w:t>After-Action Report (AAR) Template</w:t>
      </w:r>
    </w:p>
    <w:p>
      <w:pPr>
        <w:pStyle w:val="ListParagraph"/>
        <w:numPr>
          <w:ilvl w:val="0"/>
          <w:numId w:val="1"/>
        </w:numPr>
        <w:spacing w:before="30" w:after="30"/>
        <w:rPr/>
      </w:pPr>
      <w:r>
        <w:rPr>
          <w:rFonts w:eastAsia="Arial" w:cs="Arial"/>
          <w:sz w:val="22"/>
          <w:szCs w:val="22"/>
        </w:rPr>
        <w:t>Continuity of Care Plan</w:t>
      </w:r>
    </w:p>
    <w:p>
      <w:pPr>
        <w:pStyle w:val="ListParagraph"/>
        <w:numPr>
          <w:ilvl w:val="0"/>
          <w:numId w:val="1"/>
        </w:numPr>
        <w:spacing w:before="30" w:after="30"/>
        <w:rPr/>
      </w:pPr>
      <w:r>
        <w:rPr>
          <w:rFonts w:eastAsia="Arial" w:cs="Arial"/>
          <w:sz w:val="22"/>
          <w:szCs w:val="22"/>
        </w:rPr>
        <w:t>Posted Evacuation Diagram (per room/floor)</w:t>
      </w:r>
    </w:p>
    <w:p>
      <w:pPr>
        <w:pStyle w:val="ListParagraph"/>
        <w:numPr>
          <w:ilvl w:val="0"/>
          <w:numId w:val="1"/>
        </w:numPr>
        <w:spacing w:before="30" w:after="30"/>
        <w:rPr/>
      </w:pPr>
      <w:r>
        <w:rPr>
          <w:rFonts w:eastAsia="Arial" w:cs="Arial"/>
          <w:sz w:val="22"/>
          <w:szCs w:val="22"/>
        </w:rPr>
        <w:t>Individual Emergency Information Packet</w:t>
      </w:r>
    </w:p>
    <w:p>
      <w:pPr>
        <w:pStyle w:val="ListParagraph"/>
        <w:numPr>
          <w:ilvl w:val="0"/>
          <w:numId w:val="1"/>
        </w:numPr>
        <w:spacing w:before="30" w:after="30"/>
        <w:rPr/>
      </w:pPr>
      <w:r>
        <w:rPr>
          <w:rFonts w:eastAsia="Arial" w:cs="Arial"/>
          <w:sz w:val="22"/>
          <w:szCs w:val="22"/>
        </w:rPr>
        <w:t>Community Emergency Partner Contact List</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#5.02: Infection Prevention &amp; Control — Surveillance, Precautions &amp; Environmental Hygiene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Health &amp; Safety / Clinical</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IC.01–IC.02 (JC Infection Control — Revised July 2025); OSHA Bloodborne Pathogen Standard 29 CFR 1910.1030; CDC Community Setting Infection Prevention Guidelines; State Communicable Disease Reporting Regulations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a comprehensive infection prevention and control (IPC) program that protects individuals and staff from preventable infections through active surveillance, standard precautions, enhanced environmental hygiene, occupational health protections, and evidence-based education. This policy incorporates the revised Joint Commission Infection Control standards effective July 2025, which extend infection prevention principles more rigorously into community-based residential settings.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implement an active, evidence-based infection prevention program. Standard precautions shall be applied to all care regardless of known infection status. Infection surveillance data shall be collected, tracked over time, analyzed for trends, and used to drive targeted improvements. Staff education and occupational health protections shall support a safe working environment.</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Standard Precautions: The baseline infection prevention practices that apply to all care, for all individuals, at all times, regardless of suspected or known infection status.</w:t>
      </w:r>
    </w:p>
    <w:p>
      <w:pPr>
        <w:pStyle w:val="ListParagraph"/>
        <w:numPr>
          <w:ilvl w:val="0"/>
          <w:numId w:val="1"/>
        </w:numPr>
        <w:spacing w:before="30" w:after="30"/>
        <w:rPr/>
      </w:pPr>
      <w:r>
        <w:rPr>
          <w:rFonts w:eastAsia="Arial" w:cs="Arial"/>
          <w:sz w:val="22"/>
          <w:szCs w:val="22"/>
        </w:rPr>
        <w:t>Transmission-Based Precautions: Additional precautions used for individuals with known or suspected infection by pathogens requiring isolation (contact, droplet, or airborne precautions).</w:t>
      </w:r>
    </w:p>
    <w:p>
      <w:pPr>
        <w:pStyle w:val="ListParagraph"/>
        <w:numPr>
          <w:ilvl w:val="0"/>
          <w:numId w:val="1"/>
        </w:numPr>
        <w:spacing w:before="30" w:after="30"/>
        <w:rPr/>
      </w:pPr>
      <w:r>
        <w:rPr>
          <w:rFonts w:eastAsia="Arial" w:cs="Arial"/>
          <w:sz w:val="22"/>
          <w:szCs w:val="22"/>
        </w:rPr>
        <w:t>Infection Surveillance: The ongoing, systematic collection, analysis, and interpretation of infection data to identify trends, detect outbreaks, and guide prevention efforts.</w:t>
      </w:r>
    </w:p>
    <w:p>
      <w:pPr>
        <w:pStyle w:val="ListParagraph"/>
        <w:numPr>
          <w:ilvl w:val="0"/>
          <w:numId w:val="1"/>
        </w:numPr>
        <w:spacing w:before="30" w:after="30"/>
        <w:rPr/>
      </w:pPr>
      <w:r>
        <w:rPr>
          <w:rFonts w:eastAsia="Arial" w:cs="Arial"/>
          <w:sz w:val="22"/>
          <w:szCs w:val="22"/>
        </w:rPr>
        <w:t>Outbreak: Two (2) or more cases of the same infection in the same setting within a defined time period (typically seven days).</w:t>
      </w:r>
    </w:p>
    <w:p>
      <w:pPr>
        <w:pStyle w:val="ListParagraph"/>
        <w:numPr>
          <w:ilvl w:val="0"/>
          <w:numId w:val="1"/>
        </w:numPr>
        <w:spacing w:before="30" w:after="30"/>
        <w:rPr/>
      </w:pPr>
      <w:r>
        <w:rPr>
          <w:rFonts w:eastAsia="Arial" w:cs="Arial"/>
          <w:sz w:val="22"/>
          <w:szCs w:val="22"/>
        </w:rPr>
        <w:t>PPE (Personal Protective Equipment): Gloves, gowns, masks, eye protection, and other barriers used to protect staff from infectious material.</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Infection Prevention and Control Risk 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An annual IPC Risk Assessment shall be completed by the Administrator or designee to identify the specific infection risks present in this setting, given the population served, the physical environment, and regional/seasonal infectious disease patterns.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IPC Risk Assessment shall address at minimum: types of infections most likely to affect the population served (respiratory, gastrointestinal, skin and soft tissue, urinary tract); staff exposure risks; seasonal disease patterns (influenza, respiratory illness season); environmental factors that could promote pathogen transmission; and the adequacy of current PPE supplies, hand hygiene supplies, and cleaning products.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IPC Risk Assessment shall generate a prioritized list of infection prevention actions and shall be documented, signed, and filed. The previous year's assessment shall be reviewed at each annual update.</w:t>
      </w:r>
    </w:p>
    <w:p>
      <w:pPr>
        <w:pStyle w:val="Normal"/>
        <w:spacing w:before="140" w:after="60"/>
        <w:rPr/>
      </w:pPr>
      <w:r>
        <w:rPr>
          <w:rFonts w:eastAsia="Arial" w:cs="Arial"/>
          <w:b/>
          <w:bCs/>
          <w:sz w:val="22"/>
          <w:szCs w:val="22"/>
          <w:u w:val="single"/>
        </w:rPr>
        <w:t>B. Standard Precautions</w:t>
      </w:r>
    </w:p>
    <w:p>
      <w:pPr>
        <w:pStyle w:val="Normal"/>
        <w:spacing w:before="40" w:after="60"/>
        <w:rPr/>
      </w:pPr>
      <w:r>
        <w:rPr>
          <w:rFonts w:eastAsia="Arial" w:cs="Arial"/>
          <w:sz w:val="22"/>
          <w:szCs w:val="22"/>
        </w:rPr>
        <w:t>Standard precautions apply to all care for all individuals at all times:</w:t>
      </w:r>
    </w:p>
    <w:p>
      <w:pPr>
        <w:pStyle w:val="Normal"/>
        <w:spacing w:before="30" w:after="30"/>
        <w:ind w:hanging="360" w:start="720"/>
        <w:rPr/>
      </w:pPr>
      <w:r>
        <w:rPr>
          <w:rFonts w:eastAsia="Arial" w:cs="Arial"/>
          <w:b/>
          <w:bCs/>
          <w:sz w:val="22"/>
          <w:szCs w:val="22"/>
        </w:rPr>
        <w:t xml:space="preserve">a.  </w:t>
      </w:r>
      <w:r>
        <w:rPr>
          <w:rFonts w:eastAsia="Arial" w:cs="Arial"/>
          <w:sz w:val="22"/>
          <w:szCs w:val="22"/>
        </w:rPr>
        <w:t>Hand Hygiene: Perform hand hygiene (soap and water or alcohol-based hand sanitizer) before and after all direct care activities; before and after medication administration; after handling any bodily fluids, waste, or soiled items; after removing gloves; and after contact with the individual's environment. Soap and water is required (not hand sanitizer) when hands are visibly soiled and following contact with C. difficile.</w:t>
      </w:r>
    </w:p>
    <w:p>
      <w:pPr>
        <w:pStyle w:val="Normal"/>
        <w:spacing w:before="30" w:after="30"/>
        <w:ind w:hanging="360" w:start="720"/>
        <w:rPr/>
      </w:pPr>
      <w:r>
        <w:rPr>
          <w:rFonts w:eastAsia="Arial" w:cs="Arial"/>
          <w:b/>
          <w:bCs/>
          <w:sz w:val="22"/>
          <w:szCs w:val="22"/>
        </w:rPr>
        <w:t xml:space="preserve">b.  </w:t>
      </w:r>
      <w:r>
        <w:rPr>
          <w:rFonts w:eastAsia="Arial" w:cs="Arial"/>
          <w:sz w:val="22"/>
          <w:szCs w:val="22"/>
        </w:rPr>
        <w:t>Gloves: Don gloves before any anticipated contact with blood, bodily fluids, mucous membranes, non-intact skin, or contaminated items. Change gloves between tasks and between individuals. Remove gloves and perform hand hygiene immediately after removing them.</w:t>
      </w:r>
    </w:p>
    <w:p>
      <w:pPr>
        <w:pStyle w:val="Normal"/>
        <w:spacing w:before="30" w:after="30"/>
        <w:ind w:hanging="360" w:start="720"/>
        <w:rPr/>
      </w:pPr>
      <w:r>
        <w:rPr>
          <w:rFonts w:eastAsia="Arial" w:cs="Arial"/>
          <w:b/>
          <w:bCs/>
          <w:sz w:val="22"/>
          <w:szCs w:val="22"/>
        </w:rPr>
        <w:t xml:space="preserve">c.  </w:t>
      </w:r>
      <w:r>
        <w:rPr>
          <w:rFonts w:eastAsia="Arial" w:cs="Arial"/>
          <w:sz w:val="22"/>
          <w:szCs w:val="22"/>
        </w:rPr>
        <w:t>Masks and Respiratory Protection: Wear a mask when providing care to an individual with respiratory symptoms, when performing procedures that may generate respiratory droplets, or when directed by public health guidance.</w:t>
      </w:r>
    </w:p>
    <w:p>
      <w:pPr>
        <w:pStyle w:val="Normal"/>
        <w:spacing w:before="30" w:after="30"/>
        <w:ind w:hanging="360" w:start="720"/>
        <w:rPr/>
      </w:pPr>
      <w:r>
        <w:rPr>
          <w:rFonts w:eastAsia="Arial" w:cs="Arial"/>
          <w:b/>
          <w:bCs/>
          <w:sz w:val="22"/>
          <w:szCs w:val="22"/>
        </w:rPr>
        <w:t xml:space="preserve">d.  </w:t>
      </w:r>
      <w:r>
        <w:rPr>
          <w:rFonts w:eastAsia="Arial" w:cs="Arial"/>
          <w:sz w:val="22"/>
          <w:szCs w:val="22"/>
        </w:rPr>
        <w:t>Eye Protection: Wear eye protection (face shield or safety glasses with side protection) when splash or spray of blood, bodily fluids, or respiratory secretions is anticipated.</w:t>
      </w:r>
    </w:p>
    <w:p>
      <w:pPr>
        <w:pStyle w:val="Normal"/>
        <w:spacing w:before="30" w:after="30"/>
        <w:ind w:hanging="360" w:start="720"/>
        <w:rPr/>
      </w:pPr>
      <w:r>
        <w:rPr>
          <w:rFonts w:eastAsia="Arial" w:cs="Arial"/>
          <w:b/>
          <w:bCs/>
          <w:sz w:val="22"/>
          <w:szCs w:val="22"/>
        </w:rPr>
        <w:t xml:space="preserve">e.  </w:t>
      </w:r>
      <w:r>
        <w:rPr>
          <w:rFonts w:eastAsia="Arial" w:cs="Arial"/>
          <w:sz w:val="22"/>
          <w:szCs w:val="22"/>
        </w:rPr>
        <w:t>Gown/Apron: Wear a gown or apron when contact with blood, bodily fluids, or contaminated surfaces may result in clothing contamination.</w:t>
      </w:r>
    </w:p>
    <w:p>
      <w:pPr>
        <w:pStyle w:val="Normal"/>
        <w:spacing w:before="30" w:after="30"/>
        <w:ind w:hanging="360" w:start="720"/>
        <w:rPr/>
      </w:pPr>
      <w:r>
        <w:rPr>
          <w:rFonts w:eastAsia="Arial" w:cs="Arial"/>
          <w:b/>
          <w:bCs/>
          <w:sz w:val="22"/>
          <w:szCs w:val="22"/>
        </w:rPr>
        <w:t xml:space="preserve">f.  </w:t>
      </w:r>
      <w:r>
        <w:rPr>
          <w:rFonts w:eastAsia="Arial" w:cs="Arial"/>
          <w:sz w:val="22"/>
          <w:szCs w:val="22"/>
        </w:rPr>
        <w:t>Safe Sharps Handling: Used sharps shall be disposed of immediately after use in a puncture-resistant, leak-proof sharps container. Sharps shall never be recapped by hand. Sharps containers shall be sealed and disposed of when three-quarters full.</w:t>
      </w:r>
    </w:p>
    <w:p>
      <w:pPr>
        <w:pStyle w:val="Normal"/>
        <w:spacing w:before="140" w:after="60"/>
        <w:rPr/>
      </w:pPr>
      <w:r>
        <w:rPr>
          <w:rFonts w:eastAsia="Arial" w:cs="Arial"/>
          <w:b/>
          <w:bCs/>
          <w:sz w:val="22"/>
          <w:szCs w:val="22"/>
          <w:u w:val="single"/>
        </w:rPr>
        <w:t>C. Infection Surveillance and Trend Tracking</w:t>
      </w:r>
    </w:p>
    <w:p>
      <w:pPr>
        <w:pStyle w:val="Normal"/>
        <w:spacing w:before="40" w:after="60"/>
        <w:rPr/>
      </w:pPr>
      <w:r>
        <w:rPr>
          <w:rFonts w:eastAsia="Arial" w:cs="Arial"/>
          <w:sz w:val="22"/>
          <w:szCs w:val="22"/>
        </w:rPr>
        <w:t>The July 2025 revised JC IC standards require active infection surveillance — not just response to infections after they occur:</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maintain an Infection Surveillance Log documenting all infections occurring among individuals served and staff (if occupationally acquired), including: individual or staff member initials, infection type, date of onset, symptoms, treatment, resolution, and whether it was reported to public health.</w:t>
      </w:r>
    </w:p>
    <w:p>
      <w:pPr>
        <w:pStyle w:val="Normal"/>
        <w:spacing w:before="30" w:after="30"/>
        <w:ind w:hanging="360" w:start="720"/>
        <w:rPr/>
      </w:pPr>
      <w:r>
        <w:rPr>
          <w:rFonts w:eastAsia="Arial" w:cs="Arial"/>
          <w:b/>
          <w:bCs/>
          <w:sz w:val="22"/>
          <w:szCs w:val="22"/>
        </w:rPr>
        <w:t xml:space="preserve">b.  </w:t>
      </w:r>
      <w:r>
        <w:rPr>
          <w:rFonts w:eastAsia="Arial" w:cs="Arial"/>
          <w:sz w:val="22"/>
          <w:szCs w:val="22"/>
        </w:rPr>
        <w:t>Infection surveillance data shall be reviewed monthly by the Administrator to identify any clustering of infections (potential outbreak) and any patterns suggesting a common source or preventable cause.</w:t>
      </w:r>
    </w:p>
    <w:p>
      <w:pPr>
        <w:pStyle w:val="Normal"/>
        <w:spacing w:before="30" w:after="30"/>
        <w:ind w:hanging="360" w:start="720"/>
        <w:rPr/>
      </w:pPr>
      <w:r>
        <w:rPr>
          <w:rFonts w:eastAsia="Arial" w:cs="Arial"/>
          <w:b/>
          <w:bCs/>
          <w:sz w:val="22"/>
          <w:szCs w:val="22"/>
        </w:rPr>
        <w:t xml:space="preserve">c.  </w:t>
      </w:r>
      <w:r>
        <w:rPr>
          <w:rFonts w:eastAsia="Arial" w:cs="Arial"/>
          <w:sz w:val="22"/>
          <w:szCs w:val="22"/>
        </w:rPr>
        <w:t>Quarterly analysis of infection surveillance data shall be presented at the Quality Management meeting, including: total number of infections by type, comparison to the prior quarter and same quarter of the prior year, any identified trends or patterns, and the effectiveness of any prior prevention interventions.</w:t>
      </w:r>
    </w:p>
    <w:p>
      <w:pPr>
        <w:pStyle w:val="Normal"/>
        <w:spacing w:before="30" w:after="30"/>
        <w:ind w:hanging="360" w:start="720"/>
        <w:rPr/>
      </w:pPr>
      <w:r>
        <w:rPr>
          <w:rFonts w:eastAsia="Arial" w:cs="Arial"/>
          <w:b/>
          <w:bCs/>
          <w:sz w:val="22"/>
          <w:szCs w:val="22"/>
        </w:rPr>
        <w:t xml:space="preserve">d.  </w:t>
      </w:r>
      <w:r>
        <w:rPr>
          <w:rFonts w:eastAsia="Arial" w:cs="Arial"/>
          <w:sz w:val="22"/>
          <w:szCs w:val="22"/>
        </w:rPr>
        <w:t>Any identified outbreak (two or more cases of the same infection within seven days) shall be reported to the state public health authority per communicable disease reporting regulations, the supervising agency, and the individuals' healthcare providers within twenty-four (24) hours of identification.</w:t>
      </w:r>
    </w:p>
    <w:p>
      <w:pPr>
        <w:pStyle w:val="Normal"/>
        <w:spacing w:before="140" w:after="60"/>
        <w:rPr/>
      </w:pPr>
      <w:r>
        <w:rPr>
          <w:rFonts w:eastAsia="Arial" w:cs="Arial"/>
          <w:b/>
          <w:bCs/>
          <w:sz w:val="22"/>
          <w:szCs w:val="22"/>
          <w:u w:val="single"/>
        </w:rPr>
        <w:t>D. Enhanced Environmental Hygiene Program</w:t>
      </w:r>
    </w:p>
    <w:p>
      <w:pPr>
        <w:pStyle w:val="Normal"/>
        <w:spacing w:before="40" w:after="60"/>
        <w:rPr/>
      </w:pPr>
      <w:r>
        <w:rPr>
          <w:rFonts w:eastAsia="Arial" w:cs="Arial"/>
          <w:sz w:val="22"/>
          <w:szCs w:val="22"/>
        </w:rPr>
        <w:t>Environmental hygiene is a critical component of infection prevention in residential settings:</w:t>
      </w:r>
    </w:p>
    <w:p>
      <w:pPr>
        <w:pStyle w:val="Normal"/>
        <w:spacing w:before="30" w:after="30"/>
        <w:ind w:hanging="360" w:start="720"/>
        <w:rPr/>
      </w:pPr>
      <w:r>
        <w:rPr>
          <w:rFonts w:eastAsia="Arial" w:cs="Arial"/>
          <w:b/>
          <w:bCs/>
          <w:sz w:val="22"/>
          <w:szCs w:val="22"/>
        </w:rPr>
        <w:t xml:space="preserve">a.  </w:t>
      </w:r>
      <w:r>
        <w:rPr>
          <w:rFonts w:eastAsia="Arial" w:cs="Arial"/>
          <w:sz w:val="22"/>
          <w:szCs w:val="22"/>
        </w:rPr>
        <w:t>A written Environmental Hygiene Schedule shall specify the cleaning frequency and required cleaning/disinfecting product for each area and surface type in the home, distinguishing between: daily cleaning (high-touch surfaces), weekly thorough cleaning (all surfaces), and immediate cleaning following contamination.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High-touch surfaces requiring daily cleaning and disinfection include: doorknobs and light switches, faucet handles and toilet flush handles, bathroom surfaces, kitchen counters and appliance handles, shared phones and remote controls, and shared equipment.</w:t>
      </w:r>
    </w:p>
    <w:p>
      <w:pPr>
        <w:pStyle w:val="Normal"/>
        <w:spacing w:before="30" w:after="30"/>
        <w:ind w:hanging="360" w:start="720"/>
        <w:rPr/>
      </w:pPr>
      <w:r>
        <w:rPr>
          <w:rFonts w:eastAsia="Arial" w:cs="Arial"/>
          <w:b/>
          <w:bCs/>
          <w:sz w:val="22"/>
          <w:szCs w:val="22"/>
        </w:rPr>
        <w:t xml:space="preserve">c.  </w:t>
      </w:r>
      <w:r>
        <w:rPr>
          <w:rFonts w:eastAsia="Arial" w:cs="Arial"/>
          <w:sz w:val="22"/>
          <w:szCs w:val="22"/>
        </w:rPr>
        <w:t>EPA-registered disinfectants appropriate for the intended pathogen shall be used. Products shall be used per manufacturer instructions regarding contact time (the amount of time the surface must remain wet with disinfectant to achieve the labeled kill claim).</w:t>
      </w:r>
    </w:p>
    <w:p>
      <w:pPr>
        <w:pStyle w:val="Normal"/>
        <w:spacing w:before="30" w:after="30"/>
        <w:ind w:hanging="360" w:start="720"/>
        <w:rPr/>
      </w:pPr>
      <w:r>
        <w:rPr>
          <w:rFonts w:eastAsia="Arial" w:cs="Arial"/>
          <w:b/>
          <w:bCs/>
          <w:sz w:val="22"/>
          <w:szCs w:val="22"/>
        </w:rPr>
        <w:t xml:space="preserve">d.  </w:t>
      </w:r>
      <w:r>
        <w:rPr>
          <w:rFonts w:eastAsia="Arial" w:cs="Arial"/>
          <w:sz w:val="22"/>
          <w:szCs w:val="22"/>
        </w:rPr>
        <w:t>Bodily fluid spills shall be cleaned immediately using appropriate PPE (at minimum gloves), an EPA-registered disinfectant effective against bloodborne pathogens, and following the OSHA bloodborne pathogen spill cleanup procedure. Soiled materials shall be double-bagged for disposal.</w:t>
      </w:r>
    </w:p>
    <w:p>
      <w:pPr>
        <w:pStyle w:val="Normal"/>
        <w:spacing w:before="30" w:after="30"/>
        <w:ind w:hanging="360" w:start="720"/>
        <w:rPr/>
      </w:pPr>
      <w:r>
        <w:rPr>
          <w:rFonts w:eastAsia="Arial" w:cs="Arial"/>
          <w:b/>
          <w:bCs/>
          <w:sz w:val="22"/>
          <w:szCs w:val="22"/>
        </w:rPr>
        <w:t xml:space="preserve">e.  </w:t>
      </w:r>
      <w:r>
        <w:rPr>
          <w:rFonts w:eastAsia="Arial" w:cs="Arial"/>
          <w:sz w:val="22"/>
          <w:szCs w:val="22"/>
        </w:rPr>
        <w:t>Soiled linens and clothing shall be handled with gloves, kept away from the face, and laundered separately from uncontaminated items using hot water (at least 160°F) or per product instructions for disinfection.</w:t>
      </w:r>
    </w:p>
    <w:p>
      <w:pPr>
        <w:pStyle w:val="Normal"/>
        <w:spacing w:before="140" w:after="60"/>
        <w:rPr/>
      </w:pPr>
      <w:r>
        <w:rPr>
          <w:rFonts w:eastAsia="Arial" w:cs="Arial"/>
          <w:b/>
          <w:bCs/>
          <w:sz w:val="22"/>
          <w:szCs w:val="22"/>
          <w:u w:val="single"/>
        </w:rPr>
        <w:t>E. Transmission-Based Precautions</w:t>
      </w:r>
    </w:p>
    <w:p>
      <w:pPr>
        <w:pStyle w:val="Normal"/>
        <w:spacing w:before="30" w:after="30"/>
        <w:ind w:hanging="360" w:start="720"/>
        <w:rPr/>
      </w:pPr>
      <w:r>
        <w:rPr>
          <w:rFonts w:eastAsia="Arial" w:cs="Arial"/>
          <w:b/>
          <w:bCs/>
          <w:sz w:val="22"/>
          <w:szCs w:val="22"/>
        </w:rPr>
        <w:t xml:space="preserve">a.  </w:t>
      </w:r>
      <w:r>
        <w:rPr>
          <w:rFonts w:eastAsia="Arial" w:cs="Arial"/>
          <w:sz w:val="22"/>
          <w:szCs w:val="22"/>
        </w:rPr>
        <w:t>When an individual has a known or suspected communicable infection, transmission-based precautions appropriate to the pathogen's transmission route shall be implemented immediately per current CDC Community Setting Isolation Guidelines.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individual shall be supported in maintaining as much normal daily routine as possible during isolation, consistent with infection control requirements and their own preferences.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Administrator shall consult with the individual's healthcare provider for guidance on type and duration of isolation and any specific precautions required.</w:t>
      </w:r>
    </w:p>
    <w:p>
      <w:pPr>
        <w:pStyle w:val="Normal"/>
        <w:spacing w:before="140" w:after="60"/>
        <w:rPr/>
      </w:pPr>
      <w:r>
        <w:rPr>
          <w:rFonts w:eastAsia="Arial" w:cs="Arial"/>
          <w:b/>
          <w:bCs/>
          <w:sz w:val="22"/>
          <w:szCs w:val="22"/>
          <w:u w:val="single"/>
        </w:rPr>
        <w:t>F. Staff Illness and Occupational Health</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not report to work if they have: a fever (temperature ≥100.4°F / 38°C) until fever-free for twenty-four (24) hours without fever-reducing medication; active vomiting or diarrhea until symptom-free for forty-eight (48) hours; a draining, uncontrolled skin infection; or active symptoms of a reportable communicable disease until cleared by a healthcare provider.</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who are exposed to a bloodborne pathogen or other infectious material shall report the exposure to the Administrator immediately. The Administrator shall facilitate access to post-exposure evaluation and any recommended prophylaxis per current CDC/OSHA post-exposure protocols within two (2) hours of the exposure.</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occupational exposure incidents (needlestick injuries, mucous membrane splashes with blood or bodily fluids) shall be documented on an Occupational Exposure Report and filed in the staff member's personnel file.</w:t>
      </w:r>
    </w:p>
    <w:p>
      <w:pPr>
        <w:pStyle w:val="Normal"/>
        <w:spacing w:before="140" w:after="60"/>
        <w:rPr/>
      </w:pPr>
      <w:r>
        <w:rPr>
          <w:rFonts w:eastAsia="Arial" w:cs="Arial"/>
          <w:b/>
          <w:bCs/>
          <w:sz w:val="22"/>
          <w:szCs w:val="22"/>
          <w:u w:val="single"/>
        </w:rPr>
        <w:t>G. PPE Supply Management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maintain a documented PPE and hand hygiene supply inventory. Supplies shall be checked monthly and replenished before any category drops below a ten (10) day supply.</w:t>
      </w:r>
    </w:p>
    <w:p>
      <w:pPr>
        <w:pStyle w:val="Normal"/>
        <w:spacing w:before="30" w:after="30"/>
        <w:ind w:hanging="360" w:start="720"/>
        <w:rPr/>
      </w:pPr>
      <w:r>
        <w:rPr>
          <w:rFonts w:eastAsia="Arial" w:cs="Arial"/>
          <w:b/>
          <w:bCs/>
          <w:sz w:val="22"/>
          <w:szCs w:val="22"/>
        </w:rPr>
        <w:t xml:space="preserve">b.  </w:t>
      </w:r>
      <w:r>
        <w:rPr>
          <w:rFonts w:eastAsia="Arial" w:cs="Arial"/>
          <w:sz w:val="22"/>
          <w:szCs w:val="22"/>
        </w:rPr>
        <w:t>PPE shall be stored in a clean, dry, accessible location.</w:t>
      </w:r>
    </w:p>
    <w:p>
      <w:pPr>
        <w:pStyle w:val="Normal"/>
        <w:spacing w:before="140" w:after="60"/>
        <w:rPr/>
      </w:pPr>
      <w:r>
        <w:rPr>
          <w:rFonts w:eastAsia="Arial" w:cs="Arial"/>
          <w:b/>
          <w:bCs/>
          <w:sz w:val="22"/>
          <w:szCs w:val="22"/>
          <w:u w:val="single"/>
        </w:rPr>
        <w:t>H. Staff Education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staff shall receive infection prevention and control training at orientation and annually, covering: standard precautions, hand hygiene technique, correct PPE use and removal, environmental hygiene requirements, symptoms requiring work restriction, and reporting procedures.</w:t>
      </w:r>
    </w:p>
    <w:p>
      <w:pPr>
        <w:pStyle w:val="Normal"/>
        <w:spacing w:before="30" w:after="30"/>
        <w:ind w:hanging="360" w:start="720"/>
        <w:rPr/>
      </w:pPr>
      <w:r>
        <w:rPr>
          <w:rFonts w:eastAsia="Arial" w:cs="Arial"/>
          <w:b/>
          <w:bCs/>
          <w:sz w:val="22"/>
          <w:szCs w:val="22"/>
        </w:rPr>
        <w:t xml:space="preserve">b.  </w:t>
      </w:r>
      <w:r>
        <w:rPr>
          <w:rFonts w:eastAsia="Arial" w:cs="Arial"/>
          <w:sz w:val="22"/>
          <w:szCs w:val="22"/>
        </w:rPr>
        <w:t>Competency in correct hand hygiene and PPE donning/doffing shall be assessed at orientation and annually (see Policy 2.01).</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Annual IPC Risk Assessment</w:t>
      </w:r>
    </w:p>
    <w:p>
      <w:pPr>
        <w:pStyle w:val="ListParagraph"/>
        <w:numPr>
          <w:ilvl w:val="0"/>
          <w:numId w:val="1"/>
        </w:numPr>
        <w:spacing w:before="30" w:after="30"/>
        <w:rPr/>
      </w:pPr>
      <w:r>
        <w:rPr>
          <w:rFonts w:eastAsia="Arial" w:cs="Arial"/>
          <w:sz w:val="22"/>
          <w:szCs w:val="22"/>
        </w:rPr>
        <w:t>Infection Surveillance Log</w:t>
      </w:r>
    </w:p>
    <w:p>
      <w:pPr>
        <w:pStyle w:val="ListParagraph"/>
        <w:numPr>
          <w:ilvl w:val="0"/>
          <w:numId w:val="1"/>
        </w:numPr>
        <w:spacing w:before="30" w:after="30"/>
        <w:rPr/>
      </w:pPr>
      <w:r>
        <w:rPr>
          <w:rFonts w:eastAsia="Arial" w:cs="Arial"/>
          <w:sz w:val="22"/>
          <w:szCs w:val="22"/>
        </w:rPr>
        <w:t>Environmental Hygiene Schedule</w:t>
      </w:r>
    </w:p>
    <w:p>
      <w:pPr>
        <w:pStyle w:val="ListParagraph"/>
        <w:numPr>
          <w:ilvl w:val="0"/>
          <w:numId w:val="1"/>
        </w:numPr>
        <w:spacing w:before="30" w:after="30"/>
        <w:rPr/>
      </w:pPr>
      <w:r>
        <w:rPr>
          <w:rFonts w:eastAsia="Arial" w:cs="Arial"/>
          <w:sz w:val="22"/>
          <w:szCs w:val="22"/>
        </w:rPr>
        <w:t>PPE and Supply Inventory Log</w:t>
      </w:r>
    </w:p>
    <w:p>
      <w:pPr>
        <w:pStyle w:val="ListParagraph"/>
        <w:numPr>
          <w:ilvl w:val="0"/>
          <w:numId w:val="1"/>
        </w:numPr>
        <w:spacing w:before="30" w:after="30"/>
        <w:rPr/>
      </w:pPr>
      <w:r>
        <w:rPr>
          <w:rFonts w:eastAsia="Arial" w:cs="Arial"/>
          <w:sz w:val="22"/>
          <w:szCs w:val="22"/>
        </w:rPr>
        <w:t>Occupational Exposure Report</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#5.03: COVID-19, Pandemic Response &amp; Communicable Disease Protocols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Health &amp; Safety</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5.03</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IC.01 (JC Infection Control); CDC Community Setting Pandemic Guidance; State Public Health Emergency Regulations; Communicable Disease Reporting Requirements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the framework for this Provider's response to COVID-19 and future pandemic or public health emergency events, ensuring the health and safety of individuals served and staff while maintaining regulatory compliance and continuity of care.</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follow current CDC guidance, state public health authority directives, and licensing agency requirements for pandemic response. This policy shall be updated whenever guidance changes materially. During any declared public health emergency, this Provider shall implement enhanced precautions consistent with the nature of the pathogen and state/local directives. The health and continuity of care for individuals served is the paramount priority.</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Monitoring and Early Detection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conduct daily health screening of all individuals in the home, documenting: temperature (if indicated by current guidance), respiratory symptoms, gastrointestinal symptoms, and any change from baseline. Screening documentation shall be maintained in the Shift Communication Log.</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who develop symptoms consistent with a communicable disease or pandemic illness shall contact the Administrator before reporting to work. Work restrictions per Policy 5.02 shall apply.</w:t>
      </w:r>
    </w:p>
    <w:p>
      <w:pPr>
        <w:pStyle w:val="Normal"/>
        <w:spacing w:before="30" w:after="30"/>
        <w:ind w:hanging="360" w:start="720"/>
        <w:rPr/>
      </w:pPr>
      <w:r>
        <w:rPr>
          <w:rFonts w:eastAsia="Arial" w:cs="Arial"/>
          <w:b/>
          <w:bCs/>
          <w:sz w:val="22"/>
          <w:szCs w:val="22"/>
        </w:rPr>
        <w:t xml:space="preserve">c.  </w:t>
      </w:r>
      <w:r>
        <w:rPr>
          <w:rFonts w:eastAsia="Arial" w:cs="Arial"/>
          <w:sz w:val="22"/>
          <w:szCs w:val="22"/>
        </w:rPr>
        <w:t>This Provider shall maintain current contact information for: the supervising agency, the state public health authority, the individual's primary care provider, and the local health department.</w:t>
      </w:r>
    </w:p>
    <w:p>
      <w:pPr>
        <w:pStyle w:val="Normal"/>
        <w:spacing w:before="140" w:after="60"/>
        <w:rPr/>
      </w:pPr>
      <w:r>
        <w:rPr>
          <w:rFonts w:eastAsia="Arial" w:cs="Arial"/>
          <w:b/>
          <w:bCs/>
          <w:sz w:val="22"/>
          <w:szCs w:val="22"/>
          <w:u w:val="single"/>
        </w:rPr>
        <w:t>B. Confirmed or Suspected Case in the Facility</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affected individual shall be supported in their room with the door closed to the extent possible, consistent with their care needs and rights.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individual's primary care provider shall be contacted for testing, treatment guidance, and isolation duration instructions.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supervising agency and appropriate state public health authority shall be notified within twenty-four (24) hours of a confirmed case, per current reporting requirements.</w:t>
      </w:r>
    </w:p>
    <w:p>
      <w:pPr>
        <w:pStyle w:val="Normal"/>
        <w:spacing w:before="30" w:after="30"/>
        <w:ind w:hanging="360" w:start="720"/>
        <w:rPr/>
      </w:pPr>
      <w:r>
        <w:rPr>
          <w:rFonts w:eastAsia="Arial" w:cs="Arial"/>
          <w:b/>
          <w:bCs/>
          <w:sz w:val="22"/>
          <w:szCs w:val="22"/>
        </w:rPr>
        <w:t xml:space="preserve">d.  </w:t>
      </w:r>
      <w:r>
        <w:rPr>
          <w:rFonts w:eastAsia="Arial" w:cs="Arial"/>
          <w:sz w:val="22"/>
          <w:szCs w:val="22"/>
        </w:rPr>
        <w:t>Close contacts among other household members (individuals and staff) shall be notified per current public health guidance. Staff shall be informed of potential exposure without disclosing the affected individual's identity beyond what is required for their protection.</w:t>
      </w:r>
    </w:p>
    <w:p>
      <w:pPr>
        <w:pStyle w:val="Normal"/>
        <w:spacing w:before="140" w:after="60"/>
        <w:rPr/>
      </w:pPr>
      <w:r>
        <w:rPr>
          <w:rFonts w:eastAsia="Arial" w:cs="Arial"/>
          <w:b/>
          <w:bCs/>
          <w:sz w:val="22"/>
          <w:szCs w:val="22"/>
          <w:u w:val="single"/>
        </w:rPr>
        <w:t>C. PPE and Supply Management During Pandemic</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maintain a dedicated pandemic supply cache, separate from routine supplies, sufficient for at minimum thirty (30) days of enhanced precautions for the current household census. The cache shall include: surgical and N95 masks, gloves (multiple sizes), gowns/aprons, face shields or safety glasses, hand sanitizer, soap, disinfecting wipes, and cleaning products.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pandemic supply cache inventory shall be checked monthly and replenished before it drops below a thirty (30) day supply.</w:t>
      </w:r>
    </w:p>
    <w:p>
      <w:pPr>
        <w:pStyle w:val="Normal"/>
        <w:spacing w:before="140" w:after="60"/>
        <w:rPr/>
      </w:pPr>
      <w:r>
        <w:rPr>
          <w:rFonts w:eastAsia="Arial" w:cs="Arial"/>
          <w:b/>
          <w:bCs/>
          <w:sz w:val="22"/>
          <w:szCs w:val="22"/>
          <w:u w:val="single"/>
        </w:rPr>
        <w:t>D. Vaccination Policy</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facilitate access to recommended vaccinations (COVID-19, influenza, and others recommended by public health authorities) for interested individuals and staff.</w:t>
      </w:r>
    </w:p>
    <w:p>
      <w:pPr>
        <w:pStyle w:val="Normal"/>
        <w:spacing w:before="30" w:after="30"/>
        <w:ind w:hanging="360" w:start="720"/>
        <w:rPr/>
      </w:pPr>
      <w:r>
        <w:rPr>
          <w:rFonts w:eastAsia="Arial" w:cs="Arial"/>
          <w:b/>
          <w:bCs/>
          <w:sz w:val="22"/>
          <w:szCs w:val="22"/>
        </w:rPr>
        <w:t xml:space="preserve">b.  </w:t>
      </w:r>
      <w:r>
        <w:rPr>
          <w:rFonts w:eastAsia="Arial" w:cs="Arial"/>
          <w:sz w:val="22"/>
          <w:szCs w:val="22"/>
        </w:rPr>
        <w:t>Vaccination is voluntary. Vaccination status is confidential health information protected under HIPAA. Records of vaccination status shall be maintained in a confidential, locked file separate from other personnel records. Vaccination status shall not be disclosed without the individual's or staff member's written authorization.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Individuals served shall never be pressured or coerced regarding vaccination decisions. The decision shall rest with the individual and/or their legal guardian, with guidance from their physician.</w:t>
      </w:r>
    </w:p>
    <w:p>
      <w:pPr>
        <w:pStyle w:val="Normal"/>
        <w:spacing w:before="140" w:after="60"/>
        <w:rPr/>
      </w:pPr>
      <w:r>
        <w:rPr>
          <w:rFonts w:eastAsia="Arial" w:cs="Arial"/>
          <w:b/>
          <w:bCs/>
          <w:sz w:val="22"/>
          <w:szCs w:val="22"/>
          <w:u w:val="single"/>
        </w:rPr>
        <w:t>E. Communication During Public Health Emergencies</w:t>
      </w:r>
    </w:p>
    <w:p>
      <w:pPr>
        <w:pStyle w:val="Normal"/>
        <w:spacing w:before="30" w:after="30"/>
        <w:ind w:hanging="360" w:start="720"/>
        <w:rPr/>
      </w:pPr>
      <w:r>
        <w:rPr>
          <w:rFonts w:eastAsia="Arial" w:cs="Arial"/>
          <w:b/>
          <w:bCs/>
          <w:sz w:val="22"/>
          <w:szCs w:val="22"/>
        </w:rPr>
        <w:t xml:space="preserve">a.  </w:t>
      </w:r>
      <w:r>
        <w:rPr>
          <w:rFonts w:eastAsia="Arial" w:cs="Arial"/>
          <w:sz w:val="22"/>
          <w:szCs w:val="22"/>
        </w:rPr>
        <w:t>During any declared public health emergency, the Administrator shall provide regular updates to: the supervising agency (per their required reporting frequency), the individuals' guardians or emergency contacts, and incoming staff before each shift.</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document all communications made during a public health emergency and all decisions about operational adjustments, together with the public health or licensing guidance on which each decision is based.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Shift Communication Log</w:t>
      </w:r>
    </w:p>
    <w:p>
      <w:pPr>
        <w:pStyle w:val="ListParagraph"/>
        <w:numPr>
          <w:ilvl w:val="0"/>
          <w:numId w:val="1"/>
        </w:numPr>
        <w:spacing w:before="30" w:after="30"/>
        <w:rPr/>
      </w:pPr>
      <w:r>
        <w:rPr>
          <w:rFonts w:eastAsia="Arial" w:cs="Arial"/>
          <w:sz w:val="22"/>
          <w:szCs w:val="22"/>
        </w:rPr>
        <w:t>Pandemic Supply Cache Inventory</w:t>
      </w:r>
    </w:p>
    <w:p>
      <w:pPr>
        <w:pStyle w:val="ListParagraph"/>
        <w:numPr>
          <w:ilvl w:val="0"/>
          <w:numId w:val="1"/>
        </w:numPr>
        <w:spacing w:before="30" w:after="30"/>
        <w:rPr/>
      </w:pPr>
      <w:r>
        <w:rPr>
          <w:rFonts w:eastAsia="Arial" w:cs="Arial"/>
          <w:sz w:val="22"/>
          <w:szCs w:val="22"/>
        </w:rPr>
        <w:t>State Public Health Reporting Contact (Appendix B)</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#5.04: Environment of Care — Safety, Utility Management &amp; Hazardous Materials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Facilities / Safety</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5.04</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EC.01–EC.04 (JC Environment of Care); LS.01 (JC Life Safety); State Residential Facility Physical Standards; OSHA Hazard Communication Standard 29 CFR 1910.1200</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a comprehensive Environment of Care (EC) program that maintains a safe, clean, accessible, and home-like residential setting through formal annual risk assessment, proactive safety inspections, utility systems management, a structured hazardous materials program, and security management — aligned with Joint Commission Environment of Care standards applicable to community residential settings.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maintain the home environment in a condition that is consistently safe, sanitary, and comfortable. Safety is managed proactively through regular risk assessment and inspections, not reactively after incidents occur. Hazardous materials shall be managed with the same rigor applied to medications. Utility failures shall trigger an established response protocol that prioritizes the health and safety of individuals served.</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Annual Environment of Care Risk 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An annual formal Environment of Care Risk Assessment shall be completed by the Administrator or designee. The purpose is to proactively identify environmental hazards or risks before they cause harm.</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EC Risk Assessment shall examine:</w:t>
      </w:r>
    </w:p>
    <w:p>
      <w:pPr>
        <w:pStyle w:val="ListParagraph"/>
        <w:numPr>
          <w:ilvl w:val="1"/>
          <w:numId w:val="1"/>
        </w:numPr>
        <w:spacing w:before="30" w:after="30"/>
        <w:rPr/>
      </w:pPr>
      <w:r>
        <w:rPr>
          <w:rFonts w:eastAsia="Arial" w:cs="Arial"/>
          <w:sz w:val="22"/>
          <w:szCs w:val="22"/>
        </w:rPr>
        <w:t>Physical safety: fall hazards, electrical hazards, structural concerns, furniture and equipment safety</w:t>
      </w:r>
    </w:p>
    <w:p>
      <w:pPr>
        <w:pStyle w:val="ListParagraph"/>
        <w:numPr>
          <w:ilvl w:val="1"/>
          <w:numId w:val="1"/>
        </w:numPr>
        <w:spacing w:before="30" w:after="30"/>
        <w:rPr/>
      </w:pPr>
      <w:r>
        <w:rPr>
          <w:rFonts w:eastAsia="Arial" w:cs="Arial"/>
          <w:sz w:val="22"/>
          <w:szCs w:val="22"/>
        </w:rPr>
        <w:t>Access and egress: exit accessibility, evacuation route clarity, elevator functionality if applicable</w:t>
      </w:r>
    </w:p>
    <w:p>
      <w:pPr>
        <w:pStyle w:val="ListParagraph"/>
        <w:numPr>
          <w:ilvl w:val="1"/>
          <w:numId w:val="1"/>
        </w:numPr>
        <w:spacing w:before="30" w:after="30"/>
        <w:rPr/>
      </w:pPr>
      <w:r>
        <w:rPr>
          <w:rFonts w:eastAsia="Arial" w:cs="Arial"/>
          <w:sz w:val="22"/>
          <w:szCs w:val="22"/>
        </w:rPr>
        <w:t>Temperature and environmental comfort: heating, cooling, ventilation adequacy</w:t>
      </w:r>
    </w:p>
    <w:p>
      <w:pPr>
        <w:pStyle w:val="ListParagraph"/>
        <w:numPr>
          <w:ilvl w:val="1"/>
          <w:numId w:val="1"/>
        </w:numPr>
        <w:spacing w:before="30" w:after="30"/>
        <w:rPr/>
      </w:pPr>
      <w:r>
        <w:rPr>
          <w:rFonts w:eastAsia="Arial" w:cs="Arial"/>
          <w:sz w:val="22"/>
          <w:szCs w:val="22"/>
        </w:rPr>
        <w:t>Security: access control adequacy, lighting, any history of security incidents</w:t>
      </w:r>
    </w:p>
    <w:p>
      <w:pPr>
        <w:pStyle w:val="ListParagraph"/>
        <w:numPr>
          <w:ilvl w:val="1"/>
          <w:numId w:val="1"/>
        </w:numPr>
        <w:spacing w:before="30" w:after="30"/>
        <w:rPr/>
      </w:pPr>
      <w:r>
        <w:rPr>
          <w:rFonts w:eastAsia="Arial" w:cs="Arial"/>
          <w:sz w:val="22"/>
          <w:szCs w:val="22"/>
        </w:rPr>
        <w:t>Hazardous materials: inventory accuracy, storage adequacy, disposal compliance</w:t>
      </w:r>
    </w:p>
    <w:p>
      <w:pPr>
        <w:pStyle w:val="ListParagraph"/>
        <w:numPr>
          <w:ilvl w:val="1"/>
          <w:numId w:val="1"/>
        </w:numPr>
        <w:spacing w:before="30" w:after="30"/>
        <w:rPr/>
      </w:pPr>
      <w:r>
        <w:rPr>
          <w:rFonts w:eastAsia="Arial" w:cs="Arial"/>
          <w:sz w:val="22"/>
          <w:szCs w:val="22"/>
        </w:rPr>
        <w:t>Utility systems: reliability history, backup capability</w:t>
      </w:r>
    </w:p>
    <w:p>
      <w:pPr>
        <w:pStyle w:val="ListParagraph"/>
        <w:numPr>
          <w:ilvl w:val="1"/>
          <w:numId w:val="1"/>
        </w:numPr>
        <w:spacing w:before="30" w:after="30"/>
        <w:rPr/>
      </w:pPr>
      <w:r>
        <w:rPr>
          <w:rFonts w:eastAsia="Arial" w:cs="Arial"/>
          <w:sz w:val="22"/>
          <w:szCs w:val="22"/>
        </w:rPr>
        <w:t>Individual-specific risks: any environmental modifications needed for individuals with specific physical, behavioral, or sensory needs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EC Risk Assessment shall produce a prioritized list of identified risks and a corrective action plan. High-priority risks shall be addressed within thirty (30) days; life-safety risks shall be addressed immediately. The completed assessment shall be signed by the Administrator and filed.</w:t>
      </w:r>
    </w:p>
    <w:p>
      <w:pPr>
        <w:pStyle w:val="Normal"/>
        <w:spacing w:before="30" w:after="30"/>
        <w:ind w:hanging="360" w:start="720"/>
        <w:rPr/>
      </w:pPr>
      <w:r>
        <w:rPr>
          <w:rFonts w:eastAsia="Arial" w:cs="Arial"/>
          <w:b/>
          <w:bCs/>
          <w:sz w:val="22"/>
          <w:szCs w:val="22"/>
        </w:rPr>
        <w:t xml:space="preserve">d.  </w:t>
      </w:r>
      <w:r>
        <w:rPr>
          <w:rFonts w:eastAsia="Arial" w:cs="Arial"/>
          <w:sz w:val="22"/>
          <w:szCs w:val="22"/>
        </w:rPr>
        <w:t>The prior year's EC Risk Assessment shall be reviewed at the annual assessment to evaluate progress on identified corrective actions.</w:t>
      </w:r>
    </w:p>
    <w:p>
      <w:pPr>
        <w:pStyle w:val="Normal"/>
        <w:spacing w:before="140" w:after="60"/>
        <w:rPr/>
      </w:pPr>
      <w:r>
        <w:rPr>
          <w:rFonts w:eastAsia="Arial" w:cs="Arial"/>
          <w:b/>
          <w:bCs/>
          <w:sz w:val="22"/>
          <w:szCs w:val="22"/>
          <w:u w:val="single"/>
        </w:rPr>
        <w:t>B. Monthly Safety Inspections</w:t>
      </w:r>
    </w:p>
    <w:p>
      <w:pPr>
        <w:pStyle w:val="Normal"/>
        <w:spacing w:before="40" w:after="60"/>
        <w:rPr/>
      </w:pPr>
      <w:r>
        <w:rPr>
          <w:rFonts w:eastAsia="Arial" w:cs="Arial"/>
          <w:sz w:val="22"/>
          <w:szCs w:val="22"/>
        </w:rPr>
        <w:t>The Administrator or designee shall conduct a documented monthly safety walkthrough of all areas of the home, inspecting at minimum:</w:t>
      </w:r>
    </w:p>
    <w:p>
      <w:pPr>
        <w:pStyle w:val="Normal"/>
        <w:spacing w:before="30" w:after="30"/>
        <w:ind w:hanging="360" w:start="720"/>
        <w:rPr/>
      </w:pPr>
      <w:r>
        <w:rPr>
          <w:rFonts w:eastAsia="Arial" w:cs="Arial"/>
          <w:b/>
          <w:bCs/>
          <w:sz w:val="22"/>
          <w:szCs w:val="22"/>
        </w:rPr>
        <w:t xml:space="preserve">a.  </w:t>
      </w:r>
      <w:r>
        <w:rPr>
          <w:rFonts w:eastAsia="Arial" w:cs="Arial"/>
          <w:sz w:val="22"/>
          <w:szCs w:val="22"/>
        </w:rPr>
        <w:t>Smoke detectors — test function, replace batteries at least annually (and immediately if any test fails), document test results</w:t>
      </w:r>
    </w:p>
    <w:p>
      <w:pPr>
        <w:pStyle w:val="Normal"/>
        <w:spacing w:before="30" w:after="30"/>
        <w:ind w:hanging="360" w:start="720"/>
        <w:rPr/>
      </w:pPr>
      <w:r>
        <w:rPr>
          <w:rFonts w:eastAsia="Arial" w:cs="Arial"/>
          <w:b/>
          <w:bCs/>
          <w:sz w:val="22"/>
          <w:szCs w:val="22"/>
        </w:rPr>
        <w:t xml:space="preserve">b.  </w:t>
      </w:r>
      <w:r>
        <w:rPr>
          <w:rFonts w:eastAsia="Arial" w:cs="Arial"/>
          <w:sz w:val="22"/>
          <w:szCs w:val="22"/>
        </w:rPr>
        <w:t>Carbon monoxide detectors — test function, verify adequate placement near sleeping areas</w:t>
      </w:r>
    </w:p>
    <w:p>
      <w:pPr>
        <w:pStyle w:val="Normal"/>
        <w:spacing w:before="30" w:after="30"/>
        <w:ind w:hanging="360" w:start="720"/>
        <w:rPr/>
      </w:pPr>
      <w:r>
        <w:rPr>
          <w:rFonts w:eastAsia="Arial" w:cs="Arial"/>
          <w:b/>
          <w:bCs/>
          <w:sz w:val="22"/>
          <w:szCs w:val="22"/>
        </w:rPr>
        <w:t xml:space="preserve">c.  </w:t>
      </w:r>
      <w:r>
        <w:rPr>
          <w:rFonts w:eastAsia="Arial" w:cs="Arial"/>
          <w:sz w:val="22"/>
          <w:szCs w:val="22"/>
        </w:rPr>
        <w:t>Fire extinguishers — verify current annual inspection tag, confirm accessible placement, confirm pin and seal intact</w:t>
      </w:r>
    </w:p>
    <w:p>
      <w:pPr>
        <w:pStyle w:val="Normal"/>
        <w:spacing w:before="30" w:after="30"/>
        <w:ind w:hanging="360" w:start="720"/>
        <w:rPr/>
      </w:pPr>
      <w:r>
        <w:rPr>
          <w:rFonts w:eastAsia="Arial" w:cs="Arial"/>
          <w:b/>
          <w:bCs/>
          <w:sz w:val="22"/>
          <w:szCs w:val="22"/>
        </w:rPr>
        <w:t xml:space="preserve">d.  </w:t>
      </w:r>
      <w:r>
        <w:rPr>
          <w:rFonts w:eastAsia="Arial" w:cs="Arial"/>
          <w:sz w:val="22"/>
          <w:szCs w:val="22"/>
        </w:rPr>
        <w:t>All exits (front, back, windows designated as secondary egress) — confirm unobstructed, confirm functional from inside without a key, confirm lighting adequate</w:t>
      </w:r>
    </w:p>
    <w:p>
      <w:pPr>
        <w:pStyle w:val="Normal"/>
        <w:spacing w:before="30" w:after="30"/>
        <w:ind w:hanging="360" w:start="720"/>
        <w:rPr/>
      </w:pPr>
      <w:r>
        <w:rPr>
          <w:rFonts w:eastAsia="Arial" w:cs="Arial"/>
          <w:b/>
          <w:bCs/>
          <w:sz w:val="22"/>
          <w:szCs w:val="22"/>
        </w:rPr>
        <w:t xml:space="preserve">e.  </w:t>
      </w:r>
      <w:r>
        <w:rPr>
          <w:rFonts w:eastAsia="Arial" w:cs="Arial"/>
          <w:sz w:val="22"/>
          <w:szCs w:val="22"/>
        </w:rPr>
        <w:t>Stairways and hallways — confirm clear, adequate lighting, handrails secure</w:t>
      </w:r>
    </w:p>
    <w:p>
      <w:pPr>
        <w:pStyle w:val="Normal"/>
        <w:spacing w:before="30" w:after="30"/>
        <w:ind w:hanging="360" w:start="720"/>
        <w:rPr/>
      </w:pPr>
      <w:r>
        <w:rPr>
          <w:rFonts w:eastAsia="Arial" w:cs="Arial"/>
          <w:b/>
          <w:bCs/>
          <w:sz w:val="22"/>
          <w:szCs w:val="22"/>
        </w:rPr>
        <w:t xml:space="preserve">f.  </w:t>
      </w:r>
      <w:r>
        <w:rPr>
          <w:rFonts w:eastAsia="Arial" w:cs="Arial"/>
          <w:sz w:val="22"/>
          <w:szCs w:val="22"/>
        </w:rPr>
        <w:t>Kitchen — safe appliance condition, no expired food items, sanitary surfaces, no unsecured sharp instruments</w:t>
      </w:r>
    </w:p>
    <w:p>
      <w:pPr>
        <w:pStyle w:val="Normal"/>
        <w:spacing w:before="30" w:after="30"/>
        <w:ind w:hanging="360" w:start="720"/>
        <w:rPr/>
      </w:pPr>
      <w:r>
        <w:rPr>
          <w:rFonts w:eastAsia="Arial" w:cs="Arial"/>
          <w:b/>
          <w:bCs/>
          <w:sz w:val="22"/>
          <w:szCs w:val="22"/>
        </w:rPr>
        <w:t xml:space="preserve">g.  </w:t>
      </w:r>
      <w:r>
        <w:rPr>
          <w:rFonts w:eastAsia="Arial" w:cs="Arial"/>
          <w:sz w:val="22"/>
          <w:szCs w:val="22"/>
        </w:rPr>
        <w:t>Bathrooms — grab bars secure (if installed), surfaces clean, no slip hazards, hot water temperature ≤120°F to prevent scalding</w:t>
      </w:r>
    </w:p>
    <w:p>
      <w:pPr>
        <w:pStyle w:val="Normal"/>
        <w:spacing w:before="30" w:after="30"/>
        <w:ind w:hanging="360" w:start="720"/>
        <w:rPr/>
      </w:pPr>
      <w:r>
        <w:rPr>
          <w:rFonts w:eastAsia="Arial" w:cs="Arial"/>
          <w:b/>
          <w:bCs/>
          <w:sz w:val="22"/>
          <w:szCs w:val="22"/>
        </w:rPr>
        <w:t xml:space="preserve">h.  </w:t>
      </w:r>
      <w:r>
        <w:rPr>
          <w:rFonts w:eastAsia="Arial" w:cs="Arial"/>
          <w:sz w:val="22"/>
          <w:szCs w:val="22"/>
        </w:rPr>
        <w:t>Medication storage — locked and secure, organized, temperature appropriate</w:t>
      </w:r>
    </w:p>
    <w:p>
      <w:pPr>
        <w:pStyle w:val="Normal"/>
        <w:spacing w:before="30" w:after="30"/>
        <w:ind w:hanging="360" w:start="720"/>
        <w:rPr/>
      </w:pPr>
      <w:r>
        <w:rPr>
          <w:rFonts w:eastAsia="Arial" w:cs="Arial"/>
          <w:b/>
          <w:bCs/>
          <w:sz w:val="22"/>
          <w:szCs w:val="22"/>
        </w:rPr>
        <w:t xml:space="preserve">i.  </w:t>
      </w:r>
      <w:r>
        <w:rPr>
          <w:rFonts w:eastAsia="Arial" w:cs="Arial"/>
          <w:sz w:val="22"/>
          <w:szCs w:val="22"/>
        </w:rPr>
        <w:t>Hazardous materials storage — locked and secure (see Section E)</w:t>
      </w:r>
    </w:p>
    <w:p>
      <w:pPr>
        <w:pStyle w:val="Normal"/>
        <w:spacing w:before="30" w:after="30"/>
        <w:ind w:hanging="360" w:start="720"/>
        <w:rPr/>
      </w:pPr>
      <w:r>
        <w:rPr>
          <w:rFonts w:eastAsia="Arial" w:cs="Arial"/>
          <w:b/>
          <w:bCs/>
          <w:sz w:val="22"/>
          <w:szCs w:val="22"/>
        </w:rPr>
        <w:t xml:space="preserve">j.  </w:t>
      </w:r>
      <w:r>
        <w:rPr>
          <w:rFonts w:eastAsia="Arial" w:cs="Arial"/>
          <w:sz w:val="22"/>
          <w:szCs w:val="22"/>
        </w:rPr>
        <w:t>Electrical — no exposed wiring, no overloaded outlets or extension cords used as permanent wiring, no damaged power cords</w:t>
      </w:r>
    </w:p>
    <w:p>
      <w:pPr>
        <w:pStyle w:val="Normal"/>
        <w:spacing w:before="30" w:after="30"/>
        <w:ind w:hanging="360" w:start="720"/>
        <w:rPr/>
      </w:pPr>
      <w:r>
        <w:rPr>
          <w:rFonts w:eastAsia="Arial" w:cs="Arial"/>
          <w:b/>
          <w:bCs/>
          <w:sz w:val="22"/>
          <w:szCs w:val="22"/>
        </w:rPr>
        <w:t xml:space="preserve">k.  </w:t>
      </w:r>
      <w:r>
        <w:rPr>
          <w:rFonts w:eastAsia="Arial" w:cs="Arial"/>
          <w:sz w:val="22"/>
          <w:szCs w:val="22"/>
        </w:rPr>
        <w:t>Exterior — steps and walkways clear of debris and ice/snow hazards, exterior lighting functional, entry and exit secure</w:t>
      </w:r>
    </w:p>
    <w:p>
      <w:pPr>
        <w:pStyle w:val="Normal"/>
        <w:spacing w:before="30" w:after="30"/>
        <w:ind w:hanging="360" w:start="720"/>
        <w:rPr/>
      </w:pPr>
      <w:r>
        <w:rPr>
          <w:rFonts w:eastAsia="Arial" w:cs="Arial"/>
          <w:b/>
          <w:bCs/>
          <w:sz w:val="22"/>
          <w:szCs w:val="22"/>
        </w:rPr>
        <w:t xml:space="preserve">l.  </w:t>
      </w:r>
      <w:r>
        <w:rPr>
          <w:rFonts w:eastAsia="Arial" w:cs="Arial"/>
          <w:sz w:val="22"/>
          <w:szCs w:val="22"/>
        </w:rPr>
        <w:t>General — no standing water, no pest evidence, adequate ventilation</w:t>
      </w:r>
    </w:p>
    <w:p>
      <w:pPr>
        <w:pStyle w:val="Normal"/>
        <w:spacing w:before="40" w:after="60"/>
        <w:rPr/>
      </w:pPr>
      <w:r>
        <w:rPr>
          <w:rFonts w:eastAsia="Arial" w:cs="Arial"/>
          <w:sz w:val="22"/>
          <w:szCs w:val="22"/>
        </w:rPr>
        <w:t>All inspection findings shall be documented on the Monthly Safety Inspection Checklist. All items found deficient shall be assigned a correction timeline.</w:t>
      </w:r>
    </w:p>
    <w:p>
      <w:pPr>
        <w:pStyle w:val="Normal"/>
        <w:spacing w:before="140" w:after="60"/>
        <w:rPr/>
      </w:pPr>
      <w:r>
        <w:rPr>
          <w:rFonts w:eastAsia="Arial" w:cs="Arial"/>
          <w:b/>
          <w:bCs/>
          <w:sz w:val="22"/>
          <w:szCs w:val="22"/>
          <w:u w:val="single"/>
        </w:rPr>
        <w:t>C. Utility Systems Management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Utility systems essential for the health and safety of individuals served include: electricity, natural gas or heating fuel, potable water, and heating and cooling systems.</w:t>
      </w:r>
    </w:p>
    <w:p>
      <w:pPr>
        <w:pStyle w:val="Normal"/>
        <w:spacing w:before="30" w:after="30"/>
        <w:ind w:hanging="360" w:start="720"/>
        <w:rPr/>
      </w:pPr>
      <w:r>
        <w:rPr>
          <w:rFonts w:eastAsia="Arial" w:cs="Arial"/>
          <w:b/>
          <w:bCs/>
          <w:sz w:val="22"/>
          <w:szCs w:val="22"/>
        </w:rPr>
        <w:t xml:space="preserve">b.  </w:t>
      </w:r>
      <w:r>
        <w:rPr>
          <w:rFonts w:eastAsia="Arial" w:cs="Arial"/>
          <w:sz w:val="22"/>
          <w:szCs w:val="22"/>
        </w:rPr>
        <w:t>Utility failure response protocol: any utility failure lasting more than two (2) hours shall be reported to the supervising agency. If the utility failure creates a health or safety risk for individuals (loss of heat in cold weather, loss of power for powered medical equipment, loss of safe drinking water), the supervising agency shall be notified immediately and the continuity of care plan (Policy 5.01) shall be activated if needed.</w:t>
      </w:r>
    </w:p>
    <w:p>
      <w:pPr>
        <w:pStyle w:val="Normal"/>
        <w:spacing w:before="30" w:after="30"/>
        <w:ind w:hanging="360" w:start="720"/>
        <w:rPr/>
      </w:pPr>
      <w:r>
        <w:rPr>
          <w:rFonts w:eastAsia="Arial" w:cs="Arial"/>
          <w:b/>
          <w:bCs/>
          <w:sz w:val="22"/>
          <w:szCs w:val="22"/>
        </w:rPr>
        <w:t xml:space="preserve">c.  </w:t>
      </w:r>
      <w:r>
        <w:rPr>
          <w:rFonts w:eastAsia="Arial" w:cs="Arial"/>
          <w:sz w:val="22"/>
          <w:szCs w:val="22"/>
        </w:rPr>
        <w:t>Backup power: if any individual uses powered medical equipment (e.g., oxygen concentrator, suction machine, powered wheelchair charging), this Provider shall maintain a documented plan for alternate power in the event of a power outage, including the utility company's medical baseline or life support program enrollment if available.</w:t>
      </w:r>
    </w:p>
    <w:p>
      <w:pPr>
        <w:pStyle w:val="Normal"/>
        <w:spacing w:before="30" w:after="30"/>
        <w:ind w:hanging="360" w:start="720"/>
        <w:rPr/>
      </w:pPr>
      <w:r>
        <w:rPr>
          <w:rFonts w:eastAsia="Arial" w:cs="Arial"/>
          <w:b/>
          <w:bCs/>
          <w:sz w:val="22"/>
          <w:szCs w:val="22"/>
        </w:rPr>
        <w:t xml:space="preserve">d.  </w:t>
      </w:r>
      <w:r>
        <w:rPr>
          <w:rFonts w:eastAsia="Arial" w:cs="Arial"/>
          <w:sz w:val="22"/>
          <w:szCs w:val="22"/>
        </w:rPr>
        <w:t>Water temperature: domestic hot water shall be maintained at ≤120°F at the point of use to prevent scalding. Water temperature at bathroom fixtures shall be verified and documented at least monthly.</w:t>
      </w:r>
    </w:p>
    <w:p>
      <w:pPr>
        <w:pStyle w:val="Normal"/>
        <w:spacing w:before="30" w:after="30"/>
        <w:ind w:hanging="360" w:start="720"/>
        <w:rPr/>
      </w:pPr>
      <w:r>
        <w:rPr>
          <w:rFonts w:eastAsia="Arial" w:cs="Arial"/>
          <w:b/>
          <w:bCs/>
          <w:sz w:val="22"/>
          <w:szCs w:val="22"/>
        </w:rPr>
        <w:t xml:space="preserve">e.  </w:t>
      </w:r>
      <w:r>
        <w:rPr>
          <w:rFonts w:eastAsia="Arial" w:cs="Arial"/>
          <w:sz w:val="22"/>
          <w:szCs w:val="22"/>
        </w:rPr>
        <w:t>HVAC systems shall be serviced per manufacturer recommendations. Filters shall be replaced as recommended by the manufacturer or at least every three (3) months.</w:t>
      </w:r>
    </w:p>
    <w:p>
      <w:pPr>
        <w:pStyle w:val="Normal"/>
        <w:spacing w:before="140" w:after="60"/>
        <w:rPr/>
      </w:pPr>
      <w:r>
        <w:rPr>
          <w:rFonts w:eastAsia="Arial" w:cs="Arial"/>
          <w:b/>
          <w:bCs/>
          <w:sz w:val="22"/>
          <w:szCs w:val="22"/>
          <w:u w:val="single"/>
        </w:rPr>
        <w:t>D. Hazardous Materials Management Program</w:t>
      </w:r>
    </w:p>
    <w:p>
      <w:pPr>
        <w:pStyle w:val="Normal"/>
        <w:spacing w:before="40" w:after="60"/>
        <w:rPr/>
      </w:pPr>
      <w:r>
        <w:rPr>
          <w:rFonts w:eastAsia="Arial" w:cs="Arial"/>
          <w:sz w:val="22"/>
          <w:szCs w:val="22"/>
        </w:rPr>
        <w:t>A structured hazardous materials program reduces the risk of chemical exposure injuries in the residential setting:</w:t>
      </w:r>
    </w:p>
    <w:p>
      <w:pPr>
        <w:pStyle w:val="Normal"/>
        <w:spacing w:before="30" w:after="30"/>
        <w:ind w:hanging="360" w:start="720"/>
        <w:rPr/>
      </w:pPr>
      <w:r>
        <w:rPr>
          <w:rFonts w:eastAsia="Arial" w:cs="Arial"/>
          <w:b/>
          <w:bCs/>
          <w:sz w:val="22"/>
          <w:szCs w:val="22"/>
        </w:rPr>
        <w:t xml:space="preserve">a.  </w:t>
      </w:r>
      <w:r>
        <w:rPr>
          <w:rFonts w:eastAsia="Arial" w:cs="Arial"/>
          <w:sz w:val="22"/>
          <w:szCs w:val="22"/>
        </w:rPr>
        <w:t>Hazardous Materials Inventory: This Provider shall maintain a current written inventory of all hazardous materials on the premises. The inventory shall include: product name, hazard category (flammable, corrosive, toxic, biological), location stored, and Safety Data Sheet (SDS) location.</w:t>
      </w:r>
    </w:p>
    <w:p>
      <w:pPr>
        <w:pStyle w:val="Normal"/>
        <w:spacing w:before="30" w:after="30"/>
        <w:ind w:hanging="360" w:start="720"/>
        <w:rPr/>
      </w:pPr>
      <w:r>
        <w:rPr>
          <w:rFonts w:eastAsia="Arial" w:cs="Arial"/>
          <w:b/>
          <w:bCs/>
          <w:sz w:val="22"/>
          <w:szCs w:val="22"/>
        </w:rPr>
        <w:t xml:space="preserve">b.  </w:t>
      </w:r>
      <w:r>
        <w:rPr>
          <w:rFonts w:eastAsia="Arial" w:cs="Arial"/>
          <w:sz w:val="22"/>
          <w:szCs w:val="22"/>
        </w:rPr>
        <w:t>Safety Data Sheets (SDS): An SDS (formerly MSDS) shall be readily available for every hazardous chemical on the premises. SDS documents are available from the product manufacturer and must be accessible to staff at all times, including during an emergency.</w:t>
      </w:r>
    </w:p>
    <w:p>
      <w:pPr>
        <w:pStyle w:val="Normal"/>
        <w:spacing w:before="30" w:after="30"/>
        <w:ind w:hanging="360" w:start="720"/>
        <w:rPr/>
      </w:pPr>
      <w:r>
        <w:rPr>
          <w:rFonts w:eastAsia="Arial" w:cs="Arial"/>
          <w:b/>
          <w:bCs/>
          <w:sz w:val="22"/>
          <w:szCs w:val="22"/>
        </w:rPr>
        <w:t xml:space="preserve">c.  </w:t>
      </w:r>
      <w:r>
        <w:rPr>
          <w:rFonts w:eastAsia="Arial" w:cs="Arial"/>
          <w:sz w:val="22"/>
          <w:szCs w:val="22"/>
        </w:rPr>
        <w:t>Storage: All cleaning chemicals, pesticides, solvents, and other hazardous materials shall be stored in: original, labeled containers; locked cabinets or areas inaccessible to individuals served; locations separate from food, medications, and personal care items.</w:t>
      </w:r>
    </w:p>
    <w:p>
      <w:pPr>
        <w:pStyle w:val="Normal"/>
        <w:spacing w:before="30" w:after="30"/>
        <w:ind w:hanging="360" w:start="720"/>
        <w:rPr/>
      </w:pPr>
      <w:r>
        <w:rPr>
          <w:rFonts w:eastAsia="Arial" w:cs="Arial"/>
          <w:b/>
          <w:bCs/>
          <w:sz w:val="22"/>
          <w:szCs w:val="22"/>
        </w:rPr>
        <w:t xml:space="preserve">d.  </w:t>
      </w:r>
      <w:r>
        <w:rPr>
          <w:rFonts w:eastAsia="Arial" w:cs="Arial"/>
          <w:sz w:val="22"/>
          <w:szCs w:val="22"/>
        </w:rPr>
        <w:t>Staff Training: All staff shall receive hazardous materials training at orientation and annually, covering: how to read an SDS, proper handling and storage of chemicals used in this home, first aid response to chemical exposure (per SDS), and spill response procedures.</w:t>
      </w:r>
    </w:p>
    <w:p>
      <w:pPr>
        <w:pStyle w:val="Normal"/>
        <w:spacing w:before="30" w:after="30"/>
        <w:ind w:hanging="360" w:start="720"/>
        <w:rPr/>
      </w:pPr>
      <w:r>
        <w:rPr>
          <w:rFonts w:eastAsia="Arial" w:cs="Arial"/>
          <w:b/>
          <w:bCs/>
          <w:sz w:val="22"/>
          <w:szCs w:val="22"/>
        </w:rPr>
        <w:t xml:space="preserve">e.  </w:t>
      </w:r>
      <w:r>
        <w:rPr>
          <w:rFonts w:eastAsia="Arial" w:cs="Arial"/>
          <w:sz w:val="22"/>
          <w:szCs w:val="22"/>
        </w:rPr>
        <w:t>Spill Response: Chemical spills shall be cleaned up immediately using appropriate PPE per the product SDS. If the spill involves a significant quantity of a toxic material, involves skin or eye contact, or creates a health risk to individuals, 911 and Poison Control (1-800-222-1222) shall be contacted. All significant spills shall be documented.</w:t>
      </w:r>
    </w:p>
    <w:p>
      <w:pPr>
        <w:pStyle w:val="Normal"/>
        <w:spacing w:before="30" w:after="30"/>
        <w:ind w:hanging="360" w:start="720"/>
        <w:rPr/>
      </w:pPr>
      <w:r>
        <w:rPr>
          <w:rFonts w:eastAsia="Arial" w:cs="Arial"/>
          <w:b/>
          <w:bCs/>
          <w:sz w:val="22"/>
          <w:szCs w:val="22"/>
        </w:rPr>
        <w:t xml:space="preserve">f.  </w:t>
      </w:r>
      <w:r>
        <w:rPr>
          <w:rFonts w:eastAsia="Arial" w:cs="Arial"/>
          <w:sz w:val="22"/>
          <w:szCs w:val="22"/>
        </w:rPr>
        <w:t>Disposal: Hazardous materials shall be disposed of in compliance with applicable local, state, and federal regulations. Improper disposal (e.g., pouring chemicals down drains or in regular trash when prohibited) is not permitted.</w:t>
      </w:r>
    </w:p>
    <w:p>
      <w:pPr>
        <w:pStyle w:val="Normal"/>
        <w:spacing w:before="140" w:after="60"/>
        <w:rPr/>
      </w:pPr>
      <w:r>
        <w:rPr>
          <w:rFonts w:eastAsia="Arial" w:cs="Arial"/>
          <w:b/>
          <w:bCs/>
          <w:sz w:val="22"/>
          <w:szCs w:val="22"/>
          <w:u w:val="single"/>
        </w:rPr>
        <w:t>E. Security Management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Access to the home shall be controlled to protect the privacy and safety of individuals served. Door locks shall be functional and in good repair. All household members shall have appropriate keys or access codes.</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security incident — unauthorized entry or attempted entry, theft, or threat — shall be reported to law enforcement and to the Administrator immediately, and documented on an Incident Report.</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physical layout of the home shall be assessed for security risks during the annual EC Risk Assessment. Any identified security vulnerability shall be addressed within thirty (30) days.</w:t>
      </w:r>
    </w:p>
    <w:p>
      <w:pPr>
        <w:pStyle w:val="Normal"/>
        <w:spacing w:before="30" w:after="30"/>
        <w:ind w:hanging="360" w:start="720"/>
        <w:rPr/>
      </w:pPr>
      <w:r>
        <w:rPr>
          <w:rFonts w:eastAsia="Arial" w:cs="Arial"/>
          <w:b/>
          <w:bCs/>
          <w:sz w:val="22"/>
          <w:szCs w:val="22"/>
        </w:rPr>
        <w:t xml:space="preserve">d.  </w:t>
      </w:r>
      <w:r>
        <w:rPr>
          <w:rFonts w:eastAsia="Arial" w:cs="Arial"/>
          <w:sz w:val="22"/>
          <w:szCs w:val="22"/>
        </w:rPr>
        <w:t>No individual shall be locked inside any room of the home as a security measure or behavioral intervention (Policy 3.05).</w:t>
      </w:r>
    </w:p>
    <w:p>
      <w:pPr>
        <w:pStyle w:val="Normal"/>
        <w:spacing w:before="140" w:after="60"/>
        <w:rPr/>
      </w:pPr>
      <w:r>
        <w:rPr>
          <w:rFonts w:eastAsia="Arial" w:cs="Arial"/>
          <w:b/>
          <w:bCs/>
          <w:sz w:val="22"/>
          <w:szCs w:val="22"/>
          <w:u w:val="single"/>
        </w:rPr>
        <w:t>F. Maintenance and Repairs</w:t>
      </w:r>
    </w:p>
    <w:p>
      <w:pPr>
        <w:pStyle w:val="Normal"/>
        <w:spacing w:before="30" w:after="30"/>
        <w:ind w:hanging="360" w:start="720"/>
        <w:rPr/>
      </w:pPr>
      <w:r>
        <w:rPr>
          <w:rFonts w:eastAsia="Arial" w:cs="Arial"/>
          <w:b/>
          <w:bCs/>
          <w:sz w:val="22"/>
          <w:szCs w:val="22"/>
        </w:rPr>
        <w:t xml:space="preserve">a.  </w:t>
      </w:r>
      <w:r>
        <w:rPr>
          <w:rFonts w:eastAsia="Arial" w:cs="Arial"/>
          <w:sz w:val="22"/>
          <w:szCs w:val="22"/>
        </w:rPr>
        <w:t>Maintenance issues that pose an immediate health or safety risk shall be addressed within twenty-four (24) hours. If immediate repair is not possible, the affected area shall be secured and alternative arrangements made, with the supervising agency notified.</w:t>
      </w:r>
    </w:p>
    <w:p>
      <w:pPr>
        <w:pStyle w:val="Normal"/>
        <w:spacing w:before="30" w:after="30"/>
        <w:ind w:hanging="360" w:start="720"/>
        <w:rPr/>
      </w:pPr>
      <w:r>
        <w:rPr>
          <w:rFonts w:eastAsia="Arial" w:cs="Arial"/>
          <w:b/>
          <w:bCs/>
          <w:sz w:val="22"/>
          <w:szCs w:val="22"/>
        </w:rPr>
        <w:t xml:space="preserve">b.  </w:t>
      </w:r>
      <w:r>
        <w:rPr>
          <w:rFonts w:eastAsia="Arial" w:cs="Arial"/>
          <w:sz w:val="22"/>
          <w:szCs w:val="22"/>
        </w:rPr>
        <w:t>Non-urgent maintenance issues shall be logged on the Maintenance Request Log and addressed within thirty (30) days.</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maintenance work performed by outside contractors shall be documented with the contractor's name, scope of work, and date of completion. Contractors working on-site shall be made aware of the residential nature of the setting and the need to maintain a safe environment for individuals.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Annual Environment of Care Risk Assessment</w:t>
      </w:r>
    </w:p>
    <w:p>
      <w:pPr>
        <w:pStyle w:val="ListParagraph"/>
        <w:numPr>
          <w:ilvl w:val="0"/>
          <w:numId w:val="1"/>
        </w:numPr>
        <w:spacing w:before="30" w:after="30"/>
        <w:rPr/>
      </w:pPr>
      <w:r>
        <w:rPr>
          <w:rFonts w:eastAsia="Arial" w:cs="Arial"/>
          <w:sz w:val="22"/>
          <w:szCs w:val="22"/>
        </w:rPr>
        <w:t>Monthly Safety Inspection Checklist</w:t>
      </w:r>
    </w:p>
    <w:p>
      <w:pPr>
        <w:pStyle w:val="ListParagraph"/>
        <w:numPr>
          <w:ilvl w:val="0"/>
          <w:numId w:val="1"/>
        </w:numPr>
        <w:spacing w:before="30" w:after="30"/>
        <w:rPr/>
      </w:pPr>
      <w:r>
        <w:rPr>
          <w:rFonts w:eastAsia="Arial" w:cs="Arial"/>
          <w:sz w:val="22"/>
          <w:szCs w:val="22"/>
        </w:rPr>
        <w:t>Hazardous Materials Inventory</w:t>
      </w:r>
    </w:p>
    <w:p>
      <w:pPr>
        <w:pStyle w:val="ListParagraph"/>
        <w:numPr>
          <w:ilvl w:val="0"/>
          <w:numId w:val="1"/>
        </w:numPr>
        <w:spacing w:before="30" w:after="30"/>
        <w:rPr/>
      </w:pPr>
      <w:r>
        <w:rPr>
          <w:rFonts w:eastAsia="Arial" w:cs="Arial"/>
          <w:sz w:val="22"/>
          <w:szCs w:val="22"/>
        </w:rPr>
        <w:t>Safety Data Sheet (SDS) File</w:t>
      </w:r>
    </w:p>
    <w:p>
      <w:pPr>
        <w:pStyle w:val="ListParagraph"/>
        <w:numPr>
          <w:ilvl w:val="0"/>
          <w:numId w:val="1"/>
        </w:numPr>
        <w:spacing w:before="30" w:after="30"/>
        <w:rPr/>
      </w:pPr>
      <w:r>
        <w:rPr>
          <w:rFonts w:eastAsia="Arial" w:cs="Arial"/>
          <w:sz w:val="22"/>
          <w:szCs w:val="22"/>
        </w:rPr>
        <w:t>Maintenance Request Log</w:t>
      </w:r>
    </w:p>
    <w:p>
      <w:pPr>
        <w:pStyle w:val="ListParagraph"/>
        <w:numPr>
          <w:ilvl w:val="0"/>
          <w:numId w:val="1"/>
        </w:numPr>
        <w:spacing w:before="30" w:after="30"/>
        <w:rPr/>
      </w:pPr>
      <w:r>
        <w:rPr>
          <w:rFonts w:eastAsia="Arial" w:cs="Arial"/>
          <w:sz w:val="22"/>
          <w:szCs w:val="22"/>
        </w:rPr>
        <w:t>Utility Failure Response Protocol</w:t>
      </w:r>
    </w:p>
    <w:p>
      <w:pPr>
        <w:pStyle w:val="ListParagraph"/>
        <w:numPr>
          <w:ilvl w:val="0"/>
          <w:numId w:val="1"/>
        </w:numPr>
        <w:spacing w:before="30" w:after="30"/>
        <w:rPr/>
      </w:pPr>
      <w:r>
        <w:rPr>
          <w:rFonts w:eastAsia="Arial" w:cs="Arial"/>
          <w:sz w:val="22"/>
          <w:szCs w:val="22"/>
        </w:rPr>
        <w:t>Incident Report Form (Policy 5.00)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#5.05: Abuse, Neglect &amp; Exploitation — Prevention, Recognition &amp; Mandatory Reporting</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Safety / Compliance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5.05</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RI.01 (JC Individual Rights); State Mandatory Reporting Statutes; Adult Protective Services Act; State Abuse/Neglect Regulations; 42 CFR 441.301</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clear standards for the prevention, recognition, and mandatory reporting of abuse, neglect, and exploitation of individuals served; to ensure all staff understand and fulfill their legal reporting obligations without exception; and to maintain a culture in which individuals feel safe to disclose mistreatment.</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maintains zero tolerance for abuse, neglect, or exploitation of any individual in any form. All employees and contracted personnel are mandatory reporters under applicable state law. No employee shall face retaliation for making a good-faith report. Any employee found to have committed abuse, neglect, or exploitation, or to have knowingly failed to report it, shall be subject to immediate termination and referral for investigation and potential criminal prosecution.</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Physical Abuse: Any non-accidental act causing physical pain, injury, or impairment — including hitting, pushing, biting, scratching, kicking, or any use of force beyond authorized support techniques.</w:t>
      </w:r>
    </w:p>
    <w:p>
      <w:pPr>
        <w:pStyle w:val="ListParagraph"/>
        <w:numPr>
          <w:ilvl w:val="0"/>
          <w:numId w:val="1"/>
        </w:numPr>
        <w:spacing w:before="30" w:after="30"/>
        <w:rPr/>
      </w:pPr>
      <w:r>
        <w:rPr>
          <w:rFonts w:eastAsia="Arial" w:cs="Arial"/>
          <w:sz w:val="22"/>
          <w:szCs w:val="22"/>
        </w:rPr>
        <w:t>Emotional / Psychological Abuse: Verbal assaults, threats, humiliation, intimidation, isolation, or any act that causes emotional distress or fear.</w:t>
      </w:r>
    </w:p>
    <w:p>
      <w:pPr>
        <w:pStyle w:val="ListParagraph"/>
        <w:numPr>
          <w:ilvl w:val="0"/>
          <w:numId w:val="1"/>
        </w:numPr>
        <w:spacing w:before="30" w:after="30"/>
        <w:rPr/>
      </w:pPr>
      <w:r>
        <w:rPr>
          <w:rFonts w:eastAsia="Arial" w:cs="Arial"/>
          <w:sz w:val="22"/>
          <w:szCs w:val="22"/>
        </w:rPr>
        <w:t>Sexual Abuse: Any non-consensual sexual contact or conduct involving an individual, including inappropriate touching, exposure, or sexual exploitation.</w:t>
      </w:r>
    </w:p>
    <w:p>
      <w:pPr>
        <w:pStyle w:val="ListParagraph"/>
        <w:numPr>
          <w:ilvl w:val="0"/>
          <w:numId w:val="1"/>
        </w:numPr>
        <w:spacing w:before="30" w:after="30"/>
        <w:rPr/>
      </w:pPr>
      <w:r>
        <w:rPr>
          <w:rFonts w:eastAsia="Arial" w:cs="Arial"/>
          <w:sz w:val="22"/>
          <w:szCs w:val="22"/>
        </w:rPr>
        <w:t>Neglect: Failure to provide necessary care, supervision, medication, food, water, clothing, shelter, or support that results in or risks harm to the individual.</w:t>
      </w:r>
    </w:p>
    <w:p>
      <w:pPr>
        <w:pStyle w:val="ListParagraph"/>
        <w:numPr>
          <w:ilvl w:val="0"/>
          <w:numId w:val="1"/>
        </w:numPr>
        <w:spacing w:before="30" w:after="30"/>
        <w:rPr/>
      </w:pPr>
      <w:r>
        <w:rPr>
          <w:rFonts w:eastAsia="Arial" w:cs="Arial"/>
          <w:sz w:val="22"/>
          <w:szCs w:val="22"/>
        </w:rPr>
        <w:t>Financial Exploitation: Unauthorized use, theft, misappropriation, or mismanagement of an individual's money or property.</w:t>
      </w:r>
    </w:p>
    <w:p>
      <w:pPr>
        <w:pStyle w:val="ListParagraph"/>
        <w:numPr>
          <w:ilvl w:val="0"/>
          <w:numId w:val="1"/>
        </w:numPr>
        <w:spacing w:before="30" w:after="30"/>
        <w:rPr/>
      </w:pPr>
      <w:r>
        <w:rPr>
          <w:rFonts w:eastAsia="Arial" w:cs="Arial"/>
          <w:sz w:val="22"/>
          <w:szCs w:val="22"/>
        </w:rPr>
        <w:t>Self-Neglect: An individual's failure to meet their own care needs due to cognitive or physical impairment — not a staff-caused neglect, but a safety concern requiring care coordination.</w:t>
      </w:r>
    </w:p>
    <w:p>
      <w:pPr>
        <w:pStyle w:val="Normal"/>
        <w:spacing w:before="120" w:after="40"/>
        <w:rPr/>
      </w:pPr>
      <w:r>
        <w:rPr>
          <w:rFonts w:eastAsia="Arial" w:cs="Arial"/>
          <w:b/>
          <w:bCs/>
          <w:color w:val="2E5DA8"/>
          <w:sz w:val="22"/>
          <w:szCs w:val="22"/>
        </w:rPr>
        <w:t>PROCEDURE</w:t>
      </w:r>
    </w:p>
    <w:p>
      <w:pPr>
        <w:pStyle w:val="Normal"/>
        <w:spacing w:before="140" w:after="60"/>
        <w:rPr/>
      </w:pPr>
      <w:r>
        <w:rPr>
          <w:rFonts w:eastAsia="Arial" w:cs="Arial"/>
          <w:b/>
          <w:bCs/>
          <w:sz w:val="22"/>
          <w:szCs w:val="22"/>
          <w:u w:val="single"/>
        </w:rPr>
        <w:t>A. Prevention — Creating a Safe Environment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staff shall receive training in abuse, neglect, and exploitation recognition, prevention, and mandatory reporting at orientation and annually. Training shall include: definitions of each type of mistreatment, behavioral indicators that an individual may be experiencing mistreatment, power dynamics in caregiver relationships, and the legal obligation to report.</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supervision and observational practices shall minimize opportunities for unwitnessed interactions in situations where risk is elevated. Regular unannounced check-ins by the Administrator or supervising agency are a component of the prevention strategy.</w:t>
      </w:r>
    </w:p>
    <w:p>
      <w:pPr>
        <w:pStyle w:val="Normal"/>
        <w:spacing w:before="30" w:after="30"/>
        <w:ind w:hanging="360" w:start="720"/>
        <w:rPr/>
      </w:pPr>
      <w:r>
        <w:rPr>
          <w:rFonts w:eastAsia="Arial" w:cs="Arial"/>
          <w:b/>
          <w:bCs/>
          <w:sz w:val="22"/>
          <w:szCs w:val="22"/>
        </w:rPr>
        <w:t xml:space="preserve">c.  </w:t>
      </w:r>
      <w:r>
        <w:rPr>
          <w:rFonts w:eastAsia="Arial" w:cs="Arial"/>
          <w:sz w:val="22"/>
          <w:szCs w:val="22"/>
        </w:rPr>
        <w:t>This Provider maintains an open, non-retaliatory culture in which staff feel safe to report concerns about the conduct of colleagues. Staff who see something shall say something — to the Administrator, to the supervising agency, or directly to APS.</w:t>
      </w:r>
    </w:p>
    <w:p>
      <w:pPr>
        <w:pStyle w:val="Normal"/>
        <w:spacing w:before="30" w:after="30"/>
        <w:ind w:hanging="360" w:start="720"/>
        <w:rPr/>
      </w:pPr>
      <w:r>
        <w:rPr>
          <w:rFonts w:eastAsia="Arial" w:cs="Arial"/>
          <w:b/>
          <w:bCs/>
          <w:sz w:val="22"/>
          <w:szCs w:val="22"/>
        </w:rPr>
        <w:t xml:space="preserve">d.  </w:t>
      </w:r>
      <w:r>
        <w:rPr>
          <w:rFonts w:eastAsia="Arial" w:cs="Arial"/>
          <w:sz w:val="22"/>
          <w:szCs w:val="22"/>
        </w:rPr>
        <w:t>Staff shall never witness mistreatment without intervening to stop it (to the extent safe to do so) and reporting it.</w:t>
      </w:r>
    </w:p>
    <w:p>
      <w:pPr>
        <w:pStyle w:val="Normal"/>
        <w:spacing w:before="140" w:after="60"/>
        <w:rPr/>
      </w:pPr>
      <w:r>
        <w:rPr>
          <w:rFonts w:eastAsia="Arial" w:cs="Arial"/>
          <w:b/>
          <w:bCs/>
          <w:sz w:val="22"/>
          <w:szCs w:val="22"/>
          <w:u w:val="single"/>
        </w:rPr>
        <w:t>B. Recognition — Signs of Possible Mistreatment</w:t>
      </w:r>
    </w:p>
    <w:p>
      <w:pPr>
        <w:pStyle w:val="Normal"/>
        <w:spacing w:before="40" w:after="60"/>
        <w:rPr/>
      </w:pPr>
      <w:r>
        <w:rPr>
          <w:rFonts w:eastAsia="Arial" w:cs="Arial"/>
          <w:sz w:val="22"/>
          <w:szCs w:val="22"/>
        </w:rPr>
        <w:t>Staff shall report any of the following observations to the Administrator immediately:</w:t>
      </w:r>
    </w:p>
    <w:p>
      <w:pPr>
        <w:pStyle w:val="ListParagraph"/>
        <w:numPr>
          <w:ilvl w:val="0"/>
          <w:numId w:val="1"/>
        </w:numPr>
        <w:spacing w:before="30" w:after="30"/>
        <w:rPr/>
      </w:pPr>
      <w:r>
        <w:rPr>
          <w:rFonts w:eastAsia="Arial" w:cs="Arial"/>
          <w:sz w:val="22"/>
          <w:szCs w:val="22"/>
        </w:rPr>
        <w:t>Unexplained injuries, bruises in various stages of healing, welts, burns, or marks inconsistent with the individual's medical history or mobility level</w:t>
      </w:r>
    </w:p>
    <w:p>
      <w:pPr>
        <w:pStyle w:val="ListParagraph"/>
        <w:numPr>
          <w:ilvl w:val="0"/>
          <w:numId w:val="1"/>
        </w:numPr>
        <w:spacing w:before="30" w:after="30"/>
        <w:rPr/>
      </w:pPr>
      <w:r>
        <w:rPr>
          <w:rFonts w:eastAsia="Arial" w:cs="Arial"/>
          <w:sz w:val="22"/>
          <w:szCs w:val="22"/>
        </w:rPr>
        <w:t>Fear, anxiety, withdrawal, or changed demeanor specifically in the presence of a particular staff member or person</w:t>
      </w:r>
    </w:p>
    <w:p>
      <w:pPr>
        <w:pStyle w:val="ListParagraph"/>
        <w:numPr>
          <w:ilvl w:val="0"/>
          <w:numId w:val="1"/>
        </w:numPr>
        <w:spacing w:before="30" w:after="30"/>
        <w:rPr/>
      </w:pPr>
      <w:r>
        <w:rPr>
          <w:rFonts w:eastAsia="Arial" w:cs="Arial"/>
          <w:sz w:val="22"/>
          <w:szCs w:val="22"/>
        </w:rPr>
        <w:t>An individual's disclosure — verbal, behavioral, or through communication device — of being hurt, afraid, or mistreated</w:t>
      </w:r>
    </w:p>
    <w:p>
      <w:pPr>
        <w:pStyle w:val="ListParagraph"/>
        <w:numPr>
          <w:ilvl w:val="0"/>
          <w:numId w:val="1"/>
        </w:numPr>
        <w:spacing w:before="30" w:after="30"/>
        <w:rPr/>
      </w:pPr>
      <w:r>
        <w:rPr>
          <w:rFonts w:eastAsia="Arial" w:cs="Arial"/>
          <w:sz w:val="22"/>
          <w:szCs w:val="22"/>
        </w:rPr>
        <w:t>Unexplained financial transactions, missing personal items, or unusual financial activity</w:t>
      </w:r>
    </w:p>
    <w:p>
      <w:pPr>
        <w:pStyle w:val="ListParagraph"/>
        <w:numPr>
          <w:ilvl w:val="0"/>
          <w:numId w:val="1"/>
        </w:numPr>
        <w:spacing w:before="30" w:after="30"/>
        <w:rPr/>
      </w:pPr>
      <w:r>
        <w:rPr>
          <w:rFonts w:eastAsia="Arial" w:cs="Arial"/>
          <w:sz w:val="22"/>
          <w:szCs w:val="22"/>
        </w:rPr>
        <w:t>Physical condition significantly inconsistent with documented care (e.g., severe untreated pressure injuries, significant dehydration or malnutrition without medical explanation)</w:t>
      </w:r>
    </w:p>
    <w:p>
      <w:pPr>
        <w:pStyle w:val="ListParagraph"/>
        <w:numPr>
          <w:ilvl w:val="0"/>
          <w:numId w:val="1"/>
        </w:numPr>
        <w:spacing w:before="30" w:after="30"/>
        <w:rPr/>
      </w:pPr>
      <w:r>
        <w:rPr>
          <w:rFonts w:eastAsia="Arial" w:cs="Arial"/>
          <w:sz w:val="22"/>
          <w:szCs w:val="22"/>
        </w:rPr>
        <w:t>Behavioral changes that have no apparent medical cause</w:t>
      </w:r>
    </w:p>
    <w:p>
      <w:pPr>
        <w:pStyle w:val="Normal"/>
        <w:spacing w:before="140" w:after="60"/>
        <w:rPr/>
      </w:pPr>
      <w:r>
        <w:rPr>
          <w:rFonts w:eastAsia="Arial" w:cs="Arial"/>
          <w:b/>
          <w:bCs/>
          <w:sz w:val="22"/>
          <w:szCs w:val="22"/>
          <w:u w:val="single"/>
        </w:rPr>
        <w:t>C. Immediate Reporting Response</w:t>
      </w:r>
    </w:p>
    <w:p>
      <w:pPr>
        <w:pStyle w:val="Normal"/>
        <w:spacing w:before="30" w:after="30"/>
        <w:ind w:hanging="360" w:start="720"/>
        <w:rPr/>
      </w:pPr>
      <w:r>
        <w:rPr>
          <w:rFonts w:eastAsia="Arial" w:cs="Arial"/>
          <w:b/>
          <w:bCs/>
          <w:sz w:val="22"/>
          <w:szCs w:val="22"/>
        </w:rPr>
        <w:t xml:space="preserve">a.  </w:t>
      </w:r>
      <w:r>
        <w:rPr>
          <w:rFonts w:eastAsia="Arial" w:cs="Arial"/>
          <w:sz w:val="22"/>
          <w:szCs w:val="22"/>
        </w:rPr>
        <w:t>Any staff member who witnesses, suspects, or receives a report of abuse, neglect, or exploitation shall take the following steps immediately, in this order:</w:t>
      </w:r>
    </w:p>
    <w:p>
      <w:pPr>
        <w:pStyle w:val="ListParagraph"/>
        <w:numPr>
          <w:ilvl w:val="1"/>
          <w:numId w:val="1"/>
        </w:numPr>
        <w:spacing w:before="30" w:after="30"/>
        <w:rPr/>
      </w:pPr>
      <w:r>
        <w:rPr>
          <w:rFonts w:eastAsia="Arial" w:cs="Arial"/>
          <w:sz w:val="22"/>
          <w:szCs w:val="22"/>
        </w:rPr>
        <w:t>Ensure the immediate physical safety of the individual</w:t>
      </w:r>
    </w:p>
    <w:p>
      <w:pPr>
        <w:pStyle w:val="ListParagraph"/>
        <w:numPr>
          <w:ilvl w:val="1"/>
          <w:numId w:val="1"/>
        </w:numPr>
        <w:spacing w:before="30" w:after="30"/>
        <w:rPr/>
      </w:pPr>
      <w:r>
        <w:rPr>
          <w:rFonts w:eastAsia="Arial" w:cs="Arial"/>
          <w:sz w:val="22"/>
          <w:szCs w:val="22"/>
        </w:rPr>
        <w:t>Call the state Adult Protective Services hotline immediately (see Appendix B for state-specific number) — do not wait to speak with the Administrator first</w:t>
      </w:r>
    </w:p>
    <w:p>
      <w:pPr>
        <w:pStyle w:val="ListParagraph"/>
        <w:numPr>
          <w:ilvl w:val="1"/>
          <w:numId w:val="1"/>
        </w:numPr>
        <w:spacing w:before="30" w:after="30"/>
        <w:rPr/>
      </w:pPr>
      <w:r>
        <w:rPr>
          <w:rFonts w:eastAsia="Arial" w:cs="Arial"/>
          <w:sz w:val="22"/>
          <w:szCs w:val="22"/>
        </w:rPr>
        <w:t>Call law enforcement if a crime is suspected or if instructed by APS</w:t>
      </w:r>
    </w:p>
    <w:p>
      <w:pPr>
        <w:pStyle w:val="ListParagraph"/>
        <w:numPr>
          <w:ilvl w:val="1"/>
          <w:numId w:val="1"/>
        </w:numPr>
        <w:spacing w:before="30" w:after="30"/>
        <w:rPr/>
      </w:pPr>
      <w:r>
        <w:rPr>
          <w:rFonts w:eastAsia="Arial" w:cs="Arial"/>
          <w:sz w:val="22"/>
          <w:szCs w:val="22"/>
        </w:rPr>
        <w:t>Notify the Administrator as soon as possible after the APS report is made</w:t>
      </w:r>
    </w:p>
    <w:p>
      <w:pPr>
        <w:pStyle w:val="Normal"/>
        <w:spacing w:before="30" w:after="30"/>
        <w:ind w:hanging="360" w:start="720"/>
        <w:rPr/>
      </w:pPr>
      <w:r>
        <w:rPr>
          <w:rFonts w:eastAsia="Arial" w:cs="Arial"/>
          <w:b/>
          <w:bCs/>
          <w:sz w:val="22"/>
          <w:szCs w:val="22"/>
        </w:rPr>
        <w:t xml:space="preserve">b.  </w:t>
      </w:r>
      <w:r>
        <w:rPr>
          <w:rFonts w:eastAsia="Arial" w:cs="Arial"/>
          <w:sz w:val="22"/>
          <w:szCs w:val="22"/>
        </w:rPr>
        <w:t>If the suspected perpetrator is a staff member: do not confront the suspected staff member; request or arrange for them to be separated from the individual immediately pending investigation; and do not share the details of the report with them or with other staff beyond what is operationally necessary.</w:t>
      </w:r>
    </w:p>
    <w:p>
      <w:pPr>
        <w:pStyle w:val="Normal"/>
        <w:spacing w:before="30" w:after="30"/>
        <w:ind w:hanging="360" w:start="720"/>
        <w:rPr/>
      </w:pPr>
      <w:r>
        <w:rPr>
          <w:rFonts w:eastAsia="Arial" w:cs="Arial"/>
          <w:b/>
          <w:bCs/>
          <w:sz w:val="22"/>
          <w:szCs w:val="22"/>
        </w:rPr>
        <w:t xml:space="preserve">c.  </w:t>
      </w:r>
      <w:r>
        <w:rPr>
          <w:rFonts w:eastAsia="Arial" w:cs="Arial"/>
          <w:sz w:val="22"/>
          <w:szCs w:val="22"/>
        </w:rPr>
        <w:t>If the suspected perpetrator is the Administrator: reports shall be made directly to the supervising agency and APS without going through the Administrator first.</w:t>
      </w:r>
    </w:p>
    <w:p>
      <w:pPr>
        <w:pStyle w:val="Normal"/>
        <w:spacing w:before="140" w:after="60"/>
        <w:rPr/>
      </w:pPr>
      <w:r>
        <w:rPr>
          <w:rFonts w:eastAsia="Arial" w:cs="Arial"/>
          <w:b/>
          <w:bCs/>
          <w:sz w:val="22"/>
          <w:szCs w:val="22"/>
          <w:u w:val="single"/>
        </w:rPr>
        <w:t>D. Preservation of Evidence</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not clean, move, alter, or destroy any physical evidence of possible abuse before law enforcement or APS has assessed the scene.</w:t>
      </w:r>
    </w:p>
    <w:p>
      <w:pPr>
        <w:pStyle w:val="Normal"/>
        <w:spacing w:before="30" w:after="30"/>
        <w:ind w:hanging="360" w:start="720"/>
        <w:rPr/>
      </w:pPr>
      <w:r>
        <w:rPr>
          <w:rFonts w:eastAsia="Arial" w:cs="Arial"/>
          <w:b/>
          <w:bCs/>
          <w:sz w:val="22"/>
          <w:szCs w:val="22"/>
        </w:rPr>
        <w:t xml:space="preserve">b.  </w:t>
      </w:r>
      <w:r>
        <w:rPr>
          <w:rFonts w:eastAsia="Arial" w:cs="Arial"/>
          <w:sz w:val="22"/>
          <w:szCs w:val="22"/>
        </w:rPr>
        <w:t>Staff shall document all physical observations (location, description, and size of any visible injuries) as accurately and specifically as possible, using objective language.</w:t>
      </w:r>
    </w:p>
    <w:p>
      <w:pPr>
        <w:pStyle w:val="Normal"/>
        <w:spacing w:before="140" w:after="60"/>
        <w:rPr/>
      </w:pPr>
      <w:r>
        <w:rPr>
          <w:rFonts w:eastAsia="Arial" w:cs="Arial"/>
          <w:b/>
          <w:bCs/>
          <w:sz w:val="22"/>
          <w:szCs w:val="22"/>
          <w:u w:val="single"/>
        </w:rPr>
        <w:t>E. Documentation, Investigation, and Corrective Action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An Incident Report shall be completed within the shift.</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Administrator shall cooperate fully and without obstruction with APS, law enforcement, and licensing authority investigations.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Internal investigation findings, corrective actions taken, and any staffing or operational changes made as a result shall be documented and reported to the supervising agency within required timeframes.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APS Hotline Numbers — Appendix B</w:t>
      </w:r>
    </w:p>
    <w:p>
      <w:pPr>
        <w:pStyle w:val="ListParagraph"/>
        <w:numPr>
          <w:ilvl w:val="0"/>
          <w:numId w:val="1"/>
        </w:numPr>
        <w:spacing w:before="30" w:after="30"/>
        <w:rPr/>
      </w:pPr>
      <w:r>
        <w:rPr>
          <w:rFonts w:eastAsia="Arial" w:cs="Arial"/>
          <w:sz w:val="22"/>
          <w:szCs w:val="22"/>
        </w:rPr>
        <w:t>Incident Report Form (Policy 5.00)</w:t>
      </w:r>
    </w:p>
    <w:p>
      <w:pPr>
        <w:pStyle w:val="ListParagraph"/>
        <w:numPr>
          <w:ilvl w:val="0"/>
          <w:numId w:val="1"/>
        </w:numPr>
        <w:spacing w:before="30" w:after="30"/>
        <w:rPr/>
      </w:pPr>
      <w:r>
        <w:rPr>
          <w:rFonts w:eastAsia="Arial" w:cs="Arial"/>
          <w:sz w:val="22"/>
          <w:szCs w:val="22"/>
        </w:rPr>
        <w:t>State Critical Incident Report (if applicable)</w:t>
      </w:r>
    </w:p>
    <w:p>
      <w:pPr>
        <w:pStyle w:val="ListParagraph"/>
        <w:numPr>
          <w:ilvl w:val="0"/>
          <w:numId w:val="1"/>
        </w:numPr>
        <w:spacing w:before="30" w:after="30"/>
        <w:rPr/>
      </w:pPr>
      <w:r>
        <w:rPr>
          <w:rFonts w:eastAsia="Arial" w:cs="Arial"/>
          <w:sz w:val="22"/>
          <w:szCs w:val="22"/>
        </w:rPr>
        <w:t>Quality Management Log (Policy 6.00)</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p>
      <w:pPr>
        <w:pStyle w:val="Normal"/>
        <w:shd w:val="clear" w:fill="1F3864"/>
        <w:spacing w:before="0" w:after="0"/>
        <w:jc w:val="center"/>
        <w:rPr/>
      </w:pPr>
      <w:r>
        <w:rPr>
          <w:rFonts w:eastAsia="Arial" w:cs="Arial"/>
          <w:b/>
          <w:bCs/>
          <w:color w:val="FFFFFF"/>
          <w:sz w:val="32"/>
          <w:szCs w:val="32"/>
        </w:rPr>
        <w:t>SECTION F: QUALITY MANAGEMENT, ETHICS &amp; DOCUMENTATION</w:t>
      </w:r>
    </w:p>
    <w:p>
      <w:pPr>
        <w:pStyle w:val="Normal"/>
        <w:spacing w:before="0" w:after="200"/>
        <w:rPr/>
      </w:pPr>
      <w:r>
        <w:rP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#6.00: Quality Management, Performance Improvement &amp; Organizational Safety Culture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Quality Management</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6.00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PI.01–PI.03 (JC Performance Improvement); LD.01–LD.04 (JC Leadership); EC.04 (JC Safety Risk Assessment); State HCBS Quality Assurance Requirements; QHAF or State Quality Framework</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a systematic, data-driven Quality Management Program (QMP) that embodies the Joint Commission Performance Improvement framework: continuous collection of meaningful data, analysis to identify trends and opportunities, implementation of improvements, monitoring to verify that improvements are sustained, and governance oversight to hold the organization accountable. This policy also establishes the organizational culture of safety and the ethical leadership commitments that underpin quality — recognizing that sustainable quality improvement is impossible without psychological safety, transparent reporting, and leadership accountability.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maintains an explicit, documented commitment to quality and safety as core organizational values. Quality management is not a periodic compliance exercise — it is integrated into daily operations. Staff at all levels are expected and encouraged to identify quality concerns and report them without fear of retaliation. Leadership is accountable for the quality of care delivered and the safety of the environment.</w:t>
      </w:r>
    </w:p>
    <w:p>
      <w:pPr>
        <w:pStyle w:val="Normal"/>
        <w:spacing w:before="120" w:after="40"/>
        <w:rPr/>
      </w:pPr>
      <w:r>
        <w:rPr>
          <w:rFonts w:eastAsia="Arial" w:cs="Arial"/>
          <w:b/>
          <w:bCs/>
          <w:color w:val="2E5DA8"/>
          <w:sz w:val="22"/>
          <w:szCs w:val="22"/>
        </w:rPr>
        <w:t>DEFINITIONS</w:t>
      </w:r>
    </w:p>
    <w:p>
      <w:pPr>
        <w:pStyle w:val="ListParagraph"/>
        <w:numPr>
          <w:ilvl w:val="0"/>
          <w:numId w:val="1"/>
        </w:numPr>
        <w:spacing w:before="30" w:after="30"/>
        <w:rPr/>
      </w:pPr>
      <w:r>
        <w:rPr>
          <w:rFonts w:eastAsia="Arial" w:cs="Arial"/>
          <w:sz w:val="22"/>
          <w:szCs w:val="22"/>
        </w:rPr>
        <w:t>Performance Improvement (PI): The systematic, ongoing effort to improve the quality, safety, and efficiency of services through data collection, analysis, action, and monitoring.</w:t>
      </w:r>
    </w:p>
    <w:p>
      <w:pPr>
        <w:pStyle w:val="ListParagraph"/>
        <w:numPr>
          <w:ilvl w:val="0"/>
          <w:numId w:val="1"/>
        </w:numPr>
        <w:spacing w:before="30" w:after="30"/>
        <w:rPr/>
      </w:pPr>
      <w:r>
        <w:rPr>
          <w:rFonts w:eastAsia="Arial" w:cs="Arial"/>
          <w:sz w:val="22"/>
          <w:szCs w:val="22"/>
        </w:rPr>
        <w:t>PDSA Cycle: Plan-Do-Study-Act — the structured improvement cycle used to test and implement changes. Plan: identify the problem and develop a change; Do: implement the change on a small scale; Study: measure and analyze the result; Act: implement broadly if effective, or revise and repeat if not.</w:t>
      </w:r>
    </w:p>
    <w:p>
      <w:pPr>
        <w:pStyle w:val="ListParagraph"/>
        <w:numPr>
          <w:ilvl w:val="0"/>
          <w:numId w:val="1"/>
        </w:numPr>
        <w:spacing w:before="30" w:after="30"/>
        <w:rPr/>
      </w:pPr>
      <w:r>
        <w:rPr>
          <w:rFonts w:eastAsia="Arial" w:cs="Arial"/>
          <w:sz w:val="22"/>
          <w:szCs w:val="22"/>
        </w:rPr>
        <w:t>Sentinel Event: A patient safety event resulting in death, serious physical injury, or serious psychological injury, requiring immediate response and root cause analysis (Policy 5.00).</w:t>
      </w:r>
    </w:p>
    <w:p>
      <w:pPr>
        <w:pStyle w:val="ListParagraph"/>
        <w:numPr>
          <w:ilvl w:val="0"/>
          <w:numId w:val="1"/>
        </w:numPr>
        <w:spacing w:before="30" w:after="30"/>
        <w:rPr/>
      </w:pPr>
      <w:r>
        <w:rPr>
          <w:rFonts w:eastAsia="Arial" w:cs="Arial"/>
          <w:sz w:val="22"/>
          <w:szCs w:val="22"/>
        </w:rPr>
        <w:t>Root Cause Analysis (RCA): A structured investigation method that identifies the fundamental system-level causes of events to drive systemic improvements rather than individual blame.</w:t>
      </w:r>
    </w:p>
    <w:p>
      <w:pPr>
        <w:pStyle w:val="ListParagraph"/>
        <w:numPr>
          <w:ilvl w:val="0"/>
          <w:numId w:val="1"/>
        </w:numPr>
        <w:spacing w:before="30" w:after="30"/>
        <w:rPr/>
      </w:pPr>
      <w:r>
        <w:rPr>
          <w:rFonts w:eastAsia="Arial" w:cs="Arial"/>
          <w:sz w:val="22"/>
          <w:szCs w:val="22"/>
        </w:rPr>
        <w:t>Culture of Safety: An organizational environment in which all individuals — staff, leadership, and persons served — feel safe to voice safety concerns, report errors and near-misses, and ask questions without fear of blame, embarrassment, or retaliation.</w:t>
      </w:r>
    </w:p>
    <w:p>
      <w:pPr>
        <w:pStyle w:val="ListParagraph"/>
        <w:numPr>
          <w:ilvl w:val="0"/>
          <w:numId w:val="1"/>
        </w:numPr>
        <w:spacing w:before="30" w:after="30"/>
        <w:rPr/>
      </w:pPr>
      <w:r>
        <w:rPr>
          <w:rFonts w:eastAsia="Arial" w:cs="Arial"/>
          <w:sz w:val="22"/>
          <w:szCs w:val="22"/>
        </w:rPr>
        <w:t>Non-Punitive Reporting: A policy and practice ensuring that staff who report incidents, errors, near-misses, or safety concerns in good faith are not disciplined, demoted, or retaliated against for the act of reporting.</w:t>
      </w:r>
    </w:p>
    <w:p>
      <w:pPr>
        <w:pStyle w:val="Normal"/>
        <w:spacing w:before="120" w:after="40"/>
        <w:rPr/>
      </w:pPr>
      <w:r>
        <w:rPr>
          <w:rFonts w:eastAsia="Arial" w:cs="Arial"/>
          <w:b/>
          <w:bCs/>
          <w:color w:val="2E5DA8"/>
          <w:sz w:val="22"/>
          <w:szCs w:val="22"/>
        </w:rPr>
        <w:t>PART I — ORGANIZATIONAL CULTURE OF SAFETY</w:t>
      </w:r>
    </w:p>
    <w:p>
      <w:pPr>
        <w:pStyle w:val="Normal"/>
        <w:spacing w:before="140" w:after="60"/>
        <w:rPr/>
      </w:pPr>
      <w:r>
        <w:rPr>
          <w:rFonts w:eastAsia="Arial" w:cs="Arial"/>
          <w:b/>
          <w:bCs/>
          <w:sz w:val="22"/>
          <w:szCs w:val="22"/>
          <w:u w:val="single"/>
        </w:rPr>
        <w:t>A. Leadership Commitment to Safety</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actively demonstrate commitment to safety and quality through: regular communication to staff about safety priorities, participation in quality reviews, timely action on identified safety concerns, and visible advocacy for non-punitive reporting.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Leadership shall ensure that adequate resources — time, staffing, training, equipment, and supplies — are allocated to support safe, quality care. Resource constraints that create safety risks shall be escalated to the supervising agency.</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policies and operational decisions shall be evaluated for their impact on the safety and quality of care for individuals served, and decisions shall not be made solely on operational convenience or cost if doing so would compromise safety.</w:t>
      </w:r>
    </w:p>
    <w:p>
      <w:pPr>
        <w:pStyle w:val="Normal"/>
        <w:spacing w:before="140" w:after="60"/>
        <w:rPr/>
      </w:pPr>
      <w:r>
        <w:rPr>
          <w:rFonts w:eastAsia="Arial" w:cs="Arial"/>
          <w:b/>
          <w:bCs/>
          <w:sz w:val="22"/>
          <w:szCs w:val="22"/>
          <w:u w:val="single"/>
        </w:rPr>
        <w:t>B. Non-Punitive Reporting Policy</w:t>
      </w:r>
    </w:p>
    <w:p>
      <w:pPr>
        <w:pStyle w:val="Normal"/>
        <w:spacing w:before="30" w:after="30"/>
        <w:ind w:hanging="360" w:start="720"/>
        <w:rPr/>
      </w:pPr>
      <w:r>
        <w:rPr>
          <w:rFonts w:eastAsia="Arial" w:cs="Arial"/>
          <w:b/>
          <w:bCs/>
          <w:sz w:val="22"/>
          <w:szCs w:val="22"/>
        </w:rPr>
        <w:t xml:space="preserve">a.  </w:t>
      </w:r>
      <w:r>
        <w:rPr>
          <w:rFonts w:eastAsia="Arial" w:cs="Arial"/>
          <w:sz w:val="22"/>
          <w:szCs w:val="22"/>
        </w:rPr>
        <w:t>Staff shall never face disciplinary action, demotion, termination, or any adverse employment action for: reporting an incident, error, near-miss, or safety concern in good faith; participating in a quality review or investigation; raising a concern about practices they believe are unsafe; or reporting suspected abuse, neglect, or exploitation as a mandatory reporter.</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distinction between non-punitive reporting and accountability: staff may be subject to disciplinary action for: deliberate falsification of records, criminal conduct, gross negligence, or deliberate unsafe acts. Staff shall not be disciplined for human errors made in good faith, for reporting their own errors, or for raising safety concerns.</w:t>
      </w:r>
    </w:p>
    <w:p>
      <w:pPr>
        <w:pStyle w:val="Normal"/>
        <w:spacing w:before="30" w:after="30"/>
        <w:ind w:hanging="360" w:start="720"/>
        <w:rPr/>
      </w:pPr>
      <w:r>
        <w:rPr>
          <w:rFonts w:eastAsia="Arial" w:cs="Arial"/>
          <w:b/>
          <w:bCs/>
          <w:sz w:val="22"/>
          <w:szCs w:val="22"/>
        </w:rPr>
        <w:t xml:space="preserve">c.  </w:t>
      </w:r>
      <w:r>
        <w:rPr>
          <w:rFonts w:eastAsia="Arial" w:cs="Arial"/>
          <w:sz w:val="22"/>
          <w:szCs w:val="22"/>
        </w:rPr>
        <w:t>The Administrator shall explicitly and regularly communicate the non-punitive reporting policy to all staff. Staff who feel they have experienced retaliation for good-faith reporting shall be directed to the supervising agency or state licensing authority.</w:t>
      </w:r>
    </w:p>
    <w:p>
      <w:pPr>
        <w:pStyle w:val="Normal"/>
        <w:spacing w:before="140" w:after="60"/>
        <w:rPr/>
      </w:pPr>
      <w:r>
        <w:rPr>
          <w:rFonts w:eastAsia="Arial" w:cs="Arial"/>
          <w:b/>
          <w:bCs/>
          <w:sz w:val="22"/>
          <w:szCs w:val="22"/>
          <w:u w:val="single"/>
        </w:rPr>
        <w:t>C. Organizational Ethics</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operate with integrity in all aspects of its business: clinical, financial, and operational. This includes: accurate and honest representation of services provided, truthful documentation, appropriate billing practices (if applicable), transparent communication with individuals, families, and oversight agencies.</w:t>
      </w:r>
    </w:p>
    <w:p>
      <w:pPr>
        <w:pStyle w:val="Normal"/>
        <w:spacing w:before="30" w:after="30"/>
        <w:ind w:hanging="360" w:start="720"/>
        <w:rPr/>
      </w:pPr>
      <w:r>
        <w:rPr>
          <w:rFonts w:eastAsia="Arial" w:cs="Arial"/>
          <w:b/>
          <w:bCs/>
          <w:sz w:val="22"/>
          <w:szCs w:val="22"/>
        </w:rPr>
        <w:t xml:space="preserve">b.  </w:t>
      </w:r>
      <w:r>
        <w:rPr>
          <w:rFonts w:eastAsia="Arial" w:cs="Arial"/>
          <w:sz w:val="22"/>
          <w:szCs w:val="22"/>
        </w:rPr>
        <w:t>Conflicts of interest shall be disclosed and managed. A conflict of interest exists when a personal, financial, or other interest could impair the Provider's ability to make decisions in the individual's best interest.</w:t>
      </w:r>
    </w:p>
    <w:p>
      <w:pPr>
        <w:pStyle w:val="Normal"/>
        <w:spacing w:before="30" w:after="30"/>
        <w:ind w:hanging="360" w:start="720"/>
        <w:rPr/>
      </w:pPr>
      <w:r>
        <w:rPr>
          <w:rFonts w:eastAsia="Arial" w:cs="Arial"/>
          <w:b/>
          <w:bCs/>
          <w:sz w:val="22"/>
          <w:szCs w:val="22"/>
        </w:rPr>
        <w:t xml:space="preserve">c.  </w:t>
      </w:r>
      <w:r>
        <w:rPr>
          <w:rFonts w:eastAsia="Arial" w:cs="Arial"/>
          <w:sz w:val="22"/>
          <w:szCs w:val="22"/>
        </w:rPr>
        <w:t>Ethical concerns — including questions about the appropriateness of clinical decisions, financial practices, or organizational conduct — shall be raised openly with the Administrator or the supervising agency.</w:t>
      </w:r>
    </w:p>
    <w:p>
      <w:pPr>
        <w:pStyle w:val="Normal"/>
        <w:spacing w:before="120" w:after="40"/>
        <w:rPr/>
      </w:pPr>
      <w:r>
        <w:rPr>
          <w:rFonts w:eastAsia="Arial" w:cs="Arial"/>
          <w:b/>
          <w:bCs/>
          <w:color w:val="2E5DA8"/>
          <w:sz w:val="22"/>
          <w:szCs w:val="22"/>
        </w:rPr>
        <w:t>PART II — PERFORMANCE IMPROVEMENT PROGRAM</w:t>
      </w:r>
    </w:p>
    <w:p>
      <w:pPr>
        <w:pStyle w:val="Normal"/>
        <w:spacing w:before="140" w:after="60"/>
        <w:rPr/>
      </w:pPr>
      <w:r>
        <w:rPr>
          <w:rFonts w:eastAsia="Arial" w:cs="Arial"/>
          <w:b/>
          <w:bCs/>
          <w:sz w:val="22"/>
          <w:szCs w:val="22"/>
          <w:u w:val="single"/>
        </w:rPr>
        <w:t>D. Quality Management Review Areas</w:t>
      </w:r>
    </w:p>
    <w:p>
      <w:pPr>
        <w:pStyle w:val="Normal"/>
        <w:spacing w:before="40" w:after="60"/>
        <w:rPr/>
      </w:pPr>
      <w:r>
        <w:rPr>
          <w:rFonts w:eastAsia="Arial" w:cs="Arial"/>
          <w:sz w:val="22"/>
          <w:szCs w:val="22"/>
        </w:rPr>
        <w:t>The QMP shall monitor at minimum the following areas, collecting data monthly and analyzing quarterly:</w:t>
      </w:r>
    </w:p>
    <w:p>
      <w:pPr>
        <w:pStyle w:val="Normal"/>
        <w:spacing w:before="30" w:after="30"/>
        <w:ind w:hanging="360" w:start="720"/>
        <w:rPr/>
      </w:pPr>
      <w:r>
        <w:rPr>
          <w:rFonts w:eastAsia="Arial" w:cs="Arial"/>
          <w:b/>
          <w:bCs/>
          <w:sz w:val="22"/>
          <w:szCs w:val="22"/>
        </w:rPr>
        <w:t xml:space="preserve">a.  </w:t>
      </w:r>
      <w:r>
        <w:rPr>
          <w:rFonts w:eastAsia="Arial" w:cs="Arial"/>
          <w:sz w:val="22"/>
          <w:szCs w:val="22"/>
        </w:rPr>
        <w:t>Incident and critical incident trends — frequency, type, location, individuals and staff involved, severity, and outcomes</w:t>
      </w:r>
    </w:p>
    <w:p>
      <w:pPr>
        <w:pStyle w:val="Normal"/>
        <w:spacing w:before="30" w:after="30"/>
        <w:ind w:hanging="360" w:start="720"/>
        <w:rPr/>
      </w:pPr>
      <w:r>
        <w:rPr>
          <w:rFonts w:eastAsia="Arial" w:cs="Arial"/>
          <w:b/>
          <w:bCs/>
          <w:sz w:val="22"/>
          <w:szCs w:val="22"/>
        </w:rPr>
        <w:t xml:space="preserve">b.  </w:t>
      </w:r>
      <w:r>
        <w:rPr>
          <w:rFonts w:eastAsia="Arial" w:cs="Arial"/>
          <w:sz w:val="22"/>
          <w:szCs w:val="22"/>
        </w:rPr>
        <w:t>Medication management — error rates by type, near-miss rates, ADE rates, high-alert medication events</w:t>
      </w:r>
    </w:p>
    <w:p>
      <w:pPr>
        <w:pStyle w:val="Normal"/>
        <w:spacing w:before="30" w:after="30"/>
        <w:ind w:hanging="360" w:start="720"/>
        <w:rPr/>
      </w:pPr>
      <w:r>
        <w:rPr>
          <w:rFonts w:eastAsia="Arial" w:cs="Arial"/>
          <w:b/>
          <w:bCs/>
          <w:sz w:val="22"/>
          <w:szCs w:val="22"/>
        </w:rPr>
        <w:t xml:space="preserve">c.  </w:t>
      </w:r>
      <w:r>
        <w:rPr>
          <w:rFonts w:eastAsia="Arial" w:cs="Arial"/>
          <w:sz w:val="22"/>
          <w:szCs w:val="22"/>
        </w:rPr>
        <w:t>Grievances and complaints — volume, type, resolution time, outcome, and individual satisfaction</w:t>
      </w:r>
    </w:p>
    <w:p>
      <w:pPr>
        <w:pStyle w:val="Normal"/>
        <w:spacing w:before="30" w:after="30"/>
        <w:ind w:hanging="360" w:start="720"/>
        <w:rPr/>
      </w:pPr>
      <w:r>
        <w:rPr>
          <w:rFonts w:eastAsia="Arial" w:cs="Arial"/>
          <w:b/>
          <w:bCs/>
          <w:sz w:val="22"/>
          <w:szCs w:val="22"/>
        </w:rPr>
        <w:t xml:space="preserve">d.  </w:t>
      </w:r>
      <w:r>
        <w:rPr>
          <w:rFonts w:eastAsia="Arial" w:cs="Arial"/>
          <w:sz w:val="22"/>
          <w:szCs w:val="22"/>
        </w:rPr>
        <w:t>Rights concerns — any rights violations, rights modification requests and outcomes</w:t>
      </w:r>
    </w:p>
    <w:p>
      <w:pPr>
        <w:pStyle w:val="Normal"/>
        <w:spacing w:before="30" w:after="30"/>
        <w:ind w:hanging="360" w:start="720"/>
        <w:rPr/>
      </w:pPr>
      <w:r>
        <w:rPr>
          <w:rFonts w:eastAsia="Arial" w:cs="Arial"/>
          <w:b/>
          <w:bCs/>
          <w:sz w:val="22"/>
          <w:szCs w:val="22"/>
        </w:rPr>
        <w:t xml:space="preserve">e.  </w:t>
      </w:r>
      <w:r>
        <w:rPr>
          <w:rFonts w:eastAsia="Arial" w:cs="Arial"/>
          <w:sz w:val="22"/>
          <w:szCs w:val="22"/>
        </w:rPr>
        <w:t>Abuse, neglect, exploitation reports — frequency, types reported, APS outcomes, corrective actions</w:t>
      </w:r>
    </w:p>
    <w:p>
      <w:pPr>
        <w:pStyle w:val="Normal"/>
        <w:spacing w:before="30" w:after="30"/>
        <w:ind w:hanging="360" w:start="720"/>
        <w:rPr/>
      </w:pPr>
      <w:r>
        <w:rPr>
          <w:rFonts w:eastAsia="Arial" w:cs="Arial"/>
          <w:b/>
          <w:bCs/>
          <w:sz w:val="22"/>
          <w:szCs w:val="22"/>
        </w:rPr>
        <w:t xml:space="preserve">f.  </w:t>
      </w:r>
      <w:r>
        <w:rPr>
          <w:rFonts w:eastAsia="Arial" w:cs="Arial"/>
          <w:sz w:val="22"/>
          <w:szCs w:val="22"/>
        </w:rPr>
        <w:t>Individual health outcomes — falls, hospitalizations, emergency department visits, infections, and other significant health events</w:t>
      </w:r>
    </w:p>
    <w:p>
      <w:pPr>
        <w:pStyle w:val="Normal"/>
        <w:spacing w:before="30" w:after="30"/>
        <w:ind w:hanging="360" w:start="720"/>
        <w:rPr/>
      </w:pPr>
      <w:r>
        <w:rPr>
          <w:rFonts w:eastAsia="Arial" w:cs="Arial"/>
          <w:b/>
          <w:bCs/>
          <w:sz w:val="22"/>
          <w:szCs w:val="22"/>
        </w:rPr>
        <w:t xml:space="preserve">g.  </w:t>
      </w:r>
      <w:r>
        <w:rPr>
          <w:rFonts w:eastAsia="Arial" w:cs="Arial"/>
          <w:sz w:val="22"/>
          <w:szCs w:val="22"/>
        </w:rPr>
        <w:t>Emergency preparedness — drill completion rates, after-action findings, corrective action completion</w:t>
      </w:r>
    </w:p>
    <w:p>
      <w:pPr>
        <w:pStyle w:val="Normal"/>
        <w:spacing w:before="30" w:after="30"/>
        <w:ind w:hanging="360" w:start="720"/>
        <w:rPr/>
      </w:pPr>
      <w:r>
        <w:rPr>
          <w:rFonts w:eastAsia="Arial" w:cs="Arial"/>
          <w:b/>
          <w:bCs/>
          <w:sz w:val="22"/>
          <w:szCs w:val="22"/>
        </w:rPr>
        <w:t xml:space="preserve">h.  </w:t>
      </w:r>
      <w:r>
        <w:rPr>
          <w:rFonts w:eastAsia="Arial" w:cs="Arial"/>
          <w:sz w:val="22"/>
          <w:szCs w:val="22"/>
        </w:rPr>
        <w:t>Training compliance — staff and Provider training completion and certification currency</w:t>
      </w:r>
    </w:p>
    <w:p>
      <w:pPr>
        <w:pStyle w:val="Normal"/>
        <w:spacing w:before="30" w:after="30"/>
        <w:ind w:hanging="360" w:start="720"/>
        <w:rPr/>
      </w:pPr>
      <w:r>
        <w:rPr>
          <w:rFonts w:eastAsia="Arial" w:cs="Arial"/>
          <w:b/>
          <w:bCs/>
          <w:sz w:val="22"/>
          <w:szCs w:val="22"/>
        </w:rPr>
        <w:t xml:space="preserve">i.  </w:t>
      </w:r>
      <w:r>
        <w:rPr>
          <w:rFonts w:eastAsia="Arial" w:cs="Arial"/>
          <w:sz w:val="22"/>
          <w:szCs w:val="22"/>
        </w:rPr>
        <w:t>Environmental safety — monthly inspection findings, deficiency types, and correction timelines</w:t>
      </w:r>
    </w:p>
    <w:p>
      <w:pPr>
        <w:pStyle w:val="Normal"/>
        <w:spacing w:before="30" w:after="30"/>
        <w:ind w:hanging="360" w:start="720"/>
        <w:rPr/>
      </w:pPr>
      <w:r>
        <w:rPr>
          <w:rFonts w:eastAsia="Arial" w:cs="Arial"/>
          <w:b/>
          <w:bCs/>
          <w:sz w:val="22"/>
          <w:szCs w:val="22"/>
        </w:rPr>
        <w:t xml:space="preserve">j.  </w:t>
      </w:r>
      <w:r>
        <w:rPr>
          <w:rFonts w:eastAsia="Arial" w:cs="Arial"/>
          <w:sz w:val="22"/>
          <w:szCs w:val="22"/>
        </w:rPr>
        <w:t>Regulatory compliance — licensing status, survey findings, state correspondence outcomes</w:t>
      </w:r>
    </w:p>
    <w:p>
      <w:pPr>
        <w:pStyle w:val="Normal"/>
        <w:spacing w:before="30" w:after="30"/>
        <w:ind w:hanging="360" w:start="720"/>
        <w:rPr/>
      </w:pPr>
      <w:r>
        <w:rPr>
          <w:rFonts w:eastAsia="Arial" w:cs="Arial"/>
          <w:b/>
          <w:bCs/>
          <w:sz w:val="22"/>
          <w:szCs w:val="22"/>
        </w:rPr>
        <w:t xml:space="preserve">k.  </w:t>
      </w:r>
      <w:r>
        <w:rPr>
          <w:rFonts w:eastAsia="Arial" w:cs="Arial"/>
          <w:sz w:val="22"/>
          <w:szCs w:val="22"/>
        </w:rPr>
        <w:t>Sentinel events — occurrence, RCA completion, action plan implementation and effectiveness</w:t>
      </w:r>
    </w:p>
    <w:p>
      <w:pPr>
        <w:pStyle w:val="Normal"/>
        <w:spacing w:before="140" w:after="60"/>
        <w:rPr/>
      </w:pPr>
      <w:r>
        <w:rPr>
          <w:rFonts w:eastAsia="Arial" w:cs="Arial"/>
          <w:b/>
          <w:bCs/>
          <w:sz w:val="22"/>
          <w:szCs w:val="22"/>
          <w:u w:val="single"/>
        </w:rPr>
        <w:t>E. Data Collection and Measurement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Data for each measurement area shall be collected using standardized tools and at defined intervals (monthly for most areas; quarterly for trend analysis).</w:t>
      </w:r>
    </w:p>
    <w:p>
      <w:pPr>
        <w:pStyle w:val="Normal"/>
        <w:spacing w:before="30" w:after="30"/>
        <w:ind w:hanging="360" w:start="720"/>
        <w:rPr/>
      </w:pPr>
      <w:r>
        <w:rPr>
          <w:rFonts w:eastAsia="Arial" w:cs="Arial"/>
          <w:b/>
          <w:bCs/>
          <w:sz w:val="22"/>
          <w:szCs w:val="22"/>
        </w:rPr>
        <w:t xml:space="preserve">b.  </w:t>
      </w:r>
      <w:r>
        <w:rPr>
          <w:rFonts w:eastAsia="Arial" w:cs="Arial"/>
          <w:sz w:val="22"/>
          <w:szCs w:val="22"/>
        </w:rPr>
        <w:t>Data shall be collected in a manner that allows comparison over time: current month vs. prior month, current quarter vs. prior quarter, and current period vs. same period in the prior year.</w:t>
      </w:r>
    </w:p>
    <w:p>
      <w:pPr>
        <w:pStyle w:val="Normal"/>
        <w:spacing w:before="30" w:after="30"/>
        <w:ind w:hanging="360" w:start="720"/>
        <w:rPr/>
      </w:pPr>
      <w:r>
        <w:rPr>
          <w:rFonts w:eastAsia="Arial" w:cs="Arial"/>
          <w:b/>
          <w:bCs/>
          <w:sz w:val="22"/>
          <w:szCs w:val="22"/>
        </w:rPr>
        <w:t xml:space="preserve">c.  </w:t>
      </w:r>
      <w:r>
        <w:rPr>
          <w:rFonts w:eastAsia="Arial" w:cs="Arial"/>
          <w:sz w:val="22"/>
          <w:szCs w:val="22"/>
        </w:rPr>
        <w:t>Where applicable, data shall be compared to external benchmarks or state averages to provide context for the organization's performance.</w:t>
      </w:r>
    </w:p>
    <w:p>
      <w:pPr>
        <w:pStyle w:val="Normal"/>
        <w:spacing w:before="30" w:after="30"/>
        <w:ind w:hanging="360" w:start="720"/>
        <w:rPr/>
      </w:pPr>
      <w:r>
        <w:rPr>
          <w:rFonts w:eastAsia="Arial" w:cs="Arial"/>
          <w:b/>
          <w:bCs/>
          <w:sz w:val="22"/>
          <w:szCs w:val="22"/>
        </w:rPr>
        <w:t xml:space="preserve">d.  </w:t>
      </w:r>
      <w:r>
        <w:rPr>
          <w:rFonts w:eastAsia="Arial" w:cs="Arial"/>
          <w:sz w:val="22"/>
          <w:szCs w:val="22"/>
        </w:rPr>
        <w:t>Data integrity: all quality data shall be recorded accurately, without modification to improve apparent performance. The purpose of quality data is to identify problems, not to demonstrate perfection.</w:t>
      </w:r>
    </w:p>
    <w:p>
      <w:pPr>
        <w:pStyle w:val="Normal"/>
        <w:spacing w:before="140" w:after="60"/>
        <w:rPr/>
      </w:pPr>
      <w:r>
        <w:rPr>
          <w:rFonts w:eastAsia="Arial" w:cs="Arial"/>
          <w:b/>
          <w:bCs/>
          <w:sz w:val="22"/>
          <w:szCs w:val="22"/>
          <w:u w:val="single"/>
        </w:rPr>
        <w:t>F. Performance Improvement Cycle — PDSA</w:t>
      </w:r>
    </w:p>
    <w:p>
      <w:pPr>
        <w:pStyle w:val="Normal"/>
        <w:spacing w:before="40" w:after="60"/>
        <w:rPr/>
      </w:pPr>
      <w:r>
        <w:rPr>
          <w:rFonts w:eastAsia="Arial" w:cs="Arial"/>
          <w:sz w:val="22"/>
          <w:szCs w:val="22"/>
        </w:rPr>
        <w:t>When quality data reveals a concern, gap, or opportunity, the following PDSA cycle shall be initiated:</w:t>
      </w:r>
    </w:p>
    <w:p>
      <w:pPr>
        <w:pStyle w:val="Normal"/>
        <w:spacing w:before="30" w:after="30"/>
        <w:ind w:hanging="360" w:start="720"/>
        <w:rPr/>
      </w:pPr>
      <w:r>
        <w:rPr>
          <w:rFonts w:eastAsia="Arial" w:cs="Arial"/>
          <w:b/>
          <w:bCs/>
          <w:sz w:val="22"/>
          <w:szCs w:val="22"/>
        </w:rPr>
        <w:t xml:space="preserve">a.  </w:t>
      </w:r>
      <w:r>
        <w:rPr>
          <w:rFonts w:eastAsia="Arial" w:cs="Arial"/>
          <w:sz w:val="22"/>
          <w:szCs w:val="22"/>
        </w:rPr>
        <w:t>PLAN: Define the specific problem or opportunity clearly, using data. Identify the root cause(s) using the RCA framework. Develop a specific, measurable change to be tested. Define how the effectiveness of the change will be measured.</w:t>
      </w:r>
    </w:p>
    <w:p>
      <w:pPr>
        <w:pStyle w:val="Normal"/>
        <w:spacing w:before="30" w:after="30"/>
        <w:ind w:hanging="360" w:start="720"/>
        <w:rPr/>
      </w:pPr>
      <w:r>
        <w:rPr>
          <w:rFonts w:eastAsia="Arial" w:cs="Arial"/>
          <w:b/>
          <w:bCs/>
          <w:sz w:val="22"/>
          <w:szCs w:val="22"/>
        </w:rPr>
        <w:t xml:space="preserve">b.  </w:t>
      </w:r>
      <w:r>
        <w:rPr>
          <w:rFonts w:eastAsia="Arial" w:cs="Arial"/>
          <w:sz w:val="22"/>
          <w:szCs w:val="22"/>
        </w:rPr>
        <w:t>DO: Implement the change, starting on a small scale (e.g., one week, one process, one shift) when testing a new approach.</w:t>
      </w:r>
    </w:p>
    <w:p>
      <w:pPr>
        <w:pStyle w:val="Normal"/>
        <w:spacing w:before="30" w:after="30"/>
        <w:ind w:hanging="360" w:start="720"/>
        <w:rPr/>
      </w:pPr>
      <w:r>
        <w:rPr>
          <w:rFonts w:eastAsia="Arial" w:cs="Arial"/>
          <w:b/>
          <w:bCs/>
          <w:sz w:val="22"/>
          <w:szCs w:val="22"/>
        </w:rPr>
        <w:t xml:space="preserve">c.  </w:t>
      </w:r>
      <w:r>
        <w:rPr>
          <w:rFonts w:eastAsia="Arial" w:cs="Arial"/>
          <w:sz w:val="22"/>
          <w:szCs w:val="22"/>
        </w:rPr>
        <w:t>STUDY: Collect data after implementing the change. Compare the data to the baseline (before the change). Analyze whether the change produced the desired effect. Determine if the change produced any unintended consequences.</w:t>
      </w:r>
    </w:p>
    <w:p>
      <w:pPr>
        <w:pStyle w:val="Normal"/>
        <w:spacing w:before="30" w:after="30"/>
        <w:ind w:hanging="360" w:start="720"/>
        <w:rPr/>
      </w:pPr>
      <w:r>
        <w:rPr>
          <w:rFonts w:eastAsia="Arial" w:cs="Arial"/>
          <w:b/>
          <w:bCs/>
          <w:sz w:val="22"/>
          <w:szCs w:val="22"/>
        </w:rPr>
        <w:t xml:space="preserve">d.  </w:t>
      </w:r>
      <w:r>
        <w:rPr>
          <w:rFonts w:eastAsia="Arial" w:cs="Arial"/>
          <w:sz w:val="22"/>
          <w:szCs w:val="22"/>
        </w:rPr>
        <w:t>ACT: If the change was effective: expand implementation broadly and update relevant policies and procedures. If the change was partially effective: modify the approach and begin another PDSA cycle. If the change was not effective: select a different approach and begin again. Document all PDSA cycles, their outcomes, and the decisions made.</w:t>
      </w:r>
    </w:p>
    <w:p>
      <w:pPr>
        <w:pStyle w:val="Normal"/>
        <w:spacing w:before="140" w:after="60"/>
        <w:rPr/>
      </w:pPr>
      <w:r>
        <w:rPr>
          <w:rFonts w:eastAsia="Arial" w:cs="Arial"/>
          <w:b/>
          <w:bCs/>
          <w:sz w:val="22"/>
          <w:szCs w:val="22"/>
          <w:u w:val="single"/>
        </w:rPr>
        <w:t>G. Quarterly Quality Management Review</w:t>
      </w:r>
    </w:p>
    <w:p>
      <w:pPr>
        <w:pStyle w:val="Normal"/>
        <w:spacing w:before="30" w:after="30"/>
        <w:ind w:hanging="360" w:start="720"/>
        <w:rPr/>
      </w:pPr>
      <w:r>
        <w:rPr>
          <w:rFonts w:eastAsia="Arial" w:cs="Arial"/>
          <w:b/>
          <w:bCs/>
          <w:sz w:val="22"/>
          <w:szCs w:val="22"/>
        </w:rPr>
        <w:t xml:space="preserve">a.  </w:t>
      </w:r>
      <w:r>
        <w:rPr>
          <w:rFonts w:eastAsia="Arial" w:cs="Arial"/>
          <w:sz w:val="22"/>
          <w:szCs w:val="22"/>
        </w:rPr>
        <w:t>A formal Quality Management review meeting shall be conducted quarterly, with participation from the Administrator and, when applicable, supervising agency representatives.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quarterly review shall include: presentation of data from all measurement areas (Section D above); analysis of trends, patterns, and outliers; review of active PDSA improvement cycles; review of corrective action plans — which are on track and which are not; completion status of prior quarter action items; and identification of new priorities for the coming quarter.</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quarterly QM meetings shall be documented with meeting minutes that include: date, attendees, data reviewed, key findings, decisions made, and action items with assigned responsibility and target dates.</w:t>
      </w:r>
    </w:p>
    <w:p>
      <w:pPr>
        <w:pStyle w:val="Normal"/>
        <w:spacing w:before="140" w:after="60"/>
        <w:rPr/>
      </w:pPr>
      <w:r>
        <w:rPr>
          <w:rFonts w:eastAsia="Arial" w:cs="Arial"/>
          <w:b/>
          <w:bCs/>
          <w:sz w:val="22"/>
          <w:szCs w:val="22"/>
          <w:u w:val="single"/>
        </w:rPr>
        <w:t>H. Sentinel Event Response (Policy 5.00 Cross-Reference)</w:t>
      </w:r>
    </w:p>
    <w:p>
      <w:pPr>
        <w:pStyle w:val="Normal"/>
        <w:spacing w:before="30" w:after="30"/>
        <w:ind w:hanging="360" w:start="720"/>
        <w:rPr/>
      </w:pPr>
      <w:r>
        <w:rPr>
          <w:rFonts w:eastAsia="Arial" w:cs="Arial"/>
          <w:b/>
          <w:bCs/>
          <w:sz w:val="22"/>
          <w:szCs w:val="22"/>
        </w:rPr>
        <w:t xml:space="preserve">a.  </w:t>
      </w:r>
      <w:r>
        <w:rPr>
          <w:rFonts w:eastAsia="Arial" w:cs="Arial"/>
          <w:sz w:val="22"/>
          <w:szCs w:val="22"/>
        </w:rPr>
        <w:t>When a sentinel event occurs, the Quality Management Program is activated for formal RCA and action planning per Policy 5.00. The effectiveness of sentinel event corrective actions shall be monitored and reported at the subsequent quarterly QM meeting.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Sentinel event data (type, frequency, outcomes of corrective actions) shall be tracked in the Quality Management Log and reviewed in the annual quality summary.</w:t>
      </w:r>
    </w:p>
    <w:p>
      <w:pPr>
        <w:pStyle w:val="Normal"/>
        <w:spacing w:before="140" w:after="60"/>
        <w:rPr/>
      </w:pPr>
      <w:r>
        <w:rPr>
          <w:rFonts w:eastAsia="Arial" w:cs="Arial"/>
          <w:b/>
          <w:bCs/>
          <w:sz w:val="22"/>
          <w:szCs w:val="22"/>
          <w:u w:val="single"/>
        </w:rPr>
        <w:t>I. Proactive Risk Assessment</w:t>
      </w:r>
    </w:p>
    <w:p>
      <w:pPr>
        <w:pStyle w:val="Normal"/>
        <w:spacing w:before="30" w:after="30"/>
        <w:ind w:hanging="360" w:start="720"/>
        <w:rPr/>
      </w:pPr>
      <w:r>
        <w:rPr>
          <w:rFonts w:eastAsia="Arial" w:cs="Arial"/>
          <w:b/>
          <w:bCs/>
          <w:sz w:val="22"/>
          <w:szCs w:val="22"/>
        </w:rPr>
        <w:t xml:space="preserve">a.  </w:t>
      </w:r>
      <w:r>
        <w:rPr>
          <w:rFonts w:eastAsia="Arial" w:cs="Arial"/>
          <w:sz w:val="22"/>
          <w:szCs w:val="22"/>
        </w:rPr>
        <w:t>In addition to responding to events that have occurred, this Provider shall conduct proactive risk assessment to identify potential failure points before harm occurs. Proactive risk assessment shall be conducted:</w:t>
      </w:r>
    </w:p>
    <w:p>
      <w:pPr>
        <w:pStyle w:val="ListParagraph"/>
        <w:numPr>
          <w:ilvl w:val="1"/>
          <w:numId w:val="1"/>
        </w:numPr>
        <w:spacing w:before="30" w:after="30"/>
        <w:rPr/>
      </w:pPr>
      <w:r>
        <w:rPr>
          <w:rFonts w:eastAsia="Arial" w:cs="Arial"/>
          <w:sz w:val="22"/>
          <w:szCs w:val="22"/>
        </w:rPr>
        <w:t>Annually, as part of the Environment of Care Risk Assessment (Policy 5.04) and the Hazard Vulnerability Analysis (Policy 5.01)</w:t>
      </w:r>
    </w:p>
    <w:p>
      <w:pPr>
        <w:pStyle w:val="ListParagraph"/>
        <w:numPr>
          <w:ilvl w:val="1"/>
          <w:numId w:val="1"/>
        </w:numPr>
        <w:spacing w:before="30" w:after="30"/>
        <w:rPr/>
      </w:pPr>
      <w:r>
        <w:rPr>
          <w:rFonts w:eastAsia="Arial" w:cs="Arial"/>
          <w:sz w:val="22"/>
          <w:szCs w:val="22"/>
        </w:rPr>
        <w:t>Whenever a new individual is admitted (individual-specific risk assessment)</w:t>
      </w:r>
    </w:p>
    <w:p>
      <w:pPr>
        <w:pStyle w:val="ListParagraph"/>
        <w:numPr>
          <w:ilvl w:val="1"/>
          <w:numId w:val="1"/>
        </w:numPr>
        <w:spacing w:before="30" w:after="30"/>
        <w:rPr/>
      </w:pPr>
      <w:r>
        <w:rPr>
          <w:rFonts w:eastAsia="Arial" w:cs="Arial"/>
          <w:sz w:val="22"/>
          <w:szCs w:val="22"/>
        </w:rPr>
        <w:t>Whenever a new process, medication, equipment, or staffing arrangement is introduced</w:t>
      </w:r>
    </w:p>
    <w:p>
      <w:pPr>
        <w:pStyle w:val="ListParagraph"/>
        <w:numPr>
          <w:ilvl w:val="1"/>
          <w:numId w:val="1"/>
        </w:numPr>
        <w:spacing w:before="30" w:after="30"/>
        <w:rPr/>
      </w:pPr>
      <w:r>
        <w:rPr>
          <w:rFonts w:eastAsia="Arial" w:cs="Arial"/>
          <w:sz w:val="22"/>
          <w:szCs w:val="22"/>
        </w:rPr>
        <w:t>When quality data reveals a near-miss pattern suggesting a higher-severity event is possible</w:t>
      </w:r>
    </w:p>
    <w:p>
      <w:pPr>
        <w:pStyle w:val="Normal"/>
        <w:spacing w:before="30" w:after="30"/>
        <w:ind w:hanging="360" w:start="720"/>
        <w:rPr/>
      </w:pPr>
      <w:r>
        <w:rPr>
          <w:rFonts w:eastAsia="Arial" w:cs="Arial"/>
          <w:b/>
          <w:bCs/>
          <w:sz w:val="22"/>
          <w:szCs w:val="22"/>
        </w:rPr>
        <w:t xml:space="preserve">b.  </w:t>
      </w:r>
      <w:r>
        <w:rPr>
          <w:rFonts w:eastAsia="Arial" w:cs="Arial"/>
          <w:sz w:val="22"/>
          <w:szCs w:val="22"/>
        </w:rPr>
        <w:t>Proactive risk assessment findings shall be documented, prioritized by risk level, and acted upon with corrective actions before harm occurs.</w:t>
      </w:r>
    </w:p>
    <w:p>
      <w:pPr>
        <w:pStyle w:val="Normal"/>
        <w:spacing w:before="140" w:after="60"/>
        <w:rPr/>
      </w:pPr>
      <w:r>
        <w:rPr>
          <w:rFonts w:eastAsia="Arial" w:cs="Arial"/>
          <w:b/>
          <w:bCs/>
          <w:sz w:val="22"/>
          <w:szCs w:val="22"/>
          <w:u w:val="single"/>
        </w:rPr>
        <w:t>J. Annual Quality Summary</w:t>
      </w:r>
    </w:p>
    <w:p>
      <w:pPr>
        <w:pStyle w:val="Normal"/>
        <w:spacing w:before="30" w:after="30"/>
        <w:ind w:hanging="360" w:start="720"/>
        <w:rPr/>
      </w:pPr>
      <w:r>
        <w:rPr>
          <w:rFonts w:eastAsia="Arial" w:cs="Arial"/>
          <w:b/>
          <w:bCs/>
          <w:sz w:val="22"/>
          <w:szCs w:val="22"/>
        </w:rPr>
        <w:t xml:space="preserve">a.  </w:t>
      </w:r>
      <w:r>
        <w:rPr>
          <w:rFonts w:eastAsia="Arial" w:cs="Arial"/>
          <w:sz w:val="22"/>
          <w:szCs w:val="22"/>
        </w:rPr>
        <w:t>An Annual Quality Summary shall be prepared by the Administrator at the conclusion of each calendar year, documenting: the year's quality improvement priorities and the outcomes achieved; significant improvements implemented and their measured effectiveness; sentinel events and the status of corrective actions; plans and priorities for the coming year.</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Annual Quality Summary shall be shared with the supervising agency and filed as part of the Quality Management record.</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Quality Management Log</w:t>
      </w:r>
    </w:p>
    <w:p>
      <w:pPr>
        <w:pStyle w:val="ListParagraph"/>
        <w:numPr>
          <w:ilvl w:val="0"/>
          <w:numId w:val="1"/>
        </w:numPr>
        <w:spacing w:before="30" w:after="30"/>
        <w:rPr/>
      </w:pPr>
      <w:r>
        <w:rPr>
          <w:rFonts w:eastAsia="Arial" w:cs="Arial"/>
          <w:sz w:val="22"/>
          <w:szCs w:val="22"/>
        </w:rPr>
        <w:t>Quarterly QM Meeting Minutes</w:t>
      </w:r>
    </w:p>
    <w:p>
      <w:pPr>
        <w:pStyle w:val="ListParagraph"/>
        <w:numPr>
          <w:ilvl w:val="0"/>
          <w:numId w:val="1"/>
        </w:numPr>
        <w:spacing w:before="30" w:after="30"/>
        <w:rPr/>
      </w:pPr>
      <w:r>
        <w:rPr>
          <w:rFonts w:eastAsia="Arial" w:cs="Arial"/>
          <w:sz w:val="22"/>
          <w:szCs w:val="22"/>
        </w:rPr>
        <w:t>PDSA Improvement Cycle Documentation</w:t>
      </w:r>
    </w:p>
    <w:p>
      <w:pPr>
        <w:pStyle w:val="ListParagraph"/>
        <w:numPr>
          <w:ilvl w:val="0"/>
          <w:numId w:val="1"/>
        </w:numPr>
        <w:spacing w:before="30" w:after="30"/>
        <w:rPr/>
      </w:pPr>
      <w:r>
        <w:rPr>
          <w:rFonts w:eastAsia="Arial" w:cs="Arial"/>
          <w:sz w:val="22"/>
          <w:szCs w:val="22"/>
        </w:rPr>
        <w:t>Sentinel Event RCA Template (Policy 5.00)</w:t>
      </w:r>
    </w:p>
    <w:p>
      <w:pPr>
        <w:pStyle w:val="ListParagraph"/>
        <w:numPr>
          <w:ilvl w:val="0"/>
          <w:numId w:val="1"/>
        </w:numPr>
        <w:spacing w:before="30" w:after="30"/>
        <w:rPr/>
      </w:pPr>
      <w:r>
        <w:rPr>
          <w:rFonts w:eastAsia="Arial" w:cs="Arial"/>
          <w:sz w:val="22"/>
          <w:szCs w:val="22"/>
        </w:rPr>
        <w:t>Annual Quality Summary Report</w:t>
      </w:r>
    </w:p>
    <w:p>
      <w:pPr>
        <w:pStyle w:val="ListParagraph"/>
        <w:numPr>
          <w:ilvl w:val="0"/>
          <w:numId w:val="1"/>
        </w:numPr>
        <w:spacing w:before="30" w:after="30"/>
        <w:rPr/>
      </w:pPr>
      <w:r>
        <w:rPr>
          <w:rFonts w:eastAsia="Arial" w:cs="Arial"/>
          <w:sz w:val="22"/>
          <w:szCs w:val="22"/>
        </w:rPr>
        <w:t>Annual EC Risk Assessment (Policy 5.04)</w:t>
      </w:r>
    </w:p>
    <w:p>
      <w:pPr>
        <w:pStyle w:val="ListParagraph"/>
        <w:numPr>
          <w:ilvl w:val="0"/>
          <w:numId w:val="1"/>
        </w:numPr>
        <w:spacing w:before="30" w:after="30"/>
        <w:rPr/>
      </w:pPr>
      <w:r>
        <w:rPr>
          <w:rFonts w:eastAsia="Arial" w:cs="Arial"/>
          <w:sz w:val="22"/>
          <w:szCs w:val="22"/>
        </w:rPr>
        <w:t>Annual HVA (Policy 5.01)</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#6.01: Documentation Standards, Record Content &amp; Data Integrity</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Quality</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6.01</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RC.01–RC.04 (JC Record of Care); IM.01–IM.02 (JC Information Management); HIPAA 45 CFR Parts 160 &amp; 164; State Record Retention Requirements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establish consistent, professional standards for all documentation produced or maintained by this Provider; to define required record content elements aligned with Joint Commission Record of Care standards; to establish data integrity protections that ensure records are accurate, complete, and trustworthy; and to ensure records are retained in compliance with state and federal requirements and disposed of securely.</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All documentation produced or maintained by this Provider shall be accurate, timely, complete, legible, signed, dated, and consistent with what actually occurred. Documentation is a legal and clinical record — it must reflect reality, not what staff wish had occurred. Falsification of records is a terminable offense and may constitute a crime. Records shall be accessible to those who need them for care provision, and protected from unauthorized disclosure.</w:t>
      </w:r>
    </w:p>
    <w:p>
      <w:pPr>
        <w:pStyle w:val="Normal"/>
        <w:spacing w:before="120" w:after="40"/>
        <w:rPr/>
      </w:pPr>
      <w:r>
        <w:rPr>
          <w:rFonts w:eastAsia="Arial" w:cs="Arial"/>
          <w:b/>
          <w:bCs/>
          <w:color w:val="2E5DA8"/>
          <w:sz w:val="22"/>
          <w:szCs w:val="22"/>
        </w:rPr>
        <w:t>DOCUMENTATION STANDARDS</w:t>
      </w:r>
    </w:p>
    <w:p>
      <w:pPr>
        <w:pStyle w:val="Normal"/>
        <w:spacing w:before="140" w:after="60"/>
        <w:rPr/>
      </w:pPr>
      <w:r>
        <w:rPr>
          <w:rFonts w:eastAsia="Arial" w:cs="Arial"/>
          <w:b/>
          <w:bCs/>
          <w:sz w:val="22"/>
          <w:szCs w:val="22"/>
          <w:u w:val="single"/>
        </w:rPr>
        <w:t>A. Universal Documentation Standards</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entries in clinical records shall be: made at or near the time of the event (never in advance); signed with the documenting individual's full name and title; dated and timed using a twenty-four (24) hour or consistent AM/PM format; written in permanent ink (paper records) or through an authorized system (electronic records); legible and using only approved abbreviations.</w:t>
      </w:r>
    </w:p>
    <w:p>
      <w:pPr>
        <w:pStyle w:val="Normal"/>
        <w:spacing w:before="30" w:after="30"/>
        <w:ind w:hanging="360" w:start="720"/>
        <w:rPr/>
      </w:pPr>
      <w:r>
        <w:rPr>
          <w:rFonts w:eastAsia="Arial" w:cs="Arial"/>
          <w:b/>
          <w:bCs/>
          <w:sz w:val="22"/>
          <w:szCs w:val="22"/>
        </w:rPr>
        <w:t xml:space="preserve">b.  </w:t>
      </w:r>
      <w:r>
        <w:rPr>
          <w:rFonts w:eastAsia="Arial" w:cs="Arial"/>
          <w:sz w:val="22"/>
          <w:szCs w:val="22"/>
        </w:rPr>
        <w:t>Corrections to paper records: draw a single line through the error; write the correct information adjacent; initial, date, and time the correction; write a brief note explaining the correction (e.g., 'wrong date'). Never use correction fluid (white-out), erase, obscure, or otherwise make the original entry unreadable.</w:t>
      </w:r>
    </w:p>
    <w:p>
      <w:pPr>
        <w:pStyle w:val="Normal"/>
        <w:spacing w:before="30" w:after="30"/>
        <w:ind w:hanging="360" w:start="720"/>
        <w:rPr/>
      </w:pPr>
      <w:r>
        <w:rPr>
          <w:rFonts w:eastAsia="Arial" w:cs="Arial"/>
          <w:b/>
          <w:bCs/>
          <w:sz w:val="22"/>
          <w:szCs w:val="22"/>
        </w:rPr>
        <w:t xml:space="preserve">c.  </w:t>
      </w:r>
      <w:r>
        <w:rPr>
          <w:rFonts w:eastAsia="Arial" w:cs="Arial"/>
          <w:sz w:val="22"/>
          <w:szCs w:val="22"/>
        </w:rPr>
        <w:t>Electronic record corrections: use the system's built-in amendment or addendum function, which preserves the original entry. Do not delete original entries.</w:t>
      </w:r>
    </w:p>
    <w:p>
      <w:pPr>
        <w:pStyle w:val="Normal"/>
        <w:spacing w:before="30" w:after="30"/>
        <w:ind w:hanging="360" w:start="720"/>
        <w:rPr/>
      </w:pPr>
      <w:r>
        <w:rPr>
          <w:rFonts w:eastAsia="Arial" w:cs="Arial"/>
          <w:b/>
          <w:bCs/>
          <w:sz w:val="22"/>
          <w:szCs w:val="22"/>
        </w:rPr>
        <w:t xml:space="preserve">d.  </w:t>
      </w:r>
      <w:r>
        <w:rPr>
          <w:rFonts w:eastAsia="Arial" w:cs="Arial"/>
          <w:sz w:val="22"/>
          <w:szCs w:val="22"/>
        </w:rPr>
        <w:t>Late entries: if documentation is completed after the fact (e.g., documenting an overnight event at the beginning of the next shift), the entry shall be clearly labeled as a 'late entry' with the current date and time of documentation, along with the date and time of the actual event.</w:t>
      </w:r>
    </w:p>
    <w:p>
      <w:pPr>
        <w:pStyle w:val="Normal"/>
        <w:spacing w:before="140" w:after="60"/>
        <w:rPr/>
      </w:pPr>
      <w:r>
        <w:rPr>
          <w:rFonts w:eastAsia="Arial" w:cs="Arial"/>
          <w:b/>
          <w:bCs/>
          <w:sz w:val="22"/>
          <w:szCs w:val="22"/>
          <w:u w:val="single"/>
        </w:rPr>
        <w:t>B. Required Clinical Record Content</w:t>
      </w:r>
    </w:p>
    <w:p>
      <w:pPr>
        <w:pStyle w:val="Normal"/>
        <w:spacing w:before="40" w:after="60"/>
        <w:rPr/>
      </w:pPr>
      <w:r>
        <w:rPr>
          <w:rFonts w:eastAsia="Arial" w:cs="Arial"/>
          <w:sz w:val="22"/>
          <w:szCs w:val="22"/>
        </w:rPr>
        <w:t>Each individual's clinical record shall contain, at minimum, the following elements:</w:t>
      </w:r>
    </w:p>
    <w:p>
      <w:pPr>
        <w:pStyle w:val="Normal"/>
        <w:spacing w:before="30" w:after="30"/>
        <w:ind w:hanging="360" w:start="720"/>
        <w:rPr/>
      </w:pPr>
      <w:r>
        <w:rPr>
          <w:rFonts w:eastAsia="Arial" w:cs="Arial"/>
          <w:b/>
          <w:bCs/>
          <w:sz w:val="22"/>
          <w:szCs w:val="22"/>
        </w:rPr>
        <w:t xml:space="preserve">a.  </w:t>
      </w:r>
      <w:r>
        <w:rPr>
          <w:rFonts w:eastAsia="Arial" w:cs="Arial"/>
          <w:sz w:val="22"/>
          <w:szCs w:val="22"/>
        </w:rPr>
        <w:t>Face Sheet: full legal name, date of birth, gender identity and pronouns, primary language, AHCA/Medicaid/insurance ID numbers, emergency contacts (minimum two with relationship and phone), legal guardian name and contact, date of admission</w:t>
      </w:r>
    </w:p>
    <w:p>
      <w:pPr>
        <w:pStyle w:val="Normal"/>
        <w:spacing w:before="30" w:after="30"/>
        <w:ind w:hanging="360" w:start="720"/>
        <w:rPr/>
      </w:pPr>
      <w:r>
        <w:rPr>
          <w:rFonts w:eastAsia="Arial" w:cs="Arial"/>
          <w:b/>
          <w:bCs/>
          <w:sz w:val="22"/>
          <w:szCs w:val="22"/>
        </w:rPr>
        <w:t xml:space="preserve">b.  </w:t>
      </w:r>
      <w:r>
        <w:rPr>
          <w:rFonts w:eastAsia="Arial" w:cs="Arial"/>
          <w:sz w:val="22"/>
          <w:szCs w:val="22"/>
        </w:rPr>
        <w:t>Current PCP/ISP and all revisions, with dates</w:t>
      </w:r>
    </w:p>
    <w:p>
      <w:pPr>
        <w:pStyle w:val="Normal"/>
        <w:spacing w:before="30" w:after="30"/>
        <w:ind w:hanging="360" w:start="720"/>
        <w:rPr/>
      </w:pPr>
      <w:r>
        <w:rPr>
          <w:rFonts w:eastAsia="Arial" w:cs="Arial"/>
          <w:b/>
          <w:bCs/>
          <w:sz w:val="22"/>
          <w:szCs w:val="22"/>
        </w:rPr>
        <w:t xml:space="preserve">c.  </w:t>
      </w:r>
      <w:r>
        <w:rPr>
          <w:rFonts w:eastAsia="Arial" w:cs="Arial"/>
          <w:sz w:val="22"/>
          <w:szCs w:val="22"/>
        </w:rPr>
        <w:t>Assessment documents: initial and all subsequent assessments, functional assessment, and any specialized assessments</w:t>
      </w:r>
    </w:p>
    <w:p>
      <w:pPr>
        <w:pStyle w:val="Normal"/>
        <w:spacing w:before="30" w:after="30"/>
        <w:ind w:hanging="360" w:start="720"/>
        <w:rPr/>
      </w:pPr>
      <w:r>
        <w:rPr>
          <w:rFonts w:eastAsia="Arial" w:cs="Arial"/>
          <w:b/>
          <w:bCs/>
          <w:sz w:val="22"/>
          <w:szCs w:val="22"/>
        </w:rPr>
        <w:t xml:space="preserve">d.  </w:t>
      </w:r>
      <w:r>
        <w:rPr>
          <w:rFonts w:eastAsia="Arial" w:cs="Arial"/>
          <w:sz w:val="22"/>
          <w:szCs w:val="22"/>
        </w:rPr>
        <w:t>Physician / prescribing practitioner orders: all active standing orders and PRN orders, dated and signed</w:t>
      </w:r>
    </w:p>
    <w:p>
      <w:pPr>
        <w:pStyle w:val="Normal"/>
        <w:spacing w:before="30" w:after="30"/>
        <w:ind w:hanging="360" w:start="720"/>
        <w:rPr/>
      </w:pPr>
      <w:r>
        <w:rPr>
          <w:rFonts w:eastAsia="Arial" w:cs="Arial"/>
          <w:b/>
          <w:bCs/>
          <w:sz w:val="22"/>
          <w:szCs w:val="22"/>
        </w:rPr>
        <w:t xml:space="preserve">e.  </w:t>
      </w:r>
      <w:r>
        <w:rPr>
          <w:rFonts w:eastAsia="Arial" w:cs="Arial"/>
          <w:sz w:val="22"/>
          <w:szCs w:val="22"/>
        </w:rPr>
        <w:t>Advance directive / POLST / DNR: current status documented; if the individual has an advance directive, a current copy shall be on file; if the individual declines to execute an advance directive, this shall be documented</w:t>
      </w:r>
    </w:p>
    <w:p>
      <w:pPr>
        <w:pStyle w:val="Normal"/>
        <w:spacing w:before="30" w:after="30"/>
        <w:ind w:hanging="360" w:start="720"/>
        <w:rPr/>
      </w:pPr>
      <w:r>
        <w:rPr>
          <w:rFonts w:eastAsia="Arial" w:cs="Arial"/>
          <w:b/>
          <w:bCs/>
          <w:sz w:val="22"/>
          <w:szCs w:val="22"/>
        </w:rPr>
        <w:t xml:space="preserve">f.  </w:t>
      </w:r>
      <w:r>
        <w:rPr>
          <w:rFonts w:eastAsia="Arial" w:cs="Arial"/>
          <w:sz w:val="22"/>
          <w:szCs w:val="22"/>
        </w:rPr>
        <w:t>Current Medication Administration Record (MAR): covering at minimum the current cycle, with the prior three months retained for reference</w:t>
      </w:r>
    </w:p>
    <w:p>
      <w:pPr>
        <w:pStyle w:val="Normal"/>
        <w:spacing w:before="30" w:after="30"/>
        <w:ind w:hanging="360" w:start="720"/>
        <w:rPr/>
      </w:pPr>
      <w:r>
        <w:rPr>
          <w:rFonts w:eastAsia="Arial" w:cs="Arial"/>
          <w:b/>
          <w:bCs/>
          <w:sz w:val="22"/>
          <w:szCs w:val="22"/>
        </w:rPr>
        <w:t xml:space="preserve">g.  </w:t>
      </w:r>
      <w:r>
        <w:rPr>
          <w:rFonts w:eastAsia="Arial" w:cs="Arial"/>
          <w:sz w:val="22"/>
          <w:szCs w:val="22"/>
        </w:rPr>
        <w:t>Progress notes: dated, timed, signed entries for each shift documenting the individual's status, activities, any significant events, and care provided</w:t>
      </w:r>
    </w:p>
    <w:p>
      <w:pPr>
        <w:pStyle w:val="Normal"/>
        <w:spacing w:before="30" w:after="30"/>
        <w:ind w:hanging="360" w:start="720"/>
        <w:rPr/>
      </w:pPr>
      <w:r>
        <w:rPr>
          <w:rFonts w:eastAsia="Arial" w:cs="Arial"/>
          <w:b/>
          <w:bCs/>
          <w:sz w:val="22"/>
          <w:szCs w:val="22"/>
        </w:rPr>
        <w:t xml:space="preserve">h.  </w:t>
      </w:r>
      <w:r>
        <w:rPr>
          <w:rFonts w:eastAsia="Arial" w:cs="Arial"/>
          <w:sz w:val="22"/>
          <w:szCs w:val="22"/>
        </w:rPr>
        <w:t>Health monitoring records: vital signs logs, dietary and fluid intake records (when clinically indicated), weight logs (when clinically indicated)</w:t>
      </w:r>
    </w:p>
    <w:p>
      <w:pPr>
        <w:pStyle w:val="Normal"/>
        <w:spacing w:before="30" w:after="30"/>
        <w:ind w:hanging="360" w:start="720"/>
        <w:rPr/>
      </w:pPr>
      <w:r>
        <w:rPr>
          <w:rFonts w:eastAsia="Arial" w:cs="Arial"/>
          <w:b/>
          <w:bCs/>
          <w:sz w:val="22"/>
          <w:szCs w:val="22"/>
        </w:rPr>
        <w:t xml:space="preserve">i.  </w:t>
      </w:r>
      <w:r>
        <w:rPr>
          <w:rFonts w:eastAsia="Arial" w:cs="Arial"/>
          <w:sz w:val="22"/>
          <w:szCs w:val="22"/>
        </w:rPr>
        <w:t>Incident and critical incident reports: all reports and follow-up documentation</w:t>
      </w:r>
    </w:p>
    <w:p>
      <w:pPr>
        <w:pStyle w:val="Normal"/>
        <w:spacing w:before="30" w:after="30"/>
        <w:ind w:hanging="360" w:start="720"/>
        <w:rPr/>
      </w:pPr>
      <w:r>
        <w:rPr>
          <w:rFonts w:eastAsia="Arial" w:cs="Arial"/>
          <w:b/>
          <w:bCs/>
          <w:sz w:val="22"/>
          <w:szCs w:val="22"/>
        </w:rPr>
        <w:t xml:space="preserve">j.  </w:t>
      </w:r>
      <w:r>
        <w:rPr>
          <w:rFonts w:eastAsia="Arial" w:cs="Arial"/>
          <w:sz w:val="22"/>
          <w:szCs w:val="22"/>
        </w:rPr>
        <w:t>Rights Acknowledgment Form and any rights modification documentation</w:t>
      </w:r>
    </w:p>
    <w:p>
      <w:pPr>
        <w:pStyle w:val="Normal"/>
        <w:spacing w:before="30" w:after="30"/>
        <w:ind w:hanging="360" w:start="720"/>
        <w:rPr/>
      </w:pPr>
      <w:r>
        <w:rPr>
          <w:rFonts w:eastAsia="Arial" w:cs="Arial"/>
          <w:b/>
          <w:bCs/>
          <w:sz w:val="22"/>
          <w:szCs w:val="22"/>
        </w:rPr>
        <w:t xml:space="preserve">k.  </w:t>
      </w:r>
      <w:r>
        <w:rPr>
          <w:rFonts w:eastAsia="Arial" w:cs="Arial"/>
          <w:sz w:val="22"/>
          <w:szCs w:val="22"/>
        </w:rPr>
        <w:t>Consent to services documentation</w:t>
      </w:r>
    </w:p>
    <w:p>
      <w:pPr>
        <w:pStyle w:val="Normal"/>
        <w:spacing w:before="30" w:after="30"/>
        <w:ind w:hanging="360" w:start="720"/>
        <w:rPr/>
      </w:pPr>
      <w:r>
        <w:rPr>
          <w:rFonts w:eastAsia="Arial" w:cs="Arial"/>
          <w:b/>
          <w:bCs/>
          <w:sz w:val="22"/>
          <w:szCs w:val="22"/>
        </w:rPr>
        <w:t xml:space="preserve">l.  </w:t>
      </w:r>
      <w:r>
        <w:rPr>
          <w:rFonts w:eastAsia="Arial" w:cs="Arial"/>
          <w:sz w:val="22"/>
          <w:szCs w:val="22"/>
        </w:rPr>
        <w:t>Behavioral Incident Reports (if applicable)</w:t>
      </w:r>
    </w:p>
    <w:p>
      <w:pPr>
        <w:pStyle w:val="Normal"/>
        <w:spacing w:before="30" w:after="30"/>
        <w:ind w:hanging="360" w:start="720"/>
        <w:rPr/>
      </w:pPr>
      <w:r>
        <w:rPr>
          <w:rFonts w:eastAsia="Arial" w:cs="Arial"/>
          <w:b/>
          <w:bCs/>
          <w:sz w:val="22"/>
          <w:szCs w:val="22"/>
        </w:rPr>
        <w:t xml:space="preserve">m.  </w:t>
      </w:r>
      <w:r>
        <w:rPr>
          <w:rFonts w:eastAsia="Arial" w:cs="Arial"/>
          <w:sz w:val="22"/>
          <w:szCs w:val="22"/>
        </w:rPr>
        <w:t>Healthcare appointment summaries</w:t>
      </w:r>
    </w:p>
    <w:p>
      <w:pPr>
        <w:pStyle w:val="Normal"/>
        <w:spacing w:before="30" w:after="30"/>
        <w:ind w:hanging="360" w:start="720"/>
        <w:rPr/>
      </w:pPr>
      <w:r>
        <w:rPr>
          <w:rFonts w:eastAsia="Arial" w:cs="Arial"/>
          <w:b/>
          <w:bCs/>
          <w:sz w:val="22"/>
          <w:szCs w:val="22"/>
        </w:rPr>
        <w:t xml:space="preserve">n.  </w:t>
      </w:r>
      <w:r>
        <w:rPr>
          <w:rFonts w:eastAsia="Arial" w:cs="Arial"/>
          <w:sz w:val="22"/>
          <w:szCs w:val="22"/>
        </w:rPr>
        <w:t>Transition of care documentation (see Section C)</w:t>
      </w:r>
    </w:p>
    <w:p>
      <w:pPr>
        <w:pStyle w:val="Normal"/>
        <w:spacing w:before="140" w:after="60"/>
        <w:rPr/>
      </w:pPr>
      <w:r>
        <w:rPr>
          <w:rFonts w:eastAsia="Arial" w:cs="Arial"/>
          <w:b/>
          <w:bCs/>
          <w:sz w:val="22"/>
          <w:szCs w:val="22"/>
          <w:u w:val="single"/>
        </w:rPr>
        <w:t>C. Transition of Care Documentation Standards</w:t>
      </w:r>
    </w:p>
    <w:p>
      <w:pPr>
        <w:pStyle w:val="Normal"/>
        <w:spacing w:before="40" w:after="60"/>
        <w:rPr/>
      </w:pPr>
      <w:r>
        <w:rPr>
          <w:rFonts w:eastAsia="Arial" w:cs="Arial"/>
          <w:sz w:val="22"/>
          <w:szCs w:val="22"/>
        </w:rPr>
        <w:t>Continuity of care at transitions requires structured information transfer. The following shall be documented for every transition (see also Policy 3.01):</w:t>
      </w:r>
    </w:p>
    <w:p>
      <w:pPr>
        <w:pStyle w:val="Normal"/>
        <w:spacing w:before="30" w:after="30"/>
        <w:ind w:hanging="360" w:start="720"/>
        <w:rPr/>
      </w:pPr>
      <w:r>
        <w:rPr>
          <w:rFonts w:eastAsia="Arial" w:cs="Arial"/>
          <w:b/>
          <w:bCs/>
          <w:sz w:val="22"/>
          <w:szCs w:val="22"/>
        </w:rPr>
        <w:t xml:space="preserve">a.  </w:t>
      </w:r>
      <w:r>
        <w:rPr>
          <w:rFonts w:eastAsia="Arial" w:cs="Arial"/>
          <w:sz w:val="22"/>
          <w:szCs w:val="22"/>
        </w:rPr>
        <w:t>At admission: the receiving and reviewing of prior records, a reconciliation of the medication list, the completion of the initial assessment, and the briefing of all staff on the individual's current needs and care plan.</w:t>
      </w:r>
    </w:p>
    <w:p>
      <w:pPr>
        <w:pStyle w:val="Normal"/>
        <w:spacing w:before="30" w:after="30"/>
        <w:ind w:hanging="360" w:start="720"/>
        <w:rPr/>
      </w:pPr>
      <w:r>
        <w:rPr>
          <w:rFonts w:eastAsia="Arial" w:cs="Arial"/>
          <w:b/>
          <w:bCs/>
          <w:sz w:val="22"/>
          <w:szCs w:val="22"/>
        </w:rPr>
        <w:t xml:space="preserve">b.  </w:t>
      </w:r>
      <w:r>
        <w:rPr>
          <w:rFonts w:eastAsia="Arial" w:cs="Arial"/>
          <w:sz w:val="22"/>
          <w:szCs w:val="22"/>
        </w:rPr>
        <w:t>At every transition to another setting (hospital, respite, alternative placement): the time and date of departure, the destination, the name of the individual receiving the transfer, the clinical information transmitted, the current medication list transmitted, any pending follow-up items communicated, and the method of transmission (verbal report, written summary, electronic transfer).</w:t>
      </w:r>
    </w:p>
    <w:p>
      <w:pPr>
        <w:pStyle w:val="Normal"/>
        <w:spacing w:before="30" w:after="30"/>
        <w:ind w:hanging="360" w:start="720"/>
        <w:rPr/>
      </w:pPr>
      <w:r>
        <w:rPr>
          <w:rFonts w:eastAsia="Arial" w:cs="Arial"/>
          <w:b/>
          <w:bCs/>
          <w:sz w:val="22"/>
          <w:szCs w:val="22"/>
        </w:rPr>
        <w:t xml:space="preserve">c.  </w:t>
      </w:r>
      <w:r>
        <w:rPr>
          <w:rFonts w:eastAsia="Arial" w:cs="Arial"/>
          <w:sz w:val="22"/>
          <w:szCs w:val="22"/>
        </w:rPr>
        <w:t>Upon return from another setting: the time and date of return, the condition of the individual upon return, a medication reconciliation completed before the next medication administration, any new orders or care changes received, and any follow-up items required.</w:t>
      </w:r>
    </w:p>
    <w:p>
      <w:pPr>
        <w:pStyle w:val="Normal"/>
        <w:spacing w:before="140" w:after="60"/>
        <w:rPr/>
      </w:pPr>
      <w:r>
        <w:rPr>
          <w:rFonts w:eastAsia="Arial" w:cs="Arial"/>
          <w:b/>
          <w:bCs/>
          <w:sz w:val="22"/>
          <w:szCs w:val="22"/>
          <w:u w:val="single"/>
        </w:rPr>
        <w:t>D. Documentation of Assessments</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assessments shall include: the name and date of the assessment tool used; the date of administration; the name, credentials, and signature of the assessor; the results and their clinical interpretation; and the clinical recommendations arising from the results.</w:t>
      </w:r>
    </w:p>
    <w:p>
      <w:pPr>
        <w:pStyle w:val="Normal"/>
        <w:spacing w:before="30" w:after="30"/>
        <w:ind w:hanging="360" w:start="720"/>
        <w:rPr/>
      </w:pPr>
      <w:r>
        <w:rPr>
          <w:rFonts w:eastAsia="Arial" w:cs="Arial"/>
          <w:b/>
          <w:bCs/>
          <w:sz w:val="22"/>
          <w:szCs w:val="22"/>
        </w:rPr>
        <w:t xml:space="preserve">b.  </w:t>
      </w:r>
      <w:r>
        <w:rPr>
          <w:rFonts w:eastAsia="Arial" w:cs="Arial"/>
          <w:sz w:val="22"/>
          <w:szCs w:val="22"/>
        </w:rPr>
        <w:t>Assessment results shall be communicated to the individual's interdisciplinary team within forty-eight (48) hours and shall be reflected in the next PCP/ISP update.</w:t>
      </w:r>
    </w:p>
    <w:p>
      <w:pPr>
        <w:pStyle w:val="Normal"/>
        <w:spacing w:before="140" w:after="60"/>
        <w:rPr/>
      </w:pPr>
      <w:r>
        <w:rPr>
          <w:rFonts w:eastAsia="Arial" w:cs="Arial"/>
          <w:b/>
          <w:bCs/>
          <w:sz w:val="22"/>
          <w:szCs w:val="22"/>
          <w:u w:val="single"/>
        </w:rPr>
        <w:t>E. Data Integrity and Security</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takes active measures to ensure the accuracy and security of all clinical and operational records:</w:t>
      </w:r>
    </w:p>
    <w:p>
      <w:pPr>
        <w:pStyle w:val="ListParagraph"/>
        <w:numPr>
          <w:ilvl w:val="1"/>
          <w:numId w:val="1"/>
        </w:numPr>
        <w:spacing w:before="30" w:after="30"/>
        <w:rPr/>
      </w:pPr>
      <w:r>
        <w:rPr>
          <w:rFonts w:eastAsia="Arial" w:cs="Arial"/>
          <w:sz w:val="22"/>
          <w:szCs w:val="22"/>
        </w:rPr>
        <w:t>Access controls: clinical records shall be accessible only to authorized individuals (see Policy 1.01). Access logs shall be maintained for electronic systems.</w:t>
      </w:r>
    </w:p>
    <w:p>
      <w:pPr>
        <w:pStyle w:val="ListParagraph"/>
        <w:numPr>
          <w:ilvl w:val="1"/>
          <w:numId w:val="1"/>
        </w:numPr>
        <w:spacing w:before="30" w:after="30"/>
        <w:rPr/>
      </w:pPr>
      <w:r>
        <w:rPr>
          <w:rFonts w:eastAsia="Arial" w:cs="Arial"/>
          <w:sz w:val="22"/>
          <w:szCs w:val="22"/>
        </w:rPr>
        <w:t>Accuracy verification: the Administrator shall conduct random periodic audits of clinical records to verify documentation accuracy, timeliness, and completeness. Audit findings shall be addressed through training or corrective action as appropriate.</w:t>
      </w:r>
    </w:p>
    <w:p>
      <w:pPr>
        <w:pStyle w:val="ListParagraph"/>
        <w:numPr>
          <w:ilvl w:val="1"/>
          <w:numId w:val="1"/>
        </w:numPr>
        <w:spacing w:before="30" w:after="30"/>
        <w:rPr/>
      </w:pPr>
      <w:r>
        <w:rPr>
          <w:rFonts w:eastAsia="Arial" w:cs="Arial"/>
          <w:sz w:val="22"/>
          <w:szCs w:val="22"/>
        </w:rPr>
        <w:t>Backup: electronic records shall be backed up at minimum daily to a secure, off-site or cloud-based location. Backup integrity shall be verified monthly.</w:t>
      </w:r>
    </w:p>
    <w:p>
      <w:pPr>
        <w:pStyle w:val="ListParagraph"/>
        <w:numPr>
          <w:ilvl w:val="1"/>
          <w:numId w:val="1"/>
        </w:numPr>
        <w:spacing w:before="30" w:after="30"/>
        <w:rPr/>
      </w:pPr>
      <w:r>
        <w:rPr>
          <w:rFonts w:eastAsia="Arial" w:cs="Arial"/>
          <w:sz w:val="22"/>
          <w:szCs w:val="22"/>
        </w:rPr>
        <w:t>Physical record security: paper records shall be stored in locked cabinets in secure areas. Records shall not be left unattended in common areas.</w:t>
      </w:r>
    </w:p>
    <w:p>
      <w:pPr>
        <w:pStyle w:val="ListParagraph"/>
        <w:numPr>
          <w:ilvl w:val="1"/>
          <w:numId w:val="1"/>
        </w:numPr>
        <w:spacing w:before="30" w:after="30"/>
        <w:rPr/>
      </w:pPr>
      <w:r>
        <w:rPr>
          <w:rFonts w:eastAsia="Arial" w:cs="Arial"/>
          <w:sz w:val="22"/>
          <w:szCs w:val="22"/>
        </w:rPr>
        <w:t>Falsification prevention: documentation that appears to have been altered, backdated, or falsified shall be investigated immediately. Confirmed falsification is grounds for immediate termination and potential criminal referral.</w:t>
      </w:r>
    </w:p>
    <w:p>
      <w:pPr>
        <w:pStyle w:val="Normal"/>
        <w:spacing w:before="140" w:after="60"/>
        <w:rPr/>
      </w:pPr>
      <w:r>
        <w:rPr>
          <w:rFonts w:eastAsia="Arial" w:cs="Arial"/>
          <w:b/>
          <w:bCs/>
          <w:sz w:val="22"/>
          <w:szCs w:val="22"/>
          <w:u w:val="single"/>
        </w:rPr>
        <w:t>F. Record Retention Schedule</w:t>
      </w:r>
    </w:p>
    <w:tbl>
      <w:tblPr>
        <w:tblW w:w="9360" w:type="dxa"/>
        <w:jc w:val="start"/>
        <w:tblInd w:w="0" w:type="dxa"/>
        <w:tblLayout w:type="fixed"/>
        <w:tblCellMar>
          <w:top w:w="60" w:type="dxa"/>
          <w:start w:w="100" w:type="dxa"/>
          <w:bottom w:w="60" w:type="dxa"/>
          <w:end w:w="100" w:type="dxa"/>
        </w:tblCellMar>
      </w:tblPr>
      <w:tblGrid>
        <w:gridCol w:w="5000"/>
        <w:gridCol w:w="4359"/>
      </w:tblGrid>
      <w:tr>
        <w:trPr/>
        <w:tc>
          <w:tcPr>
            <w:tcW w:w="50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Record Type</w:t>
            </w:r>
          </w:p>
        </w:tc>
        <w:tc>
          <w:tcPr>
            <w:tcW w:w="435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20"/>
                <w:szCs w:val="20"/>
              </w:rPr>
              <w:t>Minimum Retention Period</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Clinical / Individual Records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7 years after discharge or death</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Medication Administration Records (MAR)</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7 years</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Incident / Critical Incident Reports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7 years</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Transition of Care Documentation</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7 years</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Quality Management Logs and Meeting Minutes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5 years</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Personnel Files</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3 years after separation</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Training and Certification Records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3 years after separation</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Financial / Fund Management Records</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3 years minimum (verify state law)</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Environmental Inspection Records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3 years</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Hazardous Materials Records / SDS</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Duration of use + 30 years (SDS)</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Emergency Preparedness Plans and AARs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3 years</w:t>
            </w:r>
          </w:p>
        </w:tc>
      </w:tr>
      <w:tr>
        <w:trPr/>
        <w:tc>
          <w:tcPr>
            <w:tcW w:w="5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Grievance and Complaint Files</w:t>
            </w:r>
          </w:p>
        </w:tc>
        <w:tc>
          <w:tcPr>
            <w:tcW w:w="43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7 years</w:t>
            </w:r>
          </w:p>
        </w:tc>
      </w:tr>
      <w:tr>
        <w:trPr/>
        <w:tc>
          <w:tcPr>
            <w:tcW w:w="5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Infection Surveillance Logs</w:t>
            </w:r>
          </w:p>
        </w:tc>
        <w:tc>
          <w:tcPr>
            <w:tcW w:w="435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3 years</w:t>
            </w:r>
          </w:p>
        </w:tc>
      </w:tr>
    </w:tbl>
    <w:p>
      <w:pPr>
        <w:pStyle w:val="Normal"/>
        <w:spacing w:before="0" w:after="80"/>
        <w:rPr/>
      </w:pPr>
      <w:r>
        <w:rPr/>
      </w:r>
    </w:p>
    <w:p>
      <w:pPr>
        <w:pStyle w:val="Normal"/>
        <w:spacing w:before="140" w:after="60"/>
        <w:rPr/>
      </w:pPr>
      <w:r>
        <w:rPr>
          <w:rFonts w:eastAsia="Arial" w:cs="Arial"/>
          <w:b/>
          <w:bCs/>
          <w:sz w:val="22"/>
          <w:szCs w:val="22"/>
          <w:u w:val="single"/>
        </w:rPr>
        <w:t>G. Secure Record Destruction</w:t>
      </w:r>
    </w:p>
    <w:p>
      <w:pPr>
        <w:pStyle w:val="Normal"/>
        <w:spacing w:before="30" w:after="30"/>
        <w:ind w:hanging="360" w:start="720"/>
        <w:rPr/>
      </w:pPr>
      <w:r>
        <w:rPr>
          <w:rFonts w:eastAsia="Arial" w:cs="Arial"/>
          <w:b/>
          <w:bCs/>
          <w:sz w:val="22"/>
          <w:szCs w:val="22"/>
        </w:rPr>
        <w:t xml:space="preserve">a.  </w:t>
      </w:r>
      <w:r>
        <w:rPr>
          <w:rFonts w:eastAsia="Arial" w:cs="Arial"/>
          <w:sz w:val="22"/>
          <w:szCs w:val="22"/>
        </w:rPr>
        <w:t>Paper records shall be shredded by a cross-cut shredder or a HIPAA-compliant document destruction service. A Certificate of Destruction shall be maintained.</w:t>
      </w:r>
    </w:p>
    <w:p>
      <w:pPr>
        <w:pStyle w:val="Normal"/>
        <w:spacing w:before="30" w:after="30"/>
        <w:ind w:hanging="360" w:start="720"/>
        <w:rPr/>
      </w:pPr>
      <w:r>
        <w:rPr>
          <w:rFonts w:eastAsia="Arial" w:cs="Arial"/>
          <w:b/>
          <w:bCs/>
          <w:sz w:val="22"/>
          <w:szCs w:val="22"/>
        </w:rPr>
        <w:t xml:space="preserve">b.  </w:t>
      </w:r>
      <w:r>
        <w:rPr>
          <w:rFonts w:eastAsia="Arial" w:cs="Arial"/>
          <w:sz w:val="22"/>
          <w:szCs w:val="22"/>
        </w:rPr>
        <w:t>Electronic records shall be securely deleted using a certified data destruction method. Proof of secure deletion shall be maintained.</w:t>
      </w:r>
    </w:p>
    <w:p>
      <w:pPr>
        <w:pStyle w:val="Normal"/>
        <w:spacing w:before="30" w:after="30"/>
        <w:ind w:hanging="360" w:start="720"/>
        <w:rPr/>
      </w:pPr>
      <w:r>
        <w:rPr>
          <w:rFonts w:eastAsia="Arial" w:cs="Arial"/>
          <w:b/>
          <w:bCs/>
          <w:sz w:val="22"/>
          <w:szCs w:val="22"/>
        </w:rPr>
        <w:t xml:space="preserve">c.  </w:t>
      </w:r>
      <w:r>
        <w:rPr>
          <w:rFonts w:eastAsia="Arial" w:cs="Arial"/>
          <w:sz w:val="22"/>
          <w:szCs w:val="22"/>
        </w:rPr>
        <w:t>Record destruction shall not occur while an investigation, litigation, or audit involving those records is pending.</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tbl>
      <w:tblPr>
        <w:tblW w:w="9360" w:type="dxa"/>
        <w:jc w:val="start"/>
        <w:tblInd w:w="0" w:type="dxa"/>
        <w:tblLayout w:type="fixed"/>
        <w:tblCellMar>
          <w:top w:w="100" w:type="dxa"/>
          <w:start w:w="120" w:type="dxa"/>
          <w:bottom w:w="100" w:type="dxa"/>
          <w:end w:w="120" w:type="dxa"/>
        </w:tblCellMar>
      </w:tblPr>
      <w:tblGrid>
        <w:gridCol w:w="4680"/>
        <w:gridCol w:w="4679"/>
      </w:tblGrid>
      <w:tr>
        <w:trPr/>
        <w:tc>
          <w:tcPr>
            <w:tcW w:w="9359" w:type="dxa"/>
            <w:gridSpan w:val="2"/>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4"/>
                <w:szCs w:val="24"/>
              </w:rPr>
              <w:t>Policy #6.02: Provider Agreements, Licensing, Regulatory Compliance &amp; Ethics</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Department: </w:t>
            </w:r>
            <w:r>
              <w:rPr>
                <w:rFonts w:eastAsia="Arial" w:cs="Arial"/>
                <w:sz w:val="20"/>
                <w:szCs w:val="20"/>
              </w:rPr>
              <w:t>Administration / Compliance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Policy #: </w:t>
            </w:r>
            <w:r>
              <w:rPr>
                <w:rFonts w:eastAsia="Arial" w:cs="Arial"/>
                <w:sz w:val="20"/>
                <w:szCs w:val="20"/>
              </w:rPr>
              <w:t>6.02</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Reference: </w:t>
            </w:r>
            <w:r>
              <w:rPr>
                <w:rFonts w:eastAsia="Arial" w:cs="Arial"/>
                <w:sz w:val="20"/>
                <w:szCs w:val="20"/>
              </w:rPr>
              <w:t>LD.01 (JC Leadership / Ethics); APR.01 (JC Accreditation Participation); State Licensing and Waiver Provider Requirements; Applicable State and Federal Statutes</w:t>
            </w:r>
          </w:p>
        </w:tc>
        <w:tc>
          <w:tcPr>
            <w:tcW w:w="4679" w:type="dxa"/>
            <w:tcBorders>
              <w:top w:val="single" w:sz="2" w:space="0" w:color="CCCCCC"/>
              <w:start w:val="single" w:sz="2" w:space="0" w:color="CCCCCC"/>
              <w:bottom w:val="single" w:sz="2" w:space="0" w:color="CCCCCC"/>
              <w:end w:val="single" w:sz="2" w:space="0" w:color="CCCCCC"/>
            </w:tcBorders>
            <w:shd w:fill="FFFFFF" w:val="clear"/>
            <w:tcMar>
              <w:top w:w="80" w:type="dxa"/>
              <w:bottom w:w="80" w:type="dxa"/>
            </w:tcMar>
          </w:tcPr>
          <w:p>
            <w:pPr>
              <w:pStyle w:val="Normal"/>
              <w:rPr/>
            </w:pPr>
            <w:r>
              <w:rPr>
                <w:rFonts w:eastAsia="Arial" w:cs="Arial"/>
                <w:b/>
                <w:bCs/>
                <w:sz w:val="20"/>
                <w:szCs w:val="20"/>
              </w:rPr>
              <w:t xml:space="preserve">Effective Date: </w:t>
            </w:r>
            <w:r>
              <w:rPr>
                <w:rFonts w:eastAsia="Arial" w:cs="Arial"/>
                <w:sz w:val="20"/>
                <w:szCs w:val="20"/>
              </w:rPr>
              <w:t>[Date]</w:t>
            </w:r>
          </w:p>
        </w:tc>
      </w:tr>
      <w:tr>
        <w:trPr/>
        <w:tc>
          <w:tcPr>
            <w:tcW w:w="4680"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Revision Date: </w:t>
            </w:r>
            <w:r>
              <w:rPr>
                <w:rFonts w:eastAsia="Arial" w:cs="Arial"/>
                <w:sz w:val="20"/>
                <w:szCs w:val="20"/>
              </w:rPr>
              <w:t>[Date]</w:t>
            </w:r>
          </w:p>
        </w:tc>
        <w:tc>
          <w:tcPr>
            <w:tcW w:w="4679" w:type="dxa"/>
            <w:tcBorders>
              <w:top w:val="single" w:sz="2" w:space="0" w:color="CCCCCC"/>
              <w:start w:val="single" w:sz="2" w:space="0" w:color="CCCCCC"/>
              <w:bottom w:val="single" w:sz="2" w:space="0" w:color="CCCCCC"/>
              <w:end w:val="single" w:sz="2" w:space="0" w:color="CCCCCC"/>
            </w:tcBorders>
            <w:shd w:fill="D9E6F5" w:val="clear"/>
            <w:tcMar>
              <w:top w:w="80" w:type="dxa"/>
              <w:bottom w:w="80" w:type="dxa"/>
            </w:tcMar>
          </w:tcPr>
          <w:p>
            <w:pPr>
              <w:pStyle w:val="Normal"/>
              <w:rPr/>
            </w:pPr>
            <w:r>
              <w:rPr>
                <w:rFonts w:eastAsia="Arial" w:cs="Arial"/>
                <w:b/>
                <w:bCs/>
                <w:sz w:val="20"/>
                <w:szCs w:val="20"/>
              </w:rPr>
              <w:t xml:space="preserve">Approved By: </w:t>
            </w:r>
            <w:r>
              <w:rPr>
                <w:rFonts w:eastAsia="Arial" w:cs="Arial"/>
                <w:sz w:val="20"/>
                <w:szCs w:val="20"/>
              </w:rPr>
              <w:t>[Provider Name / Administrator]</w:t>
            </w:r>
          </w:p>
        </w:tc>
      </w:tr>
    </w:tbl>
    <w:p>
      <w:pPr>
        <w:pStyle w:val="Normal"/>
        <w:spacing w:before="0" w:after="120"/>
        <w:rPr/>
      </w:pPr>
      <w:r>
        <w:rPr/>
      </w:r>
    </w:p>
    <w:p>
      <w:pPr>
        <w:pStyle w:val="Normal"/>
        <w:spacing w:before="120" w:after="40"/>
        <w:rPr/>
      </w:pPr>
      <w:r>
        <w:rPr>
          <w:rFonts w:eastAsia="Arial" w:cs="Arial"/>
          <w:b/>
          <w:bCs/>
          <w:color w:val="2E5DA8"/>
          <w:sz w:val="22"/>
          <w:szCs w:val="22"/>
        </w:rPr>
        <w:t>PURPOSE</w:t>
      </w:r>
    </w:p>
    <w:p>
      <w:pPr>
        <w:pStyle w:val="Normal"/>
        <w:spacing w:before="40" w:after="60"/>
        <w:rPr/>
      </w:pPr>
      <w:r>
        <w:rPr>
          <w:rFonts w:eastAsia="Arial" w:cs="Arial"/>
          <w:sz w:val="22"/>
          <w:szCs w:val="22"/>
        </w:rPr>
        <w:t>To ensure that this Provider maintains all required licenses, certifications, and provider agreements in current standing; that all regulatory reporting obligations are met on time and accurately; and that the Provider's operations reflect the ethical commitments and leadership accountability that characterize a high-quality, trustworthy provider of services to individuals with intellectual and developmental disabilities.</w:t>
      </w:r>
    </w:p>
    <w:p>
      <w:pPr>
        <w:pStyle w:val="Normal"/>
        <w:spacing w:before="120" w:after="40"/>
        <w:rPr/>
      </w:pPr>
      <w:r>
        <w:rPr>
          <w:rFonts w:eastAsia="Arial" w:cs="Arial"/>
          <w:b/>
          <w:bCs/>
          <w:color w:val="2E5DA8"/>
          <w:sz w:val="22"/>
          <w:szCs w:val="22"/>
        </w:rPr>
        <w:t>POLICY</w:t>
      </w:r>
    </w:p>
    <w:p>
      <w:pPr>
        <w:pStyle w:val="Normal"/>
        <w:spacing w:before="40" w:after="60"/>
        <w:rPr/>
      </w:pPr>
      <w:r>
        <w:rPr>
          <w:rFonts w:eastAsia="Arial" w:cs="Arial"/>
          <w:sz w:val="22"/>
          <w:szCs w:val="22"/>
        </w:rPr>
        <w:t>This Provider shall at all times maintain the licenses, certifications, and provider agreements required by state and federal authorities. Regulatory compliance is a baseline obligation — ethical and quality practice extends beyond minimum compliance to active commitment to the highest standards of care. The Provider/Administrator is personally accountable for the accuracy of all information submitted to licensing, waiver, and oversight authorities.</w:t>
      </w:r>
    </w:p>
    <w:p>
      <w:pPr>
        <w:pStyle w:val="Normal"/>
        <w:spacing w:before="120" w:after="40"/>
        <w:rPr/>
      </w:pPr>
      <w:r>
        <w:rPr>
          <w:rFonts w:eastAsia="Arial" w:cs="Arial"/>
          <w:b/>
          <w:bCs/>
          <w:color w:val="2E5DA8"/>
          <w:sz w:val="22"/>
          <w:szCs w:val="22"/>
        </w:rPr>
        <w:t>REQUIRED LICENSES &amp; AGREEMENTS</w:t>
      </w:r>
    </w:p>
    <w:p>
      <w:pPr>
        <w:pStyle w:val="Normal"/>
        <w:spacing w:before="40" w:after="60"/>
        <w:rPr/>
      </w:pPr>
      <w:r>
        <w:rPr>
          <w:rFonts w:eastAsia="Arial" w:cs="Arial"/>
          <w:sz w:val="22"/>
          <w:szCs w:val="22"/>
        </w:rPr>
        <w:t>The following credentials shall be maintained in current standing (state-specific — refer to the state-applicable cover page and How to Use section for specific license and agreement types):</w:t>
      </w:r>
    </w:p>
    <w:p>
      <w:pPr>
        <w:pStyle w:val="Normal"/>
        <w:spacing w:before="30" w:after="30"/>
        <w:ind w:hanging="360" w:start="720"/>
        <w:rPr/>
      </w:pPr>
      <w:r>
        <w:rPr>
          <w:rFonts w:eastAsia="Arial" w:cs="Arial"/>
          <w:b/>
          <w:bCs/>
          <w:sz w:val="22"/>
          <w:szCs w:val="22"/>
        </w:rPr>
        <w:t xml:space="preserve">a.  </w:t>
      </w:r>
      <w:r>
        <w:rPr>
          <w:rFonts w:eastAsia="Arial" w:cs="Arial"/>
          <w:sz w:val="22"/>
          <w:szCs w:val="22"/>
        </w:rPr>
        <w:t>State residential facility license or developmental home certification — as applicable</w:t>
      </w:r>
    </w:p>
    <w:p>
      <w:pPr>
        <w:pStyle w:val="Normal"/>
        <w:spacing w:before="30" w:after="30"/>
        <w:ind w:hanging="360" w:start="720"/>
        <w:rPr/>
      </w:pPr>
      <w:r>
        <w:rPr>
          <w:rFonts w:eastAsia="Arial" w:cs="Arial"/>
          <w:b/>
          <w:bCs/>
          <w:sz w:val="22"/>
          <w:szCs w:val="22"/>
        </w:rPr>
        <w:t xml:space="preserve">b.  </w:t>
      </w:r>
      <w:r>
        <w:rPr>
          <w:rFonts w:eastAsia="Arial" w:cs="Arial"/>
          <w:sz w:val="22"/>
          <w:szCs w:val="22"/>
        </w:rPr>
        <w:t>Medicaid waiver provider agreement or qualification — maintained per state requirements</w:t>
      </w:r>
    </w:p>
    <w:p>
      <w:pPr>
        <w:pStyle w:val="Normal"/>
        <w:spacing w:before="30" w:after="30"/>
        <w:ind w:hanging="360" w:start="720"/>
        <w:rPr/>
      </w:pPr>
      <w:r>
        <w:rPr>
          <w:rFonts w:eastAsia="Arial" w:cs="Arial"/>
          <w:b/>
          <w:bCs/>
          <w:sz w:val="22"/>
          <w:szCs w:val="22"/>
        </w:rPr>
        <w:t xml:space="preserve">c.  </w:t>
      </w:r>
      <w:r>
        <w:rPr>
          <w:rFonts w:eastAsia="Arial" w:cs="Arial"/>
          <w:sz w:val="22"/>
          <w:szCs w:val="22"/>
        </w:rPr>
        <w:t>HCBS Certificate or equivalent state certification — as applicable</w:t>
      </w:r>
    </w:p>
    <w:p>
      <w:pPr>
        <w:pStyle w:val="Normal"/>
        <w:spacing w:before="30" w:after="30"/>
        <w:ind w:hanging="360" w:start="720"/>
        <w:rPr/>
      </w:pPr>
      <w:r>
        <w:rPr>
          <w:rFonts w:eastAsia="Arial" w:cs="Arial"/>
          <w:b/>
          <w:bCs/>
          <w:sz w:val="22"/>
          <w:szCs w:val="22"/>
        </w:rPr>
        <w:t xml:space="preserve">d.  </w:t>
      </w:r>
      <w:r>
        <w:rPr>
          <w:rFonts w:eastAsia="Arial" w:cs="Arial"/>
          <w:sz w:val="22"/>
          <w:szCs w:val="22"/>
        </w:rPr>
        <w:t>General liability and professional liability insurance — certificates on file</w:t>
      </w:r>
    </w:p>
    <w:p>
      <w:pPr>
        <w:pStyle w:val="Normal"/>
        <w:spacing w:before="30" w:after="30"/>
        <w:ind w:hanging="360" w:start="720"/>
        <w:rPr/>
      </w:pPr>
      <w:r>
        <w:rPr>
          <w:rFonts w:eastAsia="Arial" w:cs="Arial"/>
          <w:b/>
          <w:bCs/>
          <w:sz w:val="22"/>
          <w:szCs w:val="22"/>
        </w:rPr>
        <w:t xml:space="preserve">e.  </w:t>
      </w:r>
      <w:r>
        <w:rPr>
          <w:rFonts w:eastAsia="Arial" w:cs="Arial"/>
          <w:sz w:val="22"/>
          <w:szCs w:val="22"/>
        </w:rPr>
        <w:t>All required background check clearances — for Provider and all adult household members or agency employees</w:t>
      </w:r>
    </w:p>
    <w:p>
      <w:pPr>
        <w:pStyle w:val="Normal"/>
        <w:spacing w:before="30" w:after="30"/>
        <w:ind w:hanging="360" w:start="720"/>
        <w:rPr/>
      </w:pPr>
      <w:r>
        <w:rPr>
          <w:rFonts w:eastAsia="Arial" w:cs="Arial"/>
          <w:b/>
          <w:bCs/>
          <w:sz w:val="22"/>
          <w:szCs w:val="22"/>
        </w:rPr>
        <w:t xml:space="preserve">f.  </w:t>
      </w:r>
      <w:r>
        <w:rPr>
          <w:rFonts w:eastAsia="Arial" w:cs="Arial"/>
          <w:sz w:val="22"/>
          <w:szCs w:val="22"/>
        </w:rPr>
        <w:t>Workers' Compensation insurance — as required by state law</w:t>
      </w:r>
    </w:p>
    <w:p>
      <w:pPr>
        <w:pStyle w:val="Normal"/>
        <w:spacing w:before="30" w:after="30"/>
        <w:ind w:hanging="360" w:start="720"/>
        <w:rPr/>
      </w:pPr>
      <w:r>
        <w:rPr>
          <w:rFonts w:eastAsia="Arial" w:cs="Arial"/>
          <w:b/>
          <w:bCs/>
          <w:sz w:val="22"/>
          <w:szCs w:val="22"/>
        </w:rPr>
        <w:t xml:space="preserve">g.  </w:t>
      </w:r>
      <w:r>
        <w:rPr>
          <w:rFonts w:eastAsia="Arial" w:cs="Arial"/>
          <w:sz w:val="22"/>
          <w:szCs w:val="22"/>
        </w:rPr>
        <w:t>Any other licenses or certifications required by the state or supervising agency</w:t>
      </w:r>
    </w:p>
    <w:p>
      <w:pPr>
        <w:pStyle w:val="Normal"/>
        <w:spacing w:before="120" w:after="40"/>
        <w:rPr/>
      </w:pPr>
      <w:r>
        <w:rPr>
          <w:rFonts w:eastAsia="Arial" w:cs="Arial"/>
          <w:b/>
          <w:bCs/>
          <w:color w:val="2E5DA8"/>
          <w:sz w:val="22"/>
          <w:szCs w:val="22"/>
        </w:rPr>
        <w:t>REGULATORY REPORTING OBLIGATIONS</w:t>
      </w:r>
    </w:p>
    <w:p>
      <w:pPr>
        <w:pStyle w:val="Normal"/>
        <w:spacing w:before="40" w:after="60"/>
        <w:rPr/>
      </w:pPr>
      <w:r>
        <w:rPr>
          <w:rFonts w:eastAsia="Arial" w:cs="Arial"/>
          <w:sz w:val="22"/>
          <w:szCs w:val="22"/>
        </w:rPr>
        <w:t>This Provider shall comply with all mandatory reporting timeframes. Key categories include (see state-specific policy addendum for exact timeframes):</w:t>
      </w:r>
    </w:p>
    <w:p>
      <w:pPr>
        <w:pStyle w:val="Normal"/>
        <w:spacing w:before="30" w:after="30"/>
        <w:ind w:hanging="360" w:start="720"/>
        <w:rPr/>
      </w:pPr>
      <w:r>
        <w:rPr>
          <w:rFonts w:eastAsia="Arial" w:cs="Arial"/>
          <w:b/>
          <w:bCs/>
          <w:sz w:val="22"/>
          <w:szCs w:val="22"/>
        </w:rPr>
        <w:t xml:space="preserve">a.  </w:t>
      </w:r>
      <w:r>
        <w:rPr>
          <w:rFonts w:eastAsia="Arial" w:cs="Arial"/>
          <w:sz w:val="22"/>
          <w:szCs w:val="22"/>
        </w:rPr>
        <w:t>Abuse, neglect, and exploitation of at-risk adults — same shift; APS hotline (mandatory reporter obligation, independent of administrative reporting)</w:t>
      </w:r>
    </w:p>
    <w:p>
      <w:pPr>
        <w:pStyle w:val="Normal"/>
        <w:spacing w:before="30" w:after="30"/>
        <w:ind w:hanging="360" w:start="720"/>
        <w:rPr/>
      </w:pPr>
      <w:r>
        <w:rPr>
          <w:rFonts w:eastAsia="Arial" w:cs="Arial"/>
          <w:b/>
          <w:bCs/>
          <w:sz w:val="22"/>
          <w:szCs w:val="22"/>
        </w:rPr>
        <w:t xml:space="preserve">b.  </w:t>
      </w:r>
      <w:r>
        <w:rPr>
          <w:rFonts w:eastAsia="Arial" w:cs="Arial"/>
          <w:sz w:val="22"/>
          <w:szCs w:val="22"/>
        </w:rPr>
        <w:t>Critical incidents to the state waiver or licensing authority — within twenty-four (24) hours initial report, with final written report within five (5) business days</w:t>
      </w:r>
    </w:p>
    <w:p>
      <w:pPr>
        <w:pStyle w:val="Normal"/>
        <w:spacing w:before="30" w:after="30"/>
        <w:ind w:hanging="360" w:start="720"/>
        <w:rPr/>
      </w:pPr>
      <w:r>
        <w:rPr>
          <w:rFonts w:eastAsia="Arial" w:cs="Arial"/>
          <w:b/>
          <w:bCs/>
          <w:sz w:val="22"/>
          <w:szCs w:val="22"/>
        </w:rPr>
        <w:t xml:space="preserve">c.  </w:t>
      </w:r>
      <w:r>
        <w:rPr>
          <w:rFonts w:eastAsia="Arial" w:cs="Arial"/>
          <w:sz w:val="22"/>
          <w:szCs w:val="22"/>
        </w:rPr>
        <w:t>Individual relocations, discharges, or emergency placements — per state requirements (typically twenty-four to forty-eight hours)</w:t>
      </w:r>
    </w:p>
    <w:p>
      <w:pPr>
        <w:pStyle w:val="Normal"/>
        <w:spacing w:before="30" w:after="30"/>
        <w:ind w:hanging="360" w:start="720"/>
        <w:rPr/>
      </w:pPr>
      <w:r>
        <w:rPr>
          <w:rFonts w:eastAsia="Arial" w:cs="Arial"/>
          <w:b/>
          <w:bCs/>
          <w:sz w:val="22"/>
          <w:szCs w:val="22"/>
        </w:rPr>
        <w:t xml:space="preserve">d.  </w:t>
      </w:r>
      <w:r>
        <w:rPr>
          <w:rFonts w:eastAsia="Arial" w:cs="Arial"/>
          <w:sz w:val="22"/>
          <w:szCs w:val="22"/>
        </w:rPr>
        <w:t>Changes in the Facility Operator, Administrator, or household composition — typically within thirty (30) days</w:t>
      </w:r>
    </w:p>
    <w:p>
      <w:pPr>
        <w:pStyle w:val="Normal"/>
        <w:spacing w:before="30" w:after="30"/>
        <w:ind w:hanging="360" w:start="720"/>
        <w:rPr/>
      </w:pPr>
      <w:r>
        <w:rPr>
          <w:rFonts w:eastAsia="Arial" w:cs="Arial"/>
          <w:b/>
          <w:bCs/>
          <w:sz w:val="22"/>
          <w:szCs w:val="22"/>
        </w:rPr>
        <w:t xml:space="preserve">e.  </w:t>
      </w:r>
      <w:r>
        <w:rPr>
          <w:rFonts w:eastAsia="Arial" w:cs="Arial"/>
          <w:sz w:val="22"/>
          <w:szCs w:val="22"/>
        </w:rPr>
        <w:t>Communicable disease outbreaks — within twenty-four (24) hours to state public health authority</w:t>
      </w:r>
    </w:p>
    <w:p>
      <w:pPr>
        <w:pStyle w:val="Normal"/>
        <w:spacing w:before="30" w:after="30"/>
        <w:ind w:hanging="360" w:start="720"/>
        <w:rPr/>
      </w:pPr>
      <w:r>
        <w:rPr>
          <w:rFonts w:eastAsia="Arial" w:cs="Arial"/>
          <w:b/>
          <w:bCs/>
          <w:sz w:val="22"/>
          <w:szCs w:val="22"/>
        </w:rPr>
        <w:t xml:space="preserve">f.  </w:t>
      </w:r>
      <w:r>
        <w:rPr>
          <w:rFonts w:eastAsia="Arial" w:cs="Arial"/>
          <w:sz w:val="22"/>
          <w:szCs w:val="22"/>
        </w:rPr>
        <w:t>Annual quality/outcomes reporting — per state HCBS quality framework requirements</w:t>
      </w:r>
    </w:p>
    <w:p>
      <w:pPr>
        <w:pStyle w:val="Normal"/>
        <w:spacing w:before="30" w:after="30"/>
        <w:ind w:hanging="360" w:start="720"/>
        <w:rPr/>
      </w:pPr>
      <w:r>
        <w:rPr>
          <w:rFonts w:eastAsia="Arial" w:cs="Arial"/>
          <w:b/>
          <w:bCs/>
          <w:sz w:val="22"/>
          <w:szCs w:val="22"/>
        </w:rPr>
        <w:t xml:space="preserve">g.  </w:t>
      </w:r>
      <w:r>
        <w:rPr>
          <w:rFonts w:eastAsia="Arial" w:cs="Arial"/>
          <w:sz w:val="22"/>
          <w:szCs w:val="22"/>
        </w:rPr>
        <w:t>License renewal — initiated at least sixty to ninety (60–90) days before expiration</w:t>
      </w:r>
    </w:p>
    <w:p>
      <w:pPr>
        <w:pStyle w:val="Normal"/>
        <w:spacing w:before="120" w:after="40"/>
        <w:rPr/>
      </w:pPr>
      <w:r>
        <w:rPr>
          <w:rFonts w:eastAsia="Arial" w:cs="Arial"/>
          <w:b/>
          <w:bCs/>
          <w:color w:val="2E5DA8"/>
          <w:sz w:val="22"/>
          <w:szCs w:val="22"/>
        </w:rPr>
        <w:t>COMPLIANCE MANAGEMENT</w:t>
      </w:r>
    </w:p>
    <w:p>
      <w:pPr>
        <w:pStyle w:val="Normal"/>
        <w:spacing w:before="140" w:after="60"/>
        <w:rPr/>
      </w:pPr>
      <w:r>
        <w:rPr>
          <w:rFonts w:eastAsia="Arial" w:cs="Arial"/>
          <w:b/>
          <w:bCs/>
          <w:sz w:val="22"/>
          <w:szCs w:val="22"/>
          <w:u w:val="single"/>
        </w:rPr>
        <w:t>A. Compliance Calendar</w:t>
      </w:r>
    </w:p>
    <w:p>
      <w:pPr>
        <w:pStyle w:val="Normal"/>
        <w:spacing w:before="30" w:after="30"/>
        <w:ind w:hanging="360" w:start="720"/>
        <w:rPr/>
      </w:pPr>
      <w:r>
        <w:rPr>
          <w:rFonts w:eastAsia="Arial" w:cs="Arial"/>
          <w:b/>
          <w:bCs/>
          <w:sz w:val="22"/>
          <w:szCs w:val="22"/>
        </w:rPr>
        <w:t xml:space="preserve">a.  </w:t>
      </w:r>
      <w:r>
        <w:rPr>
          <w:rFonts w:eastAsia="Arial" w:cs="Arial"/>
          <w:sz w:val="22"/>
          <w:szCs w:val="22"/>
        </w:rPr>
        <w:t>The Administrator shall maintain a Compliance Calendar tracking all reporting deadlines, license and certificate renewal dates, staff certification expiration dates, required review cycles, and annual required assessments.</w:t>
      </w:r>
    </w:p>
    <w:p>
      <w:pPr>
        <w:pStyle w:val="Normal"/>
        <w:spacing w:before="30" w:after="30"/>
        <w:ind w:hanging="360" w:start="720"/>
        <w:rPr/>
      </w:pPr>
      <w:r>
        <w:rPr>
          <w:rFonts w:eastAsia="Arial" w:cs="Arial"/>
          <w:b/>
          <w:bCs/>
          <w:sz w:val="22"/>
          <w:szCs w:val="22"/>
        </w:rPr>
        <w:t xml:space="preserve">b.  </w:t>
      </w:r>
      <w:r>
        <w:rPr>
          <w:rFonts w:eastAsia="Arial" w:cs="Arial"/>
          <w:sz w:val="22"/>
          <w:szCs w:val="22"/>
        </w:rPr>
        <w:t>The Compliance Calendar shall be reviewed monthly to identify upcoming obligations and shall be updated whenever a new requirement is identified.</w:t>
      </w:r>
    </w:p>
    <w:p>
      <w:pPr>
        <w:pStyle w:val="Normal"/>
        <w:spacing w:before="30" w:after="30"/>
        <w:ind w:hanging="360" w:start="720"/>
        <w:rPr/>
      </w:pPr>
      <w:r>
        <w:rPr>
          <w:rFonts w:eastAsia="Arial" w:cs="Arial"/>
          <w:b/>
          <w:bCs/>
          <w:sz w:val="22"/>
          <w:szCs w:val="22"/>
        </w:rPr>
        <w:t xml:space="preserve">c.  </w:t>
      </w:r>
      <w:r>
        <w:rPr>
          <w:rFonts w:eastAsia="Arial" w:cs="Arial"/>
          <w:sz w:val="22"/>
          <w:szCs w:val="22"/>
        </w:rPr>
        <w:t>Renewal actions shall be initiated at least sixty (60) days before any expiration date, with the exception of licenses or certifications with longer lead-time requirements (follow the specific licensing authority's timeline).</w:t>
      </w:r>
    </w:p>
    <w:p>
      <w:pPr>
        <w:pStyle w:val="Normal"/>
        <w:spacing w:before="140" w:after="60"/>
        <w:rPr/>
      </w:pPr>
      <w:r>
        <w:rPr>
          <w:rFonts w:eastAsia="Arial" w:cs="Arial"/>
          <w:b/>
          <w:bCs/>
          <w:sz w:val="22"/>
          <w:szCs w:val="22"/>
          <w:u w:val="single"/>
        </w:rPr>
        <w:t>B. Survey and Inspection Readiness</w:t>
      </w:r>
    </w:p>
    <w:p>
      <w:pPr>
        <w:pStyle w:val="Normal"/>
        <w:spacing w:before="30" w:after="30"/>
        <w:ind w:hanging="360" w:start="720"/>
        <w:rPr/>
      </w:pPr>
      <w:r>
        <w:rPr>
          <w:rFonts w:eastAsia="Arial" w:cs="Arial"/>
          <w:b/>
          <w:bCs/>
          <w:sz w:val="22"/>
          <w:szCs w:val="22"/>
        </w:rPr>
        <w:t xml:space="preserve">a.  </w:t>
      </w:r>
      <w:r>
        <w:rPr>
          <w:rFonts w:eastAsia="Arial" w:cs="Arial"/>
          <w:sz w:val="22"/>
          <w:szCs w:val="22"/>
        </w:rPr>
        <w:t>All clinical records, personnel files, training records, and facility documentation shall be maintained in a survey-ready condition at all times — not only in preparation for known surveys.</w:t>
      </w:r>
    </w:p>
    <w:p>
      <w:pPr>
        <w:pStyle w:val="Normal"/>
        <w:spacing w:before="30" w:after="30"/>
        <w:ind w:hanging="360" w:start="720"/>
        <w:rPr/>
      </w:pPr>
      <w:r>
        <w:rPr>
          <w:rFonts w:eastAsia="Arial" w:cs="Arial"/>
          <w:b/>
          <w:bCs/>
          <w:sz w:val="22"/>
          <w:szCs w:val="22"/>
        </w:rPr>
        <w:t xml:space="preserve">b.  </w:t>
      </w:r>
      <w:r>
        <w:rPr>
          <w:rFonts w:eastAsia="Arial" w:cs="Arial"/>
          <w:sz w:val="22"/>
          <w:szCs w:val="22"/>
        </w:rPr>
        <w:t>State licensing surveyors, waiver oversight representatives, and Adult Protective Services investigators shall be greeted professionally and given access to all requested records and areas of the home without delay or obstruction.</w:t>
      </w:r>
    </w:p>
    <w:p>
      <w:pPr>
        <w:pStyle w:val="Normal"/>
        <w:spacing w:before="30" w:after="30"/>
        <w:ind w:hanging="360" w:start="720"/>
        <w:rPr/>
      </w:pPr>
      <w:r>
        <w:rPr>
          <w:rFonts w:eastAsia="Arial" w:cs="Arial"/>
          <w:b/>
          <w:bCs/>
          <w:sz w:val="22"/>
          <w:szCs w:val="22"/>
        </w:rPr>
        <w:t xml:space="preserve">c.  </w:t>
      </w:r>
      <w:r>
        <w:rPr>
          <w:rFonts w:eastAsia="Arial" w:cs="Arial"/>
          <w:sz w:val="22"/>
          <w:szCs w:val="22"/>
        </w:rPr>
        <w:t>This Provider shall never provide false or misleading information to a licensing authority, waiver agency, or regulatory body. Any misrepresentation — whether deliberate or negligent — shall be corrected immediately and disclosed to the appropriate authority.</w:t>
      </w:r>
    </w:p>
    <w:p>
      <w:pPr>
        <w:pStyle w:val="Normal"/>
        <w:spacing w:before="140" w:after="60"/>
        <w:rPr/>
      </w:pPr>
      <w:r>
        <w:rPr>
          <w:rFonts w:eastAsia="Arial" w:cs="Arial"/>
          <w:b/>
          <w:bCs/>
          <w:sz w:val="22"/>
          <w:szCs w:val="22"/>
          <w:u w:val="single"/>
        </w:rPr>
        <w:t>C. Ethical Business Practices</w:t>
      </w:r>
    </w:p>
    <w:p>
      <w:pPr>
        <w:pStyle w:val="Normal"/>
        <w:spacing w:before="30" w:after="30"/>
        <w:ind w:hanging="360" w:start="720"/>
        <w:rPr/>
      </w:pPr>
      <w:r>
        <w:rPr>
          <w:rFonts w:eastAsia="Arial" w:cs="Arial"/>
          <w:b/>
          <w:bCs/>
          <w:sz w:val="22"/>
          <w:szCs w:val="22"/>
        </w:rPr>
        <w:t xml:space="preserve">a.  </w:t>
      </w:r>
      <w:r>
        <w:rPr>
          <w:rFonts w:eastAsia="Arial" w:cs="Arial"/>
          <w:sz w:val="22"/>
          <w:szCs w:val="22"/>
        </w:rPr>
        <w:t>This Provider shall not engage in: fraudulent billing or claims submission; falsification of records or reports submitted to regulatory authorities; kickbacks or referral arrangements that could compromise the interests of individuals served; or any other practice that violates applicable laws, regulations, or professional ethics standards.</w:t>
      </w:r>
    </w:p>
    <w:p>
      <w:pPr>
        <w:pStyle w:val="Normal"/>
        <w:spacing w:before="30" w:after="30"/>
        <w:ind w:hanging="360" w:start="720"/>
        <w:rPr/>
      </w:pPr>
      <w:r>
        <w:rPr>
          <w:rFonts w:eastAsia="Arial" w:cs="Arial"/>
          <w:b/>
          <w:bCs/>
          <w:sz w:val="22"/>
          <w:szCs w:val="22"/>
        </w:rPr>
        <w:t xml:space="preserve">b.  </w:t>
      </w:r>
      <w:r>
        <w:rPr>
          <w:rFonts w:eastAsia="Arial" w:cs="Arial"/>
          <w:sz w:val="22"/>
          <w:szCs w:val="22"/>
        </w:rPr>
        <w:t>Any staff member who becomes aware of potentially fraudulent or unethical business practices shall report the concern to the Administrator, the supervising agency, or the state Medicaid fraud control unit without fear of retaliation.</w:t>
      </w:r>
    </w:p>
    <w:p>
      <w:pPr>
        <w:pStyle w:val="Normal"/>
        <w:spacing w:before="140" w:after="60"/>
        <w:rPr/>
      </w:pPr>
      <w:r>
        <w:rPr>
          <w:rFonts w:eastAsia="Arial" w:cs="Arial"/>
          <w:b/>
          <w:bCs/>
          <w:sz w:val="22"/>
          <w:szCs w:val="22"/>
          <w:u w:val="single"/>
        </w:rPr>
        <w:t>D. Response to Survey Findings</w:t>
      </w:r>
    </w:p>
    <w:p>
      <w:pPr>
        <w:pStyle w:val="Normal"/>
        <w:spacing w:before="30" w:after="30"/>
        <w:ind w:hanging="360" w:start="720"/>
        <w:rPr/>
      </w:pPr>
      <w:r>
        <w:rPr>
          <w:rFonts w:eastAsia="Arial" w:cs="Arial"/>
          <w:b/>
          <w:bCs/>
          <w:sz w:val="22"/>
          <w:szCs w:val="22"/>
        </w:rPr>
        <w:t xml:space="preserve">a.  </w:t>
      </w:r>
      <w:r>
        <w:rPr>
          <w:rFonts w:eastAsia="Arial" w:cs="Arial"/>
          <w:sz w:val="22"/>
          <w:szCs w:val="22"/>
        </w:rPr>
        <w:t>If a licensing survey, HCBS waiver review, or other regulatory inspection results in findings or citations, the Administrator shall develop a written corrective action plan within the timeframe required by the issuing authority.</w:t>
      </w:r>
    </w:p>
    <w:p>
      <w:pPr>
        <w:pStyle w:val="Normal"/>
        <w:spacing w:before="30" w:after="30"/>
        <w:ind w:hanging="360" w:start="720"/>
        <w:rPr/>
      </w:pPr>
      <w:r>
        <w:rPr>
          <w:rFonts w:eastAsia="Arial" w:cs="Arial"/>
          <w:b/>
          <w:bCs/>
          <w:sz w:val="22"/>
          <w:szCs w:val="22"/>
        </w:rPr>
        <w:t xml:space="preserve">b.  </w:t>
      </w:r>
      <w:r>
        <w:rPr>
          <w:rFonts w:eastAsia="Arial" w:cs="Arial"/>
          <w:sz w:val="22"/>
          <w:szCs w:val="22"/>
        </w:rPr>
        <w:t>Corrective action plans shall address the specific finding, the root cause, the corrective action, the responsible party, and the implementation timeline. Progress shall be documented and reported to the issuing authority per their instructions.</w:t>
      </w:r>
    </w:p>
    <w:p>
      <w:pPr>
        <w:pStyle w:val="Normal"/>
        <w:spacing w:before="30" w:after="30"/>
        <w:ind w:hanging="360" w:start="720"/>
        <w:rPr/>
      </w:pPr>
      <w:r>
        <w:rPr>
          <w:rFonts w:eastAsia="Arial" w:cs="Arial"/>
          <w:b/>
          <w:bCs/>
          <w:sz w:val="22"/>
          <w:szCs w:val="22"/>
        </w:rPr>
        <w:t xml:space="preserve">c.  </w:t>
      </w:r>
      <w:r>
        <w:rPr>
          <w:rFonts w:eastAsia="Arial" w:cs="Arial"/>
          <w:sz w:val="22"/>
          <w:szCs w:val="22"/>
        </w:rPr>
        <w:t>All regulatory correspondence, survey reports, and corrective action plans shall be retained in the Regulatory Correspondence File for a minimum of five (5) years.</w:t>
      </w:r>
    </w:p>
    <w:p>
      <w:pPr>
        <w:pStyle w:val="Normal"/>
        <w:spacing w:before="120" w:after="40"/>
        <w:rPr/>
      </w:pPr>
      <w:r>
        <w:rPr>
          <w:rFonts w:eastAsia="Arial" w:cs="Arial"/>
          <w:b/>
          <w:bCs/>
          <w:color w:val="2E5DA8"/>
          <w:sz w:val="22"/>
          <w:szCs w:val="22"/>
        </w:rPr>
        <w:t>RELATED FORMS &amp; REFERENCES</w:t>
      </w:r>
    </w:p>
    <w:p>
      <w:pPr>
        <w:pStyle w:val="ListParagraph"/>
        <w:numPr>
          <w:ilvl w:val="0"/>
          <w:numId w:val="1"/>
        </w:numPr>
        <w:spacing w:before="30" w:after="30"/>
        <w:rPr/>
      </w:pPr>
      <w:r>
        <w:rPr>
          <w:rFonts w:eastAsia="Arial" w:cs="Arial"/>
          <w:sz w:val="22"/>
          <w:szCs w:val="22"/>
        </w:rPr>
        <w:t>Compliance Calendar</w:t>
      </w:r>
    </w:p>
    <w:p>
      <w:pPr>
        <w:pStyle w:val="ListParagraph"/>
        <w:numPr>
          <w:ilvl w:val="0"/>
          <w:numId w:val="1"/>
        </w:numPr>
        <w:spacing w:before="30" w:after="30"/>
        <w:rPr/>
      </w:pPr>
      <w:r>
        <w:rPr>
          <w:rFonts w:eastAsia="Arial" w:cs="Arial"/>
          <w:sz w:val="22"/>
          <w:szCs w:val="22"/>
        </w:rPr>
        <w:t>State Critical Incident Reporting Portal / Form</w:t>
      </w:r>
    </w:p>
    <w:p>
      <w:pPr>
        <w:pStyle w:val="ListParagraph"/>
        <w:numPr>
          <w:ilvl w:val="0"/>
          <w:numId w:val="1"/>
        </w:numPr>
        <w:spacing w:before="30" w:after="30"/>
        <w:rPr/>
      </w:pPr>
      <w:r>
        <w:rPr>
          <w:rFonts w:eastAsia="Arial" w:cs="Arial"/>
          <w:sz w:val="22"/>
          <w:szCs w:val="22"/>
        </w:rPr>
        <w:t>Insurance Certificate File</w:t>
      </w:r>
    </w:p>
    <w:p>
      <w:pPr>
        <w:pStyle w:val="ListParagraph"/>
        <w:numPr>
          <w:ilvl w:val="0"/>
          <w:numId w:val="1"/>
        </w:numPr>
        <w:spacing w:before="30" w:after="30"/>
        <w:rPr/>
      </w:pPr>
      <w:r>
        <w:rPr>
          <w:rFonts w:eastAsia="Arial" w:cs="Arial"/>
          <w:sz w:val="22"/>
          <w:szCs w:val="22"/>
        </w:rPr>
        <w:t>License and Certificate Renewal File</w:t>
      </w:r>
    </w:p>
    <w:p>
      <w:pPr>
        <w:pStyle w:val="ListParagraph"/>
        <w:numPr>
          <w:ilvl w:val="0"/>
          <w:numId w:val="1"/>
        </w:numPr>
        <w:spacing w:before="30" w:after="30"/>
        <w:rPr/>
      </w:pPr>
      <w:r>
        <w:rPr>
          <w:rFonts w:eastAsia="Arial" w:cs="Arial"/>
          <w:sz w:val="22"/>
          <w:szCs w:val="22"/>
        </w:rPr>
        <w:t>Regulatory Correspondence File</w:t>
      </w:r>
    </w:p>
    <w:p>
      <w:pPr>
        <w:pStyle w:val="ListParagraph"/>
        <w:numPr>
          <w:ilvl w:val="0"/>
          <w:numId w:val="1"/>
        </w:numPr>
        <w:spacing w:before="30" w:after="30"/>
        <w:rPr/>
      </w:pPr>
      <w:r>
        <w:rPr>
          <w:rFonts w:eastAsia="Arial" w:cs="Arial"/>
          <w:sz w:val="22"/>
          <w:szCs w:val="22"/>
        </w:rPr>
        <w:t>Corrective Action Plan Template</w:t>
      </w:r>
    </w:p>
    <w:p>
      <w:pPr>
        <w:pStyle w:val="Normal"/>
        <w:spacing w:before="0" w:after="100"/>
        <w:rPr/>
      </w:pPr>
      <w:r>
        <w:rPr/>
      </w:r>
    </w:p>
    <w:p>
      <w:pPr>
        <w:pStyle w:val="Normal"/>
        <w:spacing w:before="120" w:after="40"/>
        <w:rPr/>
      </w:pPr>
      <w:r>
        <w:rPr>
          <w:rFonts w:eastAsia="Arial" w:cs="Arial"/>
          <w:b/>
          <w:bCs/>
          <w:color w:val="2E5DA8"/>
          <w:sz w:val="22"/>
          <w:szCs w:val="22"/>
        </w:rPr>
        <w:t>DOCUMENT HISTORY</w:t>
      </w:r>
    </w:p>
    <w:tbl>
      <w:tblPr>
        <w:tblW w:w="9360" w:type="dxa"/>
        <w:jc w:val="start"/>
        <w:tblInd w:w="0" w:type="dxa"/>
        <w:tblLayout w:type="fixed"/>
        <w:tblCellMar>
          <w:top w:w="60" w:type="dxa"/>
          <w:start w:w="100" w:type="dxa"/>
          <w:bottom w:w="60" w:type="dxa"/>
          <w:end w:w="100" w:type="dxa"/>
        </w:tblCellMar>
      </w:tblPr>
      <w:tblGrid>
        <w:gridCol w:w="1400"/>
        <w:gridCol w:w="1599"/>
        <w:gridCol w:w="4360"/>
        <w:gridCol w:w="2000"/>
      </w:tblGrid>
      <w:tr>
        <w:trPr/>
        <w:tc>
          <w:tcPr>
            <w:tcW w:w="14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Revision</w:t>
            </w:r>
          </w:p>
        </w:tc>
        <w:tc>
          <w:tcPr>
            <w:tcW w:w="1599"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Description of Change</w:t>
            </w:r>
          </w:p>
        </w:tc>
        <w:tc>
          <w:tcPr>
            <w:tcW w:w="2000" w:type="dxa"/>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18"/>
                <w:szCs w:val="18"/>
              </w:rPr>
              <w:t>Approved By</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1.0</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January 1, [YEAR]</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Initial policy creation and adoption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1.1</w:t>
            </w:r>
          </w:p>
        </w:tc>
        <w:tc>
          <w:tcPr>
            <w:tcW w:w="15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Annual review – no substantive changes</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[Administrator Name]</w:t>
            </w:r>
          </w:p>
        </w:tc>
      </w:tr>
      <w:tr>
        <w:trPr/>
        <w:tc>
          <w:tcPr>
            <w:tcW w:w="14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1.2</w:t>
            </w:r>
          </w:p>
        </w:tc>
        <w:tc>
          <w:tcPr>
            <w:tcW w:w="15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[Date]</w:t>
            </w:r>
          </w:p>
        </w:tc>
        <w:tc>
          <w:tcPr>
            <w:tcW w:w="436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Updated to reflect regulatory revision</w:t>
            </w:r>
          </w:p>
        </w:tc>
        <w:tc>
          <w:tcPr>
            <w:tcW w:w="2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[Administrator Name]</w:t>
            </w:r>
          </w:p>
        </w:tc>
      </w:tr>
    </w:tbl>
    <w:p>
      <w:pPr>
        <w:pStyle w:val="Normal"/>
        <w:rPr/>
      </w:pPr>
      <w:r>
        <w:rPr/>
        <w:br/>
      </w:r>
    </w:p>
    <w:p>
      <w:pPr>
        <w:pStyle w:val="Normal"/>
        <w:shd w:val="clear" w:fill="1F3864"/>
        <w:spacing w:before="0" w:after="0"/>
        <w:jc w:val="center"/>
        <w:rPr/>
      </w:pPr>
      <w:r>
        <w:rPr>
          <w:rFonts w:eastAsia="Arial" w:cs="Arial"/>
          <w:b/>
          <w:bCs/>
          <w:color w:val="FFFFFF"/>
          <w:sz w:val="32"/>
          <w:szCs w:val="32"/>
        </w:rPr>
        <w:t>APPENDICES</w:t>
      </w:r>
    </w:p>
    <w:p>
      <w:pPr>
        <w:pStyle w:val="Normal"/>
        <w:spacing w:before="0" w:after="200"/>
        <w:rPr/>
      </w:pPr>
      <w:r>
        <w:rPr/>
      </w:r>
    </w:p>
    <w:p>
      <w:pPr>
        <w:pStyle w:val="Heading1"/>
        <w:pBdr>
          <w:bottom w:val="single" w:sz="6" w:space="1" w:color="2E5DA8"/>
        </w:pBdr>
        <w:spacing w:before="200" w:after="120"/>
        <w:rPr/>
      </w:pPr>
      <w:r>
        <w:rPr>
          <w:rFonts w:eastAsia="Arial" w:cs="Arial" w:ascii="Arial" w:hAnsi="Arial"/>
          <w:b/>
          <w:bCs/>
          <w:color w:val="1F3864"/>
          <w:sz w:val="28"/>
          <w:szCs w:val="28"/>
        </w:rPr>
        <w:t>APPENDIX A — Required Forms Checklist</w:t>
      </w:r>
    </w:p>
    <w:p>
      <w:pPr>
        <w:pStyle w:val="Normal"/>
        <w:spacing w:before="40" w:after="60"/>
        <w:rPr/>
      </w:pPr>
      <w:r>
        <w:rPr>
          <w:rFonts w:eastAsia="Arial" w:cs="Arial"/>
          <w:sz w:val="22"/>
          <w:szCs w:val="22"/>
        </w:rPr>
        <w:t>The following forms are referenced throughout this manual. Complete or adapt each form prior to placement. Retain per the record retention schedule in Policy 6.01.</w:t>
      </w:r>
    </w:p>
    <w:p>
      <w:pPr>
        <w:pStyle w:val="ListParagraph"/>
        <w:numPr>
          <w:ilvl w:val="0"/>
          <w:numId w:val="1"/>
        </w:numPr>
        <w:spacing w:before="30" w:after="30"/>
        <w:rPr/>
      </w:pPr>
      <w:r>
        <w:rPr>
          <w:rFonts w:eastAsia="Arial" w:cs="Arial"/>
          <w:sz w:val="22"/>
          <w:szCs w:val="22"/>
        </w:rPr>
        <w:t>Individual Rights Acknowledgment Form (Appendix D)</w:t>
      </w:r>
    </w:p>
    <w:p>
      <w:pPr>
        <w:pStyle w:val="ListParagraph"/>
        <w:numPr>
          <w:ilvl w:val="0"/>
          <w:numId w:val="1"/>
        </w:numPr>
        <w:spacing w:before="30" w:after="30"/>
        <w:rPr/>
      </w:pPr>
      <w:r>
        <w:rPr>
          <w:rFonts w:eastAsia="Arial" w:cs="Arial"/>
          <w:sz w:val="22"/>
          <w:szCs w:val="22"/>
        </w:rPr>
        <w:t>Rights Modification Documentation (per ISP team / CRA Provider Agency requirements)</w:t>
      </w:r>
    </w:p>
    <w:p>
      <w:pPr>
        <w:pStyle w:val="ListParagraph"/>
        <w:numPr>
          <w:ilvl w:val="0"/>
          <w:numId w:val="1"/>
        </w:numPr>
        <w:spacing w:before="30" w:after="30"/>
        <w:rPr/>
      </w:pPr>
      <w:r>
        <w:rPr>
          <w:rFonts w:eastAsia="Arial" w:cs="Arial"/>
          <w:sz w:val="22"/>
          <w:szCs w:val="22"/>
        </w:rPr>
        <w:t>Authorization to Release Information Form</w:t>
      </w:r>
    </w:p>
    <w:p>
      <w:pPr>
        <w:pStyle w:val="ListParagraph"/>
        <w:numPr>
          <w:ilvl w:val="0"/>
          <w:numId w:val="1"/>
        </w:numPr>
        <w:spacing w:before="30" w:after="30"/>
        <w:rPr/>
      </w:pPr>
      <w:r>
        <w:rPr>
          <w:rFonts w:eastAsia="Arial" w:cs="Arial"/>
          <w:sz w:val="22"/>
          <w:szCs w:val="22"/>
        </w:rPr>
        <w:t>Grievance &amp; Complaint Form</w:t>
      </w:r>
    </w:p>
    <w:p>
      <w:pPr>
        <w:pStyle w:val="ListParagraph"/>
        <w:numPr>
          <w:ilvl w:val="0"/>
          <w:numId w:val="1"/>
        </w:numPr>
        <w:spacing w:before="30" w:after="30"/>
        <w:rPr/>
      </w:pPr>
      <w:r>
        <w:rPr>
          <w:rFonts w:eastAsia="Arial" w:cs="Arial"/>
          <w:sz w:val="22"/>
          <w:szCs w:val="22"/>
        </w:rPr>
        <w:t>Incident Report Form (per CRA Provider Agency / DBHDD format)</w:t>
      </w:r>
    </w:p>
    <w:p>
      <w:pPr>
        <w:pStyle w:val="ListParagraph"/>
        <w:numPr>
          <w:ilvl w:val="0"/>
          <w:numId w:val="1"/>
        </w:numPr>
        <w:spacing w:before="30" w:after="30"/>
        <w:rPr/>
      </w:pPr>
      <w:r>
        <w:rPr>
          <w:rFonts w:eastAsia="Arial" w:cs="Arial"/>
          <w:sz w:val="22"/>
          <w:szCs w:val="22"/>
        </w:rPr>
        <w:t>DBHDD Critical Incident / ANE Report (per DBHDD Regional Field Office requirements)</w:t>
      </w:r>
    </w:p>
    <w:p>
      <w:pPr>
        <w:pStyle w:val="ListParagraph"/>
        <w:numPr>
          <w:ilvl w:val="0"/>
          <w:numId w:val="1"/>
        </w:numPr>
        <w:spacing w:before="30" w:after="30"/>
        <w:rPr/>
      </w:pPr>
      <w:r>
        <w:rPr>
          <w:rFonts w:eastAsia="Arial" w:cs="Arial"/>
          <w:sz w:val="22"/>
          <w:szCs w:val="22"/>
        </w:rPr>
        <w:t>Relief Caregiver Coverage Log (Policy 1.04)</w:t>
      </w:r>
    </w:p>
    <w:p>
      <w:pPr>
        <w:pStyle w:val="ListParagraph"/>
        <w:numPr>
          <w:ilvl w:val="0"/>
          <w:numId w:val="1"/>
        </w:numPr>
        <w:spacing w:before="30" w:after="30"/>
        <w:rPr/>
      </w:pPr>
      <w:r>
        <w:rPr>
          <w:rFonts w:eastAsia="Arial" w:cs="Arial"/>
          <w:sz w:val="22"/>
          <w:szCs w:val="22"/>
        </w:rPr>
        <w:t>CRA Provider Agency After-Hours On-Call Contact</w:t>
      </w:r>
    </w:p>
    <w:p>
      <w:pPr>
        <w:pStyle w:val="ListParagraph"/>
        <w:numPr>
          <w:ilvl w:val="0"/>
          <w:numId w:val="1"/>
        </w:numPr>
        <w:spacing w:before="30" w:after="30"/>
        <w:rPr/>
      </w:pPr>
      <w:r>
        <w:rPr>
          <w:rFonts w:eastAsia="Arial" w:cs="Arial"/>
          <w:sz w:val="22"/>
          <w:szCs w:val="22"/>
        </w:rPr>
        <w:t>GCHEXS Background Check Confirmations — provider and all adult household members</w:t>
      </w:r>
    </w:p>
    <w:p>
      <w:pPr>
        <w:pStyle w:val="ListParagraph"/>
        <w:numPr>
          <w:ilvl w:val="0"/>
          <w:numId w:val="1"/>
        </w:numPr>
        <w:spacing w:before="30" w:after="30"/>
        <w:rPr/>
      </w:pPr>
      <w:r>
        <w:rPr>
          <w:rFonts w:eastAsia="Arial" w:cs="Arial"/>
          <w:sz w:val="22"/>
          <w:szCs w:val="22"/>
        </w:rPr>
        <w:t>Annual GCHEXS Re-Clearance Confirmations</w:t>
      </w:r>
    </w:p>
    <w:p>
      <w:pPr>
        <w:pStyle w:val="ListParagraph"/>
        <w:numPr>
          <w:ilvl w:val="0"/>
          <w:numId w:val="1"/>
        </w:numPr>
        <w:spacing w:before="30" w:after="30"/>
        <w:rPr/>
      </w:pPr>
      <w:r>
        <w:rPr>
          <w:rFonts w:eastAsia="Arial" w:cs="Arial"/>
          <w:sz w:val="22"/>
          <w:szCs w:val="22"/>
        </w:rPr>
        <w:t>Home Inspection Approval Documentation (CRA Provider Agency)</w:t>
      </w:r>
    </w:p>
    <w:p>
      <w:pPr>
        <w:pStyle w:val="ListParagraph"/>
        <w:numPr>
          <w:ilvl w:val="0"/>
          <w:numId w:val="1"/>
        </w:numPr>
        <w:spacing w:before="30" w:after="30"/>
        <w:rPr/>
      </w:pPr>
      <w:r>
        <w:rPr>
          <w:rFonts w:eastAsia="Arial" w:cs="Arial"/>
          <w:sz w:val="22"/>
          <w:szCs w:val="22"/>
        </w:rPr>
        <w:t>Host Home Provider Agreement</w:t>
      </w:r>
    </w:p>
    <w:p>
      <w:pPr>
        <w:pStyle w:val="ListParagraph"/>
        <w:numPr>
          <w:ilvl w:val="0"/>
          <w:numId w:val="1"/>
        </w:numPr>
        <w:spacing w:before="30" w:after="30"/>
        <w:rPr/>
      </w:pPr>
      <w:r>
        <w:rPr>
          <w:rFonts w:eastAsia="Arial" w:cs="Arial"/>
          <w:sz w:val="22"/>
          <w:szCs w:val="22"/>
        </w:rPr>
        <w:t>DBHDD Site-Specific Medicaid Provider Number Documentation</w:t>
      </w:r>
    </w:p>
    <w:p>
      <w:pPr>
        <w:pStyle w:val="ListParagraph"/>
        <w:numPr>
          <w:ilvl w:val="0"/>
          <w:numId w:val="1"/>
        </w:numPr>
        <w:spacing w:before="30" w:after="30"/>
        <w:rPr/>
      </w:pPr>
      <w:r>
        <w:rPr>
          <w:rFonts w:eastAsia="Arial" w:cs="Arial"/>
          <w:sz w:val="22"/>
          <w:szCs w:val="22"/>
        </w:rPr>
        <w:t>Person-Specific Orientation Checklist (per individual)</w:t>
      </w:r>
    </w:p>
    <w:p>
      <w:pPr>
        <w:pStyle w:val="ListParagraph"/>
        <w:numPr>
          <w:ilvl w:val="0"/>
          <w:numId w:val="1"/>
        </w:numPr>
        <w:spacing w:before="30" w:after="30"/>
        <w:rPr/>
      </w:pPr>
      <w:r>
        <w:rPr>
          <w:rFonts w:eastAsia="Arial" w:cs="Arial"/>
          <w:sz w:val="22"/>
          <w:szCs w:val="22"/>
        </w:rPr>
        <w:t>Training Completion Record (per DBHDD Policy 02-704 requirements)</w:t>
      </w:r>
    </w:p>
    <w:p>
      <w:pPr>
        <w:pStyle w:val="ListParagraph"/>
        <w:numPr>
          <w:ilvl w:val="0"/>
          <w:numId w:val="1"/>
        </w:numPr>
        <w:spacing w:before="30" w:after="30"/>
        <w:rPr/>
      </w:pPr>
      <w:r>
        <w:rPr>
          <w:rFonts w:eastAsia="Arial" w:cs="Arial"/>
          <w:sz w:val="22"/>
          <w:szCs w:val="22"/>
        </w:rPr>
        <w:t>DDP ISP Attestation (org version — per DBHDD requirements)</w:t>
      </w:r>
    </w:p>
    <w:p>
      <w:pPr>
        <w:pStyle w:val="ListParagraph"/>
        <w:numPr>
          <w:ilvl w:val="0"/>
          <w:numId w:val="1"/>
        </w:numPr>
        <w:spacing w:before="30" w:after="30"/>
        <w:rPr/>
      </w:pPr>
      <w:r>
        <w:rPr>
          <w:rFonts w:eastAsia="Arial" w:cs="Arial"/>
          <w:sz w:val="22"/>
          <w:szCs w:val="22"/>
        </w:rPr>
        <w:t>Competency Assessment Checklist (per skill area)</w:t>
      </w:r>
    </w:p>
    <w:p>
      <w:pPr>
        <w:pStyle w:val="ListParagraph"/>
        <w:numPr>
          <w:ilvl w:val="0"/>
          <w:numId w:val="1"/>
        </w:numPr>
        <w:spacing w:before="30" w:after="30"/>
        <w:rPr/>
      </w:pPr>
      <w:r>
        <w:rPr>
          <w:rFonts w:eastAsia="Arial" w:cs="Arial"/>
          <w:sz w:val="22"/>
          <w:szCs w:val="22"/>
        </w:rPr>
        <w:t>DBHDD-Approved Medication Administration Training Certificate</w:t>
      </w:r>
    </w:p>
    <w:p>
      <w:pPr>
        <w:pStyle w:val="ListParagraph"/>
        <w:numPr>
          <w:ilvl w:val="0"/>
          <w:numId w:val="1"/>
        </w:numPr>
        <w:spacing w:before="30" w:after="30"/>
        <w:rPr/>
      </w:pPr>
      <w:r>
        <w:rPr>
          <w:rFonts w:eastAsia="Arial" w:cs="Arial"/>
          <w:sz w:val="22"/>
          <w:szCs w:val="22"/>
        </w:rPr>
        <w:t>Medication Administration Record (MAR)</w:t>
      </w:r>
    </w:p>
    <w:p>
      <w:pPr>
        <w:pStyle w:val="ListParagraph"/>
        <w:numPr>
          <w:ilvl w:val="0"/>
          <w:numId w:val="1"/>
        </w:numPr>
        <w:spacing w:before="30" w:after="30"/>
        <w:rPr/>
      </w:pPr>
      <w:r>
        <w:rPr>
          <w:rFonts w:eastAsia="Arial" w:cs="Arial"/>
          <w:sz w:val="22"/>
          <w:szCs w:val="22"/>
        </w:rPr>
        <w:t>Physician Order Form</w:t>
      </w:r>
    </w:p>
    <w:p>
      <w:pPr>
        <w:pStyle w:val="ListParagraph"/>
        <w:numPr>
          <w:ilvl w:val="0"/>
          <w:numId w:val="1"/>
        </w:numPr>
        <w:spacing w:before="30" w:after="30"/>
        <w:rPr/>
      </w:pPr>
      <w:r>
        <w:rPr>
          <w:rFonts w:eastAsia="Arial" w:cs="Arial"/>
          <w:sz w:val="22"/>
          <w:szCs w:val="22"/>
        </w:rPr>
        <w:t>Narcotics &amp; Controlled Substances Count Sheet (Appendix C)</w:t>
      </w:r>
    </w:p>
    <w:p>
      <w:pPr>
        <w:pStyle w:val="ListParagraph"/>
        <w:numPr>
          <w:ilvl w:val="0"/>
          <w:numId w:val="1"/>
        </w:numPr>
        <w:spacing w:before="30" w:after="30"/>
        <w:rPr/>
      </w:pPr>
      <w:r>
        <w:rPr>
          <w:rFonts w:eastAsia="Arial" w:cs="Arial"/>
          <w:sz w:val="22"/>
          <w:szCs w:val="22"/>
        </w:rPr>
        <w:t>Behavioral Incident Report</w:t>
      </w:r>
    </w:p>
    <w:p>
      <w:pPr>
        <w:pStyle w:val="ListParagraph"/>
        <w:numPr>
          <w:ilvl w:val="0"/>
          <w:numId w:val="1"/>
        </w:numPr>
        <w:spacing w:before="30" w:after="30"/>
        <w:rPr/>
      </w:pPr>
      <w:r>
        <w:rPr>
          <w:rFonts w:eastAsia="Arial" w:cs="Arial"/>
          <w:sz w:val="22"/>
          <w:szCs w:val="22"/>
        </w:rPr>
        <w:t>Monthly Home Safety Log</w:t>
      </w:r>
    </w:p>
    <w:p>
      <w:pPr>
        <w:pStyle w:val="ListParagraph"/>
        <w:numPr>
          <w:ilvl w:val="0"/>
          <w:numId w:val="1"/>
        </w:numPr>
        <w:spacing w:before="30" w:after="30"/>
        <w:rPr/>
      </w:pPr>
      <w:r>
        <w:rPr>
          <w:rFonts w:eastAsia="Arial" w:cs="Arial"/>
          <w:sz w:val="22"/>
          <w:szCs w:val="22"/>
        </w:rPr>
        <w:t>Annual Environment of Care Risk Assessment</w:t>
      </w:r>
    </w:p>
    <w:p>
      <w:pPr>
        <w:pStyle w:val="ListParagraph"/>
        <w:numPr>
          <w:ilvl w:val="0"/>
          <w:numId w:val="1"/>
        </w:numPr>
        <w:spacing w:before="30" w:after="30"/>
        <w:rPr/>
      </w:pPr>
      <w:r>
        <w:rPr>
          <w:rFonts w:eastAsia="Arial" w:cs="Arial"/>
          <w:sz w:val="22"/>
          <w:szCs w:val="22"/>
        </w:rPr>
        <w:t>Annual Hazard Vulnerability Analysis</w:t>
      </w:r>
    </w:p>
    <w:p>
      <w:pPr>
        <w:pStyle w:val="ListParagraph"/>
        <w:numPr>
          <w:ilvl w:val="0"/>
          <w:numId w:val="1"/>
        </w:numPr>
        <w:spacing w:before="30" w:after="30"/>
        <w:rPr/>
      </w:pPr>
      <w:r>
        <w:rPr>
          <w:rFonts w:eastAsia="Arial" w:cs="Arial"/>
          <w:sz w:val="22"/>
          <w:szCs w:val="22"/>
        </w:rPr>
        <w:t>Emergency Preparedness &amp; Response Plan</w:t>
      </w:r>
    </w:p>
    <w:p>
      <w:pPr>
        <w:pStyle w:val="ListParagraph"/>
        <w:numPr>
          <w:ilvl w:val="0"/>
          <w:numId w:val="1"/>
        </w:numPr>
        <w:spacing w:before="30" w:after="30"/>
        <w:rPr/>
      </w:pPr>
      <w:r>
        <w:rPr>
          <w:rFonts w:eastAsia="Arial" w:cs="Arial"/>
          <w:sz w:val="22"/>
          <w:szCs w:val="22"/>
        </w:rPr>
        <w:t>Evacuation Diagram — posted in home</w:t>
      </w:r>
    </w:p>
    <w:p>
      <w:pPr>
        <w:pStyle w:val="ListParagraph"/>
        <w:numPr>
          <w:ilvl w:val="0"/>
          <w:numId w:val="1"/>
        </w:numPr>
        <w:spacing w:before="30" w:after="30"/>
        <w:rPr/>
      </w:pPr>
      <w:r>
        <w:rPr>
          <w:rFonts w:eastAsia="Arial" w:cs="Arial"/>
          <w:sz w:val="22"/>
          <w:szCs w:val="22"/>
        </w:rPr>
        <w:t>Individual Emergency Information Packet</w:t>
      </w:r>
    </w:p>
    <w:p>
      <w:pPr>
        <w:pStyle w:val="ListParagraph"/>
        <w:numPr>
          <w:ilvl w:val="0"/>
          <w:numId w:val="1"/>
        </w:numPr>
        <w:spacing w:before="30" w:after="30"/>
        <w:rPr/>
      </w:pPr>
      <w:r>
        <w:rPr>
          <w:rFonts w:eastAsia="Arial" w:cs="Arial"/>
          <w:sz w:val="22"/>
          <w:szCs w:val="22"/>
        </w:rPr>
        <w:t>Quality Management Log</w:t>
      </w:r>
    </w:p>
    <w:p>
      <w:pPr>
        <w:pStyle w:val="ListParagraph"/>
        <w:numPr>
          <w:ilvl w:val="0"/>
          <w:numId w:val="1"/>
        </w:numPr>
        <w:spacing w:before="30" w:after="30"/>
        <w:rPr/>
      </w:pPr>
      <w:r>
        <w:rPr>
          <w:rFonts w:eastAsia="Arial" w:cs="Arial"/>
          <w:sz w:val="22"/>
          <w:szCs w:val="22"/>
        </w:rPr>
        <w:t>Individual Fund Ledger &amp; Disbursement Receipt Form</w:t>
      </w:r>
    </w:p>
    <w:p>
      <w:pPr>
        <w:pStyle w:val="ListParagraph"/>
        <w:numPr>
          <w:ilvl w:val="0"/>
          <w:numId w:val="1"/>
        </w:numPr>
        <w:spacing w:before="30" w:after="30"/>
        <w:rPr/>
      </w:pPr>
      <w:r>
        <w:rPr>
          <w:rFonts w:eastAsia="Arial" w:cs="Arial"/>
          <w:sz w:val="22"/>
          <w:szCs w:val="22"/>
        </w:rPr>
        <w:t>ISP — maintained by Support Coordinator</w:t>
      </w:r>
    </w:p>
    <w:p>
      <w:pPr>
        <w:pStyle w:val="Normal"/>
        <w:spacing w:before="0" w:after="200"/>
        <w:rPr/>
      </w:pPr>
      <w:r>
        <w:rPr/>
      </w:r>
    </w:p>
    <w:p>
      <w:pPr>
        <w:pStyle w:val="Heading1"/>
        <w:pBdr>
          <w:bottom w:val="single" w:sz="6" w:space="1" w:color="2E5DA8"/>
        </w:pBdr>
        <w:spacing w:before="200" w:after="120"/>
        <w:rPr/>
      </w:pPr>
      <w:r>
        <w:rPr>
          <w:rFonts w:eastAsia="Arial" w:cs="Arial" w:ascii="Arial" w:hAnsi="Arial"/>
          <w:b/>
          <w:bCs/>
          <w:color w:val="1F3864"/>
          <w:sz w:val="28"/>
          <w:szCs w:val="28"/>
        </w:rPr>
        <w:t>APPENDIX B — Key Agency Contact Directory (Georgia)</w:t>
      </w:r>
    </w:p>
    <w:tbl>
      <w:tblPr>
        <w:tblW w:w="9360" w:type="dxa"/>
        <w:jc w:val="start"/>
        <w:tblInd w:w="0" w:type="dxa"/>
        <w:tblLayout w:type="fixed"/>
        <w:tblCellMar>
          <w:top w:w="60" w:type="dxa"/>
          <w:start w:w="100" w:type="dxa"/>
          <w:bottom w:w="60" w:type="dxa"/>
          <w:end w:w="100" w:type="dxa"/>
        </w:tblCellMar>
      </w:tblPr>
      <w:tblGrid>
        <w:gridCol w:w="3499"/>
        <w:gridCol w:w="3000"/>
        <w:gridCol w:w="2861"/>
      </w:tblGrid>
      <w:tr>
        <w:trPr/>
        <w:tc>
          <w:tcPr>
            <w:tcW w:w="3499"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8"/>
                <w:szCs w:val="18"/>
              </w:rPr>
              <w:t>Agency / Resource</w:t>
            </w:r>
          </w:p>
        </w:tc>
        <w:tc>
          <w:tcPr>
            <w:tcW w:w="3000"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8"/>
                <w:szCs w:val="18"/>
              </w:rPr>
              <w:t>Phone</w:t>
            </w:r>
          </w:p>
        </w:tc>
        <w:tc>
          <w:tcPr>
            <w:tcW w:w="2861" w:type="dxa"/>
            <w:tcBorders>
              <w:top w:val="single" w:sz="2" w:space="0" w:color="CCCCCC"/>
              <w:start w:val="single" w:sz="2" w:space="0" w:color="CCCCCC"/>
              <w:bottom w:val="single" w:sz="2" w:space="0" w:color="CCCCCC"/>
              <w:end w:val="single" w:sz="2" w:space="0" w:color="CCCCCC"/>
            </w:tcBorders>
            <w:shd w:fill="1F3864" w:val="clear"/>
          </w:tcPr>
          <w:p>
            <w:pPr>
              <w:pStyle w:val="Normal"/>
              <w:rPr/>
            </w:pPr>
            <w:r>
              <w:rPr>
                <w:rFonts w:eastAsia="Arial" w:cs="Arial"/>
                <w:b/>
                <w:bCs/>
                <w:color w:val="FFFFFF"/>
                <w:sz w:val="18"/>
                <w:szCs w:val="18"/>
              </w:rPr>
              <w:t>Website / Notes</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DBHDD Main Office</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(404) 657-2252</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dbhdd.georgia.gov</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DBHDD Regional Field Office</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[Region] — [Phone]</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[Regional Office Address]</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Georgia Collaborative ASO</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(678) 587-4500</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georgiacollaborative.com</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Georgia Adult Protective Services</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1-800-878-6442</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Elder Abuse Hotline — DFCS</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DFCS (General Child/Adult Services)</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1-855-422-4453</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dfcs.georgia.gov</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Georgia Crisis &amp; Access Line</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1-800-715-4225</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24-hour crisis line</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Disability Rights Georgia</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1-800-537-2329</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drgc.org</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GCHEXS (Background Checks)</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dch.gchexs.ga.gov</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IdentoGo fingerprinting</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Georgia Commission on Equal Opportunity</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(404) 656-1736</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gceo.georgia.gov</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Poison Control</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1-800-222-1222</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National 24-hour line</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CRA Provider Agency</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[CRA Provider Agency Name]</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[Phone] — [Website]</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Support Coordinator</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[Support Coordinator Name]</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[Phone] — [Agency]</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Prescribing Physician</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[Physician Name]</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[Clinic] [Phone]</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Pharmacy</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[Pharmacy Name]</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18"/>
                <w:szCs w:val="18"/>
              </w:rPr>
              <w:t>[Phone]</w:t>
            </w:r>
          </w:p>
        </w:tc>
      </w:tr>
      <w:tr>
        <w:trPr/>
        <w:tc>
          <w:tcPr>
            <w:tcW w:w="3499"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Local Police (non-emergency)</w:t>
            </w:r>
          </w:p>
        </w:tc>
        <w:tc>
          <w:tcPr>
            <w:tcW w:w="3000"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[Local Number]</w:t>
            </w:r>
          </w:p>
        </w:tc>
        <w:tc>
          <w:tcPr>
            <w:tcW w:w="2861" w:type="dxa"/>
            <w:tcBorders>
              <w:top w:val="single" w:sz="2" w:space="0" w:color="CCCCCC"/>
              <w:start w:val="single" w:sz="2" w:space="0" w:color="CCCCCC"/>
              <w:bottom w:val="single" w:sz="2" w:space="0" w:color="CCCCCC"/>
              <w:end w:val="single" w:sz="2" w:space="0" w:color="CCCCCC"/>
            </w:tcBorders>
            <w:shd w:fill="EAF1FB" w:val="clear"/>
          </w:tcPr>
          <w:p>
            <w:pPr>
              <w:pStyle w:val="Normal"/>
              <w:rPr/>
            </w:pPr>
            <w:r>
              <w:rPr>
                <w:rFonts w:eastAsia="Arial" w:cs="Arial"/>
                <w:sz w:val="18"/>
                <w:szCs w:val="18"/>
              </w:rPr>
              <w:t>Call 911 for emergencies</w:t>
            </w:r>
          </w:p>
        </w:tc>
      </w:tr>
    </w:tbl>
    <w:p>
      <w:pPr>
        <w:pStyle w:val="Normal"/>
        <w:rPr/>
      </w:pPr>
      <w:r>
        <w:rPr/>
        <w:br/>
      </w:r>
    </w:p>
    <w:p>
      <w:pPr>
        <w:pStyle w:val="Heading1"/>
        <w:pBdr>
          <w:bottom w:val="single" w:sz="6" w:space="1" w:color="2E5DA8"/>
        </w:pBdr>
        <w:spacing w:before="200" w:after="120"/>
        <w:rPr/>
      </w:pPr>
      <w:r>
        <w:rPr>
          <w:rFonts w:eastAsia="Arial" w:cs="Arial" w:ascii="Arial" w:hAnsi="Arial"/>
          <w:b/>
          <w:bCs/>
          <w:color w:val="1F3864"/>
          <w:sz w:val="28"/>
          <w:szCs w:val="28"/>
        </w:rPr>
        <w:t>APPENDIX C — Narcotics &amp; Controlled Substances Count Sheet</w:t>
      </w:r>
    </w:p>
    <w:p>
      <w:pPr>
        <w:pStyle w:val="Normal"/>
        <w:spacing w:before="40" w:after="60"/>
        <w:rPr/>
      </w:pPr>
      <w:r>
        <w:rPr>
          <w:rFonts w:eastAsia="Arial" w:cs="Arial"/>
          <w:sz w:val="22"/>
          <w:szCs w:val="22"/>
        </w:rPr>
        <w:t>Use one sheet per controlled substance per monthly cycle. Both the Host Home Provider (or Relief Caregiver) and a witness must sign at each coverage transition. Retain for seven (7) years.</w:t>
      </w:r>
    </w:p>
    <w:tbl>
      <w:tblPr>
        <w:tblW w:w="9360" w:type="dxa"/>
        <w:jc w:val="start"/>
        <w:tblInd w:w="0" w:type="dxa"/>
        <w:tblLayout w:type="fixed"/>
        <w:tblCellMar>
          <w:top w:w="80" w:type="dxa"/>
          <w:start w:w="120" w:type="dxa"/>
          <w:bottom w:w="80" w:type="dxa"/>
          <w:end w:w="120" w:type="dxa"/>
        </w:tblCellMar>
      </w:tblPr>
      <w:tblGrid>
        <w:gridCol w:w="3919"/>
        <w:gridCol w:w="2720"/>
        <w:gridCol w:w="2721"/>
      </w:tblGrid>
      <w:tr>
        <w:trPr/>
        <w:tc>
          <w:tcPr>
            <w:tcW w:w="9360" w:type="dxa"/>
            <w:gridSpan w:val="3"/>
            <w:tcBorders>
              <w:top w:val="single" w:sz="2" w:space="0" w:color="CCCCCC"/>
              <w:start w:val="single" w:sz="2" w:space="0" w:color="CCCCCC"/>
              <w:bottom w:val="single" w:sz="2" w:space="0" w:color="CCCCCC"/>
              <w:end w:val="single" w:sz="2" w:space="0" w:color="CCCCCC"/>
            </w:tcBorders>
            <w:shd w:fill="1F3864" w:val="clear"/>
          </w:tcPr>
          <w:p>
            <w:pPr>
              <w:pStyle w:val="Normal"/>
              <w:jc w:val="center"/>
              <w:rPr/>
            </w:pPr>
            <w:r>
              <w:rPr>
                <w:rFonts w:eastAsia="Arial" w:cs="Arial"/>
                <w:b/>
                <w:bCs/>
                <w:color w:val="FFFFFF"/>
                <w:sz w:val="22"/>
                <w:szCs w:val="22"/>
              </w:rPr>
              <w:t>NARCOTICS &amp; CONTROLLED SUBSTANCES COUNT SHEET</w:t>
            </w:r>
          </w:p>
        </w:tc>
      </w:tr>
      <w:tr>
        <w:trPr/>
        <w:tc>
          <w:tcPr>
            <w:tcW w:w="3919" w:type="dxa"/>
            <w:tcBorders>
              <w:top w:val="single" w:sz="2" w:space="0" w:color="CCCCCC"/>
              <w:start w:val="single" w:sz="2" w:space="0" w:color="CCCCCC"/>
              <w:bottom w:val="single" w:sz="2" w:space="0" w:color="CCCCCC"/>
              <w:end w:val="single" w:sz="2" w:space="0" w:color="CCCCCC"/>
            </w:tcBorders>
            <w:shd w:fill="D9E6F5" w:val="clear"/>
            <w:tcMar>
              <w:top w:w="60" w:type="dxa"/>
              <w:start w:w="100" w:type="dxa"/>
              <w:bottom w:w="60" w:type="dxa"/>
              <w:end w:w="100" w:type="dxa"/>
            </w:tcMar>
          </w:tcPr>
          <w:p>
            <w:pPr>
              <w:pStyle w:val="Normal"/>
              <w:rPr/>
            </w:pPr>
            <w:r>
              <w:rPr>
                <w:rFonts w:eastAsia="Arial" w:cs="Arial"/>
                <w:sz w:val="18"/>
                <w:szCs w:val="18"/>
              </w:rPr>
              <w:t>Individual Name: _______________________</w:t>
            </w:r>
          </w:p>
        </w:tc>
        <w:tc>
          <w:tcPr>
            <w:tcW w:w="2720" w:type="dxa"/>
            <w:tcBorders>
              <w:top w:val="single" w:sz="2" w:space="0" w:color="CCCCCC"/>
              <w:start w:val="single" w:sz="2" w:space="0" w:color="CCCCCC"/>
              <w:bottom w:val="single" w:sz="2" w:space="0" w:color="CCCCCC"/>
              <w:end w:val="single" w:sz="2" w:space="0" w:color="CCCCCC"/>
            </w:tcBorders>
            <w:shd w:fill="D9E6F5" w:val="clear"/>
            <w:tcMar>
              <w:top w:w="60" w:type="dxa"/>
              <w:start w:w="100" w:type="dxa"/>
              <w:bottom w:w="60" w:type="dxa"/>
              <w:end w:w="100" w:type="dxa"/>
            </w:tcMar>
          </w:tcPr>
          <w:p>
            <w:pPr>
              <w:pStyle w:val="Normal"/>
              <w:rPr/>
            </w:pPr>
            <w:r>
              <w:rPr>
                <w:rFonts w:eastAsia="Arial" w:cs="Arial"/>
                <w:sz w:val="18"/>
                <w:szCs w:val="18"/>
              </w:rPr>
              <w:t>Medication: ___________________________</w:t>
            </w:r>
          </w:p>
        </w:tc>
        <w:tc>
          <w:tcPr>
            <w:tcW w:w="2721" w:type="dxa"/>
            <w:tcBorders>
              <w:top w:val="single" w:sz="2" w:space="0" w:color="CCCCCC"/>
              <w:start w:val="single" w:sz="2" w:space="0" w:color="CCCCCC"/>
              <w:bottom w:val="single" w:sz="2" w:space="0" w:color="CCCCCC"/>
              <w:end w:val="single" w:sz="2" w:space="0" w:color="CCCCCC"/>
            </w:tcBorders>
            <w:shd w:fill="D9E6F5" w:val="clear"/>
            <w:tcMar>
              <w:top w:w="60" w:type="dxa"/>
              <w:start w:w="100" w:type="dxa"/>
              <w:bottom w:w="60" w:type="dxa"/>
              <w:end w:w="100" w:type="dxa"/>
            </w:tcMar>
          </w:tcPr>
          <w:p>
            <w:pPr>
              <w:pStyle w:val="Normal"/>
              <w:rPr/>
            </w:pPr>
            <w:r>
              <w:rPr>
                <w:rFonts w:eastAsia="Arial" w:cs="Arial"/>
                <w:sz w:val="18"/>
                <w:szCs w:val="18"/>
              </w:rPr>
              <w:t>Dose / Strength: ______________________</w:t>
            </w:r>
          </w:p>
        </w:tc>
      </w:tr>
      <w:tr>
        <w:trPr/>
        <w:tc>
          <w:tcPr>
            <w:tcW w:w="3919" w:type="dxa"/>
            <w:tcBorders>
              <w:top w:val="single" w:sz="2" w:space="0" w:color="CCCCCC"/>
              <w:start w:val="single" w:sz="2" w:space="0" w:color="CCCCCC"/>
              <w:bottom w:val="single" w:sz="2" w:space="0" w:color="CCCCCC"/>
              <w:end w:val="single" w:sz="2" w:space="0" w:color="CCCCCC"/>
            </w:tcBorders>
            <w:shd w:fill="1F3864" w:val="clear"/>
            <w:tcMar>
              <w:top w:w="60" w:type="dxa"/>
              <w:start w:w="100" w:type="dxa"/>
              <w:bottom w:w="60" w:type="dxa"/>
              <w:end w:w="100" w:type="dxa"/>
            </w:tcMar>
          </w:tcPr>
          <w:p>
            <w:pPr>
              <w:pStyle w:val="Normal"/>
              <w:jc w:val="center"/>
              <w:rPr/>
            </w:pPr>
            <w:r>
              <w:rPr>
                <w:rFonts w:eastAsia="Arial" w:cs="Arial"/>
                <w:b/>
                <w:bCs/>
                <w:color w:val="FFFFFF"/>
                <w:sz w:val="16"/>
                <w:szCs w:val="16"/>
              </w:rPr>
              <w:t>Date &amp; Time</w:t>
            </w:r>
          </w:p>
        </w:tc>
        <w:tc>
          <w:tcPr>
            <w:tcW w:w="2720" w:type="dxa"/>
            <w:tcBorders>
              <w:top w:val="single" w:sz="2" w:space="0" w:color="CCCCCC"/>
              <w:start w:val="single" w:sz="2" w:space="0" w:color="CCCCCC"/>
              <w:bottom w:val="single" w:sz="2" w:space="0" w:color="CCCCCC"/>
              <w:end w:val="single" w:sz="2" w:space="0" w:color="CCCCCC"/>
            </w:tcBorders>
            <w:shd w:fill="1F3864" w:val="clear"/>
            <w:tcMar>
              <w:top w:w="60" w:type="dxa"/>
              <w:start w:w="100" w:type="dxa"/>
              <w:bottom w:w="60" w:type="dxa"/>
              <w:end w:w="100" w:type="dxa"/>
            </w:tcMar>
          </w:tcPr>
          <w:p>
            <w:pPr>
              <w:pStyle w:val="Normal"/>
              <w:jc w:val="center"/>
              <w:rPr/>
            </w:pPr>
            <w:r>
              <w:rPr>
                <w:rFonts w:eastAsia="Arial" w:cs="Arial"/>
                <w:b/>
                <w:bCs/>
                <w:color w:val="FFFFFF"/>
                <w:sz w:val="16"/>
                <w:szCs w:val="16"/>
              </w:rPr>
              <w:t>Count on Hand</w:t>
            </w:r>
          </w:p>
        </w:tc>
        <w:tc>
          <w:tcPr>
            <w:tcW w:w="2721" w:type="dxa"/>
            <w:tcBorders>
              <w:top w:val="single" w:sz="2" w:space="0" w:color="CCCCCC"/>
              <w:start w:val="single" w:sz="2" w:space="0" w:color="CCCCCC"/>
              <w:bottom w:val="single" w:sz="2" w:space="0" w:color="CCCCCC"/>
              <w:end w:val="single" w:sz="2" w:space="0" w:color="CCCCCC"/>
            </w:tcBorders>
            <w:shd w:fill="1F3864" w:val="clear"/>
            <w:tcMar>
              <w:top w:w="60" w:type="dxa"/>
              <w:start w:w="100" w:type="dxa"/>
              <w:bottom w:w="60" w:type="dxa"/>
              <w:end w:w="100" w:type="dxa"/>
            </w:tcMar>
          </w:tcPr>
          <w:p>
            <w:pPr>
              <w:pStyle w:val="Normal"/>
              <w:jc w:val="center"/>
              <w:rPr/>
            </w:pPr>
            <w:r>
              <w:rPr>
                <w:rFonts w:eastAsia="Arial" w:cs="Arial"/>
                <w:b/>
                <w:bCs/>
                <w:color w:val="FFFFFF"/>
                <w:sz w:val="16"/>
                <w:szCs w:val="16"/>
              </w:rPr>
              <w:t>Provider/Caregiver Signature</w:t>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EAF1FB" w:val="clear"/>
            <w:tcMar>
              <w:top w:w="40" w:type="dxa"/>
              <w:start w:w="80" w:type="dxa"/>
              <w:bottom w:w="40" w:type="dxa"/>
              <w:end w:w="80" w:type="dxa"/>
            </w:tcMar>
          </w:tcPr>
          <w:p>
            <w:pPr>
              <w:pStyle w:val="Normal"/>
              <w:rPr/>
            </w:pPr>
            <w:r>
              <w:rPr/>
            </w:r>
          </w:p>
        </w:tc>
      </w:tr>
      <w:tr>
        <w:trPr>
          <w:trHeight w:val="450" w:hRule="atLeast"/>
        </w:trPr>
        <w:tc>
          <w:tcPr>
            <w:tcW w:w="3919"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0"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c>
          <w:tcPr>
            <w:tcW w:w="2721" w:type="dxa"/>
            <w:tcBorders>
              <w:top w:val="single" w:sz="2" w:space="0" w:color="CCCCCC"/>
              <w:start w:val="single" w:sz="2" w:space="0" w:color="CCCCCC"/>
              <w:bottom w:val="single" w:sz="2" w:space="0" w:color="CCCCCC"/>
              <w:end w:val="single" w:sz="2" w:space="0" w:color="CCCCCC"/>
            </w:tcBorders>
            <w:shd w:fill="FFFFFF" w:val="clear"/>
            <w:tcMar>
              <w:top w:w="40" w:type="dxa"/>
              <w:start w:w="80" w:type="dxa"/>
              <w:bottom w:w="40" w:type="dxa"/>
              <w:end w:w="80" w:type="dxa"/>
            </w:tcMar>
          </w:tcPr>
          <w:p>
            <w:pPr>
              <w:pStyle w:val="Normal"/>
              <w:rPr/>
            </w:pPr>
            <w:r>
              <w:rPr/>
            </w:r>
          </w:p>
        </w:tc>
      </w:tr>
    </w:tbl>
    <w:p>
      <w:pPr>
        <w:pStyle w:val="Normal"/>
        <w:spacing w:before="0" w:after="200"/>
        <w:rPr/>
      </w:pPr>
      <w:r>
        <w:rPr/>
      </w:r>
    </w:p>
    <w:p>
      <w:pPr>
        <w:pStyle w:val="Heading1"/>
        <w:pBdr>
          <w:bottom w:val="single" w:sz="6" w:space="1" w:color="2E5DA8"/>
        </w:pBdr>
        <w:spacing w:before="200" w:after="120"/>
        <w:rPr/>
      </w:pPr>
      <w:r>
        <w:rPr>
          <w:rFonts w:eastAsia="Arial" w:cs="Arial" w:ascii="Arial" w:hAnsi="Arial"/>
          <w:b/>
          <w:bCs/>
          <w:color w:val="1F3864"/>
          <w:sz w:val="28"/>
          <w:szCs w:val="28"/>
        </w:rPr>
        <w:t>APPENDIX D — Individual Rights Acknowledgment Form</w:t>
      </w:r>
    </w:p>
    <w:p>
      <w:pPr>
        <w:pStyle w:val="Normal"/>
        <w:spacing w:before="40" w:after="60"/>
        <w:rPr/>
      </w:pPr>
      <w:r>
        <w:rPr>
          <w:rFonts w:eastAsia="Arial" w:cs="Arial"/>
          <w:sz w:val="22"/>
          <w:szCs w:val="22"/>
        </w:rPr>
        <w:t>Complete with the individual and/or their legal representative within twenty-four (24) hours of placement and at each annual ISP meeting. File a signed copy in the individual's permanent record.</w:t>
      </w:r>
    </w:p>
    <w:p>
      <w:pPr>
        <w:pStyle w:val="Normal"/>
        <w:spacing w:before="0" w:after="80"/>
        <w:rPr/>
      </w:pPr>
      <w:r>
        <w:rPr/>
      </w:r>
    </w:p>
    <w:p>
      <w:pPr>
        <w:pStyle w:val="Normal"/>
        <w:spacing w:before="40" w:after="40"/>
        <w:rPr/>
      </w:pPr>
      <w:r>
        <w:rPr>
          <w:rFonts w:eastAsia="Arial" w:cs="Arial"/>
          <w:b/>
          <w:bCs/>
          <w:sz w:val="22"/>
          <w:szCs w:val="22"/>
        </w:rPr>
        <w:t xml:space="preserve">Individual Name:: </w:t>
      </w:r>
      <w:r>
        <w:rPr>
          <w:rFonts w:eastAsia="Arial" w:cs="Arial"/>
          <w:sz w:val="22"/>
          <w:szCs w:val="22"/>
        </w:rPr>
        <w:t>_____________________________________________</w:t>
      </w:r>
    </w:p>
    <w:p>
      <w:pPr>
        <w:pStyle w:val="Normal"/>
        <w:spacing w:before="40" w:after="40"/>
        <w:rPr/>
      </w:pPr>
      <w:r>
        <w:rPr>
          <w:rFonts w:eastAsia="Arial" w:cs="Arial"/>
          <w:b/>
          <w:bCs/>
          <w:sz w:val="22"/>
          <w:szCs w:val="22"/>
        </w:rPr>
        <w:t xml:space="preserve">Date of Placement:: </w:t>
      </w:r>
      <w:r>
        <w:rPr>
          <w:rFonts w:eastAsia="Arial" w:cs="Arial"/>
          <w:sz w:val="22"/>
          <w:szCs w:val="22"/>
        </w:rPr>
        <w:t>_____________________________________________</w:t>
      </w:r>
    </w:p>
    <w:p>
      <w:pPr>
        <w:pStyle w:val="Normal"/>
        <w:spacing w:before="40" w:after="40"/>
        <w:rPr/>
      </w:pPr>
      <w:r>
        <w:rPr>
          <w:rFonts w:eastAsia="Arial" w:cs="Arial"/>
          <w:b/>
          <w:bCs/>
          <w:sz w:val="22"/>
          <w:szCs w:val="22"/>
        </w:rPr>
        <w:t xml:space="preserve">Host Home Provider:: </w:t>
      </w:r>
      <w:r>
        <w:rPr>
          <w:rFonts w:eastAsia="Arial" w:cs="Arial"/>
          <w:sz w:val="22"/>
          <w:szCs w:val="22"/>
        </w:rPr>
        <w:t>[Host Home Provider Name]</w:t>
      </w:r>
    </w:p>
    <w:p>
      <w:pPr>
        <w:pStyle w:val="Normal"/>
        <w:spacing w:before="40" w:after="40"/>
        <w:rPr/>
      </w:pPr>
      <w:r>
        <w:rPr>
          <w:rFonts w:eastAsia="Arial" w:cs="Arial"/>
          <w:b/>
          <w:bCs/>
          <w:sz w:val="22"/>
          <w:szCs w:val="22"/>
        </w:rPr>
        <w:t xml:space="preserve">CRA Provider Agency:: </w:t>
      </w:r>
      <w:r>
        <w:rPr>
          <w:rFonts w:eastAsia="Arial" w:cs="Arial"/>
          <w:sz w:val="22"/>
          <w:szCs w:val="22"/>
        </w:rPr>
        <w:t>[CRA Provider Agency Name]</w:t>
      </w:r>
    </w:p>
    <w:p>
      <w:pPr>
        <w:pStyle w:val="Normal"/>
        <w:spacing w:before="0" w:after="80"/>
        <w:rPr/>
      </w:pPr>
      <w:r>
        <w:rPr/>
      </w:r>
    </w:p>
    <w:p>
      <w:pPr>
        <w:pStyle w:val="Normal"/>
        <w:spacing w:before="100" w:after="60"/>
        <w:rPr/>
      </w:pPr>
      <w:r>
        <w:rPr>
          <w:rFonts w:eastAsia="Arial" w:cs="Arial"/>
          <w:b/>
          <w:bCs/>
          <w:color w:val="1F3864"/>
          <w:sz w:val="24"/>
          <w:szCs w:val="24"/>
        </w:rPr>
        <w:t>ACKNOWLEDGMENT</w:t>
      </w:r>
    </w:p>
    <w:p>
      <w:pPr>
        <w:pStyle w:val="Normal"/>
        <w:spacing w:before="40" w:after="60"/>
        <w:rPr/>
      </w:pPr>
      <w:r>
        <w:rPr>
          <w:rFonts w:eastAsia="Arial" w:cs="Arial"/>
          <w:sz w:val="22"/>
          <w:szCs w:val="22"/>
        </w:rPr>
        <w:t>I acknowledge that I have received a copy of the Individual Rights policy (Policy 1.00) and that the following rights were reviewed with me in a manner I understand:</w:t>
      </w:r>
    </w:p>
    <w:p>
      <w:pPr>
        <w:pStyle w:val="Normal"/>
        <w:spacing w:before="0" w:after="60"/>
        <w:rPr/>
      </w:pPr>
      <w:r>
        <w:rPr/>
      </w:r>
    </w:p>
    <w:p>
      <w:pPr>
        <w:pStyle w:val="ListParagraph"/>
        <w:numPr>
          <w:ilvl w:val="0"/>
          <w:numId w:val="1"/>
        </w:numPr>
        <w:spacing w:before="30" w:after="30"/>
        <w:rPr/>
      </w:pPr>
      <w:r>
        <w:rPr>
          <w:rFonts w:eastAsia="Arial" w:cs="Arial"/>
          <w:sz w:val="22"/>
          <w:szCs w:val="22"/>
        </w:rPr>
        <w:t>My right to be treated with dignity and respect at all times</w:t>
      </w:r>
    </w:p>
    <w:p>
      <w:pPr>
        <w:pStyle w:val="ListParagraph"/>
        <w:numPr>
          <w:ilvl w:val="0"/>
          <w:numId w:val="1"/>
        </w:numPr>
        <w:spacing w:before="30" w:after="30"/>
        <w:rPr/>
      </w:pPr>
      <w:r>
        <w:rPr>
          <w:rFonts w:eastAsia="Arial" w:cs="Arial"/>
          <w:sz w:val="22"/>
          <w:szCs w:val="22"/>
        </w:rPr>
        <w:t>My right to privacy in my living space and personal care</w:t>
      </w:r>
    </w:p>
    <w:p>
      <w:pPr>
        <w:pStyle w:val="ListParagraph"/>
        <w:numPr>
          <w:ilvl w:val="0"/>
          <w:numId w:val="1"/>
        </w:numPr>
        <w:spacing w:before="30" w:after="30"/>
        <w:rPr/>
      </w:pPr>
      <w:r>
        <w:rPr>
          <w:rFonts w:eastAsia="Arial" w:cs="Arial"/>
          <w:sz w:val="22"/>
          <w:szCs w:val="22"/>
        </w:rPr>
        <w:t>My right to have a key to the home and access it at any time</w:t>
      </w:r>
    </w:p>
    <w:p>
      <w:pPr>
        <w:pStyle w:val="ListParagraph"/>
        <w:numPr>
          <w:ilvl w:val="0"/>
          <w:numId w:val="1"/>
        </w:numPr>
        <w:spacing w:before="30" w:after="30"/>
        <w:rPr/>
      </w:pPr>
      <w:r>
        <w:rPr>
          <w:rFonts w:eastAsia="Arial" w:cs="Arial"/>
          <w:sz w:val="22"/>
          <w:szCs w:val="22"/>
        </w:rPr>
        <w:t>My right to access food at any time and choose my daily schedule</w:t>
      </w:r>
    </w:p>
    <w:p>
      <w:pPr>
        <w:pStyle w:val="ListParagraph"/>
        <w:numPr>
          <w:ilvl w:val="0"/>
          <w:numId w:val="1"/>
        </w:numPr>
        <w:spacing w:before="30" w:after="30"/>
        <w:rPr/>
      </w:pPr>
      <w:r>
        <w:rPr>
          <w:rFonts w:eastAsia="Arial" w:cs="Arial"/>
          <w:sz w:val="22"/>
          <w:szCs w:val="22"/>
        </w:rPr>
        <w:t>My right to participate in my own ISP</w:t>
      </w:r>
    </w:p>
    <w:p>
      <w:pPr>
        <w:pStyle w:val="ListParagraph"/>
        <w:numPr>
          <w:ilvl w:val="0"/>
          <w:numId w:val="1"/>
        </w:numPr>
        <w:spacing w:before="30" w:after="30"/>
        <w:rPr/>
      </w:pPr>
      <w:r>
        <w:rPr>
          <w:rFonts w:eastAsia="Arial" w:cs="Arial"/>
          <w:sz w:val="22"/>
          <w:szCs w:val="22"/>
        </w:rPr>
        <w:t>My right to accept or refuse services</w:t>
      </w:r>
    </w:p>
    <w:p>
      <w:pPr>
        <w:pStyle w:val="ListParagraph"/>
        <w:numPr>
          <w:ilvl w:val="0"/>
          <w:numId w:val="1"/>
        </w:numPr>
        <w:spacing w:before="30" w:after="30"/>
        <w:rPr/>
      </w:pPr>
      <w:r>
        <w:rPr>
          <w:rFonts w:eastAsia="Arial" w:cs="Arial"/>
          <w:sz w:val="22"/>
          <w:szCs w:val="22"/>
        </w:rPr>
        <w:t>My right to file a grievance or complaint without fear of retaliation</w:t>
      </w:r>
    </w:p>
    <w:p>
      <w:pPr>
        <w:pStyle w:val="ListParagraph"/>
        <w:numPr>
          <w:ilvl w:val="0"/>
          <w:numId w:val="1"/>
        </w:numPr>
        <w:spacing w:before="30" w:after="30"/>
        <w:rPr/>
      </w:pPr>
      <w:r>
        <w:rPr>
          <w:rFonts w:eastAsia="Arial" w:cs="Arial"/>
          <w:sz w:val="22"/>
          <w:szCs w:val="22"/>
        </w:rPr>
        <w:t>My right to contact DBHDD, APS (1-800-878-6442), the Georgia Collaborative ASO, or Disability Rights Georgia</w:t>
      </w:r>
    </w:p>
    <w:p>
      <w:pPr>
        <w:pStyle w:val="ListParagraph"/>
        <w:numPr>
          <w:ilvl w:val="0"/>
          <w:numId w:val="1"/>
        </w:numPr>
        <w:spacing w:before="30" w:after="30"/>
        <w:rPr/>
      </w:pPr>
      <w:r>
        <w:rPr>
          <w:rFonts w:eastAsia="Arial" w:cs="Arial"/>
          <w:sz w:val="22"/>
          <w:szCs w:val="22"/>
        </w:rPr>
        <w:t>The process by which a right may only be modified with my informed consent through the formal rights modification process</w:t>
      </w:r>
    </w:p>
    <w:p>
      <w:pPr>
        <w:pStyle w:val="Normal"/>
        <w:spacing w:before="0" w:after="100"/>
        <w:rPr/>
      </w:pPr>
      <w:r>
        <w:rPr/>
      </w:r>
    </w:p>
    <w:p>
      <w:pPr>
        <w:pStyle w:val="Normal"/>
        <w:spacing w:before="80" w:after="60"/>
        <w:rPr/>
      </w:pPr>
      <w:r>
        <w:rPr>
          <w:rFonts w:eastAsia="Arial" w:cs="Arial"/>
          <w:sz w:val="20"/>
          <w:szCs w:val="20"/>
        </w:rPr>
        <w:t>Individual Signature: ___________________________________________  Date: ________________</w:t>
      </w:r>
    </w:p>
    <w:p>
      <w:pPr>
        <w:pStyle w:val="Normal"/>
        <w:spacing w:before="40" w:after="60"/>
        <w:rPr/>
      </w:pPr>
      <w:r>
        <w:rPr>
          <w:rFonts w:eastAsia="Arial" w:cs="Arial"/>
          <w:sz w:val="20"/>
          <w:szCs w:val="20"/>
        </w:rPr>
        <w:t>Legal Representative (if applicable): _________________________  Date: ________________</w:t>
      </w:r>
    </w:p>
    <w:p>
      <w:pPr>
        <w:pStyle w:val="Normal"/>
        <w:spacing w:before="40" w:after="60"/>
        <w:rPr/>
      </w:pPr>
      <w:r>
        <w:rPr>
          <w:rFonts w:eastAsia="Arial" w:cs="Arial"/>
          <w:sz w:val="20"/>
          <w:szCs w:val="20"/>
        </w:rPr>
        <w:t>Host Home Provider / Witness: _________________________________  Date: ________________</w:t>
      </w:r>
    </w:p>
    <w:p>
      <w:pPr>
        <w:pStyle w:val="Normal"/>
        <w:spacing w:before="40" w:after="60"/>
        <w:rPr/>
      </w:pPr>
      <w:r>
        <w:rPr>
          <w:rFonts w:eastAsia="Arial" w:cs="Arial"/>
          <w:sz w:val="20"/>
          <w:szCs w:val="20"/>
        </w:rPr>
        <w:t>Print Name / Title: _____________________________________________</w:t>
      </w:r>
    </w:p>
    <w:p>
      <w:pPr>
        <w:pStyle w:val="Normal"/>
        <w:spacing w:before="0" w:after="200"/>
        <w:rPr/>
      </w:pPr>
      <w:r>
        <w:rPr/>
      </w:r>
    </w:p>
    <w:p>
      <w:pPr>
        <w:pStyle w:val="Normal"/>
        <w:spacing w:before="200" w:after="0"/>
        <w:jc w:val="center"/>
        <w:rPr/>
      </w:pPr>
      <w:r>
        <w:rPr>
          <w:rFonts w:eastAsia="Arial" w:cs="Arial"/>
          <w:b/>
          <w:bCs/>
          <w:color w:val="888888"/>
          <w:sz w:val="22"/>
          <w:szCs w:val="22"/>
        </w:rPr>
        <w:t xml:space="preserve">— </w:t>
      </w:r>
      <w:r>
        <w:rPr>
          <w:rFonts w:eastAsia="Arial" w:cs="Arial"/>
          <w:b/>
          <w:bCs/>
          <w:color w:val="888888"/>
          <w:sz w:val="22"/>
          <w:szCs w:val="22"/>
        </w:rPr>
        <w:t>END OF DOCUMENT —</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08" w:top="1080" w:footer="708"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5DA8"/>
      </w:pBdr>
      <w:spacing w:before="80" w:after="0"/>
      <w:rPr/>
    </w:pPr>
    <w:r>
      <w:rPr>
        <w:rFonts w:eastAsia="Arial" w:cs="Arial"/>
        <w:color w:val="888888"/>
        <w:sz w:val="16"/>
        <w:szCs w:val="16"/>
      </w:rPr>
      <w:t xml:space="preserve">Confidential — For Internal &amp; Regulatory Use Only    |    Page </w:t>
    </w:r>
    <w:r>
      <w:rPr/>
      <w:fldChar w:fldCharType="begin"/>
    </w:r>
    <w:r>
      <w:rPr/>
      <w:instrText xml:space="preserve"> PAGE </w:instrText>
    </w:r>
    <w:r>
      <w:rPr/>
      <w:fldChar w:fldCharType="separate"/>
    </w:r>
    <w:r>
      <w:rPr/>
      <w:t>68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2E5DA8"/>
      </w:pBdr>
      <w:spacing w:before="80" w:after="0"/>
      <w:rPr/>
    </w:pPr>
    <w:r>
      <w:rPr>
        <w:rFonts w:eastAsia="Arial" w:cs="Arial"/>
        <w:color w:val="888888"/>
        <w:sz w:val="16"/>
        <w:szCs w:val="16"/>
      </w:rPr>
      <w:t xml:space="preserve">Confidential — For Internal &amp; Regulatory Use Only    |    Page </w:t>
    </w:r>
    <w:r>
      <w:rPr/>
      <w:fldChar w:fldCharType="begin"/>
    </w:r>
    <w:r>
      <w:rPr/>
      <w:instrText xml:space="preserve"> PAGE </w:instrText>
    </w:r>
    <w:r>
      <w:rPr/>
      <w:fldChar w:fldCharType="separate"/>
    </w:r>
    <w:r>
      <w:rPr/>
      <w:t>68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5DA8"/>
      </w:pBdr>
      <w:spacing w:before="0" w:after="100"/>
      <w:rPr/>
    </w:pPr>
    <w:r>
      <w:rPr>
        <w:rFonts w:eastAsia="Arial" w:cs="Arial"/>
        <w:color w:val="888888"/>
        <w:sz w:val="16"/>
        <w:szCs w:val="16"/>
      </w:rPr>
      <w:t>[HOST HOME PROVIDER / ORG]  |  Georgia DBHDD Host Home/Life-Sharing P&amp;P Manual — Individual Host Home Provider Edition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5DA8"/>
      </w:pBdr>
      <w:spacing w:before="0" w:after="100"/>
      <w:rPr/>
    </w:pPr>
    <w:r>
      <w:rPr>
        <w:rFonts w:eastAsia="Arial" w:cs="Arial"/>
        <w:color w:val="888888"/>
        <w:sz w:val="16"/>
        <w:szCs w:val="16"/>
      </w:rPr>
      <w:t>[HOST HOME PROVIDER / ORG]  |  Georgia DBHDD Host Home/Life-Sharing P&amp;P Manual — Individual Host Home Provider Edition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200" w:after="120"/>
      <w:outlineLvl w:val="0"/>
    </w:pPr>
    <w:rPr>
      <w:rFonts w:ascii="Arial" w:hAnsi="Arial" w:eastAsia="Arial" w:cs="Arial"/>
      <w:b/>
      <w:bCs/>
      <w:sz w:val="28"/>
      <w:szCs w:val="28"/>
    </w:rPr>
  </w:style>
  <w:style w:type="paragraph" w:styleId="Heading2">
    <w:name w:val="Heading 2"/>
    <w:basedOn w:val="Heading"/>
    <w:qFormat/>
    <w:pPr>
      <w:spacing w:before="180" w:after="80"/>
      <w:outlineLvl w:val="1"/>
    </w:pPr>
    <w:rPr>
      <w:rFonts w:ascii="Arial" w:hAnsi="Arial" w:eastAsia="Arial" w:cs="Arial"/>
      <w:b/>
      <w:bCs/>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2026-06-29T20:28:15Z</dcterms:created>
  <dc:creator>Un-named</dc:creator>
  <dc:description/>
  <dc:language>en-US</dc:language>
  <cp:lastModifiedBy>Un-named</cp:lastModifiedBy>
  <dcterms:modified xsi:type="dcterms:W3CDTF">2026-06-29T20:28:15Z</dcterms:modified>
  <cp:revision>1</cp:revision>
  <dc:subject/>
  <dc:title/>
</cp:coreProperties>
</file>