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Home Care Organization (Personal Care) — Virginia</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built to 12VAC5-381, the VDH Home Care Organization license (personal care)</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VDH Office of Licensure and Certification (OLC). This is a NON-MEDICAL licensed home care services agency — caregivers provide personal care, homemaker, and companion services and supervise self-administered medication; no one administers medications or performs any skilled nursing task.</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Care Organization License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HCO license #:</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Effective / expires: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counties):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Licensed as a Home Care Organization under 12VAC5-381 and Code of Virginia § 32.1-162.7 et seq.; licensed by the VDH Office of Licensure and Certification (OLC). Non-medical personal care scope (Part V); skilled services are separately authorized (12VAC5-381-300). Virginia does not require a Certificate of Public Need for home care personal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 (12VAC5-381)</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12VAC5-381 requirement and the agency policy that satisfies it; Virginia reviewers verify that policies reference 12VAC5-381 specifically.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12VAC5-381 section</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alternate: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caregivers.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Qualification &amp; Alternate Designation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 ≥ 21 confirmed:</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HS diploma / GED: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 xml:space="preserve">≥ </w:t>
      </w:r>
      <w:r>
        <w:rPr>
          <w:rFonts w:eastAsia="Calibri" w:cs="Calibri"/>
          <w:b/>
          <w:bCs/>
          <w:i w:val="false"/>
          <w:iCs w:val="false"/>
          <w:color w:val="3E5871"/>
          <w:sz w:val="19"/>
          <w:szCs w:val="19"/>
        </w:rPr>
        <w:t>1 year supervisory/administrative experience in home care or related field (describe):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The Administrator must be ≥ 21, hold a HS diploma/GED, and have ≥ 1 year of supervisory/administrative experience in home care or a related field, and is in charge of all agency functions.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Description of Services, Client Population &amp; Service Area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companion / supervising self-administered medication):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Client population served: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Geographic service area: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services, client population, and service area; non-medical scope only under § 44-70-20.</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Virginia SCC entity ID:</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General &amp; professional liability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Surety / fidelity bond (or third-party crime insurance) carrier / policy #:</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with the Virginia State Corporation Commission; obtain an EIN; carry general and professional liability insurance, a surety or fidelity bond protecting clients against employee theft or fraud, and workers’ compensation coverage.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Physical Business Address &amp; Records Location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Physical business street address (not a PO box):</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 maintained at (location):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Available for DPH survey? (Y/N):</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Relocation notice to DPH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physical business address (not a PO box) where records are kept and available for DPH survey; notify DPH of any relocation.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Financial-Interest Disclosure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Entity client referred to:</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Agency financial interest? (Y/N):</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Disclosure given to client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Disclose to the client any financial interest the agency holds in an entity to which it refers the client; make referrals in the client’s best interest.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Licensure Application Checklist &amp; Renewal Tracker</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8"/>
        <w:gridCol w:w="4562"/>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(Virginia State Corporation Commission)</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obtained; business bank account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to 12VAC5-381</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Registered nurse designated for personal care supervision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Administrator qualifications documented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General &amp; professional liability insurance; surety/fidelity bond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Reserve operating funds (3-month) documented</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Application &amp; fee submitted through the OLC Portal (≥ 60 days before opening)</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OLC survey passed</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Renewal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Submit a complete application and fee through the OLC Portal at least 60 days before opening, with proof of 3-month reserve operating funds; the OLC provides prelicensure consultation and conducts a survey; the license is triennial ($1,500 fee) — renew every three years.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CLIENT RIGHTS, INTAKE &amp; SERVICE AGREEMENT</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Statement of Client Rights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client, before or at the start of services, a statement of rights: to be treated with consideration, respect, and dignity; to be free from abuse, neglect, and exploitation; to accept or refuse care; to be informed of services and charges; to confidentiality; and to voice grievances without reprisal.</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and how to file a grievance with the agency and the Department.</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Service Agreement &amp; Schedule of Charges</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Services, frequency &amp; schedule: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3200"/>
        <w:gridCol w:w="1360"/>
        <w:gridCol w:w="239"/>
        <w:gridCol w:w="201"/>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Charge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gridSpan w:val="3"/>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gridSpan w:val="3"/>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Client / representative signature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Agency signature date:</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Enter a written service agreement disclosing services and charges before services begin; give the client a copy; bill only for services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Assessment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Needs &amp; preferences: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Home environment / safety review:</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Can needs be met within non-medical scope? (Y/N — if no, refer):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Assess each client’s needs, preferences, and home before or at the start of services; refer clients needing skilled/medical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(Care)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Non-medical services &amp; tasks to provide: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Developed with client/representative: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of non-medical tasks; caregivers follow it and do not add/drop tasks; review on change of condition and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Acceptance / 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Accepted (date):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Terminated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Reason for termination (per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Advance notice given &amp; referral/transition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Accept only within scope/capacity; terminate only for defined reasons with reasonable notice and transition help; never abandon or retaliate.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Complaint / 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Accept and resolve grievances free of reprisal; inform the client of the outcome; provide DPH contact information.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client information under applicable confidentiality law and, where applicable, HIPAA. Identifiable photographs or recordings are used only with written, signed consent. No client information is posted on social media.</w:t>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Signature of client/representative: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 and HIPAA; obtain written signed consent before any identifiable photograph or recording.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Funds Handling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handle funds for shopping/errands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3"/>
        <w:gridCol w:w="3594"/>
        <w:gridCol w:w="1796"/>
        <w:gridCol w:w="2386"/>
      </w:tblGrid>
      <w:tr>
        <w:trPr>
          <w:tblHeader w:val="true"/>
        </w:trPr>
        <w:tc>
          <w:tcPr>
            <w:tcW w:w="1583"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change returned</w:t>
            </w:r>
          </w:p>
        </w:tc>
      </w:tr>
      <w:tr>
        <w:trPr/>
        <w:tc>
          <w:tcPr>
            <w:tcW w:w="1583" w:type="dxa"/>
            <w:tcBorders>
              <w:start w:val="single" w:sz="18" w:space="0" w:color="9DB1C7"/>
            </w:tcBorders>
            <w:tcMar>
              <w:top w:w="135" w:type="dxa"/>
              <w:bottom w:w="135" w:type="dxa"/>
            </w:tcMar>
          </w:tcPr>
          <w:p>
            <w:pPr>
              <w:pStyle w:val="Normal"/>
              <w:spacing w:lineRule="exact" w:line="264" w:before="0" w:after="0"/>
              <w:rPr/>
            </w:pPr>
            <w:r>
              <w:rPr/>
            </w:r>
          </w:p>
        </w:tc>
        <w:tc>
          <w:tcPr>
            <w:tcW w:w="3594"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6" w:type="dxa"/>
            <w:tcBorders/>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4"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6" w:type="dxa"/>
            <w:tcBorders/>
            <w:shd w:color="auto" w:fill="F5F8FB" w:val="clear"/>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tcMar>
              <w:top w:w="135" w:type="dxa"/>
              <w:bottom w:w="135" w:type="dxa"/>
            </w:tcMar>
          </w:tcPr>
          <w:p>
            <w:pPr>
              <w:pStyle w:val="Normal"/>
              <w:spacing w:lineRule="exact" w:line="264" w:before="0" w:after="0"/>
              <w:rPr/>
            </w:pPr>
            <w:r>
              <w:rPr/>
            </w:r>
          </w:p>
        </w:tc>
        <w:tc>
          <w:tcPr>
            <w:tcW w:w="3594"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6" w:type="dxa"/>
            <w:tcBorders/>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4"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6" w:type="dxa"/>
            <w:tcBorders/>
            <w:shd w:color="auto" w:fill="F5F8FB" w:val="clear"/>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tcMar>
              <w:top w:w="135" w:type="dxa"/>
              <w:bottom w:w="135" w:type="dxa"/>
            </w:tcMar>
          </w:tcPr>
          <w:p>
            <w:pPr>
              <w:pStyle w:val="Normal"/>
              <w:spacing w:lineRule="exact" w:line="264" w:before="0" w:after="0"/>
              <w:rPr/>
            </w:pPr>
            <w:r>
              <w:rPr/>
            </w:r>
          </w:p>
        </w:tc>
        <w:tc>
          <w:tcPr>
            <w:tcW w:w="3594"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6" w:type="dxa"/>
            <w:tcBorders/>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4"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6" w:type="dxa"/>
            <w:tcBorders/>
            <w:shd w:color="auto" w:fill="F5F8FB" w:val="clear"/>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tcMar>
              <w:top w:w="135" w:type="dxa"/>
              <w:bottom w:w="135" w:type="dxa"/>
            </w:tcMar>
          </w:tcPr>
          <w:p>
            <w:pPr>
              <w:pStyle w:val="Normal"/>
              <w:spacing w:lineRule="exact" w:line="264" w:before="0" w:after="0"/>
              <w:rPr/>
            </w:pPr>
            <w:r>
              <w:rPr/>
            </w:r>
          </w:p>
        </w:tc>
        <w:tc>
          <w:tcPr>
            <w:tcW w:w="3594"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6" w:type="dxa"/>
            <w:tcBorders/>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4"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6" w:type="dxa"/>
            <w:tcBorders/>
            <w:shd w:color="auto" w:fill="F5F8FB" w:val="clear"/>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tcMar>
              <w:top w:w="135" w:type="dxa"/>
              <w:bottom w:w="135" w:type="dxa"/>
            </w:tcMar>
          </w:tcPr>
          <w:p>
            <w:pPr>
              <w:pStyle w:val="Normal"/>
              <w:spacing w:lineRule="exact" w:line="264" w:before="0" w:after="0"/>
              <w:rPr/>
            </w:pPr>
            <w:r>
              <w:rPr/>
            </w:r>
          </w:p>
        </w:tc>
        <w:tc>
          <w:tcPr>
            <w:tcW w:w="3594"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6" w:type="dxa"/>
            <w:tcBorders/>
            <w:tcMar>
              <w:top w:w="135" w:type="dxa"/>
              <w:bottom w:w="135" w:type="dxa"/>
            </w:tcMar>
          </w:tcPr>
          <w:p>
            <w:pPr>
              <w:pStyle w:val="Normal"/>
              <w:spacing w:lineRule="exact" w:line="264" w:before="0" w:after="0"/>
              <w:rPr/>
            </w:pPr>
            <w:r>
              <w:rPr/>
            </w:r>
          </w:p>
        </w:tc>
      </w:tr>
      <w:tr>
        <w:trPr/>
        <w:tc>
          <w:tcPr>
            <w:tcW w:w="1583"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4"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client money only within the service plan — keep receipts, return exact change, record each transaction, never commingle; no gifts, tips, loans, or bequests.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VA State Police criminal record report &amp; sworn disclosure (no barrier crime)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&amp; federal exclusion screening (and monthly re-screen)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&amp; RN-verified competency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 xml:space="preserve">≥ </w:t>
            </w:r>
            <w:r>
              <w:rPr>
                <w:rFonts w:eastAsia="Calibri" w:cs="Calibri"/>
                <w:b w:val="false"/>
                <w:bCs w:val="false"/>
                <w:i w:val="false"/>
                <w:iCs w:val="false"/>
                <w:color w:val="1A1A1A"/>
                <w:sz w:val="19"/>
                <w:szCs w:val="19"/>
              </w:rPr>
              <w:t>12 hours/year agency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assessment &amp; TB screening</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insurance &amp; driving record (if transporting)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In-service education record</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the criminal record report and sworn disclosure, exclusion screening, orientation and RN-verified competency, health/TB screening, driver checks, and in-service education (≥ 12 hours/year) before client assignment.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Criminal Record Report &amp; Sworn Disclosure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Report requested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VA State Police criminal record report obtained within 30 days of employment</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Report not dated more than 90 days before employment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Sworn disclosure statement of convictions &amp; pending charges on file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barrier crime (§ 32.1-162.9:1)</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Direct-supervision rule followed while original report pending</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(clear / barrier crime):</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Original report received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Obtain a criminal record report from the Virginia Department of State Police within 30 days of employment (not dated more than 90 days before hire) and a sworn disclosure statement; ensure no barrier crime under § 32.1-162.9:1. No employee has direct client contact until the original report is received, unless under direct supervision of a background-checked employee. A new report and sworn statement are required when moving between home care organizations.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&amp; Federal Exclusion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contractor / vendor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8"/>
        <w:gridCol w:w="4562"/>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Federal OIG List of Excluded Individuals/Entities (LEIE)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System for Award Management (SAM) exclusions</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Virginia Medicaid exclusion list</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Screened (date):</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 (clear / excluded):</w:t>
            </w:r>
          </w:p>
          <w:p>
            <w:pPr>
              <w:pStyle w:val="Normal"/>
              <w:pBdr>
                <w:bottom w:val="single" w:sz="6" w:space="7" w:color="AEBECF"/>
              </w:pBdr>
              <w:spacing w:lineRule="exact" w:line="300" w:before="0" w:after="1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Monthly re-screen (date):</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Result:</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Screen every employee, contractor, and vendor against the OIG-LEIE, SAM, and the Virginia Medicaid exclusion list before hire/engagement and monthly thereafter; do not employ, contract with, or pay any excluded person for program-reimbursed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Sworn Disclosure Statement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Applicant / 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Statement signed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Signed sworn disclosure of criminal convictions &amp; pending charges (Virginia and any other state)</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Reviewed against the criminal record report</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No barrier crime disclosed or found (§ 32.1-162.9:1)</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bl>
    <w:p>
      <w:pPr>
        <w:pStyle w:val="Normal"/>
        <w:spacing w:lineRule="exact" w:line="264" w:before="60" w:after="14"/>
        <w:rPr/>
      </w:pPr>
      <w:r>
        <w:rPr>
          <w:rFonts w:eastAsia="Calibri" w:cs="Calibri"/>
          <w:b/>
          <w:bCs/>
          <w:i w:val="false"/>
          <w:iCs w:val="false"/>
          <w:color w:val="3E5871"/>
          <w:sz w:val="19"/>
          <w:szCs w:val="19"/>
        </w:rPr>
        <w:t>Discrepancies /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Obtain a signed sworn disclosure statement from every applicant for compensated employment disclosing criminal convictions and pending charges in Virginia or any other state; review it against the Virginia State Police criminal record report and apply the barrier-crimes bar.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Attendant Training &amp; Competency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Home attendant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Orientation completed (date):</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Annual in-service hours (≥ 12):</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 completed before client contact</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verified by the registered nurse</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 xml:space="preserve">≥ </w:t>
            </w:r>
            <w:r>
              <w:rPr>
                <w:rFonts w:eastAsia="Calibri" w:cs="Calibri"/>
                <w:b w:val="false"/>
                <w:bCs w:val="false"/>
                <w:i w:val="false"/>
                <w:iCs w:val="false"/>
                <w:color w:val="1A1A1A"/>
                <w:sz w:val="19"/>
                <w:szCs w:val="19"/>
              </w:rPr>
              <w:t>12 documented hours of agency training this year</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Competent for assigned plan-of-services tasks</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evaluated (date):</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Evaluated by (RN):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client contact, complete orientation and have the registered nurse verify competency; personal care aides at a VDH-licensed agency must receive at least 12 documented hours of agency-provided training each year (12VAC5-381; 12VAC30-120-930). Assign attendants only to tasks within their training and demonstrated competency, under RN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Health Assessment &amp; TB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Aide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assessment (date):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Able to perform duties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TB screening (date):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Result / follow-up:</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Clearance for client contact: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Confirm a pre-assignment health assessment and tuberculosis screening consistent with VDH guidance before an aide serves a client; keep an aide with an endangering communicable condition off assignment until cleared; keep health information confidential.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Qualification &amp; Driving-Record Verification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Transportation part of duties? (Y/N):</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Valid driver’s license # / expires:</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Proof of insurance / expires:</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Driving record verified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Where transportation is a duty, require a valid driver’s license and proof of insurance and verify the official highway-department driving record; keep the license valid while transporting; re-verify on schedule.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 prevention, detection &amp; reporting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ADLs &amp; personal care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Infection control / universal precautions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safety, emergency &amp; disaster procedures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Supervising self-administered medication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Condition-specific care (dementia, cognitive)</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home attendant before client contact and have the registered nurse verify competency; cover the 12VAC5-381 training areas for personal care.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Caregiver Competency Evaluation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Tasks/competencies demonstrated: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Each caregiver demonstrates competency in assigned tasks before serving clients independently; document the evaluation.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Training Curriculum &amp; Continuing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Caregiver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02"/>
        <w:gridCol w:w="3633"/>
        <w:gridCol w:w="2564"/>
        <w:gridCol w:w="1560"/>
      </w:tblGrid>
      <w:tr>
        <w:trPr>
          <w:tblHeader w:val="true"/>
        </w:trPr>
        <w:tc>
          <w:tcPr>
            <w:tcW w:w="1602"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6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25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Method (in-person / computer-based)</w:t>
            </w:r>
          </w:p>
        </w:tc>
        <w:tc>
          <w:tcPr>
            <w:tcW w:w="15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tcMar>
              <w:top w:w="135" w:type="dxa"/>
              <w:bottom w:w="135" w:type="dxa"/>
            </w:tcMar>
          </w:tcPr>
          <w:p>
            <w:pPr>
              <w:pStyle w:val="Normal"/>
              <w:spacing w:lineRule="exact" w:line="264" w:before="0" w:after="0"/>
              <w:rPr/>
            </w:pPr>
            <w:r>
              <w:rPr/>
            </w:r>
          </w:p>
        </w:tc>
        <w:tc>
          <w:tcPr>
            <w:tcW w:w="3633" w:type="dxa"/>
            <w:tcBorders/>
            <w:tcMar>
              <w:top w:w="135" w:type="dxa"/>
              <w:bottom w:w="135" w:type="dxa"/>
            </w:tcMar>
          </w:tcPr>
          <w:p>
            <w:pPr>
              <w:pStyle w:val="Normal"/>
              <w:spacing w:lineRule="exact" w:line="264" w:before="0" w:after="0"/>
              <w:rPr/>
            </w:pPr>
            <w:r>
              <w:rPr/>
            </w:r>
          </w:p>
        </w:tc>
        <w:tc>
          <w:tcPr>
            <w:tcW w:w="2564" w:type="dxa"/>
            <w:tcBorders/>
            <w:tcMar>
              <w:top w:w="135" w:type="dxa"/>
              <w:bottom w:w="135" w:type="dxa"/>
            </w:tcMar>
          </w:tcPr>
          <w:p>
            <w:pPr>
              <w:pStyle w:val="Normal"/>
              <w:spacing w:lineRule="exact" w:line="264" w:before="0" w:after="0"/>
              <w:rPr/>
            </w:pPr>
            <w:r>
              <w:rPr/>
            </w:r>
          </w:p>
        </w:tc>
        <w:tc>
          <w:tcPr>
            <w:tcW w:w="1560" w:type="dxa"/>
            <w:tcBorders/>
            <w:tcMar>
              <w:top w:w="135" w:type="dxa"/>
              <w:bottom w:w="135" w:type="dxa"/>
            </w:tcMar>
          </w:tcPr>
          <w:p>
            <w:pPr>
              <w:pStyle w:val="Normal"/>
              <w:spacing w:lineRule="exact" w:line="264" w:before="0" w:after="0"/>
              <w:rPr/>
            </w:pPr>
            <w:r>
              <w:rPr/>
            </w:r>
          </w:p>
        </w:tc>
      </w:tr>
      <w:tr>
        <w:trPr/>
        <w:tc>
          <w:tcPr>
            <w:tcW w:w="1602"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633" w:type="dxa"/>
            <w:tcBorders/>
            <w:shd w:color="auto" w:fill="F5F8FB" w:val="clear"/>
            <w:tcMar>
              <w:top w:w="135" w:type="dxa"/>
              <w:bottom w:w="135" w:type="dxa"/>
            </w:tcMar>
          </w:tcPr>
          <w:p>
            <w:pPr>
              <w:pStyle w:val="Normal"/>
              <w:spacing w:lineRule="exact" w:line="264" w:before="0" w:after="0"/>
              <w:rPr/>
            </w:pPr>
            <w:r>
              <w:rPr/>
            </w:r>
          </w:p>
        </w:tc>
        <w:tc>
          <w:tcPr>
            <w:tcW w:w="2564" w:type="dxa"/>
            <w:tcBorders/>
            <w:shd w:color="auto" w:fill="F5F8FB" w:val="clear"/>
            <w:tcMar>
              <w:top w:w="135" w:type="dxa"/>
              <w:bottom w:w="135" w:type="dxa"/>
            </w:tcMar>
          </w:tcPr>
          <w:p>
            <w:pPr>
              <w:pStyle w:val="Normal"/>
              <w:spacing w:lineRule="exact" w:line="264" w:before="0" w:after="0"/>
              <w:rPr/>
            </w:pPr>
            <w:r>
              <w:rPr/>
            </w:r>
          </w:p>
        </w:tc>
        <w:tc>
          <w:tcPr>
            <w:tcW w:w="1560"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continuing training and client-specific training; document completion (trainer signature may be omitted for computer-based training).</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caregiver’s competency and the client’s service plan; do not assign tasks a caregiver is not trained and found competent to perform.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 (with EVV)</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EVV check-in / check-out: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scope; check in/out via EVV where required; sign and date; never record a visit or service not provided.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and report changes in the client’s condition to the supervisor promptly so the service plan can be adjusted.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 Contact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(plan followed, quality, rights honored, satisfaction):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qualified supervision of caregivers and service delivery on a schedule appropriate to client needs; document supervisory contacts and address deficiencies.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Supervision Tracker</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351"/>
        <w:gridCol w:w="2128"/>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supervisory contact</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 contacts so none is missed for any active client.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Supervision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Medications the client self-administers (list):</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Reminded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Brought container to client</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Read label with client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Opened container (client unable)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Observed client took medication</w:t>
            </w:r>
          </w:p>
        </w:tc>
        <w:tc>
          <w:tcPr>
            <w:tcW w:w="4679" w:type="dxa"/>
            <w:tcBorders/>
            <w:tcMar>
              <w:top w:w="0" w:type="dxa"/>
              <w:start w:w="108" w:type="dxa"/>
              <w:bottom w:w="0" w:type="dxa"/>
              <w:end w:w="108" w:type="dxa"/>
            </w:tcMar>
          </w:tcPr>
          <w:p>
            <w:pPr>
              <w:pStyle w:val="Normal"/>
              <w:spacing w:lineRule="exact" w:line="264" w:before="0" w:after="90"/>
              <w:rPr/>
            </w:pPr>
            <w:r>
              <w:rPr/>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Supervise self-administered medication only — no administration, dosing decisions, injections, or skilled tasks. Refer clients needing administration to a licensed provider.</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Transportation Authorization &amp; Incident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(license/insurance verified):</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Transport authorized in plan?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Incident during transport (if any) &amp; report: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Transport clients only with a valid license, insurance, and verified driving record; use seat belts and safe securement; report and document any incident.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APS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Virginia APS (1-888-832-3858 or local DSS) date/time: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Local department of social services (alternate route):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Administrator notified: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Cooperation with APS / OLC investigation: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 neglect, or exploitation of an adult age 60 or older, or an incapacitated adult, to Virginia Adult Protective Services (statewide 24-hour hotline 1-888-832-3858 or the local department of social services); call 911 first if the client is in immediate danger. Report on a reasonable, good-faith suspicion; treat financial exploitation as reportable abuse.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 (fall / injury / safety event):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client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Reported to DPH (if required,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document incidents affecting a client’s safety; notify client, responsible party, and DPH where required.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3"/>
              <w:gridCol w:w="194"/>
              <w:gridCol w:w="1556"/>
              <w:gridCol w:w="194"/>
              <w:gridCol w:w="1363"/>
            </w:tblGrid>
            <w:tr>
              <w:trPr/>
              <w:tc>
                <w:tcPr>
                  <w:tcW w:w="5793"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3"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incidents to identify causes and prevent recurrence; update the service plan or care approach as needed.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Infection Control &amp; Universal Precautions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Caregiver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Train caregivers in universal precautions and infection control; require hand hygiene, gloves/PPE, and safe handling of soiled materials in every home.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Caregiver / client involved:</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caregivers with communicable conditions from providing care until cleared.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reduce home hazards; reflect findings in the service plan and supervision.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Client Priority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&amp; disaster plan summary (hurricane, flooding, fire, medical emergency,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Client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an emergency and disaster plan addressing Virginia hazards (hurricanes and coastal storms, flooding, severe winter weather, extreme heat, power outages); identify at-risk clients and keep current emergency contacts; in an emergency call 911 first.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RECORDS, QUALITY &amp; COMPLIANCE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Assessment &amp; Performance Improvement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9"/>
        <w:gridCol w:w="1772"/>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9" w:type="dxa"/>
            <w:tcBorders/>
            <w:tcMar>
              <w:top w:w="135" w:type="dxa"/>
              <w:bottom w:w="135" w:type="dxa"/>
            </w:tcMar>
          </w:tcPr>
          <w:p>
            <w:pPr>
              <w:pStyle w:val="Normal"/>
              <w:spacing w:lineRule="exact" w:line="264" w:before="0" w:after="0"/>
              <w:rPr/>
            </w:pPr>
            <w:r>
              <w:rPr/>
            </w:r>
          </w:p>
        </w:tc>
        <w:tc>
          <w:tcPr>
            <w:tcW w:w="1772"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9" w:type="dxa"/>
            <w:tcBorders/>
            <w:shd w:color="auto" w:fill="F5F8FB" w:val="clear"/>
            <w:tcMar>
              <w:top w:w="135" w:type="dxa"/>
              <w:bottom w:w="135" w:type="dxa"/>
            </w:tcMar>
          </w:tcPr>
          <w:p>
            <w:pPr>
              <w:pStyle w:val="Normal"/>
              <w:spacing w:lineRule="exact" w:line="264" w:before="0" w:after="0"/>
              <w:rPr/>
            </w:pPr>
            <w:r>
              <w:rPr/>
            </w:r>
          </w:p>
        </w:tc>
        <w:tc>
          <w:tcPr>
            <w:tcW w:w="177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Monitor service delivery, satisfaction, complaints, incidents, and compliance with 12VAC5-381; identify trends and drive corrective and preventive action.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OLC Survey Readiness &amp; Plan of Correction</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screening, drug/TB, competency,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rights, agreement, assessment, service plan,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Supervision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Medicaid / 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bl>
    <w:p>
      <w:pPr>
        <w:pStyle w:val="Normal"/>
        <w:spacing w:lineRule="exact" w:line="264" w:before="60" w:after="14"/>
        <w:rPr/>
      </w:pPr>
      <w:r>
        <w:rPr>
          <w:rFonts w:eastAsia="Calibri" w:cs="Calibri"/>
          <w:b/>
          <w:bCs/>
          <w:i w:val="false"/>
          <w:iCs w:val="false"/>
          <w:color w:val="3E5871"/>
          <w:sz w:val="19"/>
          <w:szCs w:val="19"/>
        </w:rPr>
        <w:t>Deficiency cited / plan of correction / date corrected: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continuous survey readiness; cooperate with DPH surveys; submit a timely plan of correction and prevent repeat violations (recurrence under the same section within 36 months).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Record Content &amp; Retention Index</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Client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8"/>
        <w:gridCol w:w="4562"/>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Client service agreement</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Statement of rights acknowledgment</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Assessment &amp; service plan (with reviews)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Visit documentation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Change-in-condition &amp; incident reports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Communications</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Retention period:</w:t>
            </w:r>
          </w:p>
          <w:p>
            <w:pPr>
              <w:pStyle w:val="Normal"/>
              <w:pBdr>
                <w:bottom w:val="single" w:sz="6" w:space="7" w:color="AEBECF"/>
              </w:pBdr>
              <w:spacing w:lineRule="exact" w:line="300" w:before="0" w:after="10"/>
              <w:rPr/>
            </w:pPr>
            <w:r>
              <w:rPr/>
            </w:r>
          </w:p>
        </w:tc>
        <w:tc>
          <w:tcPr>
            <w:tcW w:w="238" w:type="dxa"/>
            <w:gridSpan w:val="2"/>
            <w:tcBorders/>
            <w:tcMar>
              <w:top w:w="0" w:type="dxa"/>
              <w:start w:w="108" w:type="dxa"/>
              <w:bottom w:w="0" w:type="dxa"/>
              <w:end w:w="108" w:type="dxa"/>
            </w:tcMar>
          </w:tcPr>
          <w:p>
            <w:pPr>
              <w:pStyle w:val="Normal"/>
              <w:spacing w:lineRule="exact" w:line="264" w:before="0" w:after="90"/>
              <w:rPr/>
            </w:pPr>
            <w:r>
              <w:rPr/>
            </w:r>
          </w:p>
        </w:tc>
        <w:tc>
          <w:tcPr>
            <w:tcW w:w="4562"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Secured &amp; confidential (Y/N):</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complete, confidential client record at the business address; retain for the period required by regulation and law; protect against loss and unauthorized access.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Medicaid Enrollment (DMAS / Cardinal Care)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DMAS provider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Program (Cardinal Care / CCC Plus waiver)</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with DMAS (Virginia Medicaid) through the Provider Portal and contract or coordinate with Cardinal Care managed care organizations before serving Medicaid clients; provide only authorized, delivered, EVV-verified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EVV (the agency’s chosen EVV system)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the agency’s chosen system (Provider Choice)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Client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Virginia is a Provider Choice state — the agency selects any DMAS-compliant EVV system (telephony, mobile app, or fixed device) capturing the six required data elements for Medicaid personal care, respite, and companion visits; keep documentation and billing consistent with EVV. Verify current requirements with DMAS.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Anti-Kickback Compliance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8"/>
        <w:gridCol w:w="4562"/>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8" w:type="dxa"/>
            <w:tcBorders/>
            <w:tcMar>
              <w:top w:w="0" w:type="dxa"/>
              <w:start w:w="108" w:type="dxa"/>
              <w:bottom w:w="0" w:type="dxa"/>
              <w:end w:w="108" w:type="dxa"/>
            </w:tcMar>
          </w:tcPr>
          <w:p>
            <w:pPr>
              <w:pStyle w:val="Normal"/>
              <w:spacing w:lineRule="exact" w:line="264" w:before="0" w:after="90"/>
              <w:rPr/>
            </w:pPr>
            <w:r>
              <w:rPr/>
            </w:r>
          </w:p>
        </w:tc>
        <w:tc>
          <w:tcPr>
            <w:tcW w:w="4562"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 relationship (no payment for referrals):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do not submit false or duplicate claims; comply with the federal Anti-Kickback Statute — never pay for referrals of publicly funded clients.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0"/>
        <w:gridCol w:w="2299"/>
        <w:gridCol w:w="591"/>
        <w:gridCol w:w="239"/>
        <w:gridCol w:w="2200"/>
        <w:gridCol w:w="2360"/>
      </w:tblGrid>
      <w:tr>
        <w:trPr>
          <w:tblHeader w:val="true"/>
        </w:trPr>
        <w:tc>
          <w:tcPr>
            <w:tcW w:w="167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tcMar>
              <w:top w:w="135" w:type="dxa"/>
              <w:bottom w:w="135" w:type="dxa"/>
            </w:tcMar>
          </w:tcPr>
          <w:p>
            <w:pPr>
              <w:pStyle w:val="Normal"/>
              <w:spacing w:lineRule="exact" w:line="264" w:before="0" w:after="0"/>
              <w:rPr/>
            </w:pPr>
            <w:r>
              <w:rPr/>
            </w:r>
          </w:p>
        </w:tc>
        <w:tc>
          <w:tcPr>
            <w:tcW w:w="2299"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9"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caregivers as W-2; comply with the FLSA and Virginia’s minimum wage (CPI-indexed) including overtime over 40/week; carry workers’ compensation.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Reporting &amp; Change-of-Information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1791"/>
        <w:gridCol w:w="3583"/>
        <w:gridCol w:w="2686"/>
        <w:gridCol w:w="1299"/>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required changes (ownership, Administrator, name, location) and reportable events to DPH within required timeframes; keep licensure information current; maintain records of reports and Department communications.</w:t>
            </w:r>
          </w:p>
        </w:tc>
      </w:tr>
      <w:tr>
        <w:trPr/>
        <w:tc>
          <w:tcPr>
            <w:tcW w:w="1791"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Date</w:t>
            </w:r>
          </w:p>
        </w:tc>
        <w:tc>
          <w:tcPr>
            <w:tcW w:w="35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Report / change</w:t>
            </w:r>
          </w:p>
        </w:tc>
        <w:tc>
          <w:tcPr>
            <w:tcW w:w="268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Submitted to DPH (date)</w:t>
            </w:r>
          </w:p>
        </w:tc>
        <w:tc>
          <w:tcPr>
            <w:tcW w:w="12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1791"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35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68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12VAC5-381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12VAC5-381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Home Care Organization (Virginia)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Home Care Organization (Virginia)</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2026-07-12T22:10:11Z</dcterms:created>
  <dc:creator>PolicyReady.org</dc:creator>
  <dc:description/>
  <dc:language>en-US</dc:language>
  <cp:lastModifiedBy>Un-named</cp:lastModifiedBy>
  <dcterms:modified xsi:type="dcterms:W3CDTF">2026-07-12T22:10:11Z</dcterms:modified>
  <cp:revision>1</cp:revision>
  <dc:subject/>
  <dc:title>Virginia Home Care Organization — Forms Packet</dc:title>
</cp:coreProperties>
</file>

<file path=docProps/custom.xml><?xml version="1.0" encoding="utf-8"?>
<Properties xmlns="http://schemas.openxmlformats.org/officeDocument/2006/custom-properties" xmlns:vt="http://schemas.openxmlformats.org/officeDocument/2006/docPropsVTypes"/>
</file>