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ARKANSAS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5"/>
          <w:szCs w:val="25"/>
        </w:rPr>
        <w:t>Alcohol &amp; Other Drug Abuse Treatment Program — DHS / OADAP (Part 433)</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   •   [Program Types]</w:t>
      </w:r>
    </w:p>
    <w:p>
      <w:pPr>
        <w:pStyle w:val="Normal"/>
        <w:spacing w:before="1600" w:after="0"/>
        <w:jc w:val="center"/>
        <w:rPr/>
      </w:pPr>
      <w:r>
        <w:rPr>
          <w:rFonts w:eastAsia="Arial" w:cs="Arial"/>
          <w:color w:val="666666"/>
          <w:sz w:val="18"/>
          <w:szCs w:val="18"/>
        </w:rPr>
        <w:t>Aligned to the Licensure Standards for Alcohol and Other Drug Abuse Treatment Programs (Part 433)</w:t>
      </w:r>
    </w:p>
    <w:p>
      <w:pPr>
        <w:pStyle w:val="Normal"/>
        <w:spacing w:before="60" w:after="0"/>
        <w:jc w:val="center"/>
        <w:rPr/>
      </w:pPr>
      <w:r>
        <w:rPr>
          <w:rFonts w:eastAsia="Arial" w:cs="Arial"/>
          <w:color w:val="666666"/>
          <w:sz w:val="18"/>
          <w:szCs w:val="18"/>
        </w:rPr>
        <w:t>Arkansas DHS — Office of Alcohol and Drug Abuse Prevention (OADAP) / OSAMH; A.C.A. § 20-64-901 et seq.</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an Arkansas alcohol and other drug abuse treatment program licensed by the Arkansas Department of Human Services (DHS). It is built to the Licensure Standards for Alcohol and Other Drug Abuse Treatment Programs (codified in the Code of Arkansas Rules, Part 433), promulgated under the authority of the Office of Alcohol and Drug Abuse Prevention (OADAP) pursuant to A.C.A. § 20-64-901 et seq.</w:t>
      </w:r>
    </w:p>
    <w:p>
      <w:pPr>
        <w:pStyle w:val="Normal"/>
        <w:spacing w:lineRule="exact" w:line="276" w:before="0" w:after="120"/>
        <w:rPr/>
      </w:pPr>
      <w:r>
        <w:rPr>
          <w:rFonts w:eastAsia="Arial" w:cs="Arial"/>
          <w:sz w:val="21"/>
          <w:szCs w:val="21"/>
        </w:rPr>
        <w:t>How Arkansas licenses substance use treatment. Any individual, partnership, association, or corporation that establishes, conducts, manages, or operates an alcohol and other drug abuse treatment program in Arkansas — and holds itself out to the public as such — must be licensed, unless expressly exempt (for example, certain Department of Defense, Veterans Administration, and acute-care hospital-based programs). Within DHS, this function has historically been carried out by the Office of Alcohol and Drug Abuse Prevention (OADAP), within the Division of Behavioral Health Services; the current public-facing office is the Office of Substance Abuse and Mental Health (OSAMH), within the Division of Aging, Adult, and Behavioral Health Services (DAABHS). Because the codified standards use OADAP terminology, this manual refers to “OADAP” or “the office”; confirm the current office name and contact information with DHS.</w:t>
      </w:r>
    </w:p>
    <w:p>
      <w:pPr>
        <w:pStyle w:val="Normal"/>
        <w:spacing w:lineRule="exact" w:line="276" w:before="0" w:after="120"/>
        <w:rPr/>
      </w:pPr>
      <w:r>
        <w:rPr>
          <w:rFonts w:eastAsia="Arial" w:cs="Arial"/>
          <w:sz w:val="21"/>
          <w:szCs w:val="21"/>
        </w:rPr>
        <w:t>Licensure process and license types. Licensure follows a defined process: a program submits an Application for Licensure, and a Standards Review Team (SRT) conducts a formal on-site review. A new program that is in substantial compliance receives a six-month operational permit, followed by a formal SRT review leading to a one-year license and, on full compliance, a three-year license; a probationary license may be issued to allow a program to correct deficiencies, and a program that fails to comply becomes non-licensed and may not operate. The office conducts compliance reviews (at least twice, announced or unannounced), and opioid treatment programs receive at least quarterly unannounced reviews. Programs also report client data through ADMIS.</w:t>
      </w:r>
    </w:p>
    <w:p>
      <w:pPr>
        <w:pStyle w:val="Normal"/>
        <w:spacing w:lineRule="exact" w:line="276" w:before="0" w:after="120"/>
        <w:rPr/>
      </w:pPr>
      <w:r>
        <w:rPr>
          <w:rFonts w:eastAsia="Arial" w:cs="Arial"/>
          <w:sz w:val="21"/>
          <w:szCs w:val="21"/>
        </w:rPr>
        <w:t>National accreditation. Arkansas relies heavily on national accreditation. A program accredited by CARF, the Joint Commission (JCAHO), or the Council on Accreditation (COA) may receive OADAP licensure on presentation of its accreditation, provided it also meets the standards in specified areas — treatment plan development, progress note development, treatment plan reviews, clinical supervision, health and safety, and physical plant. This deemed-licensure path does not apply to methadone (opioid) treatment programs, which must be licensed directly by the office. This manual is written to satisfy the standards in these areas whether or not the program is accredited.</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program's information, and review each policy against your actual operations, your accreditation standards, and your license before adopting.</w:t>
      </w:r>
    </w:p>
    <w:p>
      <w:pPr>
        <w:pStyle w:val="Normal"/>
        <w:spacing w:lineRule="exact" w:line="276" w:before="0" w:after="120"/>
        <w:rPr/>
      </w:pPr>
      <w:r>
        <w:rPr>
          <w:rFonts w:eastAsia="Arial" w:cs="Arial"/>
          <w:sz w:val="21"/>
          <w:szCs w:val="21"/>
        </w:rPr>
        <w:t>Sections A through E contain the standards that apply across the program. Section F contains specialized and program-type standards — detoxification, residential and outpatient treatment, adolescent treatment, specialized women's services, criminal-justice and court-ordered services, opioid treatment, and therapeutic communities — to be adopted only where they apply to your program.</w:t>
      </w:r>
    </w:p>
    <w:p>
      <w:pPr>
        <w:pStyle w:val="Normal"/>
        <w:spacing w:lineRule="exact" w:line="276" w:before="0" w:after="120"/>
        <w:rPr/>
      </w:pPr>
      <w:r>
        <w:rPr>
          <w:rFonts w:eastAsia="Arial" w:cs="Arial"/>
          <w:sz w:val="21"/>
          <w:szCs w:val="21"/>
        </w:rPr>
        <w:t>A note on terminology. This manual refers to the person receiving services as the client and to the licensed entity as the program. Counseling and clinical services are provided by appropriately credentialed staff — including alcoholism and drug abuse counselors and other licensed or certified professionals whose credentials allow them to sign comprehensive treatment plans as the standards require.</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Arkansas law.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Arkansas's behavioral health system has been reorganized over time (for example, from OADAP to OSAMH within DAABHS), and the codified standards are periodically revised. This manual is built to the Licensure Standards for Alcohol and Other Drug Abuse Treatment Programs (Part 433). Confirm the current version of the standards, the governing statutes, and the current office name and forms with DHS before adopting, and update the manual when the rules change.</w:t>
      </w:r>
    </w:p>
    <w:p>
      <w:pPr>
        <w:pStyle w:val="Normal"/>
        <w:spacing w:lineRule="exact" w:line="276" w:before="0" w:after="120"/>
        <w:rPr/>
      </w:pPr>
      <w:r>
        <w:rPr>
          <w:rFonts w:eastAsia="Arial" w:cs="Arial"/>
          <w:sz w:val="21"/>
          <w:szCs w:val="21"/>
        </w:rPr>
        <w:t>This manual is a template and is not legal advice. Substance use licensure in Arkansas is detailed and changes over time; the program should have qualified Arkansas counsel or a compliance professional review this manual against the current standards, its accreditation, and its license before adoption. Official DHS/OADAP forms (such as the Application for Licensure) are referenced by name only; obtain current versions from DHS.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program is governed and licensed — the governing body, OADAP licensure and license types, national accreditation and deemed licensure, program planning/evaluation and ADMIS reporting, fiscal management, and administrative operations and compliance reviews.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Types of License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National Accreditation (CARF / Joint Commission / COA)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Program Planning, Evaluation &amp; ADMIS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Fiscal Management &amp; Financial Evaluation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Administrative Operations, Policies &amp; Compliance Reviews</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Governing Body; A.C.A. § 20-64-901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a governing body responsible for the program's mission, policies, and legal and financial integrity.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and executive leadership of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is operated under a governing body (or, for a sole proprietorship or similar entity, an identified governing authority) that is legally responsible for the program's compliance with the Licensure Standards, A.C.A. § 20-64-901 et seq., and other applicable law. The governing body adopts the program's mission and written policies, appoints and oversees the chief executive or program director, ensures the program is adequately financed and lawfully operated, maintains its articles of incorporation or organizing documents and bylaws, keeps minutes of its meetings, and ensures the program maintains its license and any national accreditation. Lines of authority and responsibility are documented.</w:t>
      </w:r>
    </w:p>
    <w:p>
      <w:pPr>
        <w:pStyle w:val="Normal"/>
        <w:pBdr>
          <w:bottom w:val="single" w:sz="4" w:space="1" w:color="2E5E45"/>
        </w:pBdr>
        <w:spacing w:before="160" w:after="80"/>
        <w:rPr/>
      </w:pPr>
      <w:r>
        <w:rPr>
          <w:rFonts w:eastAsia="Arial" w:cs="Arial"/>
          <w:b/>
          <w:bCs/>
          <w:color w:val="1A4731"/>
          <w:sz w:val="20"/>
          <w:szCs w:val="20"/>
        </w:rPr>
        <w:t>PROCEDURE — GOVERNANCE</w:t>
      </w:r>
    </w:p>
    <w:p>
      <w:pPr>
        <w:pStyle w:val="Normal"/>
        <w:tabs>
          <w:tab w:val="left" w:pos="720" w:leader="none"/>
        </w:tabs>
        <w:spacing w:lineRule="exact" w:line="264" w:before="0" w:after="80"/>
        <w:ind w:hanging="360" w:start="720"/>
        <w:rPr/>
      </w:pPr>
      <w:r>
        <w:rPr>
          <w:rFonts w:eastAsia="Arial" w:cs="Arial"/>
          <w:sz w:val="21"/>
          <w:szCs w:val="21"/>
        </w:rPr>
        <w:t>a. Maintain organizing documents, bylaws, and a defined organizational structure with documented lines of authority.</w:t>
      </w:r>
    </w:p>
    <w:p>
      <w:pPr>
        <w:pStyle w:val="Normal"/>
        <w:tabs>
          <w:tab w:val="left" w:pos="720" w:leader="none"/>
        </w:tabs>
        <w:spacing w:lineRule="exact" w:line="264" w:before="0" w:after="80"/>
        <w:ind w:hanging="360" w:start="720"/>
        <w:rPr/>
      </w:pPr>
      <w:r>
        <w:rPr>
          <w:rFonts w:eastAsia="Arial" w:cs="Arial"/>
          <w:sz w:val="21"/>
          <w:szCs w:val="21"/>
        </w:rPr>
        <w:t>b. Adopt the mission and written policies, appoint and oversee the program director, and keep governing-body minutes.</w:t>
      </w:r>
    </w:p>
    <w:p>
      <w:pPr>
        <w:pStyle w:val="Normal"/>
        <w:tabs>
          <w:tab w:val="left" w:pos="720" w:leader="none"/>
        </w:tabs>
        <w:spacing w:lineRule="exact" w:line="264" w:before="0" w:after="80"/>
        <w:ind w:hanging="360" w:start="720"/>
        <w:rPr/>
      </w:pPr>
      <w:r>
        <w:rPr>
          <w:rFonts w:eastAsia="Arial" w:cs="Arial"/>
          <w:sz w:val="21"/>
          <w:szCs w:val="21"/>
        </w:rPr>
        <w:t>c. Ensure the program is adequately financed, lawfully operated, and maintains its license and accreditation.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Articles of Incorporation / Organizing Documents &amp; Bylaws</w:t>
      </w:r>
    </w:p>
    <w:p>
      <w:pPr>
        <w:pStyle w:val="ListParagraph"/>
        <w:numPr>
          <w:ilvl w:val="0"/>
          <w:numId w:val="1"/>
        </w:numPr>
        <w:spacing w:lineRule="exact" w:line="264" w:before="0" w:after="60"/>
        <w:rPr/>
      </w:pPr>
      <w:r>
        <w:rPr>
          <w:rFonts w:eastAsia="Arial" w:cs="Arial"/>
          <w:sz w:val="21"/>
          <w:szCs w:val="21"/>
        </w:rPr>
        <w:t>Governing Body Roster &amp; Minutes</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Types of License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Types of License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Procedures for Licensure; Types of Licenses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appropriate OADAP license and to understand the license types and review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license renewal, and the on-site review process.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Standards Review Team (SRT) — the team the office convenes to conduct a formal on-site licensure review.</w:t>
      </w:r>
    </w:p>
    <w:p>
      <w:pPr>
        <w:pStyle w:val="Normal"/>
        <w:spacing w:lineRule="exact" w:line="276" w:before="0" w:after="120"/>
        <w:rPr/>
      </w:pPr>
      <w:r>
        <w:rPr>
          <w:rFonts w:eastAsia="Arial" w:cs="Arial"/>
          <w:sz w:val="21"/>
          <w:szCs w:val="21"/>
        </w:rPr>
        <w:t>Six-month operational permit / one-year license / three-year license / probationary license / non-licensed — the license statuses defined in the Licensure Standards, awarded based on the program's compliance.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obtains and maintains an OADAP license before operating and provides only licensed services. A new program submits a complete Application for Licensure with the required fee; on substantial compliance it receives a six-month operational permit, followed by a formal SRT on-site review that, on full compliance, leads to a one-year license and then a three-year license. Where the office identifies noncompliance, it may issue a probationary license and require a corrective action plan within thirty days; a program that fails to achieve compliance becomes non-licensed and may not operate as an alcohol and other drug abuse treatment program. The program cooperates fully with SRT and compliance reviews, including record and facility review and staff and client interviews conducted consistent with confidentiality law, and maintains and timely renews its license.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Submit a complete Application for Licensure with the required fee before operating.</w:t>
      </w:r>
    </w:p>
    <w:p>
      <w:pPr>
        <w:pStyle w:val="Normal"/>
        <w:tabs>
          <w:tab w:val="left" w:pos="720" w:leader="none"/>
        </w:tabs>
        <w:spacing w:lineRule="exact" w:line="264" w:before="0" w:after="80"/>
        <w:ind w:hanging="360" w:start="720"/>
        <w:rPr/>
      </w:pPr>
      <w:r>
        <w:rPr>
          <w:rFonts w:eastAsia="Arial" w:cs="Arial"/>
          <w:sz w:val="21"/>
          <w:szCs w:val="21"/>
        </w:rPr>
        <w:t>b. Cooperate with the six-month permit review and the formal SRT on-site review and any compliance reviews.</w:t>
      </w:r>
    </w:p>
    <w:p>
      <w:pPr>
        <w:pStyle w:val="Normal"/>
        <w:tabs>
          <w:tab w:val="left" w:pos="720" w:leader="none"/>
        </w:tabs>
        <w:spacing w:lineRule="exact" w:line="264" w:before="0" w:after="80"/>
        <w:ind w:hanging="360" w:start="720"/>
        <w:rPr/>
      </w:pPr>
      <w:r>
        <w:rPr>
          <w:rFonts w:eastAsia="Arial" w:cs="Arial"/>
          <w:sz w:val="21"/>
          <w:szCs w:val="21"/>
        </w:rPr>
        <w:t>c. Where issued a probationary license, submit a corrective action plan within thirty days and achieve compliance, and renew the license timely.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Application for Licensure</w:t>
      </w:r>
    </w:p>
    <w:p>
      <w:pPr>
        <w:pStyle w:val="ListParagraph"/>
        <w:numPr>
          <w:ilvl w:val="0"/>
          <w:numId w:val="1"/>
        </w:numPr>
        <w:spacing w:lineRule="exact" w:line="264" w:before="0" w:after="60"/>
        <w:rPr/>
      </w:pPr>
      <w:r>
        <w:rPr>
          <w:rFonts w:eastAsia="Arial" w:cs="Arial"/>
          <w:sz w:val="21"/>
          <w:szCs w:val="21"/>
        </w:rPr>
        <w:t>Current License &amp; License-Type Record</w:t>
      </w:r>
    </w:p>
    <w:p>
      <w:pPr>
        <w:pStyle w:val="ListParagraph"/>
        <w:numPr>
          <w:ilvl w:val="0"/>
          <w:numId w:val="1"/>
        </w:numPr>
        <w:spacing w:lineRule="exact" w:line="264" w:before="0" w:after="60"/>
        <w:rPr/>
      </w:pPr>
      <w:r>
        <w:rPr>
          <w:rFonts w:eastAsia="Arial" w:cs="Arial"/>
          <w:sz w:val="21"/>
          <w:szCs w:val="21"/>
        </w:rPr>
        <w:t>Corrective Action Plan (probationary)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National Accreditation (CARF / Joint Commission / COA)</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National Accreditation (CARF / Joint Commission / COA)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CARF, JCAHO, and COA Accredited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national accreditation and to use the deemed-licensure path where applicable.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program's national accreditation and its relationship to OADAP licensure.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obtains and maintains national accreditation by CARF, the Joint Commission (JCAHO), or the Council on Accreditation (COA) where required by the Licensure Standards or by contract, and operates in compliance with the accreditor's standards. A program accredited by CARF, JCAHO, or COA may receive OADAP licensure on presentation of its accreditation, provided it also verifies compliance with the standards in the areas of treatment plan development, progress note development, treatment plan reviews, clinical supervision, health and safety, and physical plant. This deemed-licensure path does not apply to methadone (opioid) treatment programs, which are licensed directly by the office. The program provides the office copies of accreditation surveys and reports and reports adverse accreditation actions as required.</w:t>
      </w:r>
    </w:p>
    <w:p>
      <w:pPr>
        <w:pStyle w:val="Normal"/>
        <w:pBdr>
          <w:bottom w:val="single" w:sz="4" w:space="1" w:color="2E5E45"/>
        </w:pBdr>
        <w:spacing w:before="160" w:after="80"/>
        <w:rPr/>
      </w:pPr>
      <w:r>
        <w:rPr>
          <w:rFonts w:eastAsia="Arial" w:cs="Arial"/>
          <w:b/>
          <w:bCs/>
          <w:color w:val="1A4731"/>
          <w:sz w:val="20"/>
          <w:szCs w:val="20"/>
        </w:rPr>
        <w:t>PROCEDURE — ACCREDITATION</w:t>
      </w:r>
    </w:p>
    <w:p>
      <w:pPr>
        <w:pStyle w:val="Normal"/>
        <w:tabs>
          <w:tab w:val="left" w:pos="720" w:leader="none"/>
        </w:tabs>
        <w:spacing w:lineRule="exact" w:line="264" w:before="0" w:after="80"/>
        <w:ind w:hanging="360" w:start="720"/>
        <w:rPr/>
      </w:pPr>
      <w:r>
        <w:rPr>
          <w:rFonts w:eastAsia="Arial" w:cs="Arial"/>
          <w:sz w:val="21"/>
          <w:szCs w:val="21"/>
        </w:rPr>
        <w:t>a. Obtain and maintain accreditation by CARF, JCAHO, or COA and comply with the accreditor's standards.</w:t>
      </w:r>
    </w:p>
    <w:p>
      <w:pPr>
        <w:pStyle w:val="Normal"/>
        <w:tabs>
          <w:tab w:val="left" w:pos="720" w:leader="none"/>
        </w:tabs>
        <w:spacing w:lineRule="exact" w:line="264" w:before="0" w:after="80"/>
        <w:ind w:hanging="360" w:start="720"/>
        <w:rPr/>
      </w:pPr>
      <w:r>
        <w:rPr>
          <w:rFonts w:eastAsia="Arial" w:cs="Arial"/>
          <w:sz w:val="21"/>
          <w:szCs w:val="21"/>
        </w:rPr>
        <w:t>b. Where using the deemed-licensure path, verify compliance in the six specified standard areas (treatment plan development and reviews, progress notes, clinical supervision, health and safety, physical plant).</w:t>
      </w:r>
    </w:p>
    <w:p>
      <w:pPr>
        <w:pStyle w:val="Normal"/>
        <w:tabs>
          <w:tab w:val="left" w:pos="720" w:leader="none"/>
        </w:tabs>
        <w:spacing w:lineRule="exact" w:line="264" w:before="0" w:after="80"/>
        <w:ind w:hanging="360" w:start="720"/>
        <w:rPr/>
      </w:pPr>
      <w:r>
        <w:rPr>
          <w:rFonts w:eastAsia="Arial" w:cs="Arial"/>
          <w:sz w:val="21"/>
          <w:szCs w:val="21"/>
        </w:rPr>
        <w:t>c. Provide the office accreditation surveys and reports and report adverse accreditation actions; license methadone programs directly.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Deemed-Licensure Verification (six standard areas)</w:t>
      </w:r>
    </w:p>
    <w:p>
      <w:pPr>
        <w:pStyle w:val="ListParagraph"/>
        <w:numPr>
          <w:ilvl w:val="0"/>
          <w:numId w:val="1"/>
        </w:numPr>
        <w:spacing w:lineRule="exact" w:line="264" w:before="0" w:after="60"/>
        <w:rPr/>
      </w:pPr>
      <w:r>
        <w:rPr>
          <w:rFonts w:eastAsia="Arial" w:cs="Arial"/>
          <w:sz w:val="21"/>
          <w:szCs w:val="21"/>
        </w:rPr>
        <w:t>Accreditation Correspondence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Program Planning, Evaluation &amp; ADMIS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Program Planning, Evaluation &amp; ADMIS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Program Planning/Evaluation; ADMIS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plan and evaluate the program's services and to report client data through ADMIS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 planning and evaluation and to required data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written plan describing its mission, goals, target population, and services, and evaluates its services and outcomes on a regular basis, using the results to improve services. The program reports client-related data in accordance with the current Arkansas data-reporting requirements (ADMIS) and maintains the records necessary to support that reporting. Planning and evaluation are documented and reviewed by leadership and the governing body.</w:t>
      </w:r>
    </w:p>
    <w:p>
      <w:pPr>
        <w:pStyle w:val="Normal"/>
        <w:pBdr>
          <w:bottom w:val="single" w:sz="4" w:space="1" w:color="2E5E45"/>
        </w:pBdr>
        <w:spacing w:before="160" w:after="80"/>
        <w:rPr/>
      </w:pPr>
      <w:r>
        <w:rPr>
          <w:rFonts w:eastAsia="Arial" w:cs="Arial"/>
          <w:b/>
          <w:bCs/>
          <w:color w:val="1A4731"/>
          <w:sz w:val="20"/>
          <w:szCs w:val="20"/>
        </w:rPr>
        <w:t>PROCEDURE — PLANNING, EVALUATION &amp; ADMIS</w:t>
      </w:r>
    </w:p>
    <w:p>
      <w:pPr>
        <w:pStyle w:val="Normal"/>
        <w:tabs>
          <w:tab w:val="left" w:pos="720" w:leader="none"/>
        </w:tabs>
        <w:spacing w:lineRule="exact" w:line="264" w:before="0" w:after="80"/>
        <w:ind w:hanging="360" w:start="720"/>
        <w:rPr/>
      </w:pPr>
      <w:r>
        <w:rPr>
          <w:rFonts w:eastAsia="Arial" w:cs="Arial"/>
          <w:sz w:val="21"/>
          <w:szCs w:val="21"/>
        </w:rPr>
        <w:t>a. Maintain a written program plan describing mission, goals, population, and services.</w:t>
      </w:r>
    </w:p>
    <w:p>
      <w:pPr>
        <w:pStyle w:val="Normal"/>
        <w:tabs>
          <w:tab w:val="left" w:pos="720" w:leader="none"/>
        </w:tabs>
        <w:spacing w:lineRule="exact" w:line="264" w:before="0" w:after="80"/>
        <w:ind w:hanging="360" w:start="720"/>
        <w:rPr/>
      </w:pPr>
      <w:r>
        <w:rPr>
          <w:rFonts w:eastAsia="Arial" w:cs="Arial"/>
          <w:sz w:val="21"/>
          <w:szCs w:val="21"/>
        </w:rPr>
        <w:t>b. Evaluate services and outcomes regularly and use results to improve services.</w:t>
      </w:r>
    </w:p>
    <w:p>
      <w:pPr>
        <w:pStyle w:val="Normal"/>
        <w:tabs>
          <w:tab w:val="left" w:pos="720" w:leader="none"/>
        </w:tabs>
        <w:spacing w:lineRule="exact" w:line="264" w:before="0" w:after="80"/>
        <w:ind w:hanging="360" w:start="720"/>
        <w:rPr/>
      </w:pPr>
      <w:r>
        <w:rPr>
          <w:rFonts w:eastAsia="Arial" w:cs="Arial"/>
          <w:sz w:val="21"/>
          <w:szCs w:val="21"/>
        </w:rPr>
        <w:t>c. Report client data through ADMIS and maintain supporting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Plan &amp; Goals</w:t>
      </w:r>
    </w:p>
    <w:p>
      <w:pPr>
        <w:pStyle w:val="ListParagraph"/>
        <w:numPr>
          <w:ilvl w:val="0"/>
          <w:numId w:val="1"/>
        </w:numPr>
        <w:spacing w:lineRule="exact" w:line="264" w:before="0" w:after="60"/>
        <w:rPr/>
      </w:pPr>
      <w:r>
        <w:rPr>
          <w:rFonts w:eastAsia="Arial" w:cs="Arial"/>
          <w:sz w:val="21"/>
          <w:szCs w:val="21"/>
        </w:rPr>
        <w:t>Program Evaluation Report</w:t>
      </w:r>
    </w:p>
    <w:p>
      <w:pPr>
        <w:pStyle w:val="ListParagraph"/>
        <w:numPr>
          <w:ilvl w:val="0"/>
          <w:numId w:val="1"/>
        </w:numPr>
        <w:spacing w:lineRule="exact" w:line="264" w:before="0" w:after="60"/>
        <w:rPr/>
      </w:pPr>
      <w:r>
        <w:rPr>
          <w:rFonts w:eastAsia="Arial" w:cs="Arial"/>
          <w:sz w:val="21"/>
          <w:szCs w:val="21"/>
        </w:rPr>
        <w:t>ADMIS Data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Fiscal Management &amp; Financial Evaluation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Fiscal Management &amp; Financial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Fiscal Management; Financial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is financially sound and manages funds with appropriate controls and accountability.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program's financial management and evaluation.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sound fiscal management, including a written budget, generally accepted accounting practices, internal financial controls, and safeguards for funds, and obtains the financial audits or reviews the standards and any funders require. The program manages client fees and any client funds it holds appropriately and transparently, maintains insurance appropriate to its operations, and evaluates its financial condition regularly. Financial records are maintained and available to the office as required.</w:t>
      </w:r>
    </w:p>
    <w:p>
      <w:pPr>
        <w:pStyle w:val="Normal"/>
        <w:pBdr>
          <w:bottom w:val="single" w:sz="4" w:space="1" w:color="2E5E45"/>
        </w:pBdr>
        <w:spacing w:before="160" w:after="80"/>
        <w:rPr/>
      </w:pPr>
      <w:r>
        <w:rPr>
          <w:rFonts w:eastAsia="Arial" w:cs="Arial"/>
          <w:b/>
          <w:bCs/>
          <w:color w:val="1A4731"/>
          <w:sz w:val="20"/>
          <w:szCs w:val="20"/>
        </w:rPr>
        <w:t>PROCEDURE — FISCAL MANAGEMENT</w:t>
      </w:r>
    </w:p>
    <w:p>
      <w:pPr>
        <w:pStyle w:val="Normal"/>
        <w:tabs>
          <w:tab w:val="left" w:pos="720" w:leader="none"/>
        </w:tabs>
        <w:spacing w:lineRule="exact" w:line="264" w:before="0" w:after="80"/>
        <w:ind w:hanging="360" w:start="720"/>
        <w:rPr/>
      </w:pPr>
      <w:r>
        <w:rPr>
          <w:rFonts w:eastAsia="Arial" w:cs="Arial"/>
          <w:sz w:val="21"/>
          <w:szCs w:val="21"/>
        </w:rPr>
        <w:t>a. Maintain a written budget, accounting practices, internal controls, and fund safeguards.</w:t>
      </w:r>
    </w:p>
    <w:p>
      <w:pPr>
        <w:pStyle w:val="Normal"/>
        <w:tabs>
          <w:tab w:val="left" w:pos="720" w:leader="none"/>
        </w:tabs>
        <w:spacing w:lineRule="exact" w:line="264" w:before="0" w:after="80"/>
        <w:ind w:hanging="360" w:start="720"/>
        <w:rPr/>
      </w:pPr>
      <w:r>
        <w:rPr>
          <w:rFonts w:eastAsia="Arial" w:cs="Arial"/>
          <w:sz w:val="21"/>
          <w:szCs w:val="21"/>
        </w:rPr>
        <w:t>b. Obtain required audits or reviews, maintain appropriate insurance, and manage client fees and funds transparently.</w:t>
      </w:r>
    </w:p>
    <w:p>
      <w:pPr>
        <w:pStyle w:val="Normal"/>
        <w:tabs>
          <w:tab w:val="left" w:pos="720" w:leader="none"/>
        </w:tabs>
        <w:spacing w:lineRule="exact" w:line="264" w:before="0" w:after="80"/>
        <w:ind w:hanging="360" w:start="720"/>
        <w:rPr/>
      </w:pPr>
      <w:r>
        <w:rPr>
          <w:rFonts w:eastAsia="Arial" w:cs="Arial"/>
          <w:sz w:val="21"/>
          <w:szCs w:val="21"/>
        </w:rPr>
        <w:t>c. Evaluate financial condition regularly and maintain financial records available to the office.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Annual Budget</w:t>
      </w:r>
    </w:p>
    <w:p>
      <w:pPr>
        <w:pStyle w:val="ListParagraph"/>
        <w:numPr>
          <w:ilvl w:val="0"/>
          <w:numId w:val="1"/>
        </w:numPr>
        <w:spacing w:lineRule="exact" w:line="264" w:before="0" w:after="60"/>
        <w:rPr/>
      </w:pPr>
      <w:r>
        <w:rPr>
          <w:rFonts w:eastAsia="Arial" w:cs="Arial"/>
          <w:sz w:val="21"/>
          <w:szCs w:val="21"/>
        </w:rPr>
        <w:t>Financial Audit / Review Records</w:t>
      </w:r>
    </w:p>
    <w:p>
      <w:pPr>
        <w:pStyle w:val="ListParagraph"/>
        <w:numPr>
          <w:ilvl w:val="0"/>
          <w:numId w:val="1"/>
        </w:numPr>
        <w:spacing w:lineRule="exact" w:line="264" w:before="0" w:after="60"/>
        <w:rPr/>
      </w:pPr>
      <w:r>
        <w:rPr>
          <w:rFonts w:eastAsia="Arial" w:cs="Arial"/>
          <w:sz w:val="21"/>
          <w:szCs w:val="21"/>
        </w:rPr>
        <w:t>Client Funds &amp; Fee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Administrative Operations, Policies &amp; Compliance Reviews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Administrative Operations, Policies &amp; Compliance Reviews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Administrative Operations; Compliance Review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maintains the administrative operations, policies, and records the standards require and cooperates with compliance reviews.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administrative operations, the policy and procedures manual, and compliance reviews.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written administrative policies and procedures and a client handbook, and operates in accordance with them. Policies are approved by the appropriate authority, made available to staff, reviewed and revised as needed, and maintained under version control with an effective date, revision dates, and a document-history record for each policy. The program maintains current building, fire, safety, and health inspection certifications and the records the standards require. The program cooperates with the office's compliance reviews (at least two announced or unannounced reviews, and, for opioid treatment programs, at least quarterly unannounced reviews), submits corrective action plans when required, and corrects deficiencies within required timeframes.</w:t>
      </w:r>
    </w:p>
    <w:p>
      <w:pPr>
        <w:pStyle w:val="Normal"/>
        <w:pBdr>
          <w:bottom w:val="single" w:sz="4" w:space="1" w:color="2E5E45"/>
        </w:pBdr>
        <w:spacing w:before="160" w:after="80"/>
        <w:rPr/>
      </w:pPr>
      <w:r>
        <w:rPr>
          <w:rFonts w:eastAsia="Arial" w:cs="Arial"/>
          <w:b/>
          <w:bCs/>
          <w:color w:val="1A4731"/>
          <w:sz w:val="20"/>
          <w:szCs w:val="20"/>
        </w:rPr>
        <w:t>PROCEDURE — ADMINISTRATION &amp; COMPLIANCE</w:t>
      </w:r>
    </w:p>
    <w:p>
      <w:pPr>
        <w:pStyle w:val="Normal"/>
        <w:tabs>
          <w:tab w:val="left" w:pos="720" w:leader="none"/>
        </w:tabs>
        <w:spacing w:lineRule="exact" w:line="264" w:before="0" w:after="80"/>
        <w:ind w:hanging="360" w:start="720"/>
        <w:rPr/>
      </w:pPr>
      <w:r>
        <w:rPr>
          <w:rFonts w:eastAsia="Arial" w:cs="Arial"/>
          <w:sz w:val="21"/>
          <w:szCs w:val="21"/>
        </w:rPr>
        <w:t>a. Maintain administrative policies and procedures, a client handbook, and current building, fire, safety, and health certifications.</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record revisions in the document-history table.</w:t>
      </w:r>
    </w:p>
    <w:p>
      <w:pPr>
        <w:pStyle w:val="Normal"/>
        <w:tabs>
          <w:tab w:val="left" w:pos="720" w:leader="none"/>
        </w:tabs>
        <w:spacing w:lineRule="exact" w:line="264" w:before="0" w:after="80"/>
        <w:ind w:hanging="360" w:start="720"/>
        <w:rPr/>
      </w:pPr>
      <w:r>
        <w:rPr>
          <w:rFonts w:eastAsia="Arial" w:cs="Arial"/>
          <w:sz w:val="21"/>
          <w:szCs w:val="21"/>
        </w:rPr>
        <w:t>c. Cooperate with announced and unannounced compliance reviews, submit corrective action plans, and correct deficiencies.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Policy &amp; Procedures Manual Index</w:t>
      </w:r>
    </w:p>
    <w:p>
      <w:pPr>
        <w:pStyle w:val="ListParagraph"/>
        <w:numPr>
          <w:ilvl w:val="0"/>
          <w:numId w:val="1"/>
        </w:numPr>
        <w:spacing w:lineRule="exact" w:line="264" w:before="0" w:after="60"/>
        <w:rPr/>
      </w:pPr>
      <w:r>
        <w:rPr>
          <w:rFonts w:eastAsia="Arial" w:cs="Arial"/>
          <w:sz w:val="21"/>
          <w:szCs w:val="21"/>
        </w:rPr>
        <w:t>Client Handbook</w:t>
      </w:r>
    </w:p>
    <w:p>
      <w:pPr>
        <w:pStyle w:val="ListParagraph"/>
        <w:numPr>
          <w:ilvl w:val="0"/>
          <w:numId w:val="1"/>
        </w:numPr>
        <w:spacing w:lineRule="exact" w:line="264" w:before="0" w:after="60"/>
        <w:rPr/>
      </w:pPr>
      <w:r>
        <w:rPr>
          <w:rFonts w:eastAsia="Arial" w:cs="Arial"/>
          <w:sz w:val="21"/>
          <w:szCs w:val="21"/>
        </w:rPr>
        <w:t>Inspection Certifications &amp; Compliance Review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Human Resources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human resources and personnel records, staff qualifications and counselor credentials, clinical supervision, staff training and development, and criminal background checks.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Human Resources &amp; Personnel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&amp; Counselor Credentials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Staff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Criminal Background Checks</w:t>
      </w:r>
    </w:p>
    <w:p>
      <w:pPr>
        <w:pStyle w:val="Normal"/>
        <w:rPr/>
      </w:pPr>
      <w:r>
        <w:rPr/>
      </w:r>
      <w:r>
        <w:br w:type="page"/>
      </w:r>
    </w:p>
    <w:p>
      <w:pPr>
        <w:pStyle w:val="Heading2"/>
        <w:spacing w:before="0" w:after="120"/>
        <w:rPr/>
      </w:pPr>
      <w:r>
        <w:rPr>
          <w:rFonts w:eastAsia="Arial" w:cs="Arial" w:ascii="Arial" w:hAnsi="Arial"/>
          <w:b/>
          <w:bCs/>
          <w:color w:val="1A4731"/>
          <w:sz w:val="26"/>
          <w:szCs w:val="26"/>
        </w:rPr>
        <w:t>2.00  Human Resources &amp; Personnel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Human Resources &amp; Personnel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Human Resources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Human Resources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sound personnel practices and complete personnel records for all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contractors, interns,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written personnel policies addressing recruitment and selection, job descriptions and qualifications, supervision, performance evaluation, non-discrimination, disciplinary action, staff conduct, and grievances, and applies them consistently. A personnel record is maintained for each staff member that includes the job description and documentation that the staff member meets the qualifications; verification of required licensure, certification, or registration; documentation of required background checks; performance evaluations; and documentation of required training and orientation.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HUMAN RESOURCES</w:t>
      </w:r>
    </w:p>
    <w:p>
      <w:pPr>
        <w:pStyle w:val="Normal"/>
        <w:tabs>
          <w:tab w:val="left" w:pos="720" w:leader="none"/>
        </w:tabs>
        <w:spacing w:lineRule="exact" w:line="264" w:before="0" w:after="80"/>
        <w:ind w:hanging="360" w:start="720"/>
        <w:rPr/>
      </w:pPr>
      <w:r>
        <w:rPr>
          <w:rFonts w:eastAsia="Arial" w:cs="Arial"/>
          <w:sz w:val="21"/>
          <w:szCs w:val="21"/>
        </w:rPr>
        <w:t>a. Maintain written personnel policies covering recruitment, qualifications, supervision, evaluation, discipline, conduct, and grievances.</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credential verification, background-check documentation, evaluations, and training.</w:t>
      </w:r>
    </w:p>
    <w:p>
      <w:pPr>
        <w:pStyle w:val="Normal"/>
        <w:tabs>
          <w:tab w:val="left" w:pos="720" w:leader="none"/>
        </w:tabs>
        <w:spacing w:lineRule="exact" w:line="264" w:before="0" w:after="80"/>
        <w:ind w:hanging="360" w:start="720"/>
        <w:rPr/>
      </w:pPr>
      <w:r>
        <w:rPr>
          <w:rFonts w:eastAsia="Arial" w:cs="Arial"/>
          <w:sz w:val="21"/>
          <w:szCs w:val="21"/>
        </w:rPr>
        <w:t>c. Keep records current, retained,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Job Descriptions &amp; Qualifications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&amp; Counselor Credentials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&amp; Counselor Credentials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Human Resources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Human Resources; Clinical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services are provided by appropriately qualified and credentialed staff within their scope of practice.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and counseling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and counseling services are provided by staff qualified by education, training, and credentials, including alcoholism and drug abuse counselors and other licensed or certified professionals, operating within their scope of practice. Comprehensive (master) treatment plans are developed or approved by staff whose license or certification authorizes them to sign such plans, as the standards require. The program verifies each staff member's credential before the staff member provides services requiring it, ensures staff practice within their scope, and monitors continued good standing, including timely renewal of credentials.</w:t>
      </w:r>
    </w:p>
    <w:p>
      <w:pPr>
        <w:pStyle w:val="Normal"/>
        <w:pBdr>
          <w:bottom w:val="single" w:sz="4" w:space="1" w:color="2E5E45"/>
        </w:pBdr>
        <w:spacing w:before="160" w:after="80"/>
        <w:rPr/>
      </w:pPr>
      <w:r>
        <w:rPr>
          <w:rFonts w:eastAsia="Arial" w:cs="Arial"/>
          <w:b/>
          <w:bCs/>
          <w:color w:val="1A4731"/>
          <w:sz w:val="20"/>
          <w:szCs w:val="20"/>
        </w:rPr>
        <w:t>PROCEDURE — QUALIFICATIONS &amp; CREDENTIALS</w:t>
      </w:r>
    </w:p>
    <w:p>
      <w:pPr>
        <w:pStyle w:val="Normal"/>
        <w:tabs>
          <w:tab w:val="left" w:pos="720" w:leader="none"/>
        </w:tabs>
        <w:spacing w:lineRule="exact" w:line="264" w:before="0" w:after="80"/>
        <w:ind w:hanging="360" w:start="720"/>
        <w:rPr/>
      </w:pPr>
      <w:r>
        <w:rPr>
          <w:rFonts w:eastAsia="Arial" w:cs="Arial"/>
          <w:sz w:val="21"/>
          <w:szCs w:val="21"/>
        </w:rPr>
        <w:t>a. Verify each clinical staff member's credential before they provide services requiring it.</w:t>
      </w:r>
    </w:p>
    <w:p>
      <w:pPr>
        <w:pStyle w:val="Normal"/>
        <w:tabs>
          <w:tab w:val="left" w:pos="720" w:leader="none"/>
        </w:tabs>
        <w:spacing w:lineRule="exact" w:line="264" w:before="0" w:after="80"/>
        <w:ind w:hanging="360" w:start="720"/>
        <w:rPr/>
      </w:pPr>
      <w:r>
        <w:rPr>
          <w:rFonts w:eastAsia="Arial" w:cs="Arial"/>
          <w:sz w:val="21"/>
          <w:szCs w:val="21"/>
        </w:rPr>
        <w:t>b. Ensure comprehensive treatment plans are signed by appropriately credentialed staff and that staff practice within scope.</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credential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Scope-of-Practice / Plan-Signing Authority Roster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Human Resources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clinical supervision to counseling and clinical staff by a qualified supervisor, consistent with the Licensure Standards (clinical supervision is one of the areas verified even for accredited programs). Supervised staff — including counselors in training and other staff practicing under supervision — provide only services within their qualifications and scope. The program defines supervisory relationships and documents supervision, including frequency, content, and the supervisor's review of clinical work and treatment plans.</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supervisor for each supervised clinician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scope.</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 and treatment plans.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Staff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Staff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Human Resources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Human Resources; Staff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and the population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new staff with orientation to its operations, policies, client rights, and confidentiality requirements, and provides ongoing training appropriate to each staff member's duties and the population served, including training on confidentiality (42 CFR Part 2 and HIPAA), client rights, emergency and safety procedures, overdose recognition and response, infectious-disease precautions, and clinical topics relevant to substance use treatment. All required training is documented with the date, subject, participants, and trainer, and documentation is maintained and available to the office.</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client rights, confidentiality, and safety.</w:t>
      </w:r>
    </w:p>
    <w:p>
      <w:pPr>
        <w:pStyle w:val="Normal"/>
        <w:tabs>
          <w:tab w:val="left" w:pos="720" w:leader="none"/>
        </w:tabs>
        <w:spacing w:lineRule="exact" w:line="264" w:before="0" w:after="80"/>
        <w:ind w:hanging="360" w:start="720"/>
        <w:rPr/>
      </w:pPr>
      <w:r>
        <w:rPr>
          <w:rFonts w:eastAsia="Arial" w:cs="Arial"/>
          <w:sz w:val="21"/>
          <w:szCs w:val="21"/>
        </w:rPr>
        <w:t>b. Provide ongoing duty-appropriate training, including confidentiality, overdose response, and clinical topics.</w:t>
      </w:r>
    </w:p>
    <w:p>
      <w:pPr>
        <w:pStyle w:val="Normal"/>
        <w:tabs>
          <w:tab w:val="left" w:pos="720" w:leader="none"/>
        </w:tabs>
        <w:spacing w:lineRule="exact" w:line="264" w:before="0" w:after="80"/>
        <w:ind w:hanging="360" w:start="720"/>
        <w:rPr/>
      </w:pPr>
      <w:r>
        <w:rPr>
          <w:rFonts w:eastAsia="Arial" w:cs="Arial"/>
          <w:sz w:val="21"/>
          <w:szCs w:val="21"/>
        </w:rPr>
        <w:t>c. Document each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Human Resources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Human Resources; Arkansas background-check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completing criminal background checks on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contractors, and volunteers subject to background checks and to the person responsible for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completes the criminal background checks required by Arkansas law and the Licensure Standards on staff and applicants in positions subject to screening, before or within the timeframe the law allows, and evaluates the results against applicable disqualifying offenses. The program does not employ or retain an individual in a position for which the individual is disqualified, applies any required eligibility or waiver process the law permits, and documents the completion and disposition of each check in the personnel record.</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Complete required criminal background checks for covered positions and evaluate results against disqualifying offenses.</w:t>
      </w:r>
    </w:p>
    <w:p>
      <w:pPr>
        <w:pStyle w:val="Normal"/>
        <w:tabs>
          <w:tab w:val="left" w:pos="720" w:leader="none"/>
        </w:tabs>
        <w:spacing w:lineRule="exact" w:line="264" w:before="0" w:after="80"/>
        <w:ind w:hanging="360" w:start="720"/>
        <w:rPr/>
      </w:pPr>
      <w:r>
        <w:rPr>
          <w:rFonts w:eastAsia="Arial" w:cs="Arial"/>
          <w:sz w:val="21"/>
          <w:szCs w:val="21"/>
        </w:rPr>
        <w:t>b. Do not employ or retain a disqualified individual and apply any permitted eligibility or waiver process.</w:t>
      </w:r>
    </w:p>
    <w:p>
      <w:pPr>
        <w:pStyle w:val="Normal"/>
        <w:tabs>
          <w:tab w:val="left" w:pos="720" w:leader="none"/>
        </w:tabs>
        <w:spacing w:lineRule="exact" w:line="264" w:before="0" w:after="80"/>
        <w:ind w:hanging="360" w:start="720"/>
        <w:rPr/>
      </w:pPr>
      <w:r>
        <w:rPr>
          <w:rFonts w:eastAsia="Arial" w:cs="Arial"/>
          <w:sz w:val="21"/>
          <w:szCs w:val="21"/>
        </w:rPr>
        <w:t>c. Document the completion and disposition of each check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Eligibility / Waiver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Confidentiality &amp; Protection</w:t>
      </w:r>
    </w:p>
    <w:p>
      <w:pPr>
        <w:pStyle w:val="Normal"/>
        <w:spacing w:lineRule="exact" w:line="288" w:before="0" w:after="240"/>
        <w:rPr/>
      </w:pPr>
      <w:r>
        <w:rPr>
          <w:rFonts w:eastAsia="Arial" w:cs="Arial"/>
          <w:color w:val="444444"/>
          <w:sz w:val="22"/>
          <w:szCs w:val="22"/>
        </w:rPr>
        <w:t>This section protects the people the program serves — client rights; client confidentiality under 42 CFR Part 2, HIPAA and Arkansas law; the client handbook and grievances; incident reporting and client safety; and behavior management, abuse reporting, and prohibited practices.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Client Confidentiality (42 CFR Part 2, HIPAA &amp; Arkansas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Client Handbook &amp; Grievances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Incident Reporting &amp; Client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Behavior Management, Abuse Reporting &amp; Prohibited Practices</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Client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client of the rights guaranteed under the Licensure Standards.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protects the rights of each client, including the right to be treated with dignity and respect; the right to services without unlawful discrimination; the right to be informed of program rules and of client rights; the right to give informed consent to treatment and to refuse treatment except as otherwise provided by law; the right to confidentiality of records; the right to be free from abuse, neglect, exploitation, and retaliation; the right to a safe and humane treatment environment; and the right to voice grievances and to appeal decisions without retaliation. Each client is informed of these rights, in a manner the client can understand, at admission, and a written statement of rights (in the client handbook) is provided and, where appropriate, posted. Client rights are honored throughout treatment.</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client rights and program rules at admission through the client handbook, in a manner the client can understand.</w:t>
      </w:r>
    </w:p>
    <w:p>
      <w:pPr>
        <w:pStyle w:val="Normal"/>
        <w:tabs>
          <w:tab w:val="left" w:pos="720" w:leader="none"/>
        </w:tabs>
        <w:spacing w:lineRule="exact" w:line="264" w:before="0" w:after="80"/>
        <w:ind w:hanging="360" w:start="720"/>
        <w:rPr/>
      </w:pPr>
      <w:r>
        <w:rPr>
          <w:rFonts w:eastAsia="Arial" w:cs="Arial"/>
          <w:sz w:val="21"/>
          <w:szCs w:val="21"/>
        </w:rPr>
        <w:t>b. Inform each client of the grievance and appeal process and the right to complain without retaliation.</w:t>
      </w:r>
    </w:p>
    <w:p>
      <w:pPr>
        <w:pStyle w:val="Normal"/>
        <w:tabs>
          <w:tab w:val="left" w:pos="720" w:leader="none"/>
        </w:tabs>
        <w:spacing w:lineRule="exact" w:line="264" w:before="0" w:after="80"/>
        <w:ind w:hanging="360" w:start="720"/>
        <w:rPr/>
      </w:pPr>
      <w:r>
        <w:rPr>
          <w:rFonts w:eastAsia="Arial" w:cs="Arial"/>
          <w:sz w:val="21"/>
          <w:szCs w:val="21"/>
        </w:rPr>
        <w:t>c. Honor client rights to dignity, nondiscrimination, informed consent, confidentiality, freedom from abuse, and grievance throughout treatment.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 (Client Handbook)</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Program Rules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Client Confidentiality (42 CFR Part 2, HIPAA &amp; Arkansas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Client Confidentiality (42 CFR Part 2, HIPAA &amp; Arkansas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Client Confidentiality; 42 CFR Part 2; 45 CFR Parts 160, 164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records and identifying information under the federal substance use disorder rule, HIPAA, and Arkansas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protects the confidentiality of client information, complies with 42 CFR Part 2, protects PHI under HIPAA, and follows Arkansas confidentiality law. Except as permitted by law, disclosure of a record requires the client's specific written consent, and re-disclosure is limited. The program maintains a notice of privacy practices, applies minimum-necessary and safeguarding standards, secures records against unauthorized access, trains staff on 42 CFR Part 2, HIPAA, and Arkansas law, and executes qualified service organization and business associate agreements where appropriate. The office is provided access to records as required to determine compliance, consistent with confidentiality law, and staff and client interviews during reviews are conducted consistent with these protections.</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Provide the office access to records for compliance determinations consistent with confidentiality law.</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Arkansas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Client Handbook &amp; Grievances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Client Handbook &amp; Grievances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Client Handbook; Client Appeal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each client a client handbook and a clear, retaliation-free grievance and appeal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client handbook and to client grievances and appeals.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client handbook that describes the program's services, rules, client rights and responsibilities, fees, confidentiality, and the grievance and appeal process, and provides it to each client at admission. The program maintains a grievance process that allows a client to raise a concern and, where applicable, appeal a decision (such as a discharge) without retaliation; grievances are acknowledged, investigated as appropriate, resolved within stated timeframes, documented, and used to improve services. The program cooperates with any external review of grievances as required.</w:t>
      </w:r>
    </w:p>
    <w:p>
      <w:pPr>
        <w:pStyle w:val="Normal"/>
        <w:pBdr>
          <w:bottom w:val="single" w:sz="4" w:space="1" w:color="2E5E45"/>
        </w:pBdr>
        <w:spacing w:before="160" w:after="80"/>
        <w:rPr/>
      </w:pPr>
      <w:r>
        <w:rPr>
          <w:rFonts w:eastAsia="Arial" w:cs="Arial"/>
          <w:b/>
          <w:bCs/>
          <w:color w:val="1A4731"/>
          <w:sz w:val="20"/>
          <w:szCs w:val="20"/>
        </w:rPr>
        <w:t>PROCEDURE — HANDBOOK &amp; GRIEVANCES</w:t>
      </w:r>
    </w:p>
    <w:p>
      <w:pPr>
        <w:pStyle w:val="Normal"/>
        <w:tabs>
          <w:tab w:val="left" w:pos="720" w:leader="none"/>
        </w:tabs>
        <w:spacing w:lineRule="exact" w:line="264" w:before="0" w:after="80"/>
        <w:ind w:hanging="360" w:start="720"/>
        <w:rPr/>
      </w:pPr>
      <w:r>
        <w:rPr>
          <w:rFonts w:eastAsia="Arial" w:cs="Arial"/>
          <w:sz w:val="21"/>
          <w:szCs w:val="21"/>
        </w:rPr>
        <w:t>a. Provide the client handbook at admission and review key contents with the client.</w:t>
      </w:r>
    </w:p>
    <w:p>
      <w:pPr>
        <w:pStyle w:val="Normal"/>
        <w:tabs>
          <w:tab w:val="left" w:pos="720" w:leader="none"/>
        </w:tabs>
        <w:spacing w:lineRule="exact" w:line="264" w:before="0" w:after="80"/>
        <w:ind w:hanging="360" w:start="720"/>
        <w:rPr/>
      </w:pPr>
      <w:r>
        <w:rPr>
          <w:rFonts w:eastAsia="Arial" w:cs="Arial"/>
          <w:sz w:val="21"/>
          <w:szCs w:val="21"/>
        </w:rPr>
        <w:t>b. Make the grievance and appeal process accessible without retaliation and inform clients how to use it.</w:t>
      </w:r>
    </w:p>
    <w:p>
      <w:pPr>
        <w:pStyle w:val="Normal"/>
        <w:tabs>
          <w:tab w:val="left" w:pos="720" w:leader="none"/>
        </w:tabs>
        <w:spacing w:lineRule="exact" w:line="264" w:before="0" w:after="80"/>
        <w:ind w:hanging="360" w:start="720"/>
        <w:rPr/>
      </w:pPr>
      <w:r>
        <w:rPr>
          <w:rFonts w:eastAsia="Arial" w:cs="Arial"/>
          <w:sz w:val="21"/>
          <w:szCs w:val="21"/>
        </w:rPr>
        <w:t>c. Acknowledge, investigate, resolve, and document grievances within stated timeframes and use them to improve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Handbook</w:t>
      </w:r>
    </w:p>
    <w:p>
      <w:pPr>
        <w:pStyle w:val="ListParagraph"/>
        <w:numPr>
          <w:ilvl w:val="0"/>
          <w:numId w:val="1"/>
        </w:numPr>
        <w:spacing w:lineRule="exact" w:line="264" w:before="0" w:after="60"/>
        <w:rPr/>
      </w:pPr>
      <w:r>
        <w:rPr>
          <w:rFonts w:eastAsia="Arial" w:cs="Arial"/>
          <w:sz w:val="21"/>
          <w:szCs w:val="21"/>
        </w:rPr>
        <w:t>Client Grievance / Appeal Form &amp; Log</w:t>
      </w:r>
    </w:p>
    <w:p>
      <w:pPr>
        <w:pStyle w:val="ListParagraph"/>
        <w:numPr>
          <w:ilvl w:val="0"/>
          <w:numId w:val="1"/>
        </w:numPr>
        <w:spacing w:lineRule="exact" w:line="264" w:before="0" w:after="60"/>
        <w:rPr/>
      </w:pPr>
      <w:r>
        <w:rPr>
          <w:rFonts w:eastAsia="Arial" w:cs="Arial"/>
          <w:sz w:val="21"/>
          <w:szCs w:val="21"/>
        </w:rPr>
        <w:t>Grievance Resolution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Incident Reporting &amp; Client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Incident Reporting &amp; Client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Administrative Operations; Health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affecting client safety are identified, responded to, documented, and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identifies, responds to, documents, and reports incidents affecting client safety — such as client death, serious injury, overdose, medication errors with harm, elopement from a residential setting, alleged abuse or neglect, and other significant events — to the office and other authorities as required and within required timeframes. The program responds to protect client safety, reviews incidents to identify contributing factors, implements corrective action, and verifies effectiveness, and coordinates incident reporting with the abuse-reporting and grievance policies. Incident documentation is retained and available to the office.</w:t>
      </w:r>
    </w:p>
    <w:p>
      <w:pPr>
        <w:pStyle w:val="Normal"/>
        <w:pBdr>
          <w:bottom w:val="single" w:sz="4" w:space="1" w:color="2E5E45"/>
        </w:pBdr>
        <w:spacing w:before="160" w:after="80"/>
        <w:rPr/>
      </w:pPr>
      <w:r>
        <w:rPr>
          <w:rFonts w:eastAsia="Arial" w:cs="Arial"/>
          <w:b/>
          <w:bCs/>
          <w:color w:val="1A4731"/>
          <w:sz w:val="20"/>
          <w:szCs w:val="20"/>
        </w:rPr>
        <w:t>PROCEDURE — INCIDENT REPORTING &amp; REVIEW</w:t>
      </w:r>
    </w:p>
    <w:p>
      <w:pPr>
        <w:pStyle w:val="Normal"/>
        <w:tabs>
          <w:tab w:val="left" w:pos="720" w:leader="none"/>
        </w:tabs>
        <w:spacing w:lineRule="exact" w:line="264" w:before="0" w:after="80"/>
        <w:ind w:hanging="360" w:start="720"/>
        <w:rPr/>
      </w:pPr>
      <w:r>
        <w:rPr>
          <w:rFonts w:eastAsia="Arial" w:cs="Arial"/>
          <w:sz w:val="21"/>
          <w:szCs w:val="21"/>
        </w:rPr>
        <w:t>a. Identify and document reportable incidents and report them to the office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client safety and coordinate with abuse-reporting and grievance policies.</w:t>
      </w:r>
    </w:p>
    <w:p>
      <w:pPr>
        <w:pStyle w:val="Normal"/>
        <w:tabs>
          <w:tab w:val="left" w:pos="720" w:leader="none"/>
        </w:tabs>
        <w:spacing w:lineRule="exact" w:line="264" w:before="0" w:after="80"/>
        <w:ind w:hanging="360" w:start="720"/>
        <w:rPr/>
      </w:pPr>
      <w:r>
        <w:rPr>
          <w:rFonts w:eastAsia="Arial" w:cs="Arial"/>
          <w:sz w:val="21"/>
          <w:szCs w:val="21"/>
        </w:rPr>
        <w:t>c. Review incidents,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Office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Behavior Management, Abuse Reporting &amp; Prohibited Practices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Behavior Management, Abuse Reporting &amp; Prohibited Practices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Client Rights; Arkansas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from prohibited practices, to require least-restrictive behavior management, and to ensure suspected abuse is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manages behavior using the least-restrictive effective means, emphasizing prevention and de-escalation, and prohibits coercive, punitive, humiliating, or retaliatory practices, the exploitation of clients, and the withholding of necessities as punishment, as well as sexual or other exploitative relationships between staff and clients. Where a client presents an emergency such as a medical emergency, overdose, or acute psychiatric crisis, staff summon emergency medical services or other emergency assistance and arrange transfer. Staff report suspected maltreatment of a child under Arkansas's mandatory child-maltreatment reporting law and suspected maltreatment of an adult who is impaired or endangered under Arkansas's adult and long-term-care reporting laws, as applicable, and the program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PROTECTION &amp; REPORTING</w:t>
      </w:r>
    </w:p>
    <w:p>
      <w:pPr>
        <w:pStyle w:val="Normal"/>
        <w:tabs>
          <w:tab w:val="left" w:pos="720" w:leader="none"/>
        </w:tabs>
        <w:spacing w:lineRule="exact" w:line="264" w:before="0" w:after="80"/>
        <w:ind w:hanging="360" w:start="720"/>
        <w:rPr/>
      </w:pPr>
      <w:r>
        <w:rPr>
          <w:rFonts w:eastAsia="Arial" w:cs="Arial"/>
          <w:sz w:val="21"/>
          <w:szCs w:val="21"/>
        </w:rPr>
        <w:t>a. Manage behavior through prevention and de-escalation and prohibit coercive, punitive, and exploitative practices.</w:t>
      </w:r>
    </w:p>
    <w:p>
      <w:pPr>
        <w:pStyle w:val="Normal"/>
        <w:tabs>
          <w:tab w:val="left" w:pos="720" w:leader="none"/>
        </w:tabs>
        <w:spacing w:lineRule="exact" w:line="264" w:before="0" w:after="80"/>
        <w:ind w:hanging="360" w:start="720"/>
        <w:rPr/>
      </w:pPr>
      <w:r>
        <w:rPr>
          <w:rFonts w:eastAsia="Arial" w:cs="Arial"/>
          <w:sz w:val="21"/>
          <w:szCs w:val="21"/>
        </w:rPr>
        <w:t>b. Summon emergency services and arrange transfer for medical, overdose, or psychiatric emergencies beyond scope.</w:t>
      </w:r>
    </w:p>
    <w:p>
      <w:pPr>
        <w:pStyle w:val="Normal"/>
        <w:tabs>
          <w:tab w:val="left" w:pos="720" w:leader="none"/>
        </w:tabs>
        <w:spacing w:lineRule="exact" w:line="264" w:before="0" w:after="80"/>
        <w:ind w:hanging="360" w:start="720"/>
        <w:rPr/>
      </w:pPr>
      <w:r>
        <w:rPr>
          <w:rFonts w:eastAsia="Arial" w:cs="Arial"/>
          <w:sz w:val="21"/>
          <w:szCs w:val="21"/>
        </w:rPr>
        <w:t>c. Report suspected child or adult maltreatment under applicable Arkansas law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Suspected Maltreatment Report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Procedures</w:t>
      </w:r>
    </w:p>
    <w:p>
      <w:pPr>
        <w:pStyle w:val="Normal"/>
        <w:spacing w:lineRule="exact" w:line="288" w:before="0" w:after="240"/>
        <w:rPr/>
      </w:pPr>
      <w:r>
        <w:rPr>
          <w:rFonts w:eastAsia="Arial" w:cs="Arial"/>
          <w:color w:val="444444"/>
          <w:sz w:val="22"/>
          <w:szCs w:val="22"/>
        </w:rPr>
        <w:t>This section covers the clinical process — clinical procedures and case management; screening and initial assessment; the initial treatment plan; the comprehensive (master) treatment plan and reviews; progress notes and client records; and the aftercare plan, discharge, and continuity.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Clinical Procedures &amp; Case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Screening &amp; Initial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Initial Treatment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Comprehensive (Master) Treatment Plan &amp; Reviews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Progress Notes &amp; Client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Aftercare Plan, Discharge &amp; Continuity</w:t>
      </w:r>
    </w:p>
    <w:p>
      <w:pPr>
        <w:pStyle w:val="Normal"/>
        <w:rPr/>
      </w:pPr>
      <w:r>
        <w:rPr/>
      </w:r>
      <w:r>
        <w:br w:type="page"/>
      </w:r>
    </w:p>
    <w:p>
      <w:pPr>
        <w:pStyle w:val="Heading2"/>
        <w:spacing w:before="0" w:after="120"/>
        <w:rPr/>
      </w:pPr>
      <w:r>
        <w:rPr>
          <w:rFonts w:eastAsia="Arial" w:cs="Arial" w:ascii="Arial" w:hAnsi="Arial"/>
          <w:b/>
          <w:bCs/>
          <w:color w:val="1A4731"/>
          <w:sz w:val="26"/>
          <w:szCs w:val="26"/>
        </w:rPr>
        <w:t>4.00  Clinical Procedures &amp; Case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Clinical Procedures &amp; Case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Procedures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Clinical Procedures; Case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clinical process and case management that coordinate each client's care from admission through discharge.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clinical services and case management across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delivers clinical services — assessment, treatment planning, counseling and therapy, and continuing care — in accordance with the Licensure Standards and each client's treatment plan, provided by appropriately credentialed staff within their scope of practice. The program provides case management to plan and coordinate the services each client needs (including linkage to medical, mental health, social, housing, vocational, and recovery-support services), to monitor service delivery, and to support the client's engagement and progress. Clinical services and case management are documented in the client record.</w:t>
      </w:r>
    </w:p>
    <w:p>
      <w:pPr>
        <w:pStyle w:val="Normal"/>
        <w:pBdr>
          <w:bottom w:val="single" w:sz="4" w:space="1" w:color="2E5E45"/>
        </w:pBdr>
        <w:spacing w:before="160" w:after="80"/>
        <w:rPr/>
      </w:pPr>
      <w:r>
        <w:rPr>
          <w:rFonts w:eastAsia="Arial" w:cs="Arial"/>
          <w:b/>
          <w:bCs/>
          <w:color w:val="1A4731"/>
          <w:sz w:val="20"/>
          <w:szCs w:val="20"/>
        </w:rPr>
        <w:t>PROCEDURE — CLINICAL PROCEDURES &amp; CASE MANAGEMENT</w:t>
      </w:r>
    </w:p>
    <w:p>
      <w:pPr>
        <w:pStyle w:val="Normal"/>
        <w:tabs>
          <w:tab w:val="left" w:pos="720" w:leader="none"/>
        </w:tabs>
        <w:spacing w:lineRule="exact" w:line="264" w:before="0" w:after="80"/>
        <w:ind w:hanging="360" w:start="720"/>
        <w:rPr/>
      </w:pPr>
      <w:r>
        <w:rPr>
          <w:rFonts w:eastAsia="Arial" w:cs="Arial"/>
          <w:sz w:val="21"/>
          <w:szCs w:val="21"/>
        </w:rPr>
        <w:t>a. Deliver assessment, treatment planning, counseling, and continuing care per the standards and each client's plan through credentialed staff.</w:t>
      </w:r>
    </w:p>
    <w:p>
      <w:pPr>
        <w:pStyle w:val="Normal"/>
        <w:tabs>
          <w:tab w:val="left" w:pos="720" w:leader="none"/>
        </w:tabs>
        <w:spacing w:lineRule="exact" w:line="264" w:before="0" w:after="80"/>
        <w:ind w:hanging="360" w:start="720"/>
        <w:rPr/>
      </w:pPr>
      <w:r>
        <w:rPr>
          <w:rFonts w:eastAsia="Arial" w:cs="Arial"/>
          <w:sz w:val="21"/>
          <w:szCs w:val="21"/>
        </w:rPr>
        <w:t>b. Provide case management to plan, coordinate, and monitor services and support client engagement.</w:t>
      </w:r>
    </w:p>
    <w:p>
      <w:pPr>
        <w:pStyle w:val="Normal"/>
        <w:tabs>
          <w:tab w:val="left" w:pos="720" w:leader="none"/>
        </w:tabs>
        <w:spacing w:lineRule="exact" w:line="264" w:before="0" w:after="80"/>
        <w:ind w:hanging="360" w:start="720"/>
        <w:rPr/>
      </w:pPr>
      <w:r>
        <w:rPr>
          <w:rFonts w:eastAsia="Arial" w:cs="Arial"/>
          <w:sz w:val="21"/>
          <w:szCs w:val="21"/>
        </w:rPr>
        <w:t>c. Document clinical services and case management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Case Management Record</w:t>
      </w:r>
    </w:p>
    <w:p>
      <w:pPr>
        <w:pStyle w:val="ListParagraph"/>
        <w:numPr>
          <w:ilvl w:val="0"/>
          <w:numId w:val="1"/>
        </w:numPr>
        <w:spacing w:lineRule="exact" w:line="264" w:before="0" w:after="60"/>
        <w:rPr/>
      </w:pPr>
      <w:r>
        <w:rPr>
          <w:rFonts w:eastAsia="Arial" w:cs="Arial"/>
          <w:sz w:val="21"/>
          <w:szCs w:val="21"/>
        </w:rPr>
        <w:t>Service Linkage &amp; Coordination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Screening &amp; Initial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Screening &amp; Initial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Procedures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Screening and Initial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screened and assessed to determine appropriateness for admission and to guide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screening and assessment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screens each prospective client to determine appropriateness for admission and the appropriate level of care, and completes an initial assessment that gathers the client's substance use and treatment history, physical and mental health status, psychosocial history, strengths, and risk (including risk of harm and, where applicable, withdrawal risk), documenting how this information relates to the client's presenting problem. Admission decisions are based on the program's licensed services and admission criteria, and the program refers clients whose needs it cannot meet. Screening, assessment, admission criteria met, and consent are documented in the client record.</w:t>
      </w:r>
    </w:p>
    <w:p>
      <w:pPr>
        <w:pStyle w:val="Normal"/>
        <w:pBdr>
          <w:bottom w:val="single" w:sz="4" w:space="1" w:color="2E5E45"/>
        </w:pBdr>
        <w:spacing w:before="160" w:after="80"/>
        <w:rPr/>
      </w:pPr>
      <w:r>
        <w:rPr>
          <w:rFonts w:eastAsia="Arial" w:cs="Arial"/>
          <w:b/>
          <w:bCs/>
          <w:color w:val="1A4731"/>
          <w:sz w:val="20"/>
          <w:szCs w:val="20"/>
        </w:rPr>
        <w:t>PROCEDURE — SCREENING &amp; ASSESSMENT</w:t>
      </w:r>
    </w:p>
    <w:p>
      <w:pPr>
        <w:pStyle w:val="Normal"/>
        <w:tabs>
          <w:tab w:val="left" w:pos="720" w:leader="none"/>
        </w:tabs>
        <w:spacing w:lineRule="exact" w:line="264" w:before="0" w:after="80"/>
        <w:ind w:hanging="360" w:start="720"/>
        <w:rPr/>
      </w:pPr>
      <w:r>
        <w:rPr>
          <w:rFonts w:eastAsia="Arial" w:cs="Arial"/>
          <w:sz w:val="21"/>
          <w:szCs w:val="21"/>
        </w:rPr>
        <w:t>a. Screen each prospective client for appropriateness and level of care and complete an initial assessment.</w:t>
      </w:r>
    </w:p>
    <w:p>
      <w:pPr>
        <w:pStyle w:val="Normal"/>
        <w:tabs>
          <w:tab w:val="left" w:pos="720" w:leader="none"/>
        </w:tabs>
        <w:spacing w:lineRule="exact" w:line="264" w:before="0" w:after="80"/>
        <w:ind w:hanging="360" w:start="720"/>
        <w:rPr/>
      </w:pPr>
      <w:r>
        <w:rPr>
          <w:rFonts w:eastAsia="Arial" w:cs="Arial"/>
          <w:sz w:val="21"/>
          <w:szCs w:val="21"/>
        </w:rPr>
        <w:t>b. Document substance use, health, psychosocial, and risk information and how it relates to the presenting problem.</w:t>
      </w:r>
    </w:p>
    <w:p>
      <w:pPr>
        <w:pStyle w:val="Normal"/>
        <w:tabs>
          <w:tab w:val="left" w:pos="720" w:leader="none"/>
        </w:tabs>
        <w:spacing w:lineRule="exact" w:line="264" w:before="0" w:after="80"/>
        <w:ind w:hanging="360" w:start="720"/>
        <w:rPr/>
      </w:pPr>
      <w:r>
        <w:rPr>
          <w:rFonts w:eastAsia="Arial" w:cs="Arial"/>
          <w:sz w:val="21"/>
          <w:szCs w:val="21"/>
        </w:rPr>
        <w:t>c. Base admission on licensed services and criteria, refer clients the program cannot serve, and document consent.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Form</w:t>
      </w:r>
    </w:p>
    <w:p>
      <w:pPr>
        <w:pStyle w:val="ListParagraph"/>
        <w:numPr>
          <w:ilvl w:val="0"/>
          <w:numId w:val="1"/>
        </w:numPr>
        <w:spacing w:lineRule="exact" w:line="264" w:before="0" w:after="60"/>
        <w:rPr/>
      </w:pPr>
      <w:r>
        <w:rPr>
          <w:rFonts w:eastAsia="Arial" w:cs="Arial"/>
          <w:sz w:val="21"/>
          <w:szCs w:val="21"/>
        </w:rPr>
        <w:t>Initial Assessment</w:t>
      </w:r>
    </w:p>
    <w:p>
      <w:pPr>
        <w:pStyle w:val="ListParagraph"/>
        <w:numPr>
          <w:ilvl w:val="0"/>
          <w:numId w:val="1"/>
        </w:numPr>
        <w:spacing w:lineRule="exact" w:line="264" w:before="0" w:after="60"/>
        <w:rPr/>
      </w:pPr>
      <w:r>
        <w:rPr>
          <w:rFonts w:eastAsia="Arial" w:cs="Arial"/>
          <w:sz w:val="21"/>
          <w:szCs w:val="21"/>
        </w:rPr>
        <w:t>Admission Criteria Checklist &amp;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Initial Treatment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Initial Treatment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Procedures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Initial Treatment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initial treatment plan that guides care until the comprehensive plan is developed.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admitted clients and to the clinical staff who develop initial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develops an initial treatment plan for each admitted client, based on the initial assessment and developed with the client's participation, that identifies the client's immediate needs and goals and the services to be provided while the comprehensive assessment and comprehensive treatment plan are completed. The initial plan is developed within the timeframe the standards require, implemented, and documented in the client record, and is superseded by the comprehensive (master) treatment plan.</w:t>
      </w:r>
    </w:p>
    <w:p>
      <w:pPr>
        <w:pStyle w:val="Normal"/>
        <w:pBdr>
          <w:bottom w:val="single" w:sz="4" w:space="1" w:color="2E5E45"/>
        </w:pBdr>
        <w:spacing w:before="160" w:after="80"/>
        <w:rPr/>
      </w:pPr>
      <w:r>
        <w:rPr>
          <w:rFonts w:eastAsia="Arial" w:cs="Arial"/>
          <w:b/>
          <w:bCs/>
          <w:color w:val="1A4731"/>
          <w:sz w:val="20"/>
          <w:szCs w:val="20"/>
        </w:rPr>
        <w:t>PROCEDURE — INITIAL TREATMENT PLAN</w:t>
      </w:r>
    </w:p>
    <w:p>
      <w:pPr>
        <w:pStyle w:val="Normal"/>
        <w:tabs>
          <w:tab w:val="left" w:pos="720" w:leader="none"/>
        </w:tabs>
        <w:spacing w:lineRule="exact" w:line="264" w:before="0" w:after="80"/>
        <w:ind w:hanging="360" w:start="720"/>
        <w:rPr/>
      </w:pPr>
      <w:r>
        <w:rPr>
          <w:rFonts w:eastAsia="Arial" w:cs="Arial"/>
          <w:sz w:val="21"/>
          <w:szCs w:val="21"/>
        </w:rPr>
        <w:t>a. Develop an initial treatment plan from the initial assessment with the client's participation within the required timeframe.</w:t>
      </w:r>
    </w:p>
    <w:p>
      <w:pPr>
        <w:pStyle w:val="Normal"/>
        <w:tabs>
          <w:tab w:val="left" w:pos="720" w:leader="none"/>
        </w:tabs>
        <w:spacing w:lineRule="exact" w:line="264" w:before="0" w:after="80"/>
        <w:ind w:hanging="360" w:start="720"/>
        <w:rPr/>
      </w:pPr>
      <w:r>
        <w:rPr>
          <w:rFonts w:eastAsia="Arial" w:cs="Arial"/>
          <w:sz w:val="21"/>
          <w:szCs w:val="21"/>
        </w:rPr>
        <w:t>b. Identify immediate needs, goals, and services to be provided pending the comprehensive plan.</w:t>
      </w:r>
    </w:p>
    <w:p>
      <w:pPr>
        <w:pStyle w:val="Normal"/>
        <w:tabs>
          <w:tab w:val="left" w:pos="720" w:leader="none"/>
        </w:tabs>
        <w:spacing w:lineRule="exact" w:line="264" w:before="0" w:after="80"/>
        <w:ind w:hanging="360" w:start="720"/>
        <w:rPr/>
      </w:pPr>
      <w:r>
        <w:rPr>
          <w:rFonts w:eastAsia="Arial" w:cs="Arial"/>
          <w:sz w:val="21"/>
          <w:szCs w:val="21"/>
        </w:rPr>
        <w:t>c. Implement and document the initial plan and transition to the comprehensive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Treatment Plan</w:t>
      </w:r>
    </w:p>
    <w:p>
      <w:pPr>
        <w:pStyle w:val="ListParagraph"/>
        <w:numPr>
          <w:ilvl w:val="0"/>
          <w:numId w:val="1"/>
        </w:numPr>
        <w:spacing w:lineRule="exact" w:line="264" w:before="0" w:after="60"/>
        <w:rPr/>
      </w:pPr>
      <w:r>
        <w:rPr>
          <w:rFonts w:eastAsia="Arial" w:cs="Arial"/>
          <w:sz w:val="21"/>
          <w:szCs w:val="21"/>
        </w:rPr>
        <w:t>Client Participation / Signature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Comprehensive (Master) Treatment Plan &amp; Reviews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Comprehensive (Master) Treatment Plan &amp; Reviews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Procedures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Comprehensive (Master) Treatment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comprehensive treatment plan that is implemented, reviewed, and updated.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admitted clients and to the clinical staff who develop and review comprehensive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develops an individualized comprehensive (master) treatment plan for each client, based on the assessment and developed with the client's participation, that states the client's problems and needs, goals and measurable objectives, the services and interventions to be provided, the frequency and expected duration of services, and the staff responsible. The comprehensive treatment plan is developed and signed by staff whose license or certification authorizes them to sign such plans, within the timeframe the standards require, and is reviewed and updated at the intervals the standards and the client's progress require. Treatment plan development and reviews are documented in the client record; these are among the areas verified even for accredited programs.</w:t>
      </w:r>
    </w:p>
    <w:p>
      <w:pPr>
        <w:pStyle w:val="Normal"/>
        <w:pBdr>
          <w:bottom w:val="single" w:sz="4" w:space="1" w:color="2E5E45"/>
        </w:pBdr>
        <w:spacing w:before="160" w:after="80"/>
        <w:rPr/>
      </w:pPr>
      <w:r>
        <w:rPr>
          <w:rFonts w:eastAsia="Arial" w:cs="Arial"/>
          <w:b/>
          <w:bCs/>
          <w:color w:val="1A4731"/>
          <w:sz w:val="20"/>
          <w:szCs w:val="20"/>
        </w:rPr>
        <w:t>PROCEDURE — COMPREHENSIVE TREATMENT PLAN</w:t>
      </w:r>
    </w:p>
    <w:p>
      <w:pPr>
        <w:pStyle w:val="Normal"/>
        <w:tabs>
          <w:tab w:val="left" w:pos="720" w:leader="none"/>
        </w:tabs>
        <w:spacing w:lineRule="exact" w:line="264" w:before="0" w:after="80"/>
        <w:ind w:hanging="360" w:start="720"/>
        <w:rPr/>
      </w:pPr>
      <w:r>
        <w:rPr>
          <w:rFonts w:eastAsia="Arial" w:cs="Arial"/>
          <w:sz w:val="21"/>
          <w:szCs w:val="21"/>
        </w:rPr>
        <w:t>a. Develop an individualized comprehensive treatment plan with the client, stating problems, goals, measurable objectives, services, frequency, duration, and responsible staff.</w:t>
      </w:r>
    </w:p>
    <w:p>
      <w:pPr>
        <w:pStyle w:val="Normal"/>
        <w:tabs>
          <w:tab w:val="left" w:pos="720" w:leader="none"/>
        </w:tabs>
        <w:spacing w:lineRule="exact" w:line="264" w:before="0" w:after="80"/>
        <w:ind w:hanging="360" w:start="720"/>
        <w:rPr/>
      </w:pPr>
      <w:r>
        <w:rPr>
          <w:rFonts w:eastAsia="Arial" w:cs="Arial"/>
          <w:sz w:val="21"/>
          <w:szCs w:val="21"/>
        </w:rPr>
        <w:t>b. Ensure the plan is developed and signed by appropriately credentialed staff within required timeframes.</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 and document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(Master)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Progress Notes &amp; Client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Progress Notes &amp; Client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Procedures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Progress Notes; Client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documented in progress notes and that a complete, accurate client record is maintained.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documentation and client records.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documents each service in a progress note that describes the service provided and the client's response and progress toward treatment plan goals, and maintains a client record for each client that includes identifying information, screening and assessment, consents, the initial and comprehensive treatment plans and reviews, progress notes, medication documentation where applicable, correspondence and releases, and the aftercare and discharge documentation. Documentation is accurate, legible, dated, and authenticated by the person providing the service, completed within required timeframes, and any correction is made without obscuring the original. Records are stored securely and access follows the confidentiality policy and 42 CFR Part 2, with the office permitted access for compliance; progress note development is among the areas verified even for accredited programs.</w:t>
      </w:r>
    </w:p>
    <w:p>
      <w:pPr>
        <w:pStyle w:val="Normal"/>
        <w:pBdr>
          <w:bottom w:val="single" w:sz="4" w:space="1" w:color="2E5E45"/>
        </w:pBdr>
        <w:spacing w:before="160" w:after="80"/>
        <w:rPr/>
      </w:pPr>
      <w:r>
        <w:rPr>
          <w:rFonts w:eastAsia="Arial" w:cs="Arial"/>
          <w:b/>
          <w:bCs/>
          <w:color w:val="1A4731"/>
          <w:sz w:val="20"/>
          <w:szCs w:val="20"/>
        </w:rPr>
        <w:t>PROCEDURE — PROGRESS NOTES &amp; RECORDS</w:t>
      </w:r>
    </w:p>
    <w:p>
      <w:pPr>
        <w:pStyle w:val="Normal"/>
        <w:tabs>
          <w:tab w:val="left" w:pos="720" w:leader="none"/>
        </w:tabs>
        <w:spacing w:lineRule="exact" w:line="264" w:before="0" w:after="80"/>
        <w:ind w:hanging="360" w:start="720"/>
        <w:rPr/>
      </w:pPr>
      <w:r>
        <w:rPr>
          <w:rFonts w:eastAsia="Arial" w:cs="Arial"/>
          <w:sz w:val="21"/>
          <w:szCs w:val="21"/>
        </w:rPr>
        <w:t>a. Document each service in a progress note describing the service and the client's response and progress.</w:t>
      </w:r>
    </w:p>
    <w:p>
      <w:pPr>
        <w:pStyle w:val="Normal"/>
        <w:tabs>
          <w:tab w:val="left" w:pos="720" w:leader="none"/>
        </w:tabs>
        <w:spacing w:lineRule="exact" w:line="264" w:before="0" w:after="80"/>
        <w:ind w:hanging="360" w:start="720"/>
        <w:rPr/>
      </w:pPr>
      <w:r>
        <w:rPr>
          <w:rFonts w:eastAsia="Arial" w:cs="Arial"/>
          <w:sz w:val="21"/>
          <w:szCs w:val="21"/>
        </w:rPr>
        <w:t>b. Maintain a complete client record with all required content, accurate, legible, dated, and authenticated.</w:t>
      </w:r>
    </w:p>
    <w:p>
      <w:pPr>
        <w:pStyle w:val="Normal"/>
        <w:tabs>
          <w:tab w:val="left" w:pos="720" w:leader="none"/>
        </w:tabs>
        <w:spacing w:lineRule="exact" w:line="264" w:before="0" w:after="80"/>
        <w:ind w:hanging="360" w:start="720"/>
        <w:rPr/>
      </w:pPr>
      <w:r>
        <w:rPr>
          <w:rFonts w:eastAsia="Arial" w:cs="Arial"/>
          <w:sz w:val="21"/>
          <w:szCs w:val="21"/>
        </w:rPr>
        <w:t>c. Store records securely and control access consistent with 42 CFR Part 2 and office compliance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Aftercare Plan, Discharge &amp; Continuity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Aftercare Plan, Discharge &amp; Continuity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Procedures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Aftercare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discharged with an aftercare plan that supports continuing recovery.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aftercare across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plans for discharge and aftercare from admission and completes an aftercare plan and a discharge summary for each client that document the course of treatment, the client's status at discharge, and the aftercare plan, including referrals and recommendations to support continuing recovery. The program connects the client to appropriate continuing services and supports, and, where a client leaves against staff advice or before completion, documents the circumstances and provides available follow-up and referral information. Discharge and aftercare are documented in the client record.</w:t>
      </w:r>
    </w:p>
    <w:p>
      <w:pPr>
        <w:pStyle w:val="Normal"/>
        <w:pBdr>
          <w:bottom w:val="single" w:sz="4" w:space="1" w:color="2E5E45"/>
        </w:pBdr>
        <w:spacing w:before="160" w:after="80"/>
        <w:rPr/>
      </w:pPr>
      <w:r>
        <w:rPr>
          <w:rFonts w:eastAsia="Arial" w:cs="Arial"/>
          <w:b/>
          <w:bCs/>
          <w:color w:val="1A4731"/>
          <w:sz w:val="20"/>
          <w:szCs w:val="20"/>
        </w:rPr>
        <w:t>PROCEDURE — AFTERCARE &amp; DISCHARGE</w:t>
      </w:r>
    </w:p>
    <w:p>
      <w:pPr>
        <w:pStyle w:val="Normal"/>
        <w:tabs>
          <w:tab w:val="left" w:pos="720" w:leader="none"/>
        </w:tabs>
        <w:spacing w:lineRule="exact" w:line="264" w:before="0" w:after="80"/>
        <w:ind w:hanging="360" w:start="720"/>
        <w:rPr/>
      </w:pPr>
      <w:r>
        <w:rPr>
          <w:rFonts w:eastAsia="Arial" w:cs="Arial"/>
          <w:sz w:val="21"/>
          <w:szCs w:val="21"/>
        </w:rPr>
        <w:t>a. Plan for discharge and aftercare from admission and identify the client's continuing needs.</w:t>
      </w:r>
    </w:p>
    <w:p>
      <w:pPr>
        <w:pStyle w:val="Normal"/>
        <w:tabs>
          <w:tab w:val="left" w:pos="720" w:leader="none"/>
        </w:tabs>
        <w:spacing w:lineRule="exact" w:line="264" w:before="0" w:after="80"/>
        <w:ind w:hanging="360" w:start="720"/>
        <w:rPr/>
      </w:pPr>
      <w:r>
        <w:rPr>
          <w:rFonts w:eastAsia="Arial" w:cs="Arial"/>
          <w:sz w:val="21"/>
          <w:szCs w:val="21"/>
        </w:rPr>
        <w:t>b. Complete an aftercare plan and discharge summary with referrals and connect the client to continuing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client leaves against advice or early.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Aftercare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Facility, Medication &amp; Safety</w:t>
      </w:r>
    </w:p>
    <w:p>
      <w:pPr>
        <w:pStyle w:val="Normal"/>
        <w:spacing w:lineRule="exact" w:line="288" w:before="0" w:after="240"/>
        <w:rPr/>
      </w:pPr>
      <w:r>
        <w:rPr>
          <w:rFonts w:eastAsia="Arial" w:cs="Arial"/>
          <w:color w:val="444444"/>
          <w:sz w:val="22"/>
          <w:szCs w:val="22"/>
        </w:rPr>
        <w:t>This section governs the environment and safety — the physical environment, medication, food and nutrition, and health, safety, and emergency preparedness including overdose response.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Physical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Food and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Health, Safety &amp; Emergency Preparedness</w:t>
      </w:r>
    </w:p>
    <w:p>
      <w:pPr>
        <w:pStyle w:val="Normal"/>
        <w:rPr/>
      </w:pPr>
      <w:r>
        <w:rPr/>
      </w:r>
      <w:r>
        <w:br w:type="page"/>
      </w:r>
    </w:p>
    <w:p>
      <w:pPr>
        <w:pStyle w:val="Heading2"/>
        <w:spacing w:before="0" w:after="120"/>
        <w:rPr/>
      </w:pPr>
      <w:r>
        <w:rPr>
          <w:rFonts w:eastAsia="Arial" w:cs="Arial" w:ascii="Arial" w:hAnsi="Arial"/>
          <w:b/>
          <w:bCs/>
          <w:color w:val="1A4731"/>
          <w:sz w:val="26"/>
          <w:szCs w:val="26"/>
        </w:rPr>
        <w:t>5.00  Physical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program's premises are safe, clean, and suitable for the services provided.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where services are provided,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physical environment that is safe, clean, sanitary, and suitable for the services provided, and complies with applicable state and local building, fire, safety, sanitation, and health requirements, maintaining current inspection certifications. The program provides adequate space for treatment and confidential services, secure storage for records and medication, and, for residential programs, adequate sleeping, living, dining, and bathing space appropriate to the population and capacity. The program identifies and corrects hazards through routine inspection and maintains the premises in good repair. Physical plant and health-and-safety requirements are among the areas verified even for accredited programs.</w:t>
      </w:r>
    </w:p>
    <w:p>
      <w:pPr>
        <w:pStyle w:val="Normal"/>
        <w:pBdr>
          <w:bottom w:val="single" w:sz="4" w:space="1" w:color="2E5E45"/>
        </w:pBdr>
        <w:spacing w:before="160" w:after="80"/>
        <w:rPr/>
      </w:pPr>
      <w:r>
        <w:rPr>
          <w:rFonts w:eastAsia="Arial" w:cs="Arial"/>
          <w:b/>
          <w:bCs/>
          <w:color w:val="1A4731"/>
          <w:sz w:val="20"/>
          <w:szCs w:val="20"/>
        </w:rPr>
        <w:t>PROCEDURE — PHYSICAL ENVIRONMENT</w:t>
      </w:r>
    </w:p>
    <w:p>
      <w:pPr>
        <w:pStyle w:val="Normal"/>
        <w:tabs>
          <w:tab w:val="left" w:pos="720" w:leader="none"/>
        </w:tabs>
        <w:spacing w:lineRule="exact" w:line="264" w:before="0" w:after="80"/>
        <w:ind w:hanging="360" w:start="720"/>
        <w:rPr/>
      </w:pPr>
      <w:r>
        <w:rPr>
          <w:rFonts w:eastAsia="Arial" w:cs="Arial"/>
          <w:sz w:val="21"/>
          <w:szCs w:val="21"/>
        </w:rPr>
        <w:t>a. Maintain safe, clean, sanitary premises meeting applicable building, fire, safety, sanitation, and health requirements with current inspections.</w:t>
      </w:r>
    </w:p>
    <w:p>
      <w:pPr>
        <w:pStyle w:val="Normal"/>
        <w:tabs>
          <w:tab w:val="left" w:pos="720" w:leader="none"/>
        </w:tabs>
        <w:spacing w:lineRule="exact" w:line="264" w:before="0" w:after="80"/>
        <w:ind w:hanging="360" w:start="720"/>
        <w:rPr/>
      </w:pPr>
      <w:r>
        <w:rPr>
          <w:rFonts w:eastAsia="Arial" w:cs="Arial"/>
          <w:sz w:val="21"/>
          <w:szCs w:val="21"/>
        </w:rPr>
        <w:t>b. Provide adequate treatment, confidential, and (for residential) living space and secure storage.</w:t>
      </w:r>
    </w:p>
    <w:p>
      <w:pPr>
        <w:pStyle w:val="Normal"/>
        <w:tabs>
          <w:tab w:val="left" w:pos="720" w:leader="none"/>
        </w:tabs>
        <w:spacing w:lineRule="exact" w:line="264" w:before="0" w:after="80"/>
        <w:ind w:hanging="360" w:start="720"/>
        <w:rPr/>
      </w:pPr>
      <w:r>
        <w:rPr>
          <w:rFonts w:eastAsia="Arial" w:cs="Arial"/>
          <w:sz w:val="21"/>
          <w:szCs w:val="21"/>
        </w:rPr>
        <w:t>c. Inspect for hazards, correct them, and maintain the premises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Environment Inspection Checklist</w:t>
      </w:r>
    </w:p>
    <w:p>
      <w:pPr>
        <w:pStyle w:val="ListParagraph"/>
        <w:numPr>
          <w:ilvl w:val="0"/>
          <w:numId w:val="1"/>
        </w:numPr>
        <w:spacing w:lineRule="exact" w:line="264" w:before="0" w:after="60"/>
        <w:rPr/>
      </w:pPr>
      <w:r>
        <w:rPr>
          <w:rFonts w:eastAsia="Arial" w:cs="Arial"/>
          <w:sz w:val="21"/>
          <w:szCs w:val="21"/>
        </w:rPr>
        <w:t>Building, Fire, Safety &amp; Health Certifications</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where the program handles medication.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program administers, stores, or supervises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program handles medications, it maintains written medication policies in accordance with the Licensure Standards and applicable state and federal law, under the direction of appropriate medical or nursing personnel. Medication is legally prescribed and labeled for the client for whom it is intended, stored securely in a locked location with controlled substances subject to additional controls, and administered only by personnel authorized by law and in accordance with the prescriber's orders. Where clients self-administer, supervision by trained personnel is provided and documented. The program maintains a medication administration record, documents medication in the client record, addresses medication errors and adverse reactions, and disposes of unused medication appropriately. The program maintains access to naloxone and staff trained to respond to opioid overdose.</w:t>
      </w:r>
    </w:p>
    <w:p>
      <w:pPr>
        <w:pStyle w:val="Normal"/>
        <w:pBdr>
          <w:bottom w:val="single" w:sz="4" w:space="1" w:color="2E5E45"/>
        </w:pBdr>
        <w:spacing w:before="160" w:after="80"/>
        <w:rPr/>
      </w:pPr>
      <w:r>
        <w:rPr>
          <w:rFonts w:eastAsia="Arial" w:cs="Arial"/>
          <w:b/>
          <w:bCs/>
          <w:color w:val="1A4731"/>
          <w:sz w:val="20"/>
          <w:szCs w:val="20"/>
        </w:rPr>
        <w:t>PROCEDURE — MEDICATION HANDLING</w:t>
      </w:r>
    </w:p>
    <w:p>
      <w:pPr>
        <w:pStyle w:val="Normal"/>
        <w:tabs>
          <w:tab w:val="left" w:pos="720" w:leader="none"/>
        </w:tabs>
        <w:spacing w:lineRule="exact" w:line="264" w:before="0" w:after="80"/>
        <w:ind w:hanging="360" w:start="720"/>
        <w:rPr/>
      </w:pPr>
      <w:r>
        <w:rPr>
          <w:rFonts w:eastAsia="Arial" w:cs="Arial"/>
          <w:sz w:val="21"/>
          <w:szCs w:val="21"/>
        </w:rPr>
        <w:t>a. Maintain written medication policies and store medication securely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Maintain a medication administration record, address errors and adverse reactions, and maintain naloxone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Food and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Food and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Food and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clients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programs that provide food service, principally residential programs.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program that provides food service does so in accordance with the Licensure Standards and applicable food-safety law. Clients are provided meals that meet their nutritional needs, with reasonable accommodation of special dietary needs, and food is never withheld as a disciplinary measure. Food is purchased, stored, prepared, and served under sanitary conditions by staff who follow safe food-handling practices, and where food service is contracted, the contract and required inspections are maintained.</w:t>
      </w:r>
    </w:p>
    <w:p>
      <w:pPr>
        <w:pStyle w:val="Normal"/>
        <w:pBdr>
          <w:bottom w:val="single" w:sz="4" w:space="1" w:color="2E5E45"/>
        </w:pBdr>
        <w:spacing w:before="160" w:after="80"/>
        <w:rPr/>
      </w:pPr>
      <w:r>
        <w:rPr>
          <w:rFonts w:eastAsia="Arial" w:cs="Arial"/>
          <w:b/>
          <w:bCs/>
          <w:color w:val="1A4731"/>
          <w:sz w:val="20"/>
          <w:szCs w:val="20"/>
        </w:rPr>
        <w:t>PROCEDURE — FOOD AND NUTRITION</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Health, Safety &amp; Emergency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Health, Safety &amp;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Health &amp; Safety;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is prepared for medical and other emergencies, including overdose, and maintains health and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 safety, and emergency preparedness at all service locations.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written emergency plan addressing medical emergencies, overdose, fire, natural disasters, and, for residential settings, evacuation, with posted routes and clear exits, and trains staff and, for residential settings, clients on the plan and conducts and documents drills. Because the program serves people with substance use disorders, it maintains an overdose-response capability, including access to naloxone and staff trained to recognize and respond to overdose and to summon emergency medical services. The program maintains first-aid supplies, infection-control practices with standard precautions and safe handling and disposal of hazardous and biohazardous materials, and procedures for obtaining emergency medical services. Health-and-safety requirements are among the areas verified even for accredited programs.</w:t>
      </w:r>
    </w:p>
    <w:p>
      <w:pPr>
        <w:pStyle w:val="Normal"/>
        <w:pBdr>
          <w:bottom w:val="single" w:sz="4" w:space="1" w:color="2E5E45"/>
        </w:pBdr>
        <w:spacing w:before="160" w:after="80"/>
        <w:rPr/>
      </w:pPr>
      <w:r>
        <w:rPr>
          <w:rFonts w:eastAsia="Arial" w:cs="Arial"/>
          <w:b/>
          <w:bCs/>
          <w:color w:val="1A4731"/>
          <w:sz w:val="20"/>
          <w:szCs w:val="20"/>
        </w:rPr>
        <w:t>PROCEDURE — HEALTH, SAFETY &amp; EMERGENCY</w:t>
      </w:r>
    </w:p>
    <w:p>
      <w:pPr>
        <w:pStyle w:val="Normal"/>
        <w:tabs>
          <w:tab w:val="left" w:pos="720" w:leader="none"/>
        </w:tabs>
        <w:spacing w:lineRule="exact" w:line="264" w:before="0" w:after="80"/>
        <w:ind w:hanging="360" w:start="720"/>
        <w:rPr/>
      </w:pPr>
      <w:r>
        <w:rPr>
          <w:rFonts w:eastAsia="Arial" w:cs="Arial"/>
          <w:sz w:val="21"/>
          <w:szCs w:val="21"/>
        </w:rPr>
        <w:t>a. Maintain a written emergency plan with posted routes and clear exits and train staff and residential clients,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overdose-response capability, including naloxone access and trained staff, and summon emergency medical services as needed.</w:t>
      </w:r>
    </w:p>
    <w:p>
      <w:pPr>
        <w:pStyle w:val="Normal"/>
        <w:tabs>
          <w:tab w:val="left" w:pos="720" w:leader="none"/>
        </w:tabs>
        <w:spacing w:lineRule="exact" w:line="264" w:before="0" w:after="80"/>
        <w:ind w:hanging="360" w:start="720"/>
        <w:rPr/>
      </w:pPr>
      <w:r>
        <w:rPr>
          <w:rFonts w:eastAsia="Arial" w:cs="Arial"/>
          <w:sz w:val="21"/>
          <w:szCs w:val="21"/>
        </w:rPr>
        <w:t>c. Maintain first-aid supplies, standard infection-control precautions, and procedures for obtaining emergency medical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Infection Control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Specialized &amp; Program-Type Standards</w:t>
      </w:r>
    </w:p>
    <w:p>
      <w:pPr>
        <w:pStyle w:val="Normal"/>
        <w:spacing w:lineRule="exact" w:line="288" w:before="0" w:after="240"/>
        <w:rPr/>
      </w:pPr>
      <w:r>
        <w:rPr>
          <w:rFonts w:eastAsia="Arial" w:cs="Arial"/>
          <w:color w:val="444444"/>
          <w:sz w:val="22"/>
          <w:szCs w:val="22"/>
        </w:rPr>
        <w:t>This section applies only to the program types and populations the program serves. Adopt each policy only where it applies — detoxification, residential and outpatient treatment, adolescent treatment, specialized women's services, criminal-justice and Act 10 court-ordered services, opioid treatment, and therapeutic communities or residential community reintegration.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Detoxification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Residential Treatment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Outpatient &amp; Intensive Outpatient Treatment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Adolescent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Specialized Women's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Criminal Justice &amp; Act 10 Court-Ordered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Opioid Treatment Programs (Methadone / Buprenorphine)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Therapeutic Communities &amp; Residential Community Reintegration</w:t>
      </w:r>
    </w:p>
    <w:p>
      <w:pPr>
        <w:pStyle w:val="Normal"/>
        <w:rPr/>
      </w:pPr>
      <w:r>
        <w:rPr/>
      </w:r>
      <w:r>
        <w:br w:type="page"/>
      </w:r>
    </w:p>
    <w:p>
      <w:pPr>
        <w:pStyle w:val="Heading2"/>
        <w:spacing w:before="0" w:after="120"/>
        <w:rPr/>
      </w:pPr>
      <w:r>
        <w:rPr>
          <w:rFonts w:eastAsia="Arial" w:cs="Arial" w:ascii="Arial" w:hAnsi="Arial"/>
          <w:b/>
          <w:bCs/>
          <w:color w:val="1A4731"/>
          <w:sz w:val="26"/>
          <w:szCs w:val="26"/>
        </w:rPr>
        <w:t>6.00  Detoxification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Detoxification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Detoxification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program provides detoxification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program that provides detoxification services delivers medically supervised or medically monitored support for the withdrawal process, in accordance with the Detoxification Services standards, with the medical and nursing oversight, protocols, and monitoring appropriate to the level of detoxification provided. The program assesses each client's suitability for the detoxification level offered, monitors clients during withdrawal, maintains criteria for identifying when a client's condition requires a higher level of medical care, maintains prompt access to emergency medical services, and arranges transfer when needed. Detoxification services and each client's continued-care plan are documented, and staff are trained to recognize and respond to withdrawal complications and overdose.</w:t>
      </w:r>
    </w:p>
    <w:p>
      <w:pPr>
        <w:pStyle w:val="Normal"/>
        <w:pBdr>
          <w:bottom w:val="single" w:sz="4" w:space="1" w:color="2E5E45"/>
        </w:pBdr>
        <w:spacing w:before="160" w:after="80"/>
        <w:rPr/>
      </w:pPr>
      <w:r>
        <w:rPr>
          <w:rFonts w:eastAsia="Arial" w:cs="Arial"/>
          <w:b/>
          <w:bCs/>
          <w:color w:val="1A4731"/>
          <w:sz w:val="20"/>
          <w:szCs w:val="20"/>
        </w:rPr>
        <w:t>PROCEDURE — DETOXIFICATION</w:t>
      </w:r>
    </w:p>
    <w:p>
      <w:pPr>
        <w:pStyle w:val="Normal"/>
        <w:tabs>
          <w:tab w:val="left" w:pos="720" w:leader="none"/>
        </w:tabs>
        <w:spacing w:lineRule="exact" w:line="264" w:before="0" w:after="80"/>
        <w:ind w:hanging="360" w:start="720"/>
        <w:rPr/>
      </w:pPr>
      <w:r>
        <w:rPr>
          <w:rFonts w:eastAsia="Arial" w:cs="Arial"/>
          <w:sz w:val="21"/>
          <w:szCs w:val="21"/>
        </w:rPr>
        <w:t>a. Provide detoxification with medical/nursing oversight, protocols, and monitoring appropriate to the level offered.</w:t>
      </w:r>
    </w:p>
    <w:p>
      <w:pPr>
        <w:pStyle w:val="Normal"/>
        <w:tabs>
          <w:tab w:val="left" w:pos="720" w:leader="none"/>
        </w:tabs>
        <w:spacing w:lineRule="exact" w:line="264" w:before="0" w:after="80"/>
        <w:ind w:hanging="360" w:start="720"/>
        <w:rPr/>
      </w:pPr>
      <w:r>
        <w:rPr>
          <w:rFonts w:eastAsia="Arial" w:cs="Arial"/>
          <w:sz w:val="21"/>
          <w:szCs w:val="21"/>
        </w:rPr>
        <w:t>b. Assess suitability, monitor withdrawal, maintain criteria for higher-level care, and keep prompt access to emergency services.</w:t>
      </w:r>
    </w:p>
    <w:p>
      <w:pPr>
        <w:pStyle w:val="Normal"/>
        <w:tabs>
          <w:tab w:val="left" w:pos="720" w:leader="none"/>
        </w:tabs>
        <w:spacing w:lineRule="exact" w:line="264" w:before="0" w:after="80"/>
        <w:ind w:hanging="360" w:start="720"/>
        <w:rPr/>
      </w:pPr>
      <w:r>
        <w:rPr>
          <w:rFonts w:eastAsia="Arial" w:cs="Arial"/>
          <w:sz w:val="21"/>
          <w:szCs w:val="21"/>
        </w:rPr>
        <w:t>c. Document detoxification and continued-care plans and train staff on withdrawal complications and overdose.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Suitability Assessment</w:t>
      </w:r>
    </w:p>
    <w:p>
      <w:pPr>
        <w:pStyle w:val="ListParagraph"/>
        <w:numPr>
          <w:ilvl w:val="0"/>
          <w:numId w:val="1"/>
        </w:numPr>
        <w:spacing w:lineRule="exact" w:line="264" w:before="0" w:after="60"/>
        <w:rPr/>
      </w:pPr>
      <w:r>
        <w:rPr>
          <w:rFonts w:eastAsia="Arial" w:cs="Arial"/>
          <w:sz w:val="21"/>
          <w:szCs w:val="21"/>
        </w:rPr>
        <w:t>Withdrawal Monitoring Protocol &amp; Record</w:t>
      </w:r>
    </w:p>
    <w:p>
      <w:pPr>
        <w:pStyle w:val="ListParagraph"/>
        <w:numPr>
          <w:ilvl w:val="0"/>
          <w:numId w:val="1"/>
        </w:numPr>
        <w:spacing w:lineRule="exact" w:line="264" w:before="0" w:after="60"/>
        <w:rPr/>
      </w:pPr>
      <w:r>
        <w:rPr>
          <w:rFonts w:eastAsia="Arial" w:cs="Arial"/>
          <w:sz w:val="21"/>
          <w:szCs w:val="21"/>
        </w:rPr>
        <w:t>Higher-Level-of-Care / Transfer Criteria</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Residential Treatment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Residential Treatment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Substance Abuse Treatment Standards (residential)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program provides residential substance use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residential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treatment program provides structured, 24-hour substance use treatment in a residential setting, delivering the clinical services in Sections C and D — screening and assessment, initial and comprehensive treatment planning, counseling and therapy, case management, progress notes, and aftercare — together with the residential physical-environment, food-and-nutrition, medication, and health-and-safety requirements in Section E. The program maintains a structured schedule of therapeutic services consistent with each client's treatment plan, sufficient staff on duty for safe supervision whenever clients are present, and appropriate separation and supervision within the residential setting. The program coordinates step-up or step-down to another level of care as the client's needs change.</w:t>
      </w:r>
    </w:p>
    <w:p>
      <w:pPr>
        <w:pStyle w:val="Normal"/>
        <w:pBdr>
          <w:bottom w:val="single" w:sz="4" w:space="1" w:color="2E5E45"/>
        </w:pBdr>
        <w:spacing w:before="160" w:after="80"/>
        <w:rPr/>
      </w:pPr>
      <w:r>
        <w:rPr>
          <w:rFonts w:eastAsia="Arial" w:cs="Arial"/>
          <w:b/>
          <w:bCs/>
          <w:color w:val="1A4731"/>
          <w:sz w:val="20"/>
          <w:szCs w:val="20"/>
        </w:rPr>
        <w:t>PROCEDURE — RESIDENTIAL TREATMENT</w:t>
      </w:r>
    </w:p>
    <w:p>
      <w:pPr>
        <w:pStyle w:val="Normal"/>
        <w:tabs>
          <w:tab w:val="left" w:pos="720" w:leader="none"/>
        </w:tabs>
        <w:spacing w:lineRule="exact" w:line="264" w:before="0" w:after="80"/>
        <w:ind w:hanging="360" w:start="720"/>
        <w:rPr/>
      </w:pPr>
      <w:r>
        <w:rPr>
          <w:rFonts w:eastAsia="Arial" w:cs="Arial"/>
          <w:sz w:val="21"/>
          <w:szCs w:val="21"/>
        </w:rPr>
        <w:t>a. Provide structured 24-hour residential treatment delivering the Section C–D clinical services and Section E residential requirements.</w:t>
      </w:r>
    </w:p>
    <w:p>
      <w:pPr>
        <w:pStyle w:val="Normal"/>
        <w:tabs>
          <w:tab w:val="left" w:pos="720" w:leader="none"/>
        </w:tabs>
        <w:spacing w:lineRule="exact" w:line="264" w:before="0" w:after="80"/>
        <w:ind w:hanging="360" w:start="720"/>
        <w:rPr/>
      </w:pPr>
      <w:r>
        <w:rPr>
          <w:rFonts w:eastAsia="Arial" w:cs="Arial"/>
          <w:sz w:val="21"/>
          <w:szCs w:val="21"/>
        </w:rPr>
        <w:t>b. Maintain a structured therapeutic schedule and sufficient staff for safe supervision whenever clients are present.</w:t>
      </w:r>
    </w:p>
    <w:p>
      <w:pPr>
        <w:pStyle w:val="Normal"/>
        <w:tabs>
          <w:tab w:val="left" w:pos="720" w:leader="none"/>
        </w:tabs>
        <w:spacing w:lineRule="exact" w:line="264" w:before="0" w:after="80"/>
        <w:ind w:hanging="360" w:start="720"/>
        <w:rPr/>
      </w:pPr>
      <w:r>
        <w:rPr>
          <w:rFonts w:eastAsia="Arial" w:cs="Arial"/>
          <w:sz w:val="21"/>
          <w:szCs w:val="21"/>
        </w:rPr>
        <w:t>c. Coordinate step-up or step-down to another level of care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Staffing &amp; Supervision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Outpatient &amp; Intensive Outpatient Treatment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Outpatient &amp; Intensive Outpatient Treatment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Substance Abuse Treatment Standards (outpatient)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program provides outpatient or intensive outpatient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outpatient or intensive outpatient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outpatient or intensive outpatient program provides non-residential substance use treatment — including assessment, counseling, individual, group, and family therapy, education, case management, and continuing care — delivering the clinical services in Sections C and D consistent with each client's treatment plan and level of care. Intensive outpatient services provide a higher intensity and frequency of structured programming than standard outpatient. Services are provided by appropriately credentialed staff within their scope, scheduled to accommodate clients' work, school, and family responsibilities where appropriate, and documented in the client record.</w:t>
      </w:r>
    </w:p>
    <w:p>
      <w:pPr>
        <w:pStyle w:val="Normal"/>
        <w:pBdr>
          <w:bottom w:val="single" w:sz="4" w:space="1" w:color="2E5E45"/>
        </w:pBdr>
        <w:spacing w:before="160" w:after="80"/>
        <w:rPr/>
      </w:pPr>
      <w:r>
        <w:rPr>
          <w:rFonts w:eastAsia="Arial" w:cs="Arial"/>
          <w:b/>
          <w:bCs/>
          <w:color w:val="1A4731"/>
          <w:sz w:val="20"/>
          <w:szCs w:val="20"/>
        </w:rPr>
        <w:t>PROCEDURE — OUTPATIENT / INTENSIVE OUTPATIENT</w:t>
      </w:r>
    </w:p>
    <w:p>
      <w:pPr>
        <w:pStyle w:val="Normal"/>
        <w:tabs>
          <w:tab w:val="left" w:pos="720" w:leader="none"/>
        </w:tabs>
        <w:spacing w:lineRule="exact" w:line="264" w:before="0" w:after="80"/>
        <w:ind w:hanging="360" w:start="720"/>
        <w:rPr/>
      </w:pPr>
      <w:r>
        <w:rPr>
          <w:rFonts w:eastAsia="Arial" w:cs="Arial"/>
          <w:sz w:val="21"/>
          <w:szCs w:val="21"/>
        </w:rPr>
        <w:t>a. Provide non-residential treatment (assessment, counseling, therapy, education, case management, continuing care) per each client's plan and level of care.</w:t>
      </w:r>
    </w:p>
    <w:p>
      <w:pPr>
        <w:pStyle w:val="Normal"/>
        <w:tabs>
          <w:tab w:val="left" w:pos="720" w:leader="none"/>
        </w:tabs>
        <w:spacing w:lineRule="exact" w:line="264" w:before="0" w:after="80"/>
        <w:ind w:hanging="360" w:start="720"/>
        <w:rPr/>
      </w:pPr>
      <w:r>
        <w:rPr>
          <w:rFonts w:eastAsia="Arial" w:cs="Arial"/>
          <w:sz w:val="21"/>
          <w:szCs w:val="21"/>
        </w:rPr>
        <w:t>b. Deliver intensive outpatient at the higher intensity and frequency the level of care requires through credentialed staff within scope.</w:t>
      </w:r>
    </w:p>
    <w:p>
      <w:pPr>
        <w:pStyle w:val="Normal"/>
        <w:tabs>
          <w:tab w:val="left" w:pos="720" w:leader="none"/>
        </w:tabs>
        <w:spacing w:lineRule="exact" w:line="264" w:before="0" w:after="80"/>
        <w:ind w:hanging="360" w:start="720"/>
        <w:rPr/>
      </w:pPr>
      <w:r>
        <w:rPr>
          <w:rFonts w:eastAsia="Arial" w:cs="Arial"/>
          <w:sz w:val="21"/>
          <w:szCs w:val="21"/>
        </w:rPr>
        <w:t>c. Schedule services to accommodate clients' responsibilities where appropriate and document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 IOP Service Schedule</w:t>
      </w:r>
    </w:p>
    <w:p>
      <w:pPr>
        <w:pStyle w:val="ListParagraph"/>
        <w:numPr>
          <w:ilvl w:val="0"/>
          <w:numId w:val="1"/>
        </w:numPr>
        <w:spacing w:lineRule="exact" w:line="264" w:before="0" w:after="60"/>
        <w:rPr/>
      </w:pPr>
      <w:r>
        <w:rPr>
          <w:rFonts w:eastAsia="Arial" w:cs="Arial"/>
          <w:sz w:val="21"/>
          <w:szCs w:val="21"/>
        </w:rPr>
        <w:t>Group &amp; Individual Session Notes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Adolescent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Adolescent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Adolescent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program serves adolescents.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that provides treatment to adolescents.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program that serves adolescents meets the additional Adolescent Treatment standards, providing developmentally appropriate services with staff qualified to serve adolescents, obtaining parental or guardian consent and involvement as required, providing protections appropriate to minors, providing for the education of school-age clients, and coordinating with families, schools, and other youth-serving systems as applicable. Screening, assessment, treatment planning, records, and rights follow the general standards in this manual, adapted to the developmental and legal needs of adolescent clients.</w:t>
      </w:r>
    </w:p>
    <w:p>
      <w:pPr>
        <w:pStyle w:val="Normal"/>
        <w:pBdr>
          <w:bottom w:val="single" w:sz="4" w:space="1" w:color="2E5E45"/>
        </w:pBdr>
        <w:spacing w:before="160" w:after="80"/>
        <w:rPr/>
      </w:pPr>
      <w:r>
        <w:rPr>
          <w:rFonts w:eastAsia="Arial" w:cs="Arial"/>
          <w:b/>
          <w:bCs/>
          <w:color w:val="1A4731"/>
          <w:sz w:val="20"/>
          <w:szCs w:val="20"/>
        </w:rPr>
        <w:t>PROCEDURE — ADOLESCENT TREATMENT</w:t>
      </w:r>
    </w:p>
    <w:p>
      <w:pPr>
        <w:pStyle w:val="Normal"/>
        <w:tabs>
          <w:tab w:val="left" w:pos="720" w:leader="none"/>
        </w:tabs>
        <w:spacing w:lineRule="exact" w:line="264" w:before="0" w:after="80"/>
        <w:ind w:hanging="360" w:start="720"/>
        <w:rPr/>
      </w:pPr>
      <w:r>
        <w:rPr>
          <w:rFonts w:eastAsia="Arial" w:cs="Arial"/>
          <w:sz w:val="21"/>
          <w:szCs w:val="21"/>
        </w:rPr>
        <w:t>a. Provide developmentally appropriate services with staff qualified to serve adolescents and required parental or guardian consent and involvement.</w:t>
      </w:r>
    </w:p>
    <w:p>
      <w:pPr>
        <w:pStyle w:val="Normal"/>
        <w:tabs>
          <w:tab w:val="left" w:pos="720" w:leader="none"/>
        </w:tabs>
        <w:spacing w:lineRule="exact" w:line="264" w:before="0" w:after="80"/>
        <w:ind w:hanging="360" w:start="720"/>
        <w:rPr/>
      </w:pPr>
      <w:r>
        <w:rPr>
          <w:rFonts w:eastAsia="Arial" w:cs="Arial"/>
          <w:sz w:val="21"/>
          <w:szCs w:val="21"/>
        </w:rPr>
        <w:t>b. Provide protections appropriate to minors and for the education of school-age clients.</w:t>
      </w:r>
    </w:p>
    <w:p>
      <w:pPr>
        <w:pStyle w:val="Normal"/>
        <w:tabs>
          <w:tab w:val="left" w:pos="720" w:leader="none"/>
        </w:tabs>
        <w:spacing w:lineRule="exact" w:line="264" w:before="0" w:after="80"/>
        <w:ind w:hanging="360" w:start="720"/>
        <w:rPr/>
      </w:pPr>
      <w:r>
        <w:rPr>
          <w:rFonts w:eastAsia="Arial" w:cs="Arial"/>
          <w:sz w:val="21"/>
          <w:szCs w:val="21"/>
        </w:rPr>
        <w:t>c. Adapt assessment, planning, records, and rights to adolescent developmental and legal needs and coordinate with families and schools.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Parental / Guardian Consent &amp; Involvement Record</w:t>
      </w:r>
    </w:p>
    <w:p>
      <w:pPr>
        <w:pStyle w:val="ListParagraph"/>
        <w:numPr>
          <w:ilvl w:val="0"/>
          <w:numId w:val="1"/>
        </w:numPr>
        <w:spacing w:lineRule="exact" w:line="264" w:before="0" w:after="60"/>
        <w:rPr/>
      </w:pPr>
      <w:r>
        <w:rPr>
          <w:rFonts w:eastAsia="Arial" w:cs="Arial"/>
          <w:sz w:val="21"/>
          <w:szCs w:val="21"/>
        </w:rPr>
        <w:t>Adolescent Program Description &amp; Staffing</w:t>
      </w:r>
    </w:p>
    <w:p>
      <w:pPr>
        <w:pStyle w:val="ListParagraph"/>
        <w:numPr>
          <w:ilvl w:val="0"/>
          <w:numId w:val="1"/>
        </w:numPr>
        <w:spacing w:lineRule="exact" w:line="264" w:before="0" w:after="60"/>
        <w:rPr/>
      </w:pPr>
      <w:r>
        <w:rPr>
          <w:rFonts w:eastAsia="Arial" w:cs="Arial"/>
          <w:sz w:val="21"/>
          <w:szCs w:val="21"/>
        </w:rPr>
        <w:t>Education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Specialized Women's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Specialized Women's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Specialized Women's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program provides specialized services to women, including pregnant and parenting women.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that provides specialized women's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program that provides specialized women's services meets the additional Specialized Women's Services standards, providing gender-responsive treatment that addresses the needs of women, including pregnant and parenting women, such as prenatal and postpartum coordination, child care or accommodations for children where applicable, trauma-informed services, and coordination with medical, social, and child-welfare services. The program provides priority access for pregnant women as required, addresses parenting and family needs in the treatment plan, and documents these services in the client record.</w:t>
      </w:r>
    </w:p>
    <w:p>
      <w:pPr>
        <w:pStyle w:val="Normal"/>
        <w:pBdr>
          <w:bottom w:val="single" w:sz="4" w:space="1" w:color="2E5E45"/>
        </w:pBdr>
        <w:spacing w:before="160" w:after="80"/>
        <w:rPr/>
      </w:pPr>
      <w:r>
        <w:rPr>
          <w:rFonts w:eastAsia="Arial" w:cs="Arial"/>
          <w:b/>
          <w:bCs/>
          <w:color w:val="1A4731"/>
          <w:sz w:val="20"/>
          <w:szCs w:val="20"/>
        </w:rPr>
        <w:t>PROCEDURE — SPECIALIZED WOMEN'S SERVICES</w:t>
      </w:r>
    </w:p>
    <w:p>
      <w:pPr>
        <w:pStyle w:val="Normal"/>
        <w:tabs>
          <w:tab w:val="left" w:pos="720" w:leader="none"/>
        </w:tabs>
        <w:spacing w:lineRule="exact" w:line="264" w:before="0" w:after="80"/>
        <w:ind w:hanging="360" w:start="720"/>
        <w:rPr/>
      </w:pPr>
      <w:r>
        <w:rPr>
          <w:rFonts w:eastAsia="Arial" w:cs="Arial"/>
          <w:sz w:val="21"/>
          <w:szCs w:val="21"/>
        </w:rPr>
        <w:t>a. Provide gender-responsive, trauma-informed services addressing the needs of women, including pregnant and parenting women.</w:t>
      </w:r>
    </w:p>
    <w:p>
      <w:pPr>
        <w:pStyle w:val="Normal"/>
        <w:tabs>
          <w:tab w:val="left" w:pos="720" w:leader="none"/>
        </w:tabs>
        <w:spacing w:lineRule="exact" w:line="264" w:before="0" w:after="80"/>
        <w:ind w:hanging="360" w:start="720"/>
        <w:rPr/>
      </w:pPr>
      <w:r>
        <w:rPr>
          <w:rFonts w:eastAsia="Arial" w:cs="Arial"/>
          <w:sz w:val="21"/>
          <w:szCs w:val="21"/>
        </w:rPr>
        <w:t>b. Provide priority access for pregnant women and coordinate prenatal, postpartum, child-care, and child-welfare services as applicable.</w:t>
      </w:r>
    </w:p>
    <w:p>
      <w:pPr>
        <w:pStyle w:val="Normal"/>
        <w:tabs>
          <w:tab w:val="left" w:pos="720" w:leader="none"/>
        </w:tabs>
        <w:spacing w:lineRule="exact" w:line="264" w:before="0" w:after="80"/>
        <w:ind w:hanging="360" w:start="720"/>
        <w:rPr/>
      </w:pPr>
      <w:r>
        <w:rPr>
          <w:rFonts w:eastAsia="Arial" w:cs="Arial"/>
          <w:sz w:val="21"/>
          <w:szCs w:val="21"/>
        </w:rPr>
        <w:t>c. Address parenting and family needs in the treatment plan and document these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Women's Services Program Description</w:t>
      </w:r>
    </w:p>
    <w:p>
      <w:pPr>
        <w:pStyle w:val="ListParagraph"/>
        <w:numPr>
          <w:ilvl w:val="0"/>
          <w:numId w:val="1"/>
        </w:numPr>
        <w:spacing w:lineRule="exact" w:line="264" w:before="0" w:after="60"/>
        <w:rPr/>
      </w:pPr>
      <w:r>
        <w:rPr>
          <w:rFonts w:eastAsia="Arial" w:cs="Arial"/>
          <w:sz w:val="21"/>
          <w:szCs w:val="21"/>
        </w:rPr>
        <w:t>Pregnant/Parenting Client Coordination Record</w:t>
      </w:r>
    </w:p>
    <w:p>
      <w:pPr>
        <w:pStyle w:val="ListParagraph"/>
        <w:numPr>
          <w:ilvl w:val="0"/>
          <w:numId w:val="1"/>
        </w:numPr>
        <w:spacing w:lineRule="exact" w:line="264" w:before="0" w:after="60"/>
        <w:rPr/>
      </w:pPr>
      <w:r>
        <w:rPr>
          <w:rFonts w:eastAsia="Arial" w:cs="Arial"/>
          <w:sz w:val="21"/>
          <w:szCs w:val="21"/>
        </w:rPr>
        <w:t>Prenatal / Child-Welfare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Criminal Justice &amp; Act 10 Court-Ordered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Criminal Justice &amp; Act 10 Court-Ordered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Criminal Justice System; A.C.A. § 20-47-201 et seq. (Act 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program serves criminal-justice-involved or court-ordered clients, including Act 10 commitments.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that serves criminal-justice-involved or court-ordered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program that serves criminal-justice-involved clients meets the additional Criminal Justice System standards, coordinating with courts, probation, parole, and other referral sources within the limits of client confidentiality (42 CFR Part 2 and HIPAA), obtaining appropriate consents for required reporting, and documenting court-ordered conditions and the client's progress. Where the program provides Act 10 court-ordered treatment under A.C.A. § 20-47-201 et seq. for individuals who are homicidal, suicidal, or gravely disabled due to substance abuse, it provides such treatment in the required setting (including a locked residential setting where required for Act 10 clients), with the assessment, safety, staffing, and reporting the law and the program's contract require. Court-ordered services are documented, and the program does not disclose protected information without a valid legal basis.</w:t>
      </w:r>
    </w:p>
    <w:p>
      <w:pPr>
        <w:pStyle w:val="Normal"/>
        <w:pBdr>
          <w:bottom w:val="single" w:sz="4" w:space="1" w:color="2E5E45"/>
        </w:pBdr>
        <w:spacing w:before="160" w:after="80"/>
        <w:rPr/>
      </w:pPr>
      <w:r>
        <w:rPr>
          <w:rFonts w:eastAsia="Arial" w:cs="Arial"/>
          <w:b/>
          <w:bCs/>
          <w:color w:val="1A4731"/>
          <w:sz w:val="20"/>
          <w:szCs w:val="20"/>
        </w:rPr>
        <w:t>PROCEDURE — CRIMINAL JUSTICE &amp; ACT 10</w:t>
      </w:r>
    </w:p>
    <w:p>
      <w:pPr>
        <w:pStyle w:val="Normal"/>
        <w:tabs>
          <w:tab w:val="left" w:pos="720" w:leader="none"/>
        </w:tabs>
        <w:spacing w:lineRule="exact" w:line="264" w:before="0" w:after="80"/>
        <w:ind w:hanging="360" w:start="720"/>
        <w:rPr/>
      </w:pPr>
      <w:r>
        <w:rPr>
          <w:rFonts w:eastAsia="Arial" w:cs="Arial"/>
          <w:sz w:val="21"/>
          <w:szCs w:val="21"/>
        </w:rPr>
        <w:t>a. Coordinate with courts and supervision authorities within confidentiality limits, obtaining appropriate consents and documenting court-ordered conditions.</w:t>
      </w:r>
    </w:p>
    <w:p>
      <w:pPr>
        <w:pStyle w:val="Normal"/>
        <w:tabs>
          <w:tab w:val="left" w:pos="720" w:leader="none"/>
        </w:tabs>
        <w:spacing w:lineRule="exact" w:line="264" w:before="0" w:after="80"/>
        <w:ind w:hanging="360" w:start="720"/>
        <w:rPr/>
      </w:pPr>
      <w:r>
        <w:rPr>
          <w:rFonts w:eastAsia="Arial" w:cs="Arial"/>
          <w:sz w:val="21"/>
          <w:szCs w:val="21"/>
        </w:rPr>
        <w:t>b. Where providing Act 10 treatment, provide it in the required setting with the required assessment, safety, staffing, and reporting.</w:t>
      </w:r>
    </w:p>
    <w:p>
      <w:pPr>
        <w:pStyle w:val="Normal"/>
        <w:tabs>
          <w:tab w:val="left" w:pos="720" w:leader="none"/>
        </w:tabs>
        <w:spacing w:lineRule="exact" w:line="264" w:before="0" w:after="80"/>
        <w:ind w:hanging="360" w:start="720"/>
        <w:rPr/>
      </w:pPr>
      <w:r>
        <w:rPr>
          <w:rFonts w:eastAsia="Arial" w:cs="Arial"/>
          <w:sz w:val="21"/>
          <w:szCs w:val="21"/>
        </w:rPr>
        <w:t>c. Document court-ordered services and disclose protected information only on a valid legal basis.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Court-Order / Referral Documentation</w:t>
      </w:r>
    </w:p>
    <w:p>
      <w:pPr>
        <w:pStyle w:val="ListParagraph"/>
        <w:numPr>
          <w:ilvl w:val="0"/>
          <w:numId w:val="1"/>
        </w:numPr>
        <w:spacing w:lineRule="exact" w:line="264" w:before="0" w:after="60"/>
        <w:rPr/>
      </w:pPr>
      <w:r>
        <w:rPr>
          <w:rFonts w:eastAsia="Arial" w:cs="Arial"/>
          <w:sz w:val="21"/>
          <w:szCs w:val="21"/>
        </w:rPr>
        <w:t>Criminal-Justice Consent &amp; Reporting Record</w:t>
      </w:r>
    </w:p>
    <w:p>
      <w:pPr>
        <w:pStyle w:val="ListParagraph"/>
        <w:numPr>
          <w:ilvl w:val="0"/>
          <w:numId w:val="1"/>
        </w:numPr>
        <w:spacing w:lineRule="exact" w:line="264" w:before="0" w:after="60"/>
        <w:rPr/>
      </w:pPr>
      <w:r>
        <w:rPr>
          <w:rFonts w:eastAsia="Arial" w:cs="Arial"/>
          <w:sz w:val="21"/>
          <w:szCs w:val="21"/>
        </w:rPr>
        <w:t>Act 10 Assessment &amp; Setting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Opioid Treatment Programs (Methadone / Buprenorphine)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Opioid Treatment Programs (Methadone / Buprenorphine)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Part 433 — Opioid Treatment; 42 CFR Part 8; SAMHSA/CSAT; DEA; SOTA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program operates an opioid treatment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and approved to operate an opioid treatment program (OTP).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opioid treatment program administers approved medications (such as methadone or buprenorphine) for the treatment of opioid use disorder, in accordance with the Opioid Treatment standards developed by the office and all applicable federal, state, and local requirements, including those of SAMHSA, the Center for Substance Abuse Treatment (CSAT), the Drug Enforcement Administration (DEA), and the State Opioid Treatment Authority (SOTA); the office is the SOTA governing opioid treatment in Arkansas. Before operating, the OTP obtains DEA and CSAT approval and OADAP licensure as an alcohol and other drug abuse treatment program. The OTP meets the standards for applicant screening, admission and readmission criteria, services to women, treatment structure, special staffing, program policies, take-home medication and exceptional take-home, program security, client records, drug screening, dosage reporting, 24-hour emergency services, transferring and visiting clients, and discharge, and is subject to at least quarterly unannounced compliance reviews. Methadone programs are licensed directly by the office and cannot use the accreditation deemed-licensure path.</w:t>
      </w:r>
    </w:p>
    <w:p>
      <w:pPr>
        <w:pStyle w:val="Normal"/>
        <w:pBdr>
          <w:bottom w:val="single" w:sz="4" w:space="1" w:color="2E5E45"/>
        </w:pBdr>
        <w:spacing w:before="160" w:after="80"/>
        <w:rPr/>
      </w:pPr>
      <w:r>
        <w:rPr>
          <w:rFonts w:eastAsia="Arial" w:cs="Arial"/>
          <w:b/>
          <w:bCs/>
          <w:color w:val="1A4731"/>
          <w:sz w:val="20"/>
          <w:szCs w:val="20"/>
        </w:rPr>
        <w:t>PROCEDURE — OPIOID TREATMENT</w:t>
      </w:r>
    </w:p>
    <w:p>
      <w:pPr>
        <w:pStyle w:val="Normal"/>
        <w:tabs>
          <w:tab w:val="left" w:pos="720" w:leader="none"/>
        </w:tabs>
        <w:spacing w:lineRule="exact" w:line="264" w:before="0" w:after="80"/>
        <w:ind w:hanging="360" w:start="720"/>
        <w:rPr/>
      </w:pPr>
      <w:r>
        <w:rPr>
          <w:rFonts w:eastAsia="Arial" w:cs="Arial"/>
          <w:sz w:val="21"/>
          <w:szCs w:val="21"/>
        </w:rPr>
        <w:t>a. Obtain DEA and CSAT approval and OADAP licensure before operating and comply with SAMHSA, CSAT, DEA, and SOTA requirements.</w:t>
      </w:r>
    </w:p>
    <w:p>
      <w:pPr>
        <w:pStyle w:val="Normal"/>
        <w:tabs>
          <w:tab w:val="left" w:pos="720" w:leader="none"/>
        </w:tabs>
        <w:spacing w:lineRule="exact" w:line="264" w:before="0" w:after="80"/>
        <w:ind w:hanging="360" w:start="720"/>
        <w:rPr/>
      </w:pPr>
      <w:r>
        <w:rPr>
          <w:rFonts w:eastAsia="Arial" w:cs="Arial"/>
          <w:sz w:val="21"/>
          <w:szCs w:val="21"/>
        </w:rPr>
        <w:t>b. Meet the OTP standards for screening, admission, dosing, take-home, security, drug screening, dosage reporting, emergency services, and discharge.</w:t>
      </w:r>
    </w:p>
    <w:p>
      <w:pPr>
        <w:pStyle w:val="Normal"/>
        <w:tabs>
          <w:tab w:val="left" w:pos="720" w:leader="none"/>
        </w:tabs>
        <w:spacing w:lineRule="exact" w:line="264" w:before="0" w:after="80"/>
        <w:ind w:hanging="360" w:start="720"/>
        <w:rPr/>
      </w:pPr>
      <w:r>
        <w:rPr>
          <w:rFonts w:eastAsia="Arial" w:cs="Arial"/>
          <w:sz w:val="21"/>
          <w:szCs w:val="21"/>
        </w:rPr>
        <w:t>c. Undergo at least quarterly unannounced compliance reviews and license methadone programs directly through the office.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DEA / CSAT Approval &amp; OTP License File</w:t>
      </w:r>
    </w:p>
    <w:p>
      <w:pPr>
        <w:pStyle w:val="ListParagraph"/>
        <w:numPr>
          <w:ilvl w:val="0"/>
          <w:numId w:val="1"/>
        </w:numPr>
        <w:spacing w:lineRule="exact" w:line="264" w:before="0" w:after="60"/>
        <w:rPr/>
      </w:pPr>
      <w:r>
        <w:rPr>
          <w:rFonts w:eastAsia="Arial" w:cs="Arial"/>
          <w:sz w:val="21"/>
          <w:szCs w:val="21"/>
        </w:rPr>
        <w:t>Dosing, Take-Home &amp; Diversion-Control Records</w:t>
      </w:r>
    </w:p>
    <w:p>
      <w:pPr>
        <w:pStyle w:val="ListParagraph"/>
        <w:numPr>
          <w:ilvl w:val="0"/>
          <w:numId w:val="1"/>
        </w:numPr>
        <w:spacing w:lineRule="exact" w:line="264" w:before="0" w:after="60"/>
        <w:rPr/>
      </w:pPr>
      <w:r>
        <w:rPr>
          <w:rFonts w:eastAsia="Arial" w:cs="Arial"/>
          <w:sz w:val="21"/>
          <w:szCs w:val="21"/>
        </w:rPr>
        <w:t>OTP Drug Screening &amp; Dosage Reporting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Therapeutic Communities &amp; Residential Community Reintegration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Therapeutic Communities &amp; Residential Community Reintegration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Specialized &amp; Program-Type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DAABHS/DPSQA — Therapeutic Communities &amp; Residential Community Reintegration Certification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program operates a therapeutic community or a residential community reintegration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that operates a therapeutic community or a certified residential community reintegration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program operates a therapeutic community (TC), it provides the structured, community-based, long-term residential treatment model the TC standards describe, with the peer- and community-based structure, phases, staffing, and safety measures required. Where the program operates a residential community reintegration program, it provides the structured transitional services that support clients' reintegration into the community, in accordance with the applicable DAABHS certification requirements. Both are delivered with the clinical services in Sections C and D and the residential and safety requirements in Section E, and each program obtains and maintains the certification the office requires for that program type.</w:t>
      </w:r>
    </w:p>
    <w:p>
      <w:pPr>
        <w:pStyle w:val="Normal"/>
        <w:pBdr>
          <w:bottom w:val="single" w:sz="4" w:space="1" w:color="2E5E45"/>
        </w:pBdr>
        <w:spacing w:before="160" w:after="80"/>
        <w:rPr/>
      </w:pPr>
      <w:r>
        <w:rPr>
          <w:rFonts w:eastAsia="Arial" w:cs="Arial"/>
          <w:b/>
          <w:bCs/>
          <w:color w:val="1A4731"/>
          <w:sz w:val="20"/>
          <w:szCs w:val="20"/>
        </w:rPr>
        <w:t>PROCEDURE — TC &amp; REINTEGRATION</w:t>
      </w:r>
    </w:p>
    <w:p>
      <w:pPr>
        <w:pStyle w:val="Normal"/>
        <w:tabs>
          <w:tab w:val="left" w:pos="720" w:leader="none"/>
        </w:tabs>
        <w:spacing w:lineRule="exact" w:line="264" w:before="0" w:after="80"/>
        <w:ind w:hanging="360" w:start="720"/>
        <w:rPr/>
      </w:pPr>
      <w:r>
        <w:rPr>
          <w:rFonts w:eastAsia="Arial" w:cs="Arial"/>
          <w:sz w:val="21"/>
          <w:szCs w:val="21"/>
        </w:rPr>
        <w:t>a. Operate the therapeutic community or residential community reintegration program per the applicable standards and certification.</w:t>
      </w:r>
    </w:p>
    <w:p>
      <w:pPr>
        <w:pStyle w:val="Normal"/>
        <w:tabs>
          <w:tab w:val="left" w:pos="720" w:leader="none"/>
        </w:tabs>
        <w:spacing w:lineRule="exact" w:line="264" w:before="0" w:after="80"/>
        <w:ind w:hanging="360" w:start="720"/>
        <w:rPr/>
      </w:pPr>
      <w:r>
        <w:rPr>
          <w:rFonts w:eastAsia="Arial" w:cs="Arial"/>
          <w:sz w:val="21"/>
          <w:szCs w:val="21"/>
        </w:rPr>
        <w:t>b. Deliver the Section C–D clinical services and Section E residential and safety requirements.</w:t>
      </w:r>
    </w:p>
    <w:p>
      <w:pPr>
        <w:pStyle w:val="Normal"/>
        <w:tabs>
          <w:tab w:val="left" w:pos="720" w:leader="none"/>
        </w:tabs>
        <w:spacing w:lineRule="exact" w:line="264" w:before="0" w:after="80"/>
        <w:ind w:hanging="360" w:start="720"/>
        <w:rPr/>
      </w:pPr>
      <w:r>
        <w:rPr>
          <w:rFonts w:eastAsia="Arial" w:cs="Arial"/>
          <w:sz w:val="21"/>
          <w:szCs w:val="21"/>
        </w:rPr>
        <w:t>c. Obtain and maintain the certification the office requires for the program type.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Therapeutic Community / Reintegration Program Description</w:t>
      </w:r>
    </w:p>
    <w:p>
      <w:pPr>
        <w:pStyle w:val="ListParagraph"/>
        <w:numPr>
          <w:ilvl w:val="0"/>
          <w:numId w:val="1"/>
        </w:numPr>
        <w:spacing w:lineRule="exact" w:line="264" w:before="0" w:after="60"/>
        <w:rPr/>
      </w:pPr>
      <w:r>
        <w:rPr>
          <w:rFonts w:eastAsia="Arial" w:cs="Arial"/>
          <w:sz w:val="21"/>
          <w:szCs w:val="21"/>
        </w:rPr>
        <w:t>Program Certification File</w:t>
      </w:r>
    </w:p>
    <w:p>
      <w:pPr>
        <w:pStyle w:val="ListParagraph"/>
        <w:numPr>
          <w:ilvl w:val="0"/>
          <w:numId w:val="1"/>
        </w:numPr>
        <w:spacing w:lineRule="exact" w:line="264" w:before="0" w:after="60"/>
        <w:rPr/>
      </w:pPr>
      <w:r>
        <w:rPr>
          <w:rFonts w:eastAsia="Arial" w:cs="Arial"/>
          <w:sz w:val="21"/>
          <w:szCs w:val="21"/>
        </w:rPr>
        <w:t>Phase / Reintegration Progress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Arkansas agencies and resources, guidance on customizing the manual and matching it to the program's services,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Arkansas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program should maintain a current copy of each and customize as needed. Where a form corresponds to an official DHS/OADAP or accreditor form, use the current official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Articles of Incorporation / Organizing Documents &amp; Bylaws</w:t>
      </w:r>
    </w:p>
    <w:p>
      <w:pPr>
        <w:pStyle w:val="ListParagraph"/>
        <w:numPr>
          <w:ilvl w:val="0"/>
          <w:numId w:val="1"/>
        </w:numPr>
        <w:spacing w:lineRule="exact" w:line="264" w:before="0" w:after="60"/>
        <w:rPr/>
      </w:pPr>
      <w:r>
        <w:rPr>
          <w:rFonts w:eastAsia="Arial" w:cs="Arial"/>
          <w:sz w:val="21"/>
          <w:szCs w:val="21"/>
        </w:rPr>
        <w:t>Governing Body Roster &amp; Minutes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Application for Licensure</w:t>
      </w:r>
    </w:p>
    <w:p>
      <w:pPr>
        <w:pStyle w:val="ListParagraph"/>
        <w:numPr>
          <w:ilvl w:val="0"/>
          <w:numId w:val="1"/>
        </w:numPr>
        <w:spacing w:lineRule="exact" w:line="264" w:before="0" w:after="60"/>
        <w:rPr/>
      </w:pPr>
      <w:r>
        <w:rPr>
          <w:rFonts w:eastAsia="Arial" w:cs="Arial"/>
          <w:sz w:val="21"/>
          <w:szCs w:val="21"/>
        </w:rPr>
        <w:t>Current License &amp; License-Type Record</w:t>
      </w:r>
    </w:p>
    <w:p>
      <w:pPr>
        <w:pStyle w:val="ListParagraph"/>
        <w:numPr>
          <w:ilvl w:val="0"/>
          <w:numId w:val="1"/>
        </w:numPr>
        <w:spacing w:lineRule="exact" w:line="264" w:before="0" w:after="60"/>
        <w:rPr/>
      </w:pPr>
      <w:r>
        <w:rPr>
          <w:rFonts w:eastAsia="Arial" w:cs="Arial"/>
          <w:sz w:val="21"/>
          <w:szCs w:val="21"/>
        </w:rPr>
        <w:t>Corrective Action Plan (probationary)</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Deemed-Licensure Verification (six standard areas)</w:t>
      </w:r>
    </w:p>
    <w:p>
      <w:pPr>
        <w:pStyle w:val="ListParagraph"/>
        <w:numPr>
          <w:ilvl w:val="0"/>
          <w:numId w:val="1"/>
        </w:numPr>
        <w:spacing w:lineRule="exact" w:line="264" w:before="0" w:after="60"/>
        <w:rPr/>
      </w:pPr>
      <w:r>
        <w:rPr>
          <w:rFonts w:eastAsia="Arial" w:cs="Arial"/>
          <w:sz w:val="21"/>
          <w:szCs w:val="21"/>
        </w:rPr>
        <w:t>Program Plan &amp; Goals</w:t>
      </w:r>
    </w:p>
    <w:p>
      <w:pPr>
        <w:pStyle w:val="ListParagraph"/>
        <w:numPr>
          <w:ilvl w:val="0"/>
          <w:numId w:val="1"/>
        </w:numPr>
        <w:spacing w:lineRule="exact" w:line="264" w:before="0" w:after="60"/>
        <w:rPr/>
      </w:pPr>
      <w:r>
        <w:rPr>
          <w:rFonts w:eastAsia="Arial" w:cs="Arial"/>
          <w:sz w:val="21"/>
          <w:szCs w:val="21"/>
        </w:rPr>
        <w:t>Program Evaluation Report</w:t>
      </w:r>
    </w:p>
    <w:p>
      <w:pPr>
        <w:pStyle w:val="ListParagraph"/>
        <w:numPr>
          <w:ilvl w:val="0"/>
          <w:numId w:val="1"/>
        </w:numPr>
        <w:spacing w:lineRule="exact" w:line="264" w:before="0" w:after="60"/>
        <w:rPr/>
      </w:pPr>
      <w:r>
        <w:rPr>
          <w:rFonts w:eastAsia="Arial" w:cs="Arial"/>
          <w:sz w:val="21"/>
          <w:szCs w:val="21"/>
        </w:rPr>
        <w:t>ADMIS Data Reporting Record</w:t>
      </w:r>
    </w:p>
    <w:p>
      <w:pPr>
        <w:pStyle w:val="ListParagraph"/>
        <w:numPr>
          <w:ilvl w:val="0"/>
          <w:numId w:val="1"/>
        </w:numPr>
        <w:spacing w:lineRule="exact" w:line="264" w:before="0" w:after="60"/>
        <w:rPr/>
      </w:pPr>
      <w:r>
        <w:rPr>
          <w:rFonts w:eastAsia="Arial" w:cs="Arial"/>
          <w:sz w:val="21"/>
          <w:szCs w:val="21"/>
        </w:rPr>
        <w:t>Annual Budget</w:t>
      </w:r>
    </w:p>
    <w:p>
      <w:pPr>
        <w:pStyle w:val="ListParagraph"/>
        <w:numPr>
          <w:ilvl w:val="0"/>
          <w:numId w:val="1"/>
        </w:numPr>
        <w:spacing w:lineRule="exact" w:line="264" w:before="0" w:after="60"/>
        <w:rPr/>
      </w:pPr>
      <w:r>
        <w:rPr>
          <w:rFonts w:eastAsia="Arial" w:cs="Arial"/>
          <w:sz w:val="21"/>
          <w:szCs w:val="21"/>
        </w:rPr>
        <w:t>Financial Audit / Review Records</w:t>
      </w:r>
    </w:p>
    <w:p>
      <w:pPr>
        <w:pStyle w:val="ListParagraph"/>
        <w:numPr>
          <w:ilvl w:val="0"/>
          <w:numId w:val="1"/>
        </w:numPr>
        <w:spacing w:lineRule="exact" w:line="264" w:before="0" w:after="60"/>
        <w:rPr/>
      </w:pPr>
      <w:r>
        <w:rPr>
          <w:rFonts w:eastAsia="Arial" w:cs="Arial"/>
          <w:sz w:val="21"/>
          <w:szCs w:val="21"/>
        </w:rPr>
        <w:t>Policy &amp; Procedures Manual Index</w:t>
      </w:r>
    </w:p>
    <w:p>
      <w:pPr>
        <w:pStyle w:val="ListParagraph"/>
        <w:numPr>
          <w:ilvl w:val="0"/>
          <w:numId w:val="1"/>
        </w:numPr>
        <w:spacing w:lineRule="exact" w:line="264" w:before="0" w:after="60"/>
        <w:rPr/>
      </w:pPr>
      <w:r>
        <w:rPr>
          <w:rFonts w:eastAsia="Arial" w:cs="Arial"/>
          <w:sz w:val="21"/>
          <w:szCs w:val="21"/>
        </w:rPr>
        <w:t>Client Handbook</w:t>
      </w:r>
    </w:p>
    <w:p>
      <w:pPr>
        <w:pStyle w:val="ListParagraph"/>
        <w:numPr>
          <w:ilvl w:val="0"/>
          <w:numId w:val="1"/>
        </w:numPr>
        <w:spacing w:lineRule="exact" w:line="264" w:before="0" w:after="60"/>
        <w:rPr/>
      </w:pPr>
      <w:r>
        <w:rPr>
          <w:rFonts w:eastAsia="Arial" w:cs="Arial"/>
          <w:sz w:val="21"/>
          <w:szCs w:val="21"/>
        </w:rPr>
        <w:t>Inspection Certifications &amp; Compliance Review File</w:t>
      </w:r>
    </w:p>
    <w:p>
      <w:pPr>
        <w:pStyle w:val="Normal"/>
        <w:spacing w:before="140" w:after="40"/>
        <w:rPr/>
      </w:pPr>
      <w:r>
        <w:rPr>
          <w:rFonts w:eastAsia="Arial" w:cs="Arial"/>
          <w:b/>
          <w:bCs/>
          <w:color w:val="333333"/>
          <w:sz w:val="21"/>
          <w:szCs w:val="21"/>
        </w:rPr>
        <w:t>Section B — Human Resources &amp; Workforce</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Job Descriptions &amp; Qualifications</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Scope-of-Practice / Plan-Signing Authority Roster</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Eligibility / Waiver Determination Record</w:t>
      </w:r>
    </w:p>
    <w:p>
      <w:pPr>
        <w:pStyle w:val="Normal"/>
        <w:spacing w:before="140" w:after="40"/>
        <w:rPr/>
      </w:pPr>
      <w:r>
        <w:rPr>
          <w:rFonts w:eastAsia="Arial" w:cs="Arial"/>
          <w:b/>
          <w:bCs/>
          <w:color w:val="333333"/>
          <w:sz w:val="21"/>
          <w:szCs w:val="21"/>
        </w:rPr>
        <w:t>Section C — Client Rights, Confidentiality &amp; Protection</w:t>
      </w:r>
    </w:p>
    <w:p>
      <w:pPr>
        <w:pStyle w:val="ListParagraph"/>
        <w:numPr>
          <w:ilvl w:val="0"/>
          <w:numId w:val="1"/>
        </w:numPr>
        <w:spacing w:lineRule="exact" w:line="264" w:before="0" w:after="60"/>
        <w:rPr/>
      </w:pPr>
      <w:r>
        <w:rPr>
          <w:rFonts w:eastAsia="Arial" w:cs="Arial"/>
          <w:sz w:val="21"/>
          <w:szCs w:val="21"/>
        </w:rPr>
        <w:t>Client Rights Statement (Client Handbook)</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Program Rules Acknowledgment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Client Grievance / Appeal Form &amp; Log</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Suspected Maltreatment Report Record</w:t>
      </w:r>
    </w:p>
    <w:p>
      <w:pPr>
        <w:pStyle w:val="Normal"/>
        <w:spacing w:before="140" w:after="40"/>
        <w:rPr/>
      </w:pPr>
      <w:r>
        <w:rPr>
          <w:rFonts w:eastAsia="Arial" w:cs="Arial"/>
          <w:b/>
          <w:bCs/>
          <w:color w:val="333333"/>
          <w:sz w:val="21"/>
          <w:szCs w:val="21"/>
        </w:rPr>
        <w:t>Section D — Clinical Procedures</w:t>
      </w:r>
    </w:p>
    <w:p>
      <w:pPr>
        <w:pStyle w:val="ListParagraph"/>
        <w:numPr>
          <w:ilvl w:val="0"/>
          <w:numId w:val="1"/>
        </w:numPr>
        <w:spacing w:lineRule="exact" w:line="264" w:before="0" w:after="60"/>
        <w:rPr/>
      </w:pPr>
      <w:r>
        <w:rPr>
          <w:rFonts w:eastAsia="Arial" w:cs="Arial"/>
          <w:sz w:val="21"/>
          <w:szCs w:val="21"/>
        </w:rPr>
        <w:t>Case Management Record</w:t>
      </w:r>
    </w:p>
    <w:p>
      <w:pPr>
        <w:pStyle w:val="ListParagraph"/>
        <w:numPr>
          <w:ilvl w:val="0"/>
          <w:numId w:val="1"/>
        </w:numPr>
        <w:spacing w:lineRule="exact" w:line="264" w:before="0" w:after="60"/>
        <w:rPr/>
      </w:pPr>
      <w:r>
        <w:rPr>
          <w:rFonts w:eastAsia="Arial" w:cs="Arial"/>
          <w:sz w:val="21"/>
          <w:szCs w:val="21"/>
        </w:rPr>
        <w:t>Screening Form</w:t>
      </w:r>
    </w:p>
    <w:p>
      <w:pPr>
        <w:pStyle w:val="ListParagraph"/>
        <w:numPr>
          <w:ilvl w:val="0"/>
          <w:numId w:val="1"/>
        </w:numPr>
        <w:spacing w:lineRule="exact" w:line="264" w:before="0" w:after="60"/>
        <w:rPr/>
      </w:pPr>
      <w:r>
        <w:rPr>
          <w:rFonts w:eastAsia="Arial" w:cs="Arial"/>
          <w:sz w:val="21"/>
          <w:szCs w:val="21"/>
        </w:rPr>
        <w:t>Initial Assessment</w:t>
      </w:r>
    </w:p>
    <w:p>
      <w:pPr>
        <w:pStyle w:val="ListParagraph"/>
        <w:numPr>
          <w:ilvl w:val="0"/>
          <w:numId w:val="1"/>
        </w:numPr>
        <w:spacing w:lineRule="exact" w:line="264" w:before="0" w:after="60"/>
        <w:rPr/>
      </w:pPr>
      <w:r>
        <w:rPr>
          <w:rFonts w:eastAsia="Arial" w:cs="Arial"/>
          <w:sz w:val="21"/>
          <w:szCs w:val="21"/>
        </w:rPr>
        <w:t>Admission Criteria Checklist &amp; Referral Record</w:t>
      </w:r>
    </w:p>
    <w:p>
      <w:pPr>
        <w:pStyle w:val="ListParagraph"/>
        <w:numPr>
          <w:ilvl w:val="0"/>
          <w:numId w:val="1"/>
        </w:numPr>
        <w:spacing w:lineRule="exact" w:line="264" w:before="0" w:after="60"/>
        <w:rPr/>
      </w:pPr>
      <w:r>
        <w:rPr>
          <w:rFonts w:eastAsia="Arial" w:cs="Arial"/>
          <w:sz w:val="21"/>
          <w:szCs w:val="21"/>
        </w:rPr>
        <w:t>Initial Treatment Plan</w:t>
      </w:r>
    </w:p>
    <w:p>
      <w:pPr>
        <w:pStyle w:val="ListParagraph"/>
        <w:numPr>
          <w:ilvl w:val="0"/>
          <w:numId w:val="1"/>
        </w:numPr>
        <w:spacing w:lineRule="exact" w:line="264" w:before="0" w:after="60"/>
        <w:rPr/>
      </w:pPr>
      <w:r>
        <w:rPr>
          <w:rFonts w:eastAsia="Arial" w:cs="Arial"/>
          <w:sz w:val="21"/>
          <w:szCs w:val="21"/>
        </w:rPr>
        <w:t>Comprehensive (Master)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Aftercare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40" w:after="40"/>
        <w:rPr/>
      </w:pPr>
      <w:r>
        <w:rPr>
          <w:rFonts w:eastAsia="Arial" w:cs="Arial"/>
          <w:b/>
          <w:bCs/>
          <w:color w:val="333333"/>
          <w:sz w:val="21"/>
          <w:szCs w:val="21"/>
        </w:rPr>
        <w:t>Section E — Facility, Medication &amp; Safety</w:t>
      </w:r>
    </w:p>
    <w:p>
      <w:pPr>
        <w:pStyle w:val="ListParagraph"/>
        <w:numPr>
          <w:ilvl w:val="0"/>
          <w:numId w:val="1"/>
        </w:numPr>
        <w:spacing w:lineRule="exact" w:line="264" w:before="0" w:after="60"/>
        <w:rPr/>
      </w:pPr>
      <w:r>
        <w:rPr>
          <w:rFonts w:eastAsia="Arial" w:cs="Arial"/>
          <w:sz w:val="21"/>
          <w:szCs w:val="21"/>
        </w:rPr>
        <w:t>Physical Environment Inspection Checklist</w:t>
      </w:r>
    </w:p>
    <w:p>
      <w:pPr>
        <w:pStyle w:val="ListParagraph"/>
        <w:numPr>
          <w:ilvl w:val="0"/>
          <w:numId w:val="1"/>
        </w:numPr>
        <w:spacing w:lineRule="exact" w:line="264" w:before="0" w:after="60"/>
        <w:rPr/>
      </w:pPr>
      <w:r>
        <w:rPr>
          <w:rFonts w:eastAsia="Arial" w:cs="Arial"/>
          <w:sz w:val="21"/>
          <w:szCs w:val="21"/>
        </w:rPr>
        <w:t>Building, Fire, Safety &amp; Health Certifications</w:t>
      </w:r>
    </w:p>
    <w:p>
      <w:pPr>
        <w:pStyle w:val="ListParagraph"/>
        <w:numPr>
          <w:ilvl w:val="0"/>
          <w:numId w:val="1"/>
        </w:numPr>
        <w:spacing w:lineRule="exact" w:line="264" w:before="0" w:after="60"/>
        <w:rPr/>
      </w:pPr>
      <w:r>
        <w:rPr>
          <w:rFonts w:eastAsia="Arial" w:cs="Arial"/>
          <w:sz w:val="21"/>
          <w:szCs w:val="21"/>
        </w:rPr>
        <w:t>Maintenance &amp; Repair Log</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Infection Control Plan</w:t>
      </w:r>
    </w:p>
    <w:p>
      <w:pPr>
        <w:pStyle w:val="Normal"/>
        <w:spacing w:before="140" w:after="40"/>
        <w:rPr/>
      </w:pPr>
      <w:r>
        <w:rPr>
          <w:rFonts w:eastAsia="Arial" w:cs="Arial"/>
          <w:b/>
          <w:bCs/>
          <w:color w:val="333333"/>
          <w:sz w:val="21"/>
          <w:szCs w:val="21"/>
        </w:rPr>
        <w:t>Section F — Specialized &amp; Program-Type Standards</w:t>
      </w:r>
    </w:p>
    <w:p>
      <w:pPr>
        <w:pStyle w:val="ListParagraph"/>
        <w:numPr>
          <w:ilvl w:val="0"/>
          <w:numId w:val="1"/>
        </w:numPr>
        <w:spacing w:lineRule="exact" w:line="264" w:before="0" w:after="60"/>
        <w:rPr/>
      </w:pPr>
      <w:r>
        <w:rPr>
          <w:rFonts w:eastAsia="Arial" w:cs="Arial"/>
          <w:sz w:val="21"/>
          <w:szCs w:val="21"/>
        </w:rPr>
        <w:t>Detoxification Suitability Assessment</w:t>
      </w:r>
    </w:p>
    <w:p>
      <w:pPr>
        <w:pStyle w:val="ListParagraph"/>
        <w:numPr>
          <w:ilvl w:val="0"/>
          <w:numId w:val="1"/>
        </w:numPr>
        <w:spacing w:lineRule="exact" w:line="264" w:before="0" w:after="60"/>
        <w:rPr/>
      </w:pPr>
      <w:r>
        <w:rPr>
          <w:rFonts w:eastAsia="Arial" w:cs="Arial"/>
          <w:sz w:val="21"/>
          <w:szCs w:val="21"/>
        </w:rPr>
        <w:t>Withdrawal Monitoring Protocol &amp; Record</w:t>
      </w:r>
    </w:p>
    <w:p>
      <w:pPr>
        <w:pStyle w:val="ListParagraph"/>
        <w:numPr>
          <w:ilvl w:val="0"/>
          <w:numId w:val="1"/>
        </w:numPr>
        <w:spacing w:lineRule="exact" w:line="264" w:before="0" w:after="60"/>
        <w:rPr/>
      </w:pPr>
      <w:r>
        <w:rPr>
          <w:rFonts w:eastAsia="Arial" w:cs="Arial"/>
          <w:sz w:val="21"/>
          <w:szCs w:val="21"/>
        </w:rPr>
        <w:t>Higher-Level-of-Care / Transfer Criteria</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Staffing &amp; Supervision Record</w:t>
      </w:r>
    </w:p>
    <w:p>
      <w:pPr>
        <w:pStyle w:val="ListParagraph"/>
        <w:numPr>
          <w:ilvl w:val="0"/>
          <w:numId w:val="1"/>
        </w:numPr>
        <w:spacing w:lineRule="exact" w:line="264" w:before="0" w:after="60"/>
        <w:rPr/>
      </w:pPr>
      <w:r>
        <w:rPr>
          <w:rFonts w:eastAsia="Arial" w:cs="Arial"/>
          <w:sz w:val="21"/>
          <w:szCs w:val="21"/>
        </w:rPr>
        <w:t>Outpatient / IOP Service Schedule</w:t>
      </w:r>
    </w:p>
    <w:p>
      <w:pPr>
        <w:pStyle w:val="ListParagraph"/>
        <w:numPr>
          <w:ilvl w:val="0"/>
          <w:numId w:val="1"/>
        </w:numPr>
        <w:spacing w:lineRule="exact" w:line="264" w:before="0" w:after="60"/>
        <w:rPr/>
      </w:pPr>
      <w:r>
        <w:rPr>
          <w:rFonts w:eastAsia="Arial" w:cs="Arial"/>
          <w:sz w:val="21"/>
          <w:szCs w:val="21"/>
        </w:rPr>
        <w:t>Parental / Guardian Consent &amp; Involvement Record</w:t>
      </w:r>
    </w:p>
    <w:p>
      <w:pPr>
        <w:pStyle w:val="ListParagraph"/>
        <w:numPr>
          <w:ilvl w:val="0"/>
          <w:numId w:val="1"/>
        </w:numPr>
        <w:spacing w:lineRule="exact" w:line="264" w:before="0" w:after="60"/>
        <w:rPr/>
      </w:pPr>
      <w:r>
        <w:rPr>
          <w:rFonts w:eastAsia="Arial" w:cs="Arial"/>
          <w:sz w:val="21"/>
          <w:szCs w:val="21"/>
        </w:rPr>
        <w:t>Women's Services Program Description</w:t>
      </w:r>
    </w:p>
    <w:p>
      <w:pPr>
        <w:pStyle w:val="ListParagraph"/>
        <w:numPr>
          <w:ilvl w:val="0"/>
          <w:numId w:val="1"/>
        </w:numPr>
        <w:spacing w:lineRule="exact" w:line="264" w:before="0" w:after="60"/>
        <w:rPr/>
      </w:pPr>
      <w:r>
        <w:rPr>
          <w:rFonts w:eastAsia="Arial" w:cs="Arial"/>
          <w:sz w:val="21"/>
          <w:szCs w:val="21"/>
        </w:rPr>
        <w:t>Pregnant/Parenting Client Coordination Record</w:t>
      </w:r>
    </w:p>
    <w:p>
      <w:pPr>
        <w:pStyle w:val="ListParagraph"/>
        <w:numPr>
          <w:ilvl w:val="0"/>
          <w:numId w:val="1"/>
        </w:numPr>
        <w:spacing w:lineRule="exact" w:line="264" w:before="0" w:after="60"/>
        <w:rPr/>
      </w:pPr>
      <w:r>
        <w:rPr>
          <w:rFonts w:eastAsia="Arial" w:cs="Arial"/>
          <w:sz w:val="21"/>
          <w:szCs w:val="21"/>
        </w:rPr>
        <w:t>Court-Order / Referral Documentation</w:t>
      </w:r>
    </w:p>
    <w:p>
      <w:pPr>
        <w:pStyle w:val="ListParagraph"/>
        <w:numPr>
          <w:ilvl w:val="0"/>
          <w:numId w:val="1"/>
        </w:numPr>
        <w:spacing w:lineRule="exact" w:line="264" w:before="0" w:after="60"/>
        <w:rPr/>
      </w:pPr>
      <w:r>
        <w:rPr>
          <w:rFonts w:eastAsia="Arial" w:cs="Arial"/>
          <w:sz w:val="21"/>
          <w:szCs w:val="21"/>
        </w:rPr>
        <w:t>Act 10 Assessment &amp; Setting Record</w:t>
      </w:r>
    </w:p>
    <w:p>
      <w:pPr>
        <w:pStyle w:val="ListParagraph"/>
        <w:numPr>
          <w:ilvl w:val="0"/>
          <w:numId w:val="1"/>
        </w:numPr>
        <w:spacing w:lineRule="exact" w:line="264" w:before="0" w:after="60"/>
        <w:rPr/>
      </w:pPr>
      <w:r>
        <w:rPr>
          <w:rFonts w:eastAsia="Arial" w:cs="Arial"/>
          <w:sz w:val="21"/>
          <w:szCs w:val="21"/>
        </w:rPr>
        <w:t>DEA / CSAT Approval &amp; OTP License File</w:t>
      </w:r>
    </w:p>
    <w:p>
      <w:pPr>
        <w:pStyle w:val="ListParagraph"/>
        <w:numPr>
          <w:ilvl w:val="0"/>
          <w:numId w:val="1"/>
        </w:numPr>
        <w:spacing w:lineRule="exact" w:line="264" w:before="0" w:after="60"/>
        <w:rPr/>
      </w:pPr>
      <w:r>
        <w:rPr>
          <w:rFonts w:eastAsia="Arial" w:cs="Arial"/>
          <w:sz w:val="21"/>
          <w:szCs w:val="21"/>
        </w:rPr>
        <w:t>Dosing, Take-Home &amp; Diversion-Control Records</w:t>
      </w:r>
    </w:p>
    <w:p>
      <w:pPr>
        <w:pStyle w:val="ListParagraph"/>
        <w:numPr>
          <w:ilvl w:val="0"/>
          <w:numId w:val="1"/>
        </w:numPr>
        <w:spacing w:lineRule="exact" w:line="264" w:before="0" w:after="60"/>
        <w:rPr/>
      </w:pPr>
      <w:r>
        <w:rPr>
          <w:rFonts w:eastAsia="Arial" w:cs="Arial"/>
          <w:sz w:val="21"/>
          <w:szCs w:val="21"/>
        </w:rPr>
        <w:t>Therapeutic Community / Reintegration Program Description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Arkansas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office names,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Department of Human Services (DHS). Licensure of alcohol and other drug abuse treatment programs has been administered by the Office of Alcohol and Drug Abuse Prevention (OADAP); the current public office is the Office of Substance Abuse and Mental Health (OSAMH), within the Division of Aging, Adult, and Behavioral Health Services (DAABHS).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Licensure standards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Licensure Standards for Alcohol and Other Drug Abuse Treatment Programs (Code of Arkansas Rules, Part 433).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A.C.A. § 20-64-901 et seq. (authority to license substance abuse treatment programs); exemptions under § 20-64-903.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License types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Six-month operational permit; one-year license; three-year license; probationary license; non-licensed — based on Standards Review Team (SRT) review and compliance.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CARF, the Joint Commission (JCAHO), or COA — deemed licensure on presentation of accreditation plus verification in six areas (treatment plan development, progress notes, treatment plan reviews, clinical supervision, health and safety, physical plant); not for methadone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Data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ADMIS — required client-data reporting for licensed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Opioid treatment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Office is the State Opioid Treatment Authority (SOTA); comply with SAMHSA, CSAT, DEA, and 42 CFR Part 8; methadone programs licensed directly by the office.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Court-ordered (Act 10)</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A.C.A. § 20-47-201 et seq. (Act 10 of 1989) — court-ordered substance abuse treatment; locked residential setting required for Act 10 clients who are homicidal, suicidal, or gravely disabled.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applicable Arkansas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certifications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DAABHS/DPSQA certifications, including Therapeutic Communities and Residential Community Reintegration Program certification, and Behavioral Health Agency certification.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mental health services are certified separately (e.g., Behavioral Health Agency certification and the Medicaid Outpatient Behavioral Health Services program) — not covered by this substance use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an Arkansas DHS/OADAP-licensed alcohol and other drug abuse treatment program. Follow the steps below to adopt it as your program's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program name, address, license number, effective date, and role titles — with your program's information. Set the effective date on each policy when it is adopted.</w:t>
      </w:r>
    </w:p>
    <w:p>
      <w:pPr>
        <w:pStyle w:val="Normal"/>
        <w:spacing w:before="140" w:after="40"/>
        <w:rPr/>
      </w:pPr>
      <w:r>
        <w:rPr>
          <w:rFonts w:eastAsia="Arial" w:cs="Arial"/>
          <w:b/>
          <w:bCs/>
          <w:color w:val="333333"/>
          <w:sz w:val="21"/>
          <w:szCs w:val="21"/>
        </w:rPr>
        <w:t>2. Match the manual to your licensed services</w:t>
      </w:r>
    </w:p>
    <w:p>
      <w:pPr>
        <w:pStyle w:val="Normal"/>
        <w:spacing w:lineRule="exact" w:line="276" w:before="0" w:after="120"/>
        <w:rPr/>
      </w:pPr>
      <w:r>
        <w:rPr>
          <w:rFonts w:eastAsia="Arial" w:cs="Arial"/>
          <w:sz w:val="21"/>
          <w:szCs w:val="21"/>
        </w:rPr>
        <w:t>Sections A through E apply to the program regardless of service type. Keep the Section F policies only for the services your program provides — detoxification, residential treatment, outpatient and intensive outpatient, adolescent treatment, specialized women's services, criminal-justice and Act 10 services, opioid treatment, and therapeutic communities or residential community reintegration. Mark any that do not apply as not applicable, or remove that policy.</w:t>
      </w:r>
    </w:p>
    <w:p>
      <w:pPr>
        <w:pStyle w:val="Normal"/>
        <w:spacing w:before="140" w:after="40"/>
        <w:rPr/>
      </w:pPr>
      <w:r>
        <w:rPr>
          <w:rFonts w:eastAsia="Arial" w:cs="Arial"/>
          <w:b/>
          <w:bCs/>
          <w:color w:val="333333"/>
          <w:sz w:val="21"/>
          <w:szCs w:val="21"/>
        </w:rPr>
        <w:t>3. Align with accreditation</w:t>
      </w:r>
    </w:p>
    <w:p>
      <w:pPr>
        <w:pStyle w:val="Normal"/>
        <w:spacing w:lineRule="exact" w:line="276" w:before="0" w:after="120"/>
        <w:rPr/>
      </w:pPr>
      <w:r>
        <w:rPr>
          <w:rFonts w:eastAsia="Arial" w:cs="Arial"/>
          <w:sz w:val="21"/>
          <w:szCs w:val="21"/>
        </w:rPr>
        <w:t>If your program is (or must be) accredited by CARF, the Joint Commission, or COA, align this manual with your accreditor's standards. Even under the deemed-licensure path, confirm compliance in the six verified areas: treatment plan development, progress note development, treatment plan reviews, clinical supervision, health and safety, and physical plant. Methadone programs are licensed directly by the office and cannot use the deemed-licensure path.</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and qualified Arkansas counsel or a compliance professional review the manual before adoption. Arkansas has reorganized its behavioral health offices over time (for example, OADAP to OSAMH within DAABHS); confirm the current office name, the current version of the Licensure Standards (Part 433), and your license and accreditation requirements with DHS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representative at admission, together with the written statement of client rights in the client handbook.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and the program rules have been explained to me in a manner I can understand, and that I have been informed of the grievance and appeal process and my right to file a grievance without retaliation, including how to raise concerns with the Arkansas Department of Human Services.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Arkansas — Alcohol &amp; Other Drug Abuse Treatment Program (OADAP Part 433)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Arkansas — Alcohol &amp; Other Drug Abuse Treatment Program (OADAP Part 433)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2026-07-02T10:49:22Z</dcterms:created>
  <dc:creator>PolicyReady.org</dc:creator>
  <dc:description/>
  <dc:language>en-US</dc:language>
  <cp:lastModifiedBy>Un-named</cp:lastModifiedBy>
  <dcterms:modified xsi:type="dcterms:W3CDTF">2026-07-02T10:49:22Z</dcterms:modified>
  <cp:revision>1</cp:revision>
  <dc:subject/>
  <dc:title>Arkansas Alcohol &amp; Other Drug Abuse Treatment Program (OADAP Part 433) Policy &amp; Procedure Manual</dc:title>
</cp:coreProperties>
</file>