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800" w:after="0"/>
        <w:jc w:val="center"/>
        <w:rPr/>
      </w:pPr>
      <w:r>
        <w:rPr>
          <w:rFonts w:eastAsia="Arial" w:cs="Arial"/>
          <w:b/>
          <w:bCs/>
          <w:color w:val="1A4731"/>
          <w:spacing w:val="60"/>
          <w:sz w:val="36"/>
          <w:szCs w:val="36"/>
        </w:rPr>
        <w:t>CALIFORNIA</w:t>
      </w:r>
    </w:p>
    <w:p>
      <w:pPr>
        <w:pStyle w:val="Normal"/>
        <w:pBdr>
          <w:bottom w:val="single" w:sz="18" w:space="8" w:color="1A4731"/>
        </w:pBdr>
        <w:spacing w:before="200" w:after="0"/>
        <w:jc w:val="center"/>
        <w:rPr/>
      </w:pPr>
      <w:r>
        <w:rPr>
          <w:rFonts w:eastAsia="Arial" w:cs="Arial"/>
          <w:b/>
          <w:bCs/>
          <w:color w:val="222222"/>
          <w:sz w:val="56"/>
          <w:szCs w:val="56"/>
        </w:rPr>
        <w:t>Policy &amp; Procedure Manual</w:t>
      </w:r>
    </w:p>
    <w:p>
      <w:pPr>
        <w:pStyle w:val="Normal"/>
        <w:spacing w:before="240" w:after="0"/>
        <w:jc w:val="center"/>
        <w:rPr/>
      </w:pPr>
      <w:r>
        <w:rPr>
          <w:rFonts w:eastAsia="Arial" w:cs="Arial"/>
          <w:color w:val="444444"/>
          <w:sz w:val="24"/>
          <w:szCs w:val="24"/>
        </w:rPr>
        <w:t>Residential Alcoholism or Drug Abuse Recovery or Treatment Facility — DHCS (Title 9, Chapter 5)</w:t>
      </w:r>
    </w:p>
    <w:p>
      <w:pPr>
        <w:pStyle w:val="Normal"/>
        <w:spacing w:before="1400" w:after="0"/>
        <w:jc w:val="center"/>
        <w:rPr/>
      </w:pPr>
      <w:r>
        <w:rPr>
          <w:rFonts w:eastAsia="Arial" w:cs="Arial"/>
          <w:color w:val="666666"/>
          <w:sz w:val="22"/>
          <w:szCs w:val="22"/>
        </w:rPr>
        <w:t>Prepared for:</w:t>
      </w:r>
    </w:p>
    <w:p>
      <w:pPr>
        <w:pStyle w:val="Normal"/>
        <w:spacing w:before="80" w:after="0"/>
        <w:jc w:val="center"/>
        <w:rPr/>
      </w:pPr>
      <w:r>
        <w:rPr>
          <w:rFonts w:eastAsia="Arial" w:cs="Arial"/>
          <w:b/>
          <w:bCs/>
          <w:sz w:val="26"/>
          <w:szCs w:val="26"/>
        </w:rPr>
        <w:t>[Organization Name]</w:t>
      </w:r>
    </w:p>
    <w:p>
      <w:pPr>
        <w:pStyle w:val="Normal"/>
        <w:spacing w:before="60" w:after="0"/>
        <w:jc w:val="center"/>
        <w:rPr/>
      </w:pPr>
      <w:r>
        <w:rPr>
          <w:rFonts w:eastAsia="Arial" w:cs="Arial"/>
          <w:color w:val="666666"/>
          <w:sz w:val="20"/>
          <w:szCs w:val="20"/>
        </w:rPr>
        <w:t>[Address]   •   [DHCS License Number]   •   [Licensed Services]</w:t>
      </w:r>
    </w:p>
    <w:p>
      <w:pPr>
        <w:pStyle w:val="Normal"/>
        <w:spacing w:before="1600" w:after="0"/>
        <w:jc w:val="center"/>
        <w:rPr/>
      </w:pPr>
      <w:r>
        <w:rPr>
          <w:rFonts w:eastAsia="Arial" w:cs="Arial"/>
          <w:color w:val="666666"/>
          <w:sz w:val="18"/>
          <w:szCs w:val="18"/>
        </w:rPr>
        <w:t>Aligned to Title 9 CCR, Division 4, Chapter 5 and Health &amp; Safety Code § 11834.01 et seq.</w:t>
      </w:r>
    </w:p>
    <w:p>
      <w:pPr>
        <w:pStyle w:val="Normal"/>
        <w:spacing w:before="60" w:after="0"/>
        <w:jc w:val="center"/>
        <w:rPr/>
      </w:pPr>
      <w:r>
        <w:rPr>
          <w:rFonts w:eastAsia="Arial" w:cs="Arial"/>
          <w:color w:val="666666"/>
          <w:sz w:val="18"/>
          <w:szCs w:val="18"/>
        </w:rPr>
        <w:t>California Department of Health Care Services, Licensing and Certification Division</w:t>
      </w:r>
    </w:p>
    <w:p>
      <w:pPr>
        <w:pStyle w:val="Normal"/>
        <w:spacing w:before="600" w:after="0"/>
        <w:jc w:val="center"/>
        <w:rPr/>
      </w:pPr>
      <w:r>
        <w:rPr>
          <w:rFonts w:eastAsia="Arial" w:cs="Arial"/>
          <w:color w:val="888888"/>
          <w:sz w:val="18"/>
          <w:szCs w:val="18"/>
        </w:rPr>
        <w:t>Effective Date: [Effective Date]</w:t>
      </w:r>
    </w:p>
    <w:p>
      <w:pPr>
        <w:pStyle w:val="Normal"/>
        <w:rPr/>
      </w:pPr>
      <w:r>
        <w:rPr/>
      </w:r>
      <w:r>
        <w:br w:type="page"/>
      </w:r>
    </w:p>
    <w:p>
      <w:pPr>
        <w:pStyle w:val="Normal"/>
        <w:pBdr>
          <w:bottom w:val="single" w:sz="12" w:space="4" w:color="1A4731"/>
        </w:pBdr>
        <w:spacing w:before="0" w:after="160"/>
        <w:rPr/>
      </w:pPr>
      <w:r>
        <w:rPr>
          <w:rFonts w:eastAsia="Arial" w:cs="Arial"/>
          <w:b/>
          <w:bCs/>
          <w:color w:val="1A4731"/>
          <w:sz w:val="36"/>
          <w:szCs w:val="36"/>
        </w:rPr>
        <w:t>Table of Contents</w:t>
      </w:r>
    </w:p>
    <w:sdt>
      <w:sdtPr>
        <w:docPartObj>
          <w:docPartGallery w:val="Table of Contents"/>
          <w:docPartUnique w:val="true"/>
        </w:docPartObj>
      </w:sdtPr>
      <w:sdtContent>
        <w:p>
          <w:pPr>
            <w:pStyle w:val="Normal"/>
            <w:rPr/>
          </w:pPr>
          <w:r>
            <w:fldChar w:fldCharType="begin"/>
          </w:r>
          <w:r>
            <w:rPr/>
            <w:instrText xml:space="preserve"> TOC \o "1-2" \h</w:instrText>
            <w:fldChar w:fldCharType="separate"/>
          </w:r>
          <w:sdt>
            <w:sdtPr>
              <w:alias w:val="Table of Contents"/>
              <w:text/>
            </w:sdtPr>
            <w:sdtContent>
              <w:r>
                <w:rPr/>
              </w:r>
            </w:sdtContent>
          </w:sdt>
          <w:r>
            <w:rPr/>
            <w:fldChar w:fldCharType="end"/>
          </w:r>
        </w:p>
      </w:sdtContent>
    </w:sdt>
    <w:p>
      <w:pPr>
        <w:pStyle w:val="Normal"/>
        <w:rPr/>
      </w:pPr>
      <w:r>
        <w:rPr/>
      </w:r>
    </w:p>
    <w:p>
      <w:pPr>
        <w:pStyle w:val="Normal"/>
        <w:rPr/>
      </w:pPr>
      <w:r>
        <w:rPr/>
      </w:r>
      <w:r>
        <w:br w:type="page"/>
      </w:r>
    </w:p>
    <w:p>
      <w:pPr>
        <w:pStyle w:val="Normal"/>
        <w:pBdr>
          <w:bottom w:val="single" w:sz="12" w:space="4" w:color="1A4731"/>
        </w:pBdr>
        <w:spacing w:before="0" w:after="120"/>
        <w:rPr/>
      </w:pPr>
      <w:r>
        <w:rPr>
          <w:rFonts w:eastAsia="Arial" w:cs="Arial"/>
          <w:b/>
          <w:bCs/>
          <w:color w:val="1A4731"/>
          <w:sz w:val="32"/>
          <w:szCs w:val="32"/>
        </w:rPr>
        <w:t>About This Manual</w:t>
      </w:r>
    </w:p>
    <w:p>
      <w:pPr>
        <w:pStyle w:val="Normal"/>
        <w:spacing w:lineRule="exact" w:line="276" w:before="0" w:after="120"/>
        <w:rPr/>
      </w:pPr>
      <w:r>
        <w:rPr>
          <w:rFonts w:eastAsia="Arial" w:cs="Arial"/>
          <w:sz w:val="21"/>
          <w:szCs w:val="21"/>
        </w:rPr>
        <w:t>This Policy &amp; Procedure Manual is a comprehensive, customizable template for a California Residential Alcoholism or Drug Abuse Recovery or Treatment Facility licensed by the California Department of Health Care Services (DHCS), Licensing and Certification Division (LCD), Substance Use Disorder Licensing and Certification Section. It is built to the licensing standards in Title 9, California Code of Regulations (CCR), Division 4, Chapter 5, and the statutory authority in Health and Safety Code (H&amp;SC) § 11834.01 et seq. It also addresses the optional Certification for Alcohol and Other Drug (AOD) Programs (H&amp;SC § 11832 et seq.), which many licensed facilities also hold.</w:t>
      </w:r>
    </w:p>
    <w:p>
      <w:pPr>
        <w:pStyle w:val="Normal"/>
        <w:spacing w:lineRule="exact" w:line="276" w:before="0" w:after="120"/>
        <w:rPr/>
      </w:pPr>
      <w:r>
        <w:rPr>
          <w:rFonts w:eastAsia="Arial" w:cs="Arial"/>
          <w:sz w:val="21"/>
          <w:szCs w:val="21"/>
        </w:rPr>
        <w:t>How California licenses residential substance use treatment. DHCS has sole authority to license facilities that provide 24-hour, residential, nonmedical alcoholism or drug abuse recovery or treatment services to adults. Licensure is required when the facility provides one or more of the following services: detoxification, individual sessions, group sessions, educational sessions, or alcoholism or drug abuse recovery or treatment planning — or, with DHCS approval, incidental medical services. Even a facility that provides only one of these services (for example, a sober living home that holds recovery-focused group sessions) must be licensed. Residential facilities licensed by other California departments, such as the Department of Social Services or the Department of Public Health, do not require a DHCS residential AOD license.</w:t>
      </w:r>
    </w:p>
    <w:p>
      <w:pPr>
        <w:pStyle w:val="Normal"/>
        <w:spacing w:lineRule="exact" w:line="276" w:before="0" w:after="120"/>
        <w:rPr/>
      </w:pPr>
      <w:r>
        <w:rPr>
          <w:rFonts w:eastAsia="Arial" w:cs="Arial"/>
          <w:sz w:val="21"/>
          <w:szCs w:val="21"/>
        </w:rPr>
        <w:t>Licensure and certification are different. Licensure (H&amp;SC § 11834.01 et seq.; Title 9, Chapter 5) authorizes a residential facility to operate. Certification (H&amp;SC § 11832 et seq.; the DHCS Alcohol and Other Drug Certification Standards) is a separate, optional recognition that a facility or program exceeds minimum service quality. In the licensing context California uses the terms resident and facility; in the certification context it uses the terms client and program. This manual is written primarily for the residential license and uses resident and facility, and it addresses certification where relevant.</w:t>
      </w:r>
    </w:p>
    <w:p>
      <w:pPr>
        <w:pStyle w:val="Normal"/>
        <w:spacing w:lineRule="exact" w:line="276" w:before="0" w:after="120"/>
        <w:rPr/>
      </w:pPr>
      <w:r>
        <w:rPr>
          <w:rFonts w:eastAsia="Arial" w:cs="Arial"/>
          <w:sz w:val="21"/>
          <w:szCs w:val="21"/>
        </w:rPr>
        <w:t>How the policies are organized. This manual is deliberately detailed. Each policy follows the same structure: a header block (title, department, regulatory reference, effective date, revision dates, and approval), followed by a Purpose, the Scope of the policy, Definitions where useful, a Policy statement that sets the governing standards, one or more Procedure sub-processes that break the work into concrete steps, Documentation and Oversight expectations where relevant, and a Related Forms list, and each policy closes with a Document History table. Replace every [bracketed] placeholder with your facility's information, and review each policy against your actual operations and your DHCS license before adopting.</w:t>
      </w:r>
    </w:p>
    <w:p>
      <w:pPr>
        <w:pStyle w:val="Normal"/>
        <w:spacing w:lineRule="exact" w:line="276" w:before="0" w:after="120"/>
        <w:rPr/>
      </w:pPr>
      <w:r>
        <w:rPr>
          <w:rFonts w:eastAsia="Arial" w:cs="Arial"/>
          <w:sz w:val="21"/>
          <w:szCs w:val="21"/>
        </w:rPr>
        <w:t>Sections A through E contain the standards that apply to every licensed residential facility. Section F contains optional and specialized services — incidental medical services, detoxification, adolescent facilities, and Drug Medi-Cal participation — to be adopted only where they apply to your facility.</w:t>
      </w:r>
    </w:p>
    <w:p>
      <w:pPr>
        <w:pStyle w:val="Normal"/>
        <w:spacing w:lineRule="exact" w:line="276" w:before="0" w:after="120"/>
        <w:rPr/>
      </w:pPr>
      <w:r>
        <w:rPr>
          <w:rFonts w:eastAsia="Arial" w:cs="Arial"/>
          <w:sz w:val="21"/>
          <w:szCs w:val="21"/>
        </w:rPr>
        <w:t>A note on counselors. Individuals who provide counseling services in a licensed or certified AOD facility must be licensed (as a health professional whose scope includes AOD counseling), certified as an AOD counselor, or registered to obtain certification, in accordance with Title 9, Chapter 8 (commencing with Section 13000). Registered and certified counselors are subject to a code of conduct, and the facility must report counselor misconduct to DHCS and the certifying organization within 24 hours. The personnel policies in Section B address these requirements.</w:t>
      </w:r>
    </w:p>
    <w:p>
      <w:pPr>
        <w:pStyle w:val="Normal"/>
        <w:spacing w:lineRule="exact" w:line="276" w:before="0" w:after="120"/>
        <w:rPr/>
      </w:pPr>
      <w:r>
        <w:rPr>
          <w:rFonts w:eastAsia="Arial" w:cs="Arial"/>
          <w:sz w:val="21"/>
          <w:szCs w:val="21"/>
        </w:rPr>
        <w:t>A note on confidentiality. Substance use disorder treatment records are protected by the federal rule at 42 CFR Part 2 (“Confidentiality of Substance Use Disorder Patient Records”), by HIPAA (45 CFR Parts 160 and 164), and by California law, including the Information Practices Act. Because these are among the most strictly protected records in health care, the confidentiality policy in Section C should be read closely and applied throughout.</w:t>
      </w:r>
    </w:p>
    <w:p>
      <w:pPr>
        <w:pStyle w:val="Normal"/>
        <w:spacing w:lineRule="exact" w:line="276" w:before="0" w:after="120"/>
        <w:rPr/>
      </w:pPr>
      <w:r>
        <w:rPr>
          <w:rFonts w:eastAsia="Arial" w:cs="Arial"/>
          <w:sz w:val="21"/>
          <w:szCs w:val="21"/>
        </w:rPr>
        <w:t>A note on the regulatory landscape. California's residential AOD framework has been amended by legislation including AB 3162 and SB 992 (initial licenses issued on or after January 1, 2019 are two-year licenses that are provisional for one year, with relapse-policy and other requirements) and AB 848 (authorizing incidental medical services). This manual is built to the current Chapter 5 and H&amp;SC § 11834.01 et seq. Confirm the current version of the regulations, the governing statutes, and the current DHCS forms and provider bulletins before adopting, and update the manual when the rules change.</w:t>
      </w:r>
    </w:p>
    <w:p>
      <w:pPr>
        <w:pStyle w:val="Normal"/>
        <w:spacing w:lineRule="exact" w:line="276" w:before="0" w:after="120"/>
        <w:rPr/>
      </w:pPr>
      <w:r>
        <w:rPr>
          <w:rFonts w:eastAsia="Arial" w:cs="Arial"/>
          <w:sz w:val="21"/>
          <w:szCs w:val="21"/>
        </w:rPr>
        <w:t>This manual is a template and is not legal advice. Residential AOD licensing in California is detailed and changes over time; the facility should have qualified California counsel or a compliance professional review this manual against the current rules and the facility's license before adoption. Official DHCS forms (such as the DHCS 6002 Initial Treatment Provider Application and the DHCS 5255 Supplemental Application) are referenced by name only; obtain current versions directly from DHCS.</w:t>
      </w:r>
    </w:p>
    <w:p>
      <w:pPr>
        <w:pStyle w:val="Normal"/>
        <w:rPr/>
      </w:pPr>
      <w:r>
        <w:rPr/>
      </w:r>
      <w:r>
        <w:br w:type="page"/>
      </w:r>
    </w:p>
    <w:p>
      <w:pPr>
        <w:pStyle w:val="Normal"/>
        <w:spacing w:before="0" w:after="120"/>
        <w:jc w:val="start"/>
        <w:rPr/>
      </w:pPr>
      <w:r>
        <w:rPr>
          <w:rFonts w:eastAsia="Arial" w:cs="Arial"/>
          <w:b/>
          <w:bCs/>
          <w:color w:val="1A4731"/>
          <w:sz w:val="28"/>
          <w:szCs w:val="28"/>
        </w:rPr>
        <w:t>SECTION A</w:t>
      </w:r>
    </w:p>
    <w:p>
      <w:pPr>
        <w:pStyle w:val="Normal"/>
        <w:pBdr>
          <w:bottom w:val="single" w:sz="12" w:space="4" w:color="1A4731"/>
        </w:pBdr>
        <w:spacing w:before="0" w:after="240"/>
        <w:jc w:val="start"/>
        <w:rPr/>
      </w:pPr>
      <w:r>
        <w:rPr>
          <w:rFonts w:eastAsia="Arial" w:cs="Arial"/>
          <w:b/>
          <w:bCs/>
          <w:color w:val="222222"/>
          <w:sz w:val="40"/>
          <w:szCs w:val="40"/>
        </w:rPr>
        <w:t>Licensure &amp; Administration</w:t>
      </w:r>
    </w:p>
    <w:p>
      <w:pPr>
        <w:pStyle w:val="Normal"/>
        <w:spacing w:lineRule="exact" w:line="288" w:before="0" w:after="240"/>
        <w:rPr/>
      </w:pPr>
      <w:r>
        <w:rPr>
          <w:rFonts w:eastAsia="Arial" w:cs="Arial"/>
          <w:color w:val="444444"/>
          <w:sz w:val="22"/>
          <w:szCs w:val="22"/>
        </w:rPr>
        <w:t>This section establishes how the facility is licensed and administered — the licensee and program administrator, the license requirement and scope of services, application and provisional licensure, the plan of operation and policies, optional AOD program certification, and compliance, deficiencies, and enforcement.</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1.00  Licensee, Governing Authority &amp; Program Administrator</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1.01  License Required &amp; Scope of Services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1.02  Application, Provisional License &amp; Adding Services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1.03  Plan of Operation, Policies &amp; Procedures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1.04  AOD Program Certification (Optional)</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1.05  Compliance, Deficiencies &amp; Enforcement</w:t>
      </w:r>
    </w:p>
    <w:p>
      <w:pPr>
        <w:pStyle w:val="Normal"/>
        <w:rPr/>
      </w:pPr>
      <w:r>
        <w:rPr/>
      </w:r>
      <w:r>
        <w:br w:type="page"/>
      </w:r>
    </w:p>
    <w:p>
      <w:pPr>
        <w:pStyle w:val="Heading2"/>
        <w:spacing w:before="0" w:after="120"/>
        <w:rPr/>
      </w:pPr>
      <w:r>
        <w:rPr>
          <w:rFonts w:eastAsia="Arial" w:cs="Arial" w:ascii="Arial" w:hAnsi="Arial"/>
          <w:b/>
          <w:bCs/>
          <w:color w:val="1A4731"/>
          <w:sz w:val="26"/>
          <w:szCs w:val="26"/>
        </w:rPr>
        <w:t>1.00  Licensee, Governing Authority &amp; Program Administrator</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1.00  Licensee, Governing Authority &amp; Program Administrator</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Licensure &amp; Administration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Title 9 CCR Ch. 5; H&amp;SC § 11834.01 et seq.</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establish clear governance and administrative accountability for the facility so that residential recovery or treatment services are delivered safely, lawfully, and consistent with Title 9, Chapter 5.</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the licensee, its governing authority, and the program administrator.</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is operated by a licensee — the entity identified on the DHCS license — that is legally responsible for the facility's compliance with Title 9, Chapter 5, H&amp;SC § 11834.01 et seq., and all other applicable law. The licensee maintains a defined organizational structure and designates a program administrator responsible for the day-to-day operation of the facility and for ensuring that services are provided in accordance with the facility's plan of operation and its license. Lines of authority, responsibility, and accountability are documented, and the licensee ensures the facility maintains its license and any certification and operates only within the services its license authorizes.</w:t>
      </w:r>
    </w:p>
    <w:p>
      <w:pPr>
        <w:pStyle w:val="Normal"/>
        <w:pBdr>
          <w:bottom w:val="single" w:sz="4" w:space="1" w:color="2E5E45"/>
        </w:pBdr>
        <w:spacing w:before="160" w:after="80"/>
        <w:rPr/>
      </w:pPr>
      <w:r>
        <w:rPr>
          <w:rFonts w:eastAsia="Arial" w:cs="Arial"/>
          <w:b/>
          <w:bCs/>
          <w:color w:val="1A4731"/>
          <w:sz w:val="20"/>
          <w:szCs w:val="20"/>
        </w:rPr>
        <w:t>PROCEDURE — GOVERNANCE &amp; ADMINISTRATION</w:t>
      </w:r>
    </w:p>
    <w:p>
      <w:pPr>
        <w:pStyle w:val="Normal"/>
        <w:tabs>
          <w:tab w:val="left" w:pos="720" w:leader="none"/>
        </w:tabs>
        <w:spacing w:lineRule="exact" w:line="264" w:before="0" w:after="80"/>
        <w:ind w:hanging="360" w:start="720"/>
        <w:rPr/>
      </w:pPr>
      <w:r>
        <w:rPr>
          <w:rFonts w:eastAsia="Arial" w:cs="Arial"/>
          <w:sz w:val="21"/>
          <w:szCs w:val="21"/>
        </w:rPr>
        <w:t>a. Maintain the licensee's legal-entity documentation and a defined organizational structure with documented lines of authority.</w:t>
      </w:r>
    </w:p>
    <w:p>
      <w:pPr>
        <w:pStyle w:val="Normal"/>
        <w:tabs>
          <w:tab w:val="left" w:pos="720" w:leader="none"/>
        </w:tabs>
        <w:spacing w:lineRule="exact" w:line="264" w:before="0" w:after="80"/>
        <w:ind w:hanging="360" w:start="720"/>
        <w:rPr/>
      </w:pPr>
      <w:r>
        <w:rPr>
          <w:rFonts w:eastAsia="Arial" w:cs="Arial"/>
          <w:sz w:val="21"/>
          <w:szCs w:val="21"/>
        </w:rPr>
        <w:t>b. Designate a qualified program administrator responsible for day-to-day operation and compliance.</w:t>
      </w:r>
    </w:p>
    <w:p>
      <w:pPr>
        <w:pStyle w:val="Normal"/>
        <w:tabs>
          <w:tab w:val="left" w:pos="720" w:leader="none"/>
        </w:tabs>
        <w:spacing w:lineRule="exact" w:line="264" w:before="0" w:after="80"/>
        <w:ind w:hanging="360" w:start="720"/>
        <w:rPr/>
      </w:pPr>
      <w:r>
        <w:rPr>
          <w:rFonts w:eastAsia="Arial" w:cs="Arial"/>
          <w:sz w:val="21"/>
          <w:szCs w:val="21"/>
        </w:rPr>
        <w:t>c. Operate only within the services the license authorizes and maintain the license and any certification.</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3"/>
        </w:numPr>
        <w:spacing w:lineRule="exact" w:line="264" w:before="0" w:after="60"/>
        <w:rPr/>
      </w:pPr>
      <w:r>
        <w:rPr>
          <w:rFonts w:eastAsia="Arial" w:cs="Arial"/>
          <w:sz w:val="21"/>
          <w:szCs w:val="21"/>
        </w:rPr>
        <w:t>Organizational Chart</w:t>
      </w:r>
    </w:p>
    <w:p>
      <w:pPr>
        <w:pStyle w:val="ListParagraph"/>
        <w:numPr>
          <w:ilvl w:val="0"/>
          <w:numId w:val="1"/>
        </w:numPr>
        <w:spacing w:lineRule="exact" w:line="264" w:before="0" w:after="60"/>
        <w:rPr/>
      </w:pPr>
      <w:r>
        <w:rPr>
          <w:rFonts w:eastAsia="Arial" w:cs="Arial"/>
          <w:sz w:val="21"/>
          <w:szCs w:val="21"/>
        </w:rPr>
        <w:t>Program Administrator Job Description</w:t>
      </w:r>
    </w:p>
    <w:p>
      <w:pPr>
        <w:pStyle w:val="ListParagraph"/>
        <w:numPr>
          <w:ilvl w:val="0"/>
          <w:numId w:val="1"/>
        </w:numPr>
        <w:spacing w:lineRule="exact" w:line="264" w:before="0" w:after="60"/>
        <w:rPr/>
      </w:pPr>
      <w:r>
        <w:rPr>
          <w:rFonts w:eastAsia="Arial" w:cs="Arial"/>
          <w:sz w:val="21"/>
          <w:szCs w:val="21"/>
        </w:rPr>
        <w:t>Licensee / Governing Authority Documentation</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1.01  License Required &amp; Scope of Services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1.01  License Required &amp; Scope of Services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Licensure &amp; Administration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Title 9 CCR § 10505; H&amp;SC § 11834.01, § 11834.30</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the facility operates only under a current, valid DHCS license and only provides the services the license authorizes.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services the facility provides and to the licensee and program administrator.</w:t>
      </w:r>
    </w:p>
    <w:p>
      <w:pPr>
        <w:pStyle w:val="Normal"/>
        <w:pBdr>
          <w:bottom w:val="single" w:sz="4" w:space="1" w:color="2E5E45"/>
        </w:pBdr>
        <w:spacing w:before="160" w:after="80"/>
        <w:rPr/>
      </w:pPr>
      <w:r>
        <w:rPr>
          <w:rFonts w:eastAsia="Arial" w:cs="Arial"/>
          <w:b/>
          <w:bCs/>
          <w:color w:val="1A4731"/>
          <w:sz w:val="20"/>
          <w:szCs w:val="20"/>
        </w:rPr>
        <w:t>DEFINITIONS</w:t>
      </w:r>
    </w:p>
    <w:p>
      <w:pPr>
        <w:pStyle w:val="Normal"/>
        <w:spacing w:lineRule="exact" w:line="276" w:before="0" w:after="120"/>
        <w:rPr/>
      </w:pPr>
      <w:r>
        <w:rPr>
          <w:rFonts w:eastAsia="Arial" w:cs="Arial"/>
          <w:sz w:val="21"/>
          <w:szCs w:val="21"/>
        </w:rPr>
        <w:t>Recovery or treatment service — a service designed to promote treatment and maintain recovery from alcohol or drug problems, including one or more of: detoxification, group sessions, individual sessions, educational sessions, and/or recovery or treatment planning.</w:t>
      </w:r>
    </w:p>
    <w:p>
      <w:pPr>
        <w:pStyle w:val="Normal"/>
        <w:spacing w:lineRule="exact" w:line="276" w:before="0" w:after="120"/>
        <w:rPr/>
      </w:pPr>
      <w:r>
        <w:rPr>
          <w:rFonts w:eastAsia="Arial" w:cs="Arial"/>
          <w:sz w:val="21"/>
          <w:szCs w:val="21"/>
        </w:rPr>
        <w:t>Residential facility — any facility, building, or group of buildings maintained and operated to provide 24-hour, residential, nonmedical AOD recovery or treatment services.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does not operate, establish, manage, conduct, or maintain a facility that provides 24-hour, nonmedical, residential AOD recovery or treatment services to adults without first obtaining a current, valid license from DHCS, as required by Title 9 § 10505 and H&amp;SC § 11834.30. The facility provides only the services its license authorizes and applies to add or revise services before providing them. The facility does not attempt to avoid licensure or local requirements by operating multiple co-located facilities that function as a single operation under separate licenses, and it complies with H&amp;SC § 11834.23 regarding facilities serving six or fewer residents.</w:t>
      </w:r>
    </w:p>
    <w:p>
      <w:pPr>
        <w:pStyle w:val="Normal"/>
        <w:pBdr>
          <w:bottom w:val="single" w:sz="4" w:space="1" w:color="2E5E45"/>
        </w:pBdr>
        <w:spacing w:before="160" w:after="80"/>
        <w:rPr/>
      </w:pPr>
      <w:r>
        <w:rPr>
          <w:rFonts w:eastAsia="Arial" w:cs="Arial"/>
          <w:b/>
          <w:bCs/>
          <w:color w:val="1A4731"/>
          <w:sz w:val="20"/>
          <w:szCs w:val="20"/>
        </w:rPr>
        <w:t>PROCEDURE — LICENSE &amp; SCOPE</w:t>
      </w:r>
    </w:p>
    <w:p>
      <w:pPr>
        <w:pStyle w:val="Normal"/>
        <w:tabs>
          <w:tab w:val="left" w:pos="720" w:leader="none"/>
        </w:tabs>
        <w:spacing w:lineRule="exact" w:line="264" w:before="0" w:after="80"/>
        <w:ind w:hanging="360" w:start="720"/>
        <w:rPr/>
      </w:pPr>
      <w:r>
        <w:rPr>
          <w:rFonts w:eastAsia="Arial" w:cs="Arial"/>
          <w:sz w:val="21"/>
          <w:szCs w:val="21"/>
        </w:rPr>
        <w:t>a. Obtain and maintain a current, valid DHCS license before operating and provide only licensed services.</w:t>
      </w:r>
    </w:p>
    <w:p>
      <w:pPr>
        <w:pStyle w:val="Normal"/>
        <w:tabs>
          <w:tab w:val="left" w:pos="720" w:leader="none"/>
        </w:tabs>
        <w:spacing w:lineRule="exact" w:line="264" w:before="0" w:after="80"/>
        <w:ind w:hanging="360" w:start="720"/>
        <w:rPr/>
      </w:pPr>
      <w:r>
        <w:rPr>
          <w:rFonts w:eastAsia="Arial" w:cs="Arial"/>
          <w:sz w:val="21"/>
          <w:szCs w:val="21"/>
        </w:rPr>
        <w:t>b. Apply to add or revise services before providing them and report changes to DHCS.</w:t>
      </w:r>
    </w:p>
    <w:p>
      <w:pPr>
        <w:pStyle w:val="Normal"/>
        <w:tabs>
          <w:tab w:val="left" w:pos="720" w:leader="none"/>
        </w:tabs>
        <w:spacing w:lineRule="exact" w:line="264" w:before="0" w:after="80"/>
        <w:ind w:hanging="360" w:start="720"/>
        <w:rPr/>
      </w:pPr>
      <w:r>
        <w:rPr>
          <w:rFonts w:eastAsia="Arial" w:cs="Arial"/>
          <w:sz w:val="21"/>
          <w:szCs w:val="21"/>
        </w:rPr>
        <w:t>c. Do not structure operations to avoid licensure or local requirements.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Current DHCS License &amp; Authorized Services</w:t>
      </w:r>
    </w:p>
    <w:p>
      <w:pPr>
        <w:pStyle w:val="ListParagraph"/>
        <w:numPr>
          <w:ilvl w:val="0"/>
          <w:numId w:val="1"/>
        </w:numPr>
        <w:spacing w:lineRule="exact" w:line="264" w:before="0" w:after="60"/>
        <w:rPr/>
      </w:pPr>
      <w:r>
        <w:rPr>
          <w:rFonts w:eastAsia="Arial" w:cs="Arial"/>
          <w:sz w:val="21"/>
          <w:szCs w:val="21"/>
        </w:rPr>
        <w:t>Scope-of-Services Statement</w:t>
      </w:r>
    </w:p>
    <w:p>
      <w:pPr>
        <w:pStyle w:val="ListParagraph"/>
        <w:numPr>
          <w:ilvl w:val="0"/>
          <w:numId w:val="1"/>
        </w:numPr>
        <w:spacing w:lineRule="exact" w:line="264" w:before="0" w:after="60"/>
        <w:rPr/>
      </w:pPr>
      <w:r>
        <w:rPr>
          <w:rFonts w:eastAsia="Arial" w:cs="Arial"/>
          <w:sz w:val="21"/>
          <w:szCs w:val="21"/>
        </w:rPr>
        <w:t>Change-of-Services Request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1.02  Application, Provisional License &amp; Adding Services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1.02  Application, Provisional License &amp; Adding Services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Licensure &amp; Administration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Title 9 CCR §§ 10510, 10522, 10523; H&amp;SC § 11834.09; DHCS 6002 / 5255</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the facility completes licensure applications correctly and understands the provisional-license period and the process for adding services.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initial applications, provisional licensure, and applications to add services.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submits a complete Initial Treatment Provider Application (DHCS 6002), with required documentation and fees, and DHCS reviews the application in accordance with Title 9 § 10522, including any unannounced compliance review. An initial residential treatment facility license issued on or after January 1, 2019 is a two-year license that is provisional for the first year (H&amp;SC § 11834.09); prior to the provisional expiration date, a facility deemed to be in compliance with applicable regulations and statutes (including civil penalty fees) continues to operate beyond the provisional date. To add or revise services at a licensed facility, the facility submits a Supplemental Application (DHCS 5255) with required documentation and fees before providing the new service. The facility understands that a revocation bars an initial-license application for five years.</w:t>
      </w:r>
    </w:p>
    <w:p>
      <w:pPr>
        <w:pStyle w:val="Normal"/>
        <w:pBdr>
          <w:bottom w:val="single" w:sz="4" w:space="1" w:color="2E5E45"/>
        </w:pBdr>
        <w:spacing w:before="160" w:after="80"/>
        <w:rPr/>
      </w:pPr>
      <w:r>
        <w:rPr>
          <w:rFonts w:eastAsia="Arial" w:cs="Arial"/>
          <w:b/>
          <w:bCs/>
          <w:color w:val="1A4731"/>
          <w:sz w:val="20"/>
          <w:szCs w:val="20"/>
        </w:rPr>
        <w:t>PROCEDURE — APPLICATION &amp; PROVISIONAL LICENSE</w:t>
      </w:r>
    </w:p>
    <w:p>
      <w:pPr>
        <w:pStyle w:val="Normal"/>
        <w:tabs>
          <w:tab w:val="left" w:pos="720" w:leader="none"/>
        </w:tabs>
        <w:spacing w:lineRule="exact" w:line="264" w:before="0" w:after="80"/>
        <w:ind w:hanging="360" w:start="720"/>
        <w:rPr/>
      </w:pPr>
      <w:r>
        <w:rPr>
          <w:rFonts w:eastAsia="Arial" w:cs="Arial"/>
          <w:sz w:val="21"/>
          <w:szCs w:val="21"/>
        </w:rPr>
        <w:t>a. Submit a complete DHCS 6002 with documentation and fees and cooperate with DHCS review, including unannounced compliance review.</w:t>
      </w:r>
    </w:p>
    <w:p>
      <w:pPr>
        <w:pStyle w:val="Normal"/>
        <w:tabs>
          <w:tab w:val="left" w:pos="720" w:leader="none"/>
        </w:tabs>
        <w:spacing w:lineRule="exact" w:line="264" w:before="0" w:after="80"/>
        <w:ind w:hanging="360" w:start="720"/>
        <w:rPr/>
      </w:pPr>
      <w:r>
        <w:rPr>
          <w:rFonts w:eastAsia="Arial" w:cs="Arial"/>
          <w:sz w:val="21"/>
          <w:szCs w:val="21"/>
        </w:rPr>
        <w:t>b. Operate within the two-year (provisional first year) license and maintain compliance to continue beyond the provisional date.</w:t>
      </w:r>
    </w:p>
    <w:p>
      <w:pPr>
        <w:pStyle w:val="Normal"/>
        <w:tabs>
          <w:tab w:val="left" w:pos="720" w:leader="none"/>
        </w:tabs>
        <w:spacing w:lineRule="exact" w:line="264" w:before="0" w:after="80"/>
        <w:ind w:hanging="360" w:start="720"/>
        <w:rPr/>
      </w:pPr>
      <w:r>
        <w:rPr>
          <w:rFonts w:eastAsia="Arial" w:cs="Arial"/>
          <w:sz w:val="21"/>
          <w:szCs w:val="21"/>
        </w:rPr>
        <w:t>c. Submit a DHCS 5255 to add or revise services before providing them.</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Initial Treatment Provider Application (DHCS 6002)</w:t>
      </w:r>
    </w:p>
    <w:p>
      <w:pPr>
        <w:pStyle w:val="ListParagraph"/>
        <w:numPr>
          <w:ilvl w:val="0"/>
          <w:numId w:val="1"/>
        </w:numPr>
        <w:spacing w:lineRule="exact" w:line="264" w:before="0" w:after="60"/>
        <w:rPr/>
      </w:pPr>
      <w:r>
        <w:rPr>
          <w:rFonts w:eastAsia="Arial" w:cs="Arial"/>
          <w:sz w:val="21"/>
          <w:szCs w:val="21"/>
        </w:rPr>
        <w:t>Supplemental Application — Additional Services (DHCS 5255)</w:t>
      </w:r>
    </w:p>
    <w:p>
      <w:pPr>
        <w:pStyle w:val="ListParagraph"/>
        <w:numPr>
          <w:ilvl w:val="0"/>
          <w:numId w:val="1"/>
        </w:numPr>
        <w:spacing w:lineRule="exact" w:line="264" w:before="0" w:after="60"/>
        <w:rPr/>
      </w:pPr>
      <w:r>
        <w:rPr>
          <w:rFonts w:eastAsia="Arial" w:cs="Arial"/>
          <w:sz w:val="21"/>
          <w:szCs w:val="21"/>
        </w:rPr>
        <w:t>Licensing &amp; Renewal Calendar</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1.03  Plan of Operation, Policies &amp; Procedures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1.03  Plan of Operation, Policies &amp; Procedures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Licensure &amp; Administration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Title 9 CCR Ch. 5</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the facility maintains a written plan of operation and a complete set of policies and procedures that govern its services.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governs the plan of operation and all policies and procedures and applies to everyone who drafts, approves, follows, or is trained on them.</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maintains a written plan of operation describing its program, the population served, the services provided, staffing, and how it meets the requirements of Title 9, Chapter 5, and it maintains policies and procedures consistent with the plan. Policies and procedures are approved by the licensee, made available to staff, reviewed and revised as needed, and maintained under version control with an effective date, revision dates, and a document-history record for each policy. All staff have a working knowledge of the policies applicable to their duties, and policy distribution and acknowledgment are documented.</w:t>
      </w:r>
    </w:p>
    <w:p>
      <w:pPr>
        <w:pStyle w:val="Normal"/>
        <w:pBdr>
          <w:bottom w:val="single" w:sz="4" w:space="1" w:color="2E5E45"/>
        </w:pBdr>
        <w:spacing w:before="160" w:after="80"/>
        <w:rPr/>
      </w:pPr>
      <w:r>
        <w:rPr>
          <w:rFonts w:eastAsia="Arial" w:cs="Arial"/>
          <w:b/>
          <w:bCs/>
          <w:color w:val="1A4731"/>
          <w:sz w:val="20"/>
          <w:szCs w:val="20"/>
        </w:rPr>
        <w:t>PROCEDURE — PLAN &amp; POLICIES</w:t>
      </w:r>
    </w:p>
    <w:p>
      <w:pPr>
        <w:pStyle w:val="Normal"/>
        <w:tabs>
          <w:tab w:val="left" w:pos="720" w:leader="none"/>
        </w:tabs>
        <w:spacing w:lineRule="exact" w:line="264" w:before="0" w:after="80"/>
        <w:ind w:hanging="360" w:start="720"/>
        <w:rPr/>
      </w:pPr>
      <w:r>
        <w:rPr>
          <w:rFonts w:eastAsia="Arial" w:cs="Arial"/>
          <w:sz w:val="21"/>
          <w:szCs w:val="21"/>
        </w:rPr>
        <w:t>a. Maintain a written plan of operation describing the program, population, services, and staffing.</w:t>
      </w:r>
    </w:p>
    <w:p>
      <w:pPr>
        <w:pStyle w:val="Normal"/>
        <w:tabs>
          <w:tab w:val="left" w:pos="720" w:leader="none"/>
        </w:tabs>
        <w:spacing w:lineRule="exact" w:line="264" w:before="0" w:after="80"/>
        <w:ind w:hanging="360" w:start="720"/>
        <w:rPr/>
      </w:pPr>
      <w:r>
        <w:rPr>
          <w:rFonts w:eastAsia="Arial" w:cs="Arial"/>
          <w:sz w:val="21"/>
          <w:szCs w:val="21"/>
        </w:rPr>
        <w:t>b. Maintain policies consistent with the plan, approve and distribute them, and train staff.</w:t>
      </w:r>
    </w:p>
    <w:p>
      <w:pPr>
        <w:pStyle w:val="Normal"/>
        <w:tabs>
          <w:tab w:val="left" w:pos="720" w:leader="none"/>
        </w:tabs>
        <w:spacing w:lineRule="exact" w:line="264" w:before="0" w:after="80"/>
        <w:ind w:hanging="360" w:start="720"/>
        <w:rPr/>
      </w:pPr>
      <w:r>
        <w:rPr>
          <w:rFonts w:eastAsia="Arial" w:cs="Arial"/>
          <w:sz w:val="21"/>
          <w:szCs w:val="21"/>
        </w:rPr>
        <w:t>c. Review and revise policies as needed and record revisions in the document-history table.</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Plan of Operation</w:t>
      </w:r>
    </w:p>
    <w:p>
      <w:pPr>
        <w:pStyle w:val="ListParagraph"/>
        <w:numPr>
          <w:ilvl w:val="0"/>
          <w:numId w:val="1"/>
        </w:numPr>
        <w:spacing w:lineRule="exact" w:line="264" w:before="0" w:after="60"/>
        <w:rPr/>
      </w:pPr>
      <w:r>
        <w:rPr>
          <w:rFonts w:eastAsia="Arial" w:cs="Arial"/>
          <w:sz w:val="21"/>
          <w:szCs w:val="21"/>
        </w:rPr>
        <w:t>Master Policy Index &amp; Version Log</w:t>
      </w:r>
    </w:p>
    <w:p>
      <w:pPr>
        <w:pStyle w:val="ListParagraph"/>
        <w:numPr>
          <w:ilvl w:val="0"/>
          <w:numId w:val="1"/>
        </w:numPr>
        <w:spacing w:lineRule="exact" w:line="264" w:before="0" w:after="60"/>
        <w:rPr/>
      </w:pPr>
      <w:r>
        <w:rPr>
          <w:rFonts w:eastAsia="Arial" w:cs="Arial"/>
          <w:sz w:val="21"/>
          <w:szCs w:val="21"/>
        </w:rPr>
        <w:t>Policy Distribution &amp; Acknowledgment Log</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1.04  AOD Program Certification (Optional)</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1.04  AOD Program Certification (Optional)</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Licensure &amp; Administration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H&amp;SC § 11832 et seq.; DHCS AOD Certification Standards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govern the facility's optional DHCS certification as an AOD program where it seeks or holds certification.</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where the facility seeks or maintains DHCS AOD program certification in addition to its license.</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Where the facility seeks or maintains DHCS certification as an AOD program, it complies with the DHCS Alcohol and Other Drug Certification Standards and H&amp;SC § 11832 et seq., which identify facilities that exceed minimum service quality and are in substantial compliance with state program standards. The facility maintains the documentation certification requires, cooperates with certification reviews, and understands that in the certification context the terms client and program apply. Certification is in addition to, and does not replace, the residential license.</w:t>
      </w:r>
    </w:p>
    <w:p>
      <w:pPr>
        <w:pStyle w:val="Normal"/>
        <w:pBdr>
          <w:bottom w:val="single" w:sz="4" w:space="1" w:color="2E5E45"/>
        </w:pBdr>
        <w:spacing w:before="160" w:after="80"/>
        <w:rPr/>
      </w:pPr>
      <w:r>
        <w:rPr>
          <w:rFonts w:eastAsia="Arial" w:cs="Arial"/>
          <w:b/>
          <w:bCs/>
          <w:color w:val="1A4731"/>
          <w:sz w:val="20"/>
          <w:szCs w:val="20"/>
        </w:rPr>
        <w:t>PROCEDURE — CERTIFICATION</w:t>
      </w:r>
    </w:p>
    <w:p>
      <w:pPr>
        <w:pStyle w:val="Normal"/>
        <w:tabs>
          <w:tab w:val="left" w:pos="720" w:leader="none"/>
        </w:tabs>
        <w:spacing w:lineRule="exact" w:line="264" w:before="0" w:after="80"/>
        <w:ind w:hanging="360" w:start="720"/>
        <w:rPr/>
      </w:pPr>
      <w:r>
        <w:rPr>
          <w:rFonts w:eastAsia="Arial" w:cs="Arial"/>
          <w:sz w:val="21"/>
          <w:szCs w:val="21"/>
        </w:rPr>
        <w:t>a. Apply for and maintain AOD program certification under the DHCS Certification Standards where the facility seeks it.</w:t>
      </w:r>
    </w:p>
    <w:p>
      <w:pPr>
        <w:pStyle w:val="Normal"/>
        <w:tabs>
          <w:tab w:val="left" w:pos="720" w:leader="none"/>
        </w:tabs>
        <w:spacing w:lineRule="exact" w:line="264" w:before="0" w:after="80"/>
        <w:ind w:hanging="360" w:start="720"/>
        <w:rPr/>
      </w:pPr>
      <w:r>
        <w:rPr>
          <w:rFonts w:eastAsia="Arial" w:cs="Arial"/>
          <w:sz w:val="21"/>
          <w:szCs w:val="21"/>
        </w:rPr>
        <w:t>b. Maintain required documentation and cooperate with certification reviews.</w:t>
      </w:r>
    </w:p>
    <w:p>
      <w:pPr>
        <w:pStyle w:val="Normal"/>
        <w:tabs>
          <w:tab w:val="left" w:pos="720" w:leader="none"/>
        </w:tabs>
        <w:spacing w:lineRule="exact" w:line="264" w:before="0" w:after="80"/>
        <w:ind w:hanging="360" w:start="720"/>
        <w:rPr/>
      </w:pPr>
      <w:r>
        <w:rPr>
          <w:rFonts w:eastAsia="Arial" w:cs="Arial"/>
          <w:sz w:val="21"/>
          <w:szCs w:val="21"/>
        </w:rPr>
        <w:t>c. Treat certification as additional to, not a replacement for, the residential license.</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Certification Application &amp; Certificate</w:t>
      </w:r>
    </w:p>
    <w:p>
      <w:pPr>
        <w:pStyle w:val="ListParagraph"/>
        <w:numPr>
          <w:ilvl w:val="0"/>
          <w:numId w:val="1"/>
        </w:numPr>
        <w:spacing w:lineRule="exact" w:line="264" w:before="0" w:after="60"/>
        <w:rPr/>
      </w:pPr>
      <w:r>
        <w:rPr>
          <w:rFonts w:eastAsia="Arial" w:cs="Arial"/>
          <w:sz w:val="21"/>
          <w:szCs w:val="21"/>
        </w:rPr>
        <w:t>Certification Standards Compliance File</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1.05  Compliance, Deficiencies &amp; Enforcement</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1.05  Compliance, Deficiencies &amp; Enforcement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Licensure &amp; Administration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Title 9 CCR §§ 10543, 10548</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the facility maintains substantial compliance, responds to deficiencies, and cooperates with DHCS enforcement.</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DHCS reviews, deficiencies, plans of correction, and enforcement actions.</w:t>
      </w:r>
    </w:p>
    <w:p>
      <w:pPr>
        <w:pStyle w:val="Normal"/>
        <w:pBdr>
          <w:bottom w:val="single" w:sz="4" w:space="1" w:color="2E5E45"/>
        </w:pBdr>
        <w:spacing w:before="160" w:after="80"/>
        <w:rPr/>
      </w:pPr>
      <w:r>
        <w:rPr>
          <w:rFonts w:eastAsia="Arial" w:cs="Arial"/>
          <w:b/>
          <w:bCs/>
          <w:color w:val="1A4731"/>
          <w:sz w:val="20"/>
          <w:szCs w:val="20"/>
        </w:rPr>
        <w:t>DEFINITIONS</w:t>
      </w:r>
    </w:p>
    <w:p>
      <w:pPr>
        <w:pStyle w:val="Normal"/>
        <w:spacing w:lineRule="exact" w:line="276" w:before="0" w:after="120"/>
        <w:rPr/>
      </w:pPr>
      <w:r>
        <w:rPr>
          <w:rFonts w:eastAsia="Arial" w:cs="Arial"/>
          <w:sz w:val="21"/>
          <w:szCs w:val="21"/>
        </w:rPr>
        <w:t>Class A deficiency — a deficiency that presents an imminent or substantial danger to residents. Class B deficiency — a deficiency that relates to the operation or maintenance of the facility but does not present an imminent danger. Substantial compliance — the absence of any Class A or Class B deficiencies.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maintains substantial compliance with Title 9, Chapter 5, and permits DHCS to conduct announced and unannounced compliance reviews. When DHCS identifies deficiencies, the facility submits and implements an acceptable plan of correction within the required timeframe, correcting Class A deficiencies within the shorter timeframe those deficiencies require. The facility cooperates with DHCS investigations and enforcement, pays any civil penalties assessed, and understands that failure to comply may result in suspension or revocation of the license and that a revocation bars an initial-license application for five years.</w:t>
      </w:r>
    </w:p>
    <w:p>
      <w:pPr>
        <w:pStyle w:val="Normal"/>
        <w:pBdr>
          <w:bottom w:val="single" w:sz="4" w:space="1" w:color="2E5E45"/>
        </w:pBdr>
        <w:spacing w:before="160" w:after="80"/>
        <w:rPr/>
      </w:pPr>
      <w:r>
        <w:rPr>
          <w:rFonts w:eastAsia="Arial" w:cs="Arial"/>
          <w:b/>
          <w:bCs/>
          <w:color w:val="1A4731"/>
          <w:sz w:val="20"/>
          <w:szCs w:val="20"/>
        </w:rPr>
        <w:t>PROCEDURE — COMPLIANCE &amp; CORRECTION</w:t>
      </w:r>
    </w:p>
    <w:p>
      <w:pPr>
        <w:pStyle w:val="Normal"/>
        <w:tabs>
          <w:tab w:val="left" w:pos="720" w:leader="none"/>
        </w:tabs>
        <w:spacing w:lineRule="exact" w:line="264" w:before="0" w:after="80"/>
        <w:ind w:hanging="360" w:start="720"/>
        <w:rPr/>
      </w:pPr>
      <w:r>
        <w:rPr>
          <w:rFonts w:eastAsia="Arial" w:cs="Arial"/>
          <w:sz w:val="21"/>
          <w:szCs w:val="21"/>
        </w:rPr>
        <w:t>a. Permit announced and unannounced DHCS compliance reviews and maintain substantial compliance.</w:t>
      </w:r>
    </w:p>
    <w:p>
      <w:pPr>
        <w:pStyle w:val="Normal"/>
        <w:tabs>
          <w:tab w:val="left" w:pos="720" w:leader="none"/>
        </w:tabs>
        <w:spacing w:lineRule="exact" w:line="264" w:before="0" w:after="80"/>
        <w:ind w:hanging="360" w:start="720"/>
        <w:rPr/>
      </w:pPr>
      <w:r>
        <w:rPr>
          <w:rFonts w:eastAsia="Arial" w:cs="Arial"/>
          <w:sz w:val="21"/>
          <w:szCs w:val="21"/>
        </w:rPr>
        <w:t>b. Submit and implement an acceptable plan of correction within required timeframes, prioritizing Class A deficiencies.</w:t>
      </w:r>
    </w:p>
    <w:p>
      <w:pPr>
        <w:pStyle w:val="Normal"/>
        <w:tabs>
          <w:tab w:val="left" w:pos="720" w:leader="none"/>
        </w:tabs>
        <w:spacing w:lineRule="exact" w:line="264" w:before="0" w:after="80"/>
        <w:ind w:hanging="360" w:start="720"/>
        <w:rPr/>
      </w:pPr>
      <w:r>
        <w:rPr>
          <w:rFonts w:eastAsia="Arial" w:cs="Arial"/>
          <w:sz w:val="21"/>
          <w:szCs w:val="21"/>
        </w:rPr>
        <w:t>c. Cooperate with investigations and enforcement and pay any civil penalties assessed.</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Plan of Correction Template</w:t>
      </w:r>
    </w:p>
    <w:p>
      <w:pPr>
        <w:pStyle w:val="ListParagraph"/>
        <w:numPr>
          <w:ilvl w:val="0"/>
          <w:numId w:val="1"/>
        </w:numPr>
        <w:spacing w:lineRule="exact" w:line="264" w:before="0" w:after="60"/>
        <w:rPr/>
      </w:pPr>
      <w:r>
        <w:rPr>
          <w:rFonts w:eastAsia="Arial" w:cs="Arial"/>
          <w:sz w:val="21"/>
          <w:szCs w:val="21"/>
        </w:rPr>
        <w:t>Deficiency &amp; Correction Log</w:t>
      </w:r>
    </w:p>
    <w:p>
      <w:pPr>
        <w:pStyle w:val="ListParagraph"/>
        <w:numPr>
          <w:ilvl w:val="0"/>
          <w:numId w:val="1"/>
        </w:numPr>
        <w:spacing w:lineRule="exact" w:line="264" w:before="0" w:after="60"/>
        <w:rPr/>
      </w:pPr>
      <w:r>
        <w:rPr>
          <w:rFonts w:eastAsia="Arial" w:cs="Arial"/>
          <w:sz w:val="21"/>
          <w:szCs w:val="21"/>
        </w:rPr>
        <w:t>Civil Penalty / Enforcement File</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B</w:t>
      </w:r>
    </w:p>
    <w:p>
      <w:pPr>
        <w:pStyle w:val="Normal"/>
        <w:pBdr>
          <w:bottom w:val="single" w:sz="12" w:space="4" w:color="1A4731"/>
        </w:pBdr>
        <w:spacing w:before="0" w:after="240"/>
        <w:jc w:val="start"/>
        <w:rPr/>
      </w:pPr>
      <w:r>
        <w:rPr>
          <w:rFonts w:eastAsia="Arial" w:cs="Arial"/>
          <w:b/>
          <w:bCs/>
          <w:color w:val="222222"/>
          <w:sz w:val="40"/>
          <w:szCs w:val="40"/>
        </w:rPr>
        <w:t>Personnel &amp; Workforce</w:t>
      </w:r>
    </w:p>
    <w:p>
      <w:pPr>
        <w:pStyle w:val="Normal"/>
        <w:spacing w:lineRule="exact" w:line="288" w:before="0" w:after="240"/>
        <w:rPr/>
      </w:pPr>
      <w:r>
        <w:rPr>
          <w:rFonts w:eastAsia="Arial" w:cs="Arial"/>
          <w:color w:val="444444"/>
          <w:sz w:val="22"/>
          <w:szCs w:val="22"/>
        </w:rPr>
        <w:t>This section sets the requirements for who delivers services and how they are prepared — personnel requirements and records, AOD counselor certification and registration, the counselor code of conduct and 24-hour misconduct reporting, the staff training program, staff suitability and screening, and the program administrator role.</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2.00  Personnel Requirements &amp; Records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2.01  AOD Counselor Certification &amp; Registration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2.02  Counselor Code of Conduct &amp; Misconduct Reporting</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2.03  Staff Training Program</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2.04  Staff Suitability, Background &amp; Health Screening</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2.05  Program Administrator Qualifications &amp; Responsibilities</w:t>
      </w:r>
    </w:p>
    <w:p>
      <w:pPr>
        <w:pStyle w:val="Normal"/>
        <w:rPr/>
      </w:pPr>
      <w:r>
        <w:rPr/>
      </w:r>
      <w:r>
        <w:br w:type="page"/>
      </w:r>
    </w:p>
    <w:p>
      <w:pPr>
        <w:pStyle w:val="Heading2"/>
        <w:spacing w:before="0" w:after="120"/>
        <w:rPr/>
      </w:pPr>
      <w:r>
        <w:rPr>
          <w:rFonts w:eastAsia="Arial" w:cs="Arial" w:ascii="Arial" w:hAnsi="Arial"/>
          <w:b/>
          <w:bCs/>
          <w:color w:val="1A4731"/>
          <w:sz w:val="26"/>
          <w:szCs w:val="26"/>
        </w:rPr>
        <w:t>2.00  Personnel Requirements &amp; Records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2.00  Personnel Requirements &amp; Records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Personnel &amp; Workforce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Title 9 CCR § 10564</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the facility is staffed by qualified personnel and maintains complete personnel records as Title 9 § 10564 requires.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staff, including the program administrator and contractors.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maintains staff qualified by education, training, and experience sufficient to provide the services it offers and to meet residents' needs, and maintains personnel records for all staff, including program administrators, in accordance with Title 9 § 10564. Each personnel record contains the staff member's name, address, telephone number, position, duties, and date of employment, and resumes, applications, and/or transcripts documenting the work experience and education used to meet the requirements. Personnel records for staff who provide counseling services (as defined in § 13005) also contain written documentation of licensure, certification, or registration to obtain certification under Chapter 8 (commencing with § 13000). Records are kept current, retained as required, and protected from unauthorized access.</w:t>
      </w:r>
    </w:p>
    <w:p>
      <w:pPr>
        <w:pStyle w:val="Normal"/>
        <w:pBdr>
          <w:bottom w:val="single" w:sz="4" w:space="1" w:color="2E5E45"/>
        </w:pBdr>
        <w:spacing w:before="160" w:after="80"/>
        <w:rPr/>
      </w:pPr>
      <w:r>
        <w:rPr>
          <w:rFonts w:eastAsia="Arial" w:cs="Arial"/>
          <w:b/>
          <w:bCs/>
          <w:color w:val="1A4731"/>
          <w:sz w:val="20"/>
          <w:szCs w:val="20"/>
        </w:rPr>
        <w:t>PROCEDURE — PERSONNEL &amp; RECORDS</w:t>
      </w:r>
    </w:p>
    <w:p>
      <w:pPr>
        <w:pStyle w:val="Normal"/>
        <w:tabs>
          <w:tab w:val="left" w:pos="720" w:leader="none"/>
        </w:tabs>
        <w:spacing w:lineRule="exact" w:line="264" w:before="0" w:after="80"/>
        <w:ind w:hanging="360" w:start="720"/>
        <w:rPr/>
      </w:pPr>
      <w:r>
        <w:rPr>
          <w:rFonts w:eastAsia="Arial" w:cs="Arial"/>
          <w:sz w:val="21"/>
          <w:szCs w:val="21"/>
        </w:rPr>
        <w:t>a. Employ staff qualified by education, training, and experience for the services offered.</w:t>
      </w:r>
    </w:p>
    <w:p>
      <w:pPr>
        <w:pStyle w:val="Normal"/>
        <w:tabs>
          <w:tab w:val="left" w:pos="720" w:leader="none"/>
        </w:tabs>
        <w:spacing w:lineRule="exact" w:line="264" w:before="0" w:after="80"/>
        <w:ind w:hanging="360" w:start="720"/>
        <w:rPr/>
      </w:pPr>
      <w:r>
        <w:rPr>
          <w:rFonts w:eastAsia="Arial" w:cs="Arial"/>
          <w:sz w:val="21"/>
          <w:szCs w:val="21"/>
        </w:rPr>
        <w:t>b. Maintain a personnel record for each staff member with identifying information and documentation of qualifications.</w:t>
      </w:r>
    </w:p>
    <w:p>
      <w:pPr>
        <w:pStyle w:val="Normal"/>
        <w:tabs>
          <w:tab w:val="left" w:pos="720" w:leader="none"/>
        </w:tabs>
        <w:spacing w:lineRule="exact" w:line="264" w:before="0" w:after="80"/>
        <w:ind w:hanging="360" w:start="720"/>
        <w:rPr/>
      </w:pPr>
      <w:r>
        <w:rPr>
          <w:rFonts w:eastAsia="Arial" w:cs="Arial"/>
          <w:sz w:val="21"/>
          <w:szCs w:val="21"/>
        </w:rPr>
        <w:t>c. Include counselor licensure, certification, or registration documentation for counseling staff and keep records current and protected.</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Personnel Record Checklist</w:t>
      </w:r>
    </w:p>
    <w:p>
      <w:pPr>
        <w:pStyle w:val="ListParagraph"/>
        <w:numPr>
          <w:ilvl w:val="0"/>
          <w:numId w:val="1"/>
        </w:numPr>
        <w:spacing w:lineRule="exact" w:line="264" w:before="0" w:after="60"/>
        <w:rPr/>
      </w:pPr>
      <w:r>
        <w:rPr>
          <w:rFonts w:eastAsia="Arial" w:cs="Arial"/>
          <w:sz w:val="21"/>
          <w:szCs w:val="21"/>
        </w:rPr>
        <w:t>Qualification Documentation (resume / transcripts)</w:t>
      </w:r>
    </w:p>
    <w:p>
      <w:pPr>
        <w:pStyle w:val="ListParagraph"/>
        <w:numPr>
          <w:ilvl w:val="0"/>
          <w:numId w:val="1"/>
        </w:numPr>
        <w:spacing w:lineRule="exact" w:line="264" w:before="0" w:after="60"/>
        <w:rPr/>
      </w:pPr>
      <w:r>
        <w:rPr>
          <w:rFonts w:eastAsia="Arial" w:cs="Arial"/>
          <w:sz w:val="21"/>
          <w:szCs w:val="21"/>
        </w:rPr>
        <w:t>Counselor Credential Documentation</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2.01  AOD Counselor Certification &amp; Registration</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2.01  AOD Counselor Certification &amp; Registration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Personnel &amp; Workforce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Title 9 CCR Ch. 8 (§ 13000 et seq.); § 13005</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individuals who provide counseling services are properly licensed, certified, or registered to obtain certification as required.</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individuals who provide counseling services in the facility.</w:t>
      </w:r>
    </w:p>
    <w:p>
      <w:pPr>
        <w:pStyle w:val="Normal"/>
        <w:pBdr>
          <w:bottom w:val="single" w:sz="4" w:space="1" w:color="2E5E45"/>
        </w:pBdr>
        <w:spacing w:before="160" w:after="80"/>
        <w:rPr/>
      </w:pPr>
      <w:r>
        <w:rPr>
          <w:rFonts w:eastAsia="Arial" w:cs="Arial"/>
          <w:b/>
          <w:bCs/>
          <w:color w:val="1A4731"/>
          <w:sz w:val="20"/>
          <w:szCs w:val="20"/>
        </w:rPr>
        <w:t>DEFINITIONS</w:t>
      </w:r>
    </w:p>
    <w:p>
      <w:pPr>
        <w:pStyle w:val="Normal"/>
        <w:spacing w:lineRule="exact" w:line="276" w:before="0" w:after="120"/>
        <w:rPr/>
      </w:pPr>
      <w:r>
        <w:rPr>
          <w:rFonts w:eastAsia="Arial" w:cs="Arial"/>
          <w:sz w:val="21"/>
          <w:szCs w:val="21"/>
        </w:rPr>
        <w:t>AOD Counselor — an individual registered or certified by a DHCS-approved certifying organization under Chapter 8 (commencing with § 13000).</w:t>
      </w:r>
    </w:p>
    <w:p>
      <w:pPr>
        <w:pStyle w:val="Normal"/>
        <w:spacing w:lineRule="exact" w:line="276" w:before="0" w:after="120"/>
        <w:rPr/>
      </w:pPr>
      <w:r>
        <w:rPr>
          <w:rFonts w:eastAsia="Arial" w:cs="Arial"/>
          <w:sz w:val="21"/>
          <w:szCs w:val="21"/>
        </w:rPr>
        <w:t>Counseling services — the services defined in § 13005 (such as individual and group counseling and treatment planning) that must be provided by a licensed, certified, or registered individual.</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Individuals who provide counseling services are either licensed as a professional whose scope of practice includes AOD counseling, certified as an AOD counselor by a DHCS-approved certifying organization, or registered to obtain certification, in accordance with Title 9, Chapter 8. A registered individual becomes certified within the timeframe the regulations allow and works toward certification under supervision. The facility verifies each counselor's licensure, certification, or registration before the individual provides counseling services and monitors continued good standing and timely progress to certification.</w:t>
      </w:r>
    </w:p>
    <w:p>
      <w:pPr>
        <w:pStyle w:val="Normal"/>
        <w:pBdr>
          <w:bottom w:val="single" w:sz="4" w:space="1" w:color="2E5E45"/>
        </w:pBdr>
        <w:spacing w:before="160" w:after="80"/>
        <w:rPr/>
      </w:pPr>
      <w:r>
        <w:rPr>
          <w:rFonts w:eastAsia="Arial" w:cs="Arial"/>
          <w:b/>
          <w:bCs/>
          <w:color w:val="1A4731"/>
          <w:sz w:val="20"/>
          <w:szCs w:val="20"/>
        </w:rPr>
        <w:t>PROCEDURE — COUNSELOR CREDENTIALING</w:t>
      </w:r>
    </w:p>
    <w:p>
      <w:pPr>
        <w:pStyle w:val="Normal"/>
        <w:tabs>
          <w:tab w:val="left" w:pos="720" w:leader="none"/>
        </w:tabs>
        <w:spacing w:lineRule="exact" w:line="264" w:before="0" w:after="80"/>
        <w:ind w:hanging="360" w:start="720"/>
        <w:rPr/>
      </w:pPr>
      <w:r>
        <w:rPr>
          <w:rFonts w:eastAsia="Arial" w:cs="Arial"/>
          <w:sz w:val="21"/>
          <w:szCs w:val="21"/>
        </w:rPr>
        <w:t>a. Verify each counselor's licensure, certification, or registration before the individual provides counseling services.</w:t>
      </w:r>
    </w:p>
    <w:p>
      <w:pPr>
        <w:pStyle w:val="Normal"/>
        <w:tabs>
          <w:tab w:val="left" w:pos="720" w:leader="none"/>
        </w:tabs>
        <w:spacing w:lineRule="exact" w:line="264" w:before="0" w:after="80"/>
        <w:ind w:hanging="360" w:start="720"/>
        <w:rPr/>
      </w:pPr>
      <w:r>
        <w:rPr>
          <w:rFonts w:eastAsia="Arial" w:cs="Arial"/>
          <w:sz w:val="21"/>
          <w:szCs w:val="21"/>
        </w:rPr>
        <w:t>b. Ensure registered counselors progress to certification within the required timeframe under supervision.</w:t>
      </w:r>
    </w:p>
    <w:p>
      <w:pPr>
        <w:pStyle w:val="Normal"/>
        <w:tabs>
          <w:tab w:val="left" w:pos="720" w:leader="none"/>
        </w:tabs>
        <w:spacing w:lineRule="exact" w:line="264" w:before="0" w:after="80"/>
        <w:ind w:hanging="360" w:start="720"/>
        <w:rPr/>
      </w:pPr>
      <w:r>
        <w:rPr>
          <w:rFonts w:eastAsia="Arial" w:cs="Arial"/>
          <w:sz w:val="21"/>
          <w:szCs w:val="21"/>
        </w:rPr>
        <w:t>c. Monitor continued good standing and document verification.</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Counselor Credential Verification Record</w:t>
      </w:r>
    </w:p>
    <w:p>
      <w:pPr>
        <w:pStyle w:val="ListParagraph"/>
        <w:numPr>
          <w:ilvl w:val="0"/>
          <w:numId w:val="1"/>
        </w:numPr>
        <w:spacing w:lineRule="exact" w:line="264" w:before="0" w:after="60"/>
        <w:rPr/>
      </w:pPr>
      <w:r>
        <w:rPr>
          <w:rFonts w:eastAsia="Arial" w:cs="Arial"/>
          <w:sz w:val="21"/>
          <w:szCs w:val="21"/>
        </w:rPr>
        <w:t>Registration-to-Certification Tracking Log</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2.02  Counselor Code of Conduct &amp; Misconduct Reporting</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2.02  Counselor Code of Conduct &amp; Misconduct Reporting</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Personnel &amp; Workforce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Title 9 CCR §§ 13060, 13065</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hold registered and certified AOD counselors to the code of conduct and to ensure violations are reported to DHCS and the certifying organization within 24 hours.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registered and certified AOD counselors and to the person responsible for reporting.</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Registered and certified AOD counselors comply with the code of conduct in Title 9 § 13060, including prohibitions on resident exploitation and other misconduct. Within 24 hours of the time an alleged violation of the code of conduct by a registrant or certified AOD counselor becomes known to the facility, the facility reports it to DHCS and to the counselor's certifying organization, as required by § 13065. The facility documents the report, cooperates with any investigation, takes appropriate personnel action, and does not retaliate against a person for making a report in good faith.</w:t>
      </w:r>
    </w:p>
    <w:p>
      <w:pPr>
        <w:pStyle w:val="Normal"/>
        <w:pBdr>
          <w:bottom w:val="single" w:sz="4" w:space="1" w:color="2E5E45"/>
        </w:pBdr>
        <w:spacing w:before="160" w:after="80"/>
        <w:rPr/>
      </w:pPr>
      <w:r>
        <w:rPr>
          <w:rFonts w:eastAsia="Arial" w:cs="Arial"/>
          <w:b/>
          <w:bCs/>
          <w:color w:val="1A4731"/>
          <w:sz w:val="20"/>
          <w:szCs w:val="20"/>
        </w:rPr>
        <w:t>PROCEDURE — CODE OF CONDUCT &amp; REPORTING</w:t>
      </w:r>
    </w:p>
    <w:p>
      <w:pPr>
        <w:pStyle w:val="Normal"/>
        <w:tabs>
          <w:tab w:val="left" w:pos="720" w:leader="none"/>
        </w:tabs>
        <w:spacing w:lineRule="exact" w:line="264" w:before="0" w:after="80"/>
        <w:ind w:hanging="360" w:start="720"/>
        <w:rPr/>
      </w:pPr>
      <w:r>
        <w:rPr>
          <w:rFonts w:eastAsia="Arial" w:cs="Arial"/>
          <w:sz w:val="21"/>
          <w:szCs w:val="21"/>
        </w:rPr>
        <w:t>a. Train counselors on the § 13060 code of conduct and obtain acknowledgment.</w:t>
      </w:r>
    </w:p>
    <w:p>
      <w:pPr>
        <w:pStyle w:val="Normal"/>
        <w:tabs>
          <w:tab w:val="left" w:pos="720" w:leader="none"/>
        </w:tabs>
        <w:spacing w:lineRule="exact" w:line="264" w:before="0" w:after="80"/>
        <w:ind w:hanging="360" w:start="720"/>
        <w:rPr/>
      </w:pPr>
      <w:r>
        <w:rPr>
          <w:rFonts w:eastAsia="Arial" w:cs="Arial"/>
          <w:sz w:val="21"/>
          <w:szCs w:val="21"/>
        </w:rPr>
        <w:t>b. Report an alleged code-of-conduct violation to DHCS and the certifying organization within 24 hours of becoming known.</w:t>
      </w:r>
    </w:p>
    <w:p>
      <w:pPr>
        <w:pStyle w:val="Normal"/>
        <w:tabs>
          <w:tab w:val="left" w:pos="720" w:leader="none"/>
        </w:tabs>
        <w:spacing w:lineRule="exact" w:line="264" w:before="0" w:after="80"/>
        <w:ind w:hanging="360" w:start="720"/>
        <w:rPr/>
      </w:pPr>
      <w:r>
        <w:rPr>
          <w:rFonts w:eastAsia="Arial" w:cs="Arial"/>
          <w:sz w:val="21"/>
          <w:szCs w:val="21"/>
        </w:rPr>
        <w:t>c. Document the report, cooperate with investigation, take personnel action, and prohibit retaliation.</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Code of Conduct Acknowledgment</w:t>
      </w:r>
    </w:p>
    <w:p>
      <w:pPr>
        <w:pStyle w:val="ListParagraph"/>
        <w:numPr>
          <w:ilvl w:val="0"/>
          <w:numId w:val="1"/>
        </w:numPr>
        <w:spacing w:lineRule="exact" w:line="264" w:before="0" w:after="60"/>
        <w:rPr/>
      </w:pPr>
      <w:r>
        <w:rPr>
          <w:rFonts w:eastAsia="Arial" w:cs="Arial"/>
          <w:sz w:val="21"/>
          <w:szCs w:val="21"/>
        </w:rPr>
        <w:t>24-Hour Counselor Misconduct Report</w:t>
      </w:r>
    </w:p>
    <w:p>
      <w:pPr>
        <w:pStyle w:val="ListParagraph"/>
        <w:numPr>
          <w:ilvl w:val="0"/>
          <w:numId w:val="1"/>
        </w:numPr>
        <w:spacing w:lineRule="exact" w:line="264" w:before="0" w:after="60"/>
        <w:rPr/>
      </w:pPr>
      <w:r>
        <w:rPr>
          <w:rFonts w:eastAsia="Arial" w:cs="Arial"/>
          <w:sz w:val="21"/>
          <w:szCs w:val="21"/>
        </w:rPr>
        <w:t>Investigation &amp; Personnel Action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2.03  Staff Training Program</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2.03  Staff Training Program</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Personnel &amp; Workforce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Title 9 CCR § 10564(b),(k)</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the facility provides ongoing training to all staff in required areas and documents it.</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staff and to the person responsible for staff development.</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develops, maintains, and implements an ongoing training program for all staff in the areas the regulations require, in addition to training specific to each staff member's duties, in accordance with Title 9 § 10564. Training addresses the facility's policies and procedures, resident rights and confidentiality, emergency and safety procedures, recognizing and responding to medical emergencies and overdose, and the population served. Staff participation in the training program is documented, and documentation is maintained on file for at least three years and available for DHCS review.</w:t>
      </w:r>
    </w:p>
    <w:p>
      <w:pPr>
        <w:pStyle w:val="Normal"/>
        <w:pBdr>
          <w:bottom w:val="single" w:sz="4" w:space="1" w:color="2E5E45"/>
        </w:pBdr>
        <w:spacing w:before="160" w:after="80"/>
        <w:rPr/>
      </w:pPr>
      <w:r>
        <w:rPr>
          <w:rFonts w:eastAsia="Arial" w:cs="Arial"/>
          <w:b/>
          <w:bCs/>
          <w:color w:val="1A4731"/>
          <w:sz w:val="20"/>
          <w:szCs w:val="20"/>
        </w:rPr>
        <w:t>PROCEDURE — TRAINING</w:t>
      </w:r>
    </w:p>
    <w:p>
      <w:pPr>
        <w:pStyle w:val="Normal"/>
        <w:tabs>
          <w:tab w:val="left" w:pos="720" w:leader="none"/>
        </w:tabs>
        <w:spacing w:lineRule="exact" w:line="264" w:before="0" w:after="80"/>
        <w:ind w:hanging="360" w:start="720"/>
        <w:rPr/>
      </w:pPr>
      <w:r>
        <w:rPr>
          <w:rFonts w:eastAsia="Arial" w:cs="Arial"/>
          <w:sz w:val="21"/>
          <w:szCs w:val="21"/>
        </w:rPr>
        <w:t>a. Provide new-staff orientation and an ongoing training program covering required areas and duty-specific topics.</w:t>
      </w:r>
    </w:p>
    <w:p>
      <w:pPr>
        <w:pStyle w:val="Normal"/>
        <w:tabs>
          <w:tab w:val="left" w:pos="720" w:leader="none"/>
        </w:tabs>
        <w:spacing w:lineRule="exact" w:line="264" w:before="0" w:after="80"/>
        <w:ind w:hanging="360" w:start="720"/>
        <w:rPr/>
      </w:pPr>
      <w:r>
        <w:rPr>
          <w:rFonts w:eastAsia="Arial" w:cs="Arial"/>
          <w:sz w:val="21"/>
          <w:szCs w:val="21"/>
        </w:rPr>
        <w:t>b. Include training on policies, resident rights, confidentiality, emergencies, and overdose response.</w:t>
      </w:r>
    </w:p>
    <w:p>
      <w:pPr>
        <w:pStyle w:val="Normal"/>
        <w:tabs>
          <w:tab w:val="left" w:pos="720" w:leader="none"/>
        </w:tabs>
        <w:spacing w:lineRule="exact" w:line="264" w:before="0" w:after="80"/>
        <w:ind w:hanging="360" w:start="720"/>
        <w:rPr/>
      </w:pPr>
      <w:r>
        <w:rPr>
          <w:rFonts w:eastAsia="Arial" w:cs="Arial"/>
          <w:sz w:val="21"/>
          <w:szCs w:val="21"/>
        </w:rPr>
        <w:t>c. Document participation and retain documentation for at least three years.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Orientation Checklist &amp; Acknowledgment</w:t>
      </w:r>
    </w:p>
    <w:p>
      <w:pPr>
        <w:pStyle w:val="ListParagraph"/>
        <w:numPr>
          <w:ilvl w:val="0"/>
          <w:numId w:val="1"/>
        </w:numPr>
        <w:spacing w:lineRule="exact" w:line="264" w:before="0" w:after="60"/>
        <w:rPr/>
      </w:pPr>
      <w:r>
        <w:rPr>
          <w:rFonts w:eastAsia="Arial" w:cs="Arial"/>
          <w:sz w:val="21"/>
          <w:szCs w:val="21"/>
        </w:rPr>
        <w:t>Annual Training Plan</w:t>
      </w:r>
    </w:p>
    <w:p>
      <w:pPr>
        <w:pStyle w:val="ListParagraph"/>
        <w:numPr>
          <w:ilvl w:val="0"/>
          <w:numId w:val="1"/>
        </w:numPr>
        <w:spacing w:lineRule="exact" w:line="264" w:before="0" w:after="60"/>
        <w:rPr/>
      </w:pPr>
      <w:r>
        <w:rPr>
          <w:rFonts w:eastAsia="Arial" w:cs="Arial"/>
          <w:sz w:val="21"/>
          <w:szCs w:val="21"/>
        </w:rPr>
        <w:t>Training Attendance &amp; Documentation Log (3-year retention)</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2.04  Staff Suitability, Background &amp; Health Screening</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2.04  Staff Suitability, Background &amp; Health Screening</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Personnel &amp; Workforce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Title 9 CCR Ch. 5; § 10564</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protect residents by screening staff for suitability, including background and health screening as applicable.</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staff, contractors, and volunteers with resident contact.</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screens staff, contractors, and volunteers for suitability to work with residents, including any criminal background or suitability screening applicable to the facility, and evaluates results before an individual has unsupervised resident contact. The facility applies any applicable health-screening requirements (such as tuberculosis screening) as required for staff in a residential setting, does not employ or retain an individual whose background presents a risk to residents, and documents each screening and determination in the personnel record.</w:t>
      </w:r>
    </w:p>
    <w:p>
      <w:pPr>
        <w:pStyle w:val="Normal"/>
        <w:pBdr>
          <w:bottom w:val="single" w:sz="4" w:space="1" w:color="2E5E45"/>
        </w:pBdr>
        <w:spacing w:before="160" w:after="80"/>
        <w:rPr/>
      </w:pPr>
      <w:r>
        <w:rPr>
          <w:rFonts w:eastAsia="Arial" w:cs="Arial"/>
          <w:b/>
          <w:bCs/>
          <w:color w:val="1A4731"/>
          <w:sz w:val="20"/>
          <w:szCs w:val="20"/>
        </w:rPr>
        <w:t>PROCEDURE — SUITABILITY &amp; SCREENING</w:t>
      </w:r>
    </w:p>
    <w:p>
      <w:pPr>
        <w:pStyle w:val="Normal"/>
        <w:tabs>
          <w:tab w:val="left" w:pos="720" w:leader="none"/>
        </w:tabs>
        <w:spacing w:lineRule="exact" w:line="264" w:before="0" w:after="80"/>
        <w:ind w:hanging="360" w:start="720"/>
        <w:rPr/>
      </w:pPr>
      <w:r>
        <w:rPr>
          <w:rFonts w:eastAsia="Arial" w:cs="Arial"/>
          <w:sz w:val="21"/>
          <w:szCs w:val="21"/>
        </w:rPr>
        <w:t>a. Complete applicable background/suitability and health screening before unsupervised resident contact.</w:t>
      </w:r>
    </w:p>
    <w:p>
      <w:pPr>
        <w:pStyle w:val="Normal"/>
        <w:tabs>
          <w:tab w:val="left" w:pos="720" w:leader="none"/>
        </w:tabs>
        <w:spacing w:lineRule="exact" w:line="264" w:before="0" w:after="80"/>
        <w:ind w:hanging="360" w:start="720"/>
        <w:rPr/>
      </w:pPr>
      <w:r>
        <w:rPr>
          <w:rFonts w:eastAsia="Arial" w:cs="Arial"/>
          <w:sz w:val="21"/>
          <w:szCs w:val="21"/>
        </w:rPr>
        <w:t>b. Evaluate results and do not employ or retain individuals who present a risk to residents.</w:t>
      </w:r>
    </w:p>
    <w:p>
      <w:pPr>
        <w:pStyle w:val="Normal"/>
        <w:tabs>
          <w:tab w:val="left" w:pos="720" w:leader="none"/>
        </w:tabs>
        <w:spacing w:lineRule="exact" w:line="264" w:before="0" w:after="80"/>
        <w:ind w:hanging="360" w:start="720"/>
        <w:rPr/>
      </w:pPr>
      <w:r>
        <w:rPr>
          <w:rFonts w:eastAsia="Arial" w:cs="Arial"/>
          <w:sz w:val="21"/>
          <w:szCs w:val="21"/>
        </w:rPr>
        <w:t>c. Document each screening and determination in the personnel record.</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Background / Suitability Screening Record</w:t>
      </w:r>
    </w:p>
    <w:p>
      <w:pPr>
        <w:pStyle w:val="ListParagraph"/>
        <w:numPr>
          <w:ilvl w:val="0"/>
          <w:numId w:val="1"/>
        </w:numPr>
        <w:spacing w:lineRule="exact" w:line="264" w:before="0" w:after="60"/>
        <w:rPr/>
      </w:pPr>
      <w:r>
        <w:rPr>
          <w:rFonts w:eastAsia="Arial" w:cs="Arial"/>
          <w:sz w:val="21"/>
          <w:szCs w:val="21"/>
        </w:rPr>
        <w:t>Health Screening (e.g., TB) Documentation</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2.05  Program Administrator Qualifications &amp; Responsibilities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2.05  Program Administrator Qualifications &amp; Responsibilities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Personnel &amp; Workforce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Title 9 CCR Ch. 5; § 10564</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define the program administrator's qualifications and responsibilities for operating the facility.</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the program administrator role.</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designates a program administrator qualified by education, training, and experience who is responsible for the day-to-day operation of the facility, for ensuring services are delivered in accordance with the plan of operation and the license, for supervising staff, and for compliance with Title 9, Chapter 5. The administrator's qualifications and responsibilities are documented in a job description, the administrator ensures adequate staff coverage for the services provided and the residents served, and the facility provides for administrative coverage in the administrator's absence.</w:t>
      </w:r>
    </w:p>
    <w:p>
      <w:pPr>
        <w:pStyle w:val="Normal"/>
        <w:pBdr>
          <w:bottom w:val="single" w:sz="4" w:space="1" w:color="2E5E45"/>
        </w:pBdr>
        <w:spacing w:before="160" w:after="80"/>
        <w:rPr/>
      </w:pPr>
      <w:r>
        <w:rPr>
          <w:rFonts w:eastAsia="Arial" w:cs="Arial"/>
          <w:b/>
          <w:bCs/>
          <w:color w:val="1A4731"/>
          <w:sz w:val="20"/>
          <w:szCs w:val="20"/>
        </w:rPr>
        <w:t>PROCEDURE — ADMINISTRATOR</w:t>
      </w:r>
    </w:p>
    <w:p>
      <w:pPr>
        <w:pStyle w:val="Normal"/>
        <w:tabs>
          <w:tab w:val="left" w:pos="720" w:leader="none"/>
        </w:tabs>
        <w:spacing w:lineRule="exact" w:line="264" w:before="0" w:after="80"/>
        <w:ind w:hanging="360" w:start="720"/>
        <w:rPr/>
      </w:pPr>
      <w:r>
        <w:rPr>
          <w:rFonts w:eastAsia="Arial" w:cs="Arial"/>
          <w:sz w:val="21"/>
          <w:szCs w:val="21"/>
        </w:rPr>
        <w:t>a. Designate a qualified program administrator and document qualifications and responsibilities in a job description.</w:t>
      </w:r>
    </w:p>
    <w:p>
      <w:pPr>
        <w:pStyle w:val="Normal"/>
        <w:tabs>
          <w:tab w:val="left" w:pos="720" w:leader="none"/>
        </w:tabs>
        <w:spacing w:lineRule="exact" w:line="264" w:before="0" w:after="80"/>
        <w:ind w:hanging="360" w:start="720"/>
        <w:rPr/>
      </w:pPr>
      <w:r>
        <w:rPr>
          <w:rFonts w:eastAsia="Arial" w:cs="Arial"/>
          <w:sz w:val="21"/>
          <w:szCs w:val="21"/>
        </w:rPr>
        <w:t>b. Ensure the administrator oversees operations, staffing, and compliance.</w:t>
      </w:r>
    </w:p>
    <w:p>
      <w:pPr>
        <w:pStyle w:val="Normal"/>
        <w:tabs>
          <w:tab w:val="left" w:pos="720" w:leader="none"/>
        </w:tabs>
        <w:spacing w:lineRule="exact" w:line="264" w:before="0" w:after="80"/>
        <w:ind w:hanging="360" w:start="720"/>
        <w:rPr/>
      </w:pPr>
      <w:r>
        <w:rPr>
          <w:rFonts w:eastAsia="Arial" w:cs="Arial"/>
          <w:sz w:val="21"/>
          <w:szCs w:val="21"/>
        </w:rPr>
        <w:t>c. Provide for administrative coverage in the administrator's absence.</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Program Administrator Job Description &amp; Qualifications</w:t>
      </w:r>
    </w:p>
    <w:p>
      <w:pPr>
        <w:pStyle w:val="ListParagraph"/>
        <w:numPr>
          <w:ilvl w:val="0"/>
          <w:numId w:val="1"/>
        </w:numPr>
        <w:spacing w:lineRule="exact" w:line="264" w:before="0" w:after="60"/>
        <w:rPr/>
      </w:pPr>
      <w:r>
        <w:rPr>
          <w:rFonts w:eastAsia="Arial" w:cs="Arial"/>
          <w:sz w:val="21"/>
          <w:szCs w:val="21"/>
        </w:rPr>
        <w:t>Administrative Coverage Plan</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C</w:t>
      </w:r>
    </w:p>
    <w:p>
      <w:pPr>
        <w:pStyle w:val="Normal"/>
        <w:pBdr>
          <w:bottom w:val="single" w:sz="12" w:space="4" w:color="1A4731"/>
        </w:pBdr>
        <w:spacing w:before="0" w:after="240"/>
        <w:jc w:val="start"/>
        <w:rPr/>
      </w:pPr>
      <w:r>
        <w:rPr>
          <w:rFonts w:eastAsia="Arial" w:cs="Arial"/>
          <w:b/>
          <w:bCs/>
          <w:color w:val="222222"/>
          <w:sz w:val="40"/>
          <w:szCs w:val="40"/>
        </w:rPr>
        <w:t>Resident Rights &amp; Protections</w:t>
      </w:r>
    </w:p>
    <w:p>
      <w:pPr>
        <w:pStyle w:val="Normal"/>
        <w:spacing w:lineRule="exact" w:line="288" w:before="0" w:after="240"/>
        <w:rPr/>
      </w:pPr>
      <w:r>
        <w:rPr>
          <w:rFonts w:eastAsia="Arial" w:cs="Arial"/>
          <w:color w:val="444444"/>
          <w:sz w:val="22"/>
          <w:szCs w:val="22"/>
        </w:rPr>
        <w:t>This section protects the people the facility serves — resident rights; confidentiality under 42 CFR Part 2, HIPAA and California law; the admission agreement and informed consent; complaints, grievances and reporting to DHCS; and prohibited practices and nonviolent emergency intervention.</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3.00  Resident Rights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3.01  Confidentiality (42 CFR Part 2, HIPAA &amp; California Law)</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3.02  Admission Agreement &amp; Informed Consent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3.03  Complaints, Grievances &amp; Reporting to DHCS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3.04  Prohibited Practices &amp; Nonviolent Emergency Intervention</w:t>
      </w:r>
    </w:p>
    <w:p>
      <w:pPr>
        <w:pStyle w:val="Normal"/>
        <w:rPr/>
      </w:pPr>
      <w:r>
        <w:rPr/>
      </w:r>
      <w:r>
        <w:br w:type="page"/>
      </w:r>
    </w:p>
    <w:p>
      <w:pPr>
        <w:pStyle w:val="Heading2"/>
        <w:spacing w:before="0" w:after="120"/>
        <w:rPr/>
      </w:pPr>
      <w:r>
        <w:rPr>
          <w:rFonts w:eastAsia="Arial" w:cs="Arial" w:ascii="Arial" w:hAnsi="Arial"/>
          <w:b/>
          <w:bCs/>
          <w:color w:val="1A4731"/>
          <w:sz w:val="26"/>
          <w:szCs w:val="26"/>
        </w:rPr>
        <w:t>3.00  Resident Rights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3.00  Resident Rights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Resident Rights &amp; Protections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Title 9 CCR Ch. 5; H&amp;SC § 11834.01 et seq.</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establish, protect, and inform each resident of the rights guaranteed under California law and Title 9, Chapter 5.</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every resident and to all staff, contractors, and volunteers.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protects the rights of each resident, including the right to be treated with dignity and respect; the right to services without unlawful discrimination; the right to be informed of facility rules and of resident rights; the right to give informed consent to services and to refuse services except as otherwise provided by law; the right to confidentiality of records; the right to be free from abuse, neglect, exploitation, and retaliation; the right to a safe and clean living environment; the right to keep and use personal possessions consistent with facility policy; the right to communicate and receive visitors consistent with the recovery or treatment plan; and the right to voice grievances without retaliation. Each resident is informed of these rights, in a manner the resident can understand, at admission, and a written copy of the rights is provided and posted.</w:t>
      </w:r>
    </w:p>
    <w:p>
      <w:pPr>
        <w:pStyle w:val="Normal"/>
        <w:pBdr>
          <w:bottom w:val="single" w:sz="4" w:space="1" w:color="2E5E45"/>
        </w:pBdr>
        <w:spacing w:before="160" w:after="80"/>
        <w:rPr/>
      </w:pPr>
      <w:r>
        <w:rPr>
          <w:rFonts w:eastAsia="Arial" w:cs="Arial"/>
          <w:b/>
          <w:bCs/>
          <w:color w:val="1A4731"/>
          <w:sz w:val="20"/>
          <w:szCs w:val="20"/>
        </w:rPr>
        <w:t>PROCEDURE — INFORMING &amp; HONORING RIGHTS</w:t>
      </w:r>
    </w:p>
    <w:p>
      <w:pPr>
        <w:pStyle w:val="Normal"/>
        <w:tabs>
          <w:tab w:val="left" w:pos="720" w:leader="none"/>
        </w:tabs>
        <w:spacing w:lineRule="exact" w:line="264" w:before="0" w:after="80"/>
        <w:ind w:hanging="360" w:start="720"/>
        <w:rPr/>
      </w:pPr>
      <w:r>
        <w:rPr>
          <w:rFonts w:eastAsia="Arial" w:cs="Arial"/>
          <w:sz w:val="21"/>
          <w:szCs w:val="21"/>
        </w:rPr>
        <w:t>a. Provide and explain resident rights and facility rules at admission in a manner the resident can understand, and post and provide a written copy.</w:t>
      </w:r>
    </w:p>
    <w:p>
      <w:pPr>
        <w:pStyle w:val="Normal"/>
        <w:tabs>
          <w:tab w:val="left" w:pos="720" w:leader="none"/>
        </w:tabs>
        <w:spacing w:lineRule="exact" w:line="264" w:before="0" w:after="80"/>
        <w:ind w:hanging="360" w:start="720"/>
        <w:rPr/>
      </w:pPr>
      <w:r>
        <w:rPr>
          <w:rFonts w:eastAsia="Arial" w:cs="Arial"/>
          <w:sz w:val="21"/>
          <w:szCs w:val="21"/>
        </w:rPr>
        <w:t>b. Inform each resident of the grievance process and the right to complain to DHCS without retaliation.</w:t>
      </w:r>
    </w:p>
    <w:p>
      <w:pPr>
        <w:pStyle w:val="Normal"/>
        <w:tabs>
          <w:tab w:val="left" w:pos="720" w:leader="none"/>
        </w:tabs>
        <w:spacing w:lineRule="exact" w:line="264" w:before="0" w:after="80"/>
        <w:ind w:hanging="360" w:start="720"/>
        <w:rPr/>
      </w:pPr>
      <w:r>
        <w:rPr>
          <w:rFonts w:eastAsia="Arial" w:cs="Arial"/>
          <w:sz w:val="21"/>
          <w:szCs w:val="21"/>
        </w:rPr>
        <w:t>c. Honor residents' rights to dignity, nondiscrimination, informed consent, confidentiality, freedom from abuse and exploitation, and grievance.</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Resident Rights Statement &amp; Poster</w:t>
      </w:r>
    </w:p>
    <w:p>
      <w:pPr>
        <w:pStyle w:val="ListParagraph"/>
        <w:numPr>
          <w:ilvl w:val="0"/>
          <w:numId w:val="1"/>
        </w:numPr>
        <w:spacing w:lineRule="exact" w:line="264" w:before="0" w:after="60"/>
        <w:rPr/>
      </w:pPr>
      <w:r>
        <w:rPr>
          <w:rFonts w:eastAsia="Arial" w:cs="Arial"/>
          <w:sz w:val="21"/>
          <w:szCs w:val="21"/>
        </w:rPr>
        <w:t>Acknowledgment of Receipt of Rights</w:t>
      </w:r>
    </w:p>
    <w:p>
      <w:pPr>
        <w:pStyle w:val="ListParagraph"/>
        <w:numPr>
          <w:ilvl w:val="0"/>
          <w:numId w:val="1"/>
        </w:numPr>
        <w:spacing w:lineRule="exact" w:line="264" w:before="0" w:after="60"/>
        <w:rPr/>
      </w:pPr>
      <w:r>
        <w:rPr>
          <w:rFonts w:eastAsia="Arial" w:cs="Arial"/>
          <w:sz w:val="21"/>
          <w:szCs w:val="21"/>
        </w:rPr>
        <w:t>Facility Rules Acknowledgment</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3.01  Confidentiality (42 CFR Part 2, HIPAA &amp; California Law)</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3.01  Confidentiality (42 CFR Part 2, HIPAA &amp; California Law)</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Resident Rights &amp; Protections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42 CFR Part 2; 45 CFR Parts 160, 164; Cal. Civil Code § 1798 et seq.</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protect the confidentiality of resident records and identifying information under the federal substance use disorder rule, HIPAA, and California law.</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resident records and identifying information in any form and to everyone who creates, uses, or discloses them.</w:t>
      </w:r>
    </w:p>
    <w:p>
      <w:pPr>
        <w:pStyle w:val="Normal"/>
        <w:pBdr>
          <w:bottom w:val="single" w:sz="4" w:space="1" w:color="2E5E45"/>
        </w:pBdr>
        <w:spacing w:before="160" w:after="80"/>
        <w:rPr/>
      </w:pPr>
      <w:r>
        <w:rPr>
          <w:rFonts w:eastAsia="Arial" w:cs="Arial"/>
          <w:b/>
          <w:bCs/>
          <w:color w:val="1A4731"/>
          <w:sz w:val="20"/>
          <w:szCs w:val="20"/>
        </w:rPr>
        <w:t>DEFINITIONS</w:t>
      </w:r>
    </w:p>
    <w:p>
      <w:pPr>
        <w:pStyle w:val="Normal"/>
        <w:spacing w:lineRule="exact" w:line="276" w:before="0" w:after="120"/>
        <w:rPr/>
      </w:pPr>
      <w:r>
        <w:rPr>
          <w:rFonts w:eastAsia="Arial" w:cs="Arial"/>
          <w:sz w:val="21"/>
          <w:szCs w:val="21"/>
        </w:rPr>
        <w:t>42 CFR Part 2 — the federal regulation providing heightened protection for records that identify a person as having a substance use disorder in a federally assisted program, generally requiring specific written consent for disclosure and limiting re-disclosure.</w:t>
      </w:r>
    </w:p>
    <w:p>
      <w:pPr>
        <w:pStyle w:val="Normal"/>
        <w:spacing w:lineRule="exact" w:line="276" w:before="0" w:after="120"/>
        <w:rPr/>
      </w:pPr>
      <w:r>
        <w:rPr>
          <w:rFonts w:eastAsia="Arial" w:cs="Arial"/>
          <w:sz w:val="21"/>
          <w:szCs w:val="21"/>
        </w:rPr>
        <w:t>Protected Health Information (PHI) — individually identifiable health information protected by HIPAA (45 CFR Parts 160 and 164).</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protects the confidentiality of resident information, complies with 42 CFR Part 2, protects PHI under HIPAA, and follows California confidentiality law, including the Information Practices Act (Cal. Civil Code § 1798 et seq.). Except as permitted by law, disclosure of a record requires the resident's specific written consent, and re-disclosure is limited. The facility maintains a notice of privacy practices, applies minimum-necessary and safeguarding standards, secures records against unauthorized access, trains staff on 42 CFR Part 2, HIPAA, and California law, and executes qualified service organization and business associate agreements where appropriate. DHCS is permitted access to records as required to determine compliance.</w:t>
      </w:r>
    </w:p>
    <w:p>
      <w:pPr>
        <w:pStyle w:val="Normal"/>
        <w:pBdr>
          <w:bottom w:val="single" w:sz="4" w:space="1" w:color="2E5E45"/>
        </w:pBdr>
        <w:spacing w:before="160" w:after="80"/>
        <w:rPr/>
      </w:pPr>
      <w:r>
        <w:rPr>
          <w:rFonts w:eastAsia="Arial" w:cs="Arial"/>
          <w:b/>
          <w:bCs/>
          <w:color w:val="1A4731"/>
          <w:sz w:val="20"/>
          <w:szCs w:val="20"/>
        </w:rPr>
        <w:t>PROCEDURE — CONSENT &amp; DISCLOSURE</w:t>
      </w:r>
    </w:p>
    <w:p>
      <w:pPr>
        <w:pStyle w:val="Normal"/>
        <w:tabs>
          <w:tab w:val="left" w:pos="720" w:leader="none"/>
        </w:tabs>
        <w:spacing w:lineRule="exact" w:line="264" w:before="0" w:after="80"/>
        <w:ind w:hanging="360" w:start="720"/>
        <w:rPr/>
      </w:pPr>
      <w:r>
        <w:rPr>
          <w:rFonts w:eastAsia="Arial" w:cs="Arial"/>
          <w:sz w:val="21"/>
          <w:szCs w:val="21"/>
        </w:rPr>
        <w:t>a. Obtain 42 CFR Part 2-compliant written consent before disclosing a record, except as permitted by law, and honor re-disclosure limits.</w:t>
      </w:r>
    </w:p>
    <w:p>
      <w:pPr>
        <w:pStyle w:val="Normal"/>
        <w:tabs>
          <w:tab w:val="left" w:pos="720" w:leader="none"/>
        </w:tabs>
        <w:spacing w:lineRule="exact" w:line="264" w:before="0" w:after="80"/>
        <w:ind w:hanging="360" w:start="720"/>
        <w:rPr/>
      </w:pPr>
      <w:r>
        <w:rPr>
          <w:rFonts w:eastAsia="Arial" w:cs="Arial"/>
          <w:sz w:val="21"/>
          <w:szCs w:val="21"/>
        </w:rPr>
        <w:t>b. Provide DHCS access to records as required for compliance determinations.</w:t>
      </w:r>
    </w:p>
    <w:p>
      <w:pPr>
        <w:pStyle w:val="Normal"/>
        <w:tabs>
          <w:tab w:val="left" w:pos="720" w:leader="none"/>
        </w:tabs>
        <w:spacing w:lineRule="exact" w:line="264" w:before="0" w:after="80"/>
        <w:ind w:hanging="360" w:start="720"/>
        <w:rPr/>
      </w:pPr>
      <w:r>
        <w:rPr>
          <w:rFonts w:eastAsia="Arial" w:cs="Arial"/>
          <w:sz w:val="21"/>
          <w:szCs w:val="21"/>
        </w:rPr>
        <w:t>c. Execute qualified service organization and business associate agreements where appropriate.</w:t>
      </w:r>
    </w:p>
    <w:p>
      <w:pPr>
        <w:pStyle w:val="Normal"/>
        <w:pBdr>
          <w:bottom w:val="single" w:sz="4" w:space="1" w:color="2E5E45"/>
        </w:pBdr>
        <w:spacing w:before="160" w:after="80"/>
        <w:rPr/>
      </w:pPr>
      <w:r>
        <w:rPr>
          <w:rFonts w:eastAsia="Arial" w:cs="Arial"/>
          <w:b/>
          <w:bCs/>
          <w:color w:val="1A4731"/>
          <w:sz w:val="20"/>
          <w:szCs w:val="20"/>
        </w:rPr>
        <w:t>PROCEDURE — SAFEGUARDS &amp; TRAINING</w:t>
      </w:r>
    </w:p>
    <w:p>
      <w:pPr>
        <w:pStyle w:val="Normal"/>
        <w:tabs>
          <w:tab w:val="left" w:pos="720" w:leader="none"/>
        </w:tabs>
        <w:spacing w:lineRule="exact" w:line="264" w:before="0" w:after="80"/>
        <w:ind w:hanging="360" w:start="720"/>
        <w:rPr/>
      </w:pPr>
      <w:r>
        <w:rPr>
          <w:rFonts w:eastAsia="Arial" w:cs="Arial"/>
          <w:sz w:val="21"/>
          <w:szCs w:val="21"/>
        </w:rPr>
        <w:t>d. Maintain a notice of privacy practices, apply minimum-necessary and safeguarding standards, and store records securely.</w:t>
      </w:r>
    </w:p>
    <w:p>
      <w:pPr>
        <w:pStyle w:val="Normal"/>
        <w:tabs>
          <w:tab w:val="left" w:pos="720" w:leader="none"/>
        </w:tabs>
        <w:spacing w:lineRule="exact" w:line="264" w:before="0" w:after="80"/>
        <w:ind w:hanging="360" w:start="720"/>
        <w:rPr/>
      </w:pPr>
      <w:r>
        <w:rPr>
          <w:rFonts w:eastAsia="Arial" w:cs="Arial"/>
          <w:sz w:val="21"/>
          <w:szCs w:val="21"/>
        </w:rPr>
        <w:t>e. Train staff on 42 CFR Part 2, HIPAA, and California law.</w:t>
      </w:r>
    </w:p>
    <w:p>
      <w:pPr>
        <w:pStyle w:val="Normal"/>
        <w:tabs>
          <w:tab w:val="left" w:pos="720" w:leader="none"/>
        </w:tabs>
        <w:spacing w:lineRule="exact" w:line="264" w:before="0" w:after="80"/>
        <w:ind w:hanging="360" w:start="720"/>
        <w:rPr/>
      </w:pPr>
      <w:r>
        <w:rPr>
          <w:rFonts w:eastAsia="Arial" w:cs="Arial"/>
          <w:sz w:val="21"/>
          <w:szCs w:val="21"/>
        </w:rPr>
        <w:t>f. Investigate and respond to suspected impermissible disclosures.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42 CFR Part 2 Consent to Disclosure</w:t>
      </w:r>
    </w:p>
    <w:p>
      <w:pPr>
        <w:pStyle w:val="ListParagraph"/>
        <w:numPr>
          <w:ilvl w:val="0"/>
          <w:numId w:val="1"/>
        </w:numPr>
        <w:spacing w:lineRule="exact" w:line="264" w:before="0" w:after="60"/>
        <w:rPr/>
      </w:pPr>
      <w:r>
        <w:rPr>
          <w:rFonts w:eastAsia="Arial" w:cs="Arial"/>
          <w:sz w:val="21"/>
          <w:szCs w:val="21"/>
        </w:rPr>
        <w:t>Release-of-Information Log</w:t>
      </w:r>
    </w:p>
    <w:p>
      <w:pPr>
        <w:pStyle w:val="ListParagraph"/>
        <w:numPr>
          <w:ilvl w:val="0"/>
          <w:numId w:val="1"/>
        </w:numPr>
        <w:spacing w:lineRule="exact" w:line="264" w:before="0" w:after="60"/>
        <w:rPr/>
      </w:pPr>
      <w:r>
        <w:rPr>
          <w:rFonts w:eastAsia="Arial" w:cs="Arial"/>
          <w:sz w:val="21"/>
          <w:szCs w:val="21"/>
        </w:rPr>
        <w:t>Notice of Privacy Practices</w:t>
      </w:r>
    </w:p>
    <w:p>
      <w:pPr>
        <w:pStyle w:val="ListParagraph"/>
        <w:numPr>
          <w:ilvl w:val="0"/>
          <w:numId w:val="1"/>
        </w:numPr>
        <w:spacing w:lineRule="exact" w:line="264" w:before="0" w:after="60"/>
        <w:rPr/>
      </w:pPr>
      <w:r>
        <w:rPr>
          <w:rFonts w:eastAsia="Arial" w:cs="Arial"/>
          <w:sz w:val="21"/>
          <w:szCs w:val="21"/>
        </w:rPr>
        <w:t>Qualified Service Organization / Business Associate Agreement</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3.02  Admission Agreement &amp; Informed Consent</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3.02  Admission Agreement &amp; Informed Consent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Resident Rights &amp; Protections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Title 9 CCR Ch. 5</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each resident (or authorized representative) enters a written admission agreement and gives informed consent to services and fees.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admissions and to the staff who complete admission agreements.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At admission, the facility completes a written admission agreement with the resident or the resident's authorized representative that describes the services to be provided, the facility rules and the resident's rights and responsibilities, the fees and refund policy, the conditions under which the agreement may be terminated, and the resident's consent to services. The resident receives a copy of the agreement and the statement of rights, and the signed agreement is retained in the resident record. The facility obtains informed consent for services and does not condition admission on unlawful terms.</w:t>
      </w:r>
    </w:p>
    <w:p>
      <w:pPr>
        <w:pStyle w:val="Normal"/>
        <w:pBdr>
          <w:bottom w:val="single" w:sz="4" w:space="1" w:color="2E5E45"/>
        </w:pBdr>
        <w:spacing w:before="160" w:after="80"/>
        <w:rPr/>
      </w:pPr>
      <w:r>
        <w:rPr>
          <w:rFonts w:eastAsia="Arial" w:cs="Arial"/>
          <w:b/>
          <w:bCs/>
          <w:color w:val="1A4731"/>
          <w:sz w:val="20"/>
          <w:szCs w:val="20"/>
        </w:rPr>
        <w:t>PROCEDURE — ADMISSION AGREEMENT</w:t>
      </w:r>
    </w:p>
    <w:p>
      <w:pPr>
        <w:pStyle w:val="Normal"/>
        <w:tabs>
          <w:tab w:val="left" w:pos="720" w:leader="none"/>
        </w:tabs>
        <w:spacing w:lineRule="exact" w:line="264" w:before="0" w:after="80"/>
        <w:ind w:hanging="360" w:start="720"/>
        <w:rPr/>
      </w:pPr>
      <w:r>
        <w:rPr>
          <w:rFonts w:eastAsia="Arial" w:cs="Arial"/>
          <w:sz w:val="21"/>
          <w:szCs w:val="21"/>
        </w:rPr>
        <w:t>a. Complete a written admission agreement describing services, rules, rights, fees, refund policy, and termination conditions.</w:t>
      </w:r>
    </w:p>
    <w:p>
      <w:pPr>
        <w:pStyle w:val="Normal"/>
        <w:tabs>
          <w:tab w:val="left" w:pos="720" w:leader="none"/>
        </w:tabs>
        <w:spacing w:lineRule="exact" w:line="264" w:before="0" w:after="80"/>
        <w:ind w:hanging="360" w:start="720"/>
        <w:rPr/>
      </w:pPr>
      <w:r>
        <w:rPr>
          <w:rFonts w:eastAsia="Arial" w:cs="Arial"/>
          <w:sz w:val="21"/>
          <w:szCs w:val="21"/>
        </w:rPr>
        <w:t>b. Obtain the resident's informed consent and signature and provide a copy of the agreement and rights.</w:t>
      </w:r>
    </w:p>
    <w:p>
      <w:pPr>
        <w:pStyle w:val="Normal"/>
        <w:tabs>
          <w:tab w:val="left" w:pos="720" w:leader="none"/>
        </w:tabs>
        <w:spacing w:lineRule="exact" w:line="264" w:before="0" w:after="80"/>
        <w:ind w:hanging="360" w:start="720"/>
        <w:rPr/>
      </w:pPr>
      <w:r>
        <w:rPr>
          <w:rFonts w:eastAsia="Arial" w:cs="Arial"/>
          <w:sz w:val="21"/>
          <w:szCs w:val="21"/>
        </w:rPr>
        <w:t>c. Retain the signed agreement in the resident record.</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Admission Agreement</w:t>
      </w:r>
    </w:p>
    <w:p>
      <w:pPr>
        <w:pStyle w:val="ListParagraph"/>
        <w:numPr>
          <w:ilvl w:val="0"/>
          <w:numId w:val="1"/>
        </w:numPr>
        <w:spacing w:lineRule="exact" w:line="264" w:before="0" w:after="60"/>
        <w:rPr/>
      </w:pPr>
      <w:r>
        <w:rPr>
          <w:rFonts w:eastAsia="Arial" w:cs="Arial"/>
          <w:sz w:val="21"/>
          <w:szCs w:val="21"/>
        </w:rPr>
        <w:t>Informed Consent to Services</w:t>
      </w:r>
    </w:p>
    <w:p>
      <w:pPr>
        <w:pStyle w:val="ListParagraph"/>
        <w:numPr>
          <w:ilvl w:val="0"/>
          <w:numId w:val="1"/>
        </w:numPr>
        <w:spacing w:lineRule="exact" w:line="264" w:before="0" w:after="60"/>
        <w:rPr/>
      </w:pPr>
      <w:r>
        <w:rPr>
          <w:rFonts w:eastAsia="Arial" w:cs="Arial"/>
          <w:sz w:val="21"/>
          <w:szCs w:val="21"/>
        </w:rPr>
        <w:t>Fee &amp; Refund Schedule</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3.03  Complaints, Grievances &amp; Reporting to DHCS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3.03  Complaints, Grievances &amp; Reporting to DHCS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Resident Rights &amp; Protections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Title 9 CCR Ch. 5</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give residents a clear, retaliation-free process to raise grievances and to inform them of the right to complain to DHCS.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grievances and complaints from residents and, where applicable, their representatives.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maintains a resident grievance process and informs each resident, at admission, how to file a grievance internally and how to file a complaint with the DHCS Licensing and Certification Division, without fear of retaliation. Grievances are acknowledged, investigated as appropriate, and resolved within the facility's stated timeframes, documented, and used to improve services. The facility cooperates with DHCS complaint investigations and does not retaliate against a resident for filing a grievance or complaint.</w:t>
      </w:r>
    </w:p>
    <w:p>
      <w:pPr>
        <w:pStyle w:val="Normal"/>
        <w:pBdr>
          <w:bottom w:val="single" w:sz="4" w:space="1" w:color="2E5E45"/>
        </w:pBdr>
        <w:spacing w:before="160" w:after="80"/>
        <w:rPr/>
      </w:pPr>
      <w:r>
        <w:rPr>
          <w:rFonts w:eastAsia="Arial" w:cs="Arial"/>
          <w:b/>
          <w:bCs/>
          <w:color w:val="1A4731"/>
          <w:sz w:val="20"/>
          <w:szCs w:val="20"/>
        </w:rPr>
        <w:t>PROCEDURE — GRIEVANCES &amp; COMPLAINTS</w:t>
      </w:r>
    </w:p>
    <w:p>
      <w:pPr>
        <w:pStyle w:val="Normal"/>
        <w:tabs>
          <w:tab w:val="left" w:pos="720" w:leader="none"/>
        </w:tabs>
        <w:spacing w:lineRule="exact" w:line="264" w:before="0" w:after="80"/>
        <w:ind w:hanging="360" w:start="720"/>
        <w:rPr/>
      </w:pPr>
      <w:r>
        <w:rPr>
          <w:rFonts w:eastAsia="Arial" w:cs="Arial"/>
          <w:sz w:val="21"/>
          <w:szCs w:val="21"/>
        </w:rPr>
        <w:t>a. Inform each resident how to file an internal grievance and a DHCS complaint, without retaliation, and post DHCS complaint information.</w:t>
      </w:r>
    </w:p>
    <w:p>
      <w:pPr>
        <w:pStyle w:val="Normal"/>
        <w:tabs>
          <w:tab w:val="left" w:pos="720" w:leader="none"/>
        </w:tabs>
        <w:spacing w:lineRule="exact" w:line="264" w:before="0" w:after="80"/>
        <w:ind w:hanging="360" w:start="720"/>
        <w:rPr/>
      </w:pPr>
      <w:r>
        <w:rPr>
          <w:rFonts w:eastAsia="Arial" w:cs="Arial"/>
          <w:sz w:val="21"/>
          <w:szCs w:val="21"/>
        </w:rPr>
        <w:t>b. Acknowledge, investigate, resolve, and document grievances within stated timeframes.</w:t>
      </w:r>
    </w:p>
    <w:p>
      <w:pPr>
        <w:pStyle w:val="Normal"/>
        <w:tabs>
          <w:tab w:val="left" w:pos="720" w:leader="none"/>
        </w:tabs>
        <w:spacing w:lineRule="exact" w:line="264" w:before="0" w:after="80"/>
        <w:ind w:hanging="360" w:start="720"/>
        <w:rPr/>
      </w:pPr>
      <w:r>
        <w:rPr>
          <w:rFonts w:eastAsia="Arial" w:cs="Arial"/>
          <w:sz w:val="21"/>
          <w:szCs w:val="21"/>
        </w:rPr>
        <w:t>c. Cooperate with DHCS complaint investigations and use grievance data to improve services.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Resident Grievance Form</w:t>
      </w:r>
    </w:p>
    <w:p>
      <w:pPr>
        <w:pStyle w:val="ListParagraph"/>
        <w:numPr>
          <w:ilvl w:val="0"/>
          <w:numId w:val="1"/>
        </w:numPr>
        <w:spacing w:lineRule="exact" w:line="264" w:before="0" w:after="60"/>
        <w:rPr/>
      </w:pPr>
      <w:r>
        <w:rPr>
          <w:rFonts w:eastAsia="Arial" w:cs="Arial"/>
          <w:sz w:val="21"/>
          <w:szCs w:val="21"/>
        </w:rPr>
        <w:t>Grievance Response &amp; Resolution Log</w:t>
      </w:r>
    </w:p>
    <w:p>
      <w:pPr>
        <w:pStyle w:val="ListParagraph"/>
        <w:numPr>
          <w:ilvl w:val="0"/>
          <w:numId w:val="1"/>
        </w:numPr>
        <w:spacing w:lineRule="exact" w:line="264" w:before="0" w:after="60"/>
        <w:rPr/>
      </w:pPr>
      <w:r>
        <w:rPr>
          <w:rFonts w:eastAsia="Arial" w:cs="Arial"/>
          <w:sz w:val="21"/>
          <w:szCs w:val="21"/>
        </w:rPr>
        <w:t>DHCS Complaint Information Posting</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3.04  Prohibited Practices &amp; Nonviolent Emergency Intervention</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3.04  Prohibited Practices &amp; Nonviolent Emergency Intervention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Resident Rights &amp; Protections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Title 9 CCR Ch. 5 (residential nonmedical)</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protect residents from prohibited practices and to ensure that behavior is managed with nonrestrictive, nonviolent means appropriate to a residential nonmedical setting.</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staff and to every interaction with residents.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Because a residential AOD facility is a nonmedical, voluntary setting, the facility does not use physical or chemical restraint or seclusion as behavior-management or disciplinary measures, and prohibits coercive, punitive, humiliating, or retaliatory practices, exploitation of residents, and the withholding of food, shelter, or other necessities as punishment. Staff manage difficult or escalating situations through prevention, de-escalation, and other nonviolent, nonrestrictive means. Where a resident presents an emergency that is beyond the facility's nonmedical scope — such as a medical emergency, overdose, or acute psychiatric crisis — staff summon emergency medical services or other appropriate emergency assistance and arrange transfer, and address the resident's discharge and continuing-care needs.</w:t>
      </w:r>
    </w:p>
    <w:p>
      <w:pPr>
        <w:pStyle w:val="Normal"/>
        <w:pBdr>
          <w:bottom w:val="single" w:sz="4" w:space="1" w:color="2E5E45"/>
        </w:pBdr>
        <w:spacing w:before="160" w:after="80"/>
        <w:rPr/>
      </w:pPr>
      <w:r>
        <w:rPr>
          <w:rFonts w:eastAsia="Arial" w:cs="Arial"/>
          <w:b/>
          <w:bCs/>
          <w:color w:val="1A4731"/>
          <w:sz w:val="20"/>
          <w:szCs w:val="20"/>
        </w:rPr>
        <w:t>PROCEDURE — CLIENT PROTECTION &amp; INTERVENTION</w:t>
      </w:r>
    </w:p>
    <w:p>
      <w:pPr>
        <w:pStyle w:val="Normal"/>
        <w:tabs>
          <w:tab w:val="left" w:pos="720" w:leader="none"/>
        </w:tabs>
        <w:spacing w:lineRule="exact" w:line="264" w:before="0" w:after="80"/>
        <w:ind w:hanging="360" w:start="720"/>
        <w:rPr/>
      </w:pPr>
      <w:r>
        <w:rPr>
          <w:rFonts w:eastAsia="Arial" w:cs="Arial"/>
          <w:sz w:val="21"/>
          <w:szCs w:val="21"/>
        </w:rPr>
        <w:t>a. Prohibit restraint, seclusion, and coercive, punitive, or humiliating practices, and never withhold necessities as punishment.</w:t>
      </w:r>
    </w:p>
    <w:p>
      <w:pPr>
        <w:pStyle w:val="Normal"/>
        <w:tabs>
          <w:tab w:val="left" w:pos="720" w:leader="none"/>
        </w:tabs>
        <w:spacing w:lineRule="exact" w:line="264" w:before="0" w:after="80"/>
        <w:ind w:hanging="360" w:start="720"/>
        <w:rPr/>
      </w:pPr>
      <w:r>
        <w:rPr>
          <w:rFonts w:eastAsia="Arial" w:cs="Arial"/>
          <w:sz w:val="21"/>
          <w:szCs w:val="21"/>
        </w:rPr>
        <w:t>b. Manage escalating situations through prevention, de-escalation, and nonviolent, nonrestrictive means.</w:t>
      </w:r>
    </w:p>
    <w:p>
      <w:pPr>
        <w:pStyle w:val="Normal"/>
        <w:tabs>
          <w:tab w:val="left" w:pos="720" w:leader="none"/>
        </w:tabs>
        <w:spacing w:lineRule="exact" w:line="264" w:before="0" w:after="80"/>
        <w:ind w:hanging="360" w:start="720"/>
        <w:rPr/>
      </w:pPr>
      <w:r>
        <w:rPr>
          <w:rFonts w:eastAsia="Arial" w:cs="Arial"/>
          <w:sz w:val="21"/>
          <w:szCs w:val="21"/>
        </w:rPr>
        <w:t>c. Summon emergency services for medical, overdose, or psychiatric emergencies beyond scope and arrange transfer and continuing care.</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Prohibited Practices Policy &amp; Acknowledgment</w:t>
      </w:r>
    </w:p>
    <w:p>
      <w:pPr>
        <w:pStyle w:val="ListParagraph"/>
        <w:numPr>
          <w:ilvl w:val="0"/>
          <w:numId w:val="1"/>
        </w:numPr>
        <w:spacing w:lineRule="exact" w:line="264" w:before="0" w:after="60"/>
        <w:rPr/>
      </w:pPr>
      <w:r>
        <w:rPr>
          <w:rFonts w:eastAsia="Arial" w:cs="Arial"/>
          <w:sz w:val="21"/>
          <w:szCs w:val="21"/>
        </w:rPr>
        <w:t>De-escalation Procedure</w:t>
      </w:r>
    </w:p>
    <w:p>
      <w:pPr>
        <w:pStyle w:val="ListParagraph"/>
        <w:numPr>
          <w:ilvl w:val="0"/>
          <w:numId w:val="1"/>
        </w:numPr>
        <w:spacing w:lineRule="exact" w:line="264" w:before="0" w:after="60"/>
        <w:rPr/>
      </w:pPr>
      <w:r>
        <w:rPr>
          <w:rFonts w:eastAsia="Arial" w:cs="Arial"/>
          <w:sz w:val="21"/>
          <w:szCs w:val="21"/>
        </w:rPr>
        <w:t>Emergency Response &amp; Transfer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D</w:t>
      </w:r>
    </w:p>
    <w:p>
      <w:pPr>
        <w:pStyle w:val="Normal"/>
        <w:pBdr>
          <w:bottom w:val="single" w:sz="12" w:space="4" w:color="1A4731"/>
        </w:pBdr>
        <w:spacing w:before="0" w:after="240"/>
        <w:jc w:val="start"/>
        <w:rPr/>
      </w:pPr>
      <w:r>
        <w:rPr>
          <w:rFonts w:eastAsia="Arial" w:cs="Arial"/>
          <w:b/>
          <w:bCs/>
          <w:color w:val="222222"/>
          <w:sz w:val="40"/>
          <w:szCs w:val="40"/>
        </w:rPr>
        <w:t>Recovery / Treatment Services</w:t>
      </w:r>
    </w:p>
    <w:p>
      <w:pPr>
        <w:pStyle w:val="Normal"/>
        <w:spacing w:lineRule="exact" w:line="288" w:before="0" w:after="240"/>
        <w:rPr/>
      </w:pPr>
      <w:r>
        <w:rPr>
          <w:rFonts w:eastAsia="Arial" w:cs="Arial"/>
          <w:color w:val="444444"/>
          <w:sz w:val="22"/>
          <w:szCs w:val="22"/>
        </w:rPr>
        <w:t>This section covers the recovery or treatment process — admission, intake and assessment; recovery or treatment planning; service delivery through individual, group and educational sessions; resident records; the relapse policy and response; and discharge and continuing-care planning.</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4.00  Admission, Intake &amp; Assessment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4.01  Recovery or Treatment Planning</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4.02  Service Delivery: Individual, Group &amp; Educational Sessions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4.03  Resident Records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4.04  Relapse Policy &amp; Response</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4.05  Discharge &amp; Continuing Care Planning</w:t>
      </w:r>
    </w:p>
    <w:p>
      <w:pPr>
        <w:pStyle w:val="Normal"/>
        <w:rPr/>
      </w:pPr>
      <w:r>
        <w:rPr/>
      </w:r>
      <w:r>
        <w:br w:type="page"/>
      </w:r>
    </w:p>
    <w:p>
      <w:pPr>
        <w:pStyle w:val="Heading2"/>
        <w:spacing w:before="0" w:after="120"/>
        <w:rPr/>
      </w:pPr>
      <w:r>
        <w:rPr>
          <w:rFonts w:eastAsia="Arial" w:cs="Arial" w:ascii="Arial" w:hAnsi="Arial"/>
          <w:b/>
          <w:bCs/>
          <w:color w:val="1A4731"/>
          <w:sz w:val="26"/>
          <w:szCs w:val="26"/>
        </w:rPr>
        <w:t>4.00  Admission, Intake &amp; Assessment</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4.00  Admission, Intake &amp; Assessment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Recovery / Treatment Services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Title 9 CCR Ch. 5</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residents are admitted appropriately and receive an intake and assessment that identifies needs and drives the recovery or treatment plan.</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admission, intake, and assessment activity and to the staff who perform it.</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admits residents in accordance with its admission criteria and the services its license authorizes, and completes an intake and assessment for each resident that gathers the information needed to identify the resident's recovery or treatment needs and to develop the recovery or treatment plan, including relevant substance use history, treatment history, and current status. The facility admits only residents it is able to serve within its nonmedical scope, refers residents whose needs it cannot meet, and documents intake, assessment, admission criteria met, and consent in the resident record. Residents who require medical or psychiatric care beyond the facility's scope are referred or transferred appropriately.</w:t>
      </w:r>
    </w:p>
    <w:p>
      <w:pPr>
        <w:pStyle w:val="Normal"/>
        <w:pBdr>
          <w:bottom w:val="single" w:sz="4" w:space="1" w:color="2E5E45"/>
        </w:pBdr>
        <w:spacing w:before="160" w:after="80"/>
        <w:rPr/>
      </w:pPr>
      <w:r>
        <w:rPr>
          <w:rFonts w:eastAsia="Arial" w:cs="Arial"/>
          <w:b/>
          <w:bCs/>
          <w:color w:val="1A4731"/>
          <w:sz w:val="20"/>
          <w:szCs w:val="20"/>
        </w:rPr>
        <w:t>PROCEDURE — ADMISSION &amp; ASSESSMENT</w:t>
      </w:r>
    </w:p>
    <w:p>
      <w:pPr>
        <w:pStyle w:val="Normal"/>
        <w:tabs>
          <w:tab w:val="left" w:pos="720" w:leader="none"/>
        </w:tabs>
        <w:spacing w:lineRule="exact" w:line="264" w:before="0" w:after="80"/>
        <w:ind w:hanging="360" w:start="720"/>
        <w:rPr/>
      </w:pPr>
      <w:r>
        <w:rPr>
          <w:rFonts w:eastAsia="Arial" w:cs="Arial"/>
          <w:sz w:val="21"/>
          <w:szCs w:val="21"/>
        </w:rPr>
        <w:t>a. Admit residents who meet admission criteria within the facility's licensed, nonmedical scope.</w:t>
      </w:r>
    </w:p>
    <w:p>
      <w:pPr>
        <w:pStyle w:val="Normal"/>
        <w:tabs>
          <w:tab w:val="left" w:pos="720" w:leader="none"/>
        </w:tabs>
        <w:spacing w:lineRule="exact" w:line="264" w:before="0" w:after="80"/>
        <w:ind w:hanging="360" w:start="720"/>
        <w:rPr/>
      </w:pPr>
      <w:r>
        <w:rPr>
          <w:rFonts w:eastAsia="Arial" w:cs="Arial"/>
          <w:sz w:val="21"/>
          <w:szCs w:val="21"/>
        </w:rPr>
        <w:t>b. Complete an intake and assessment identifying recovery or treatment needs and document it.</w:t>
      </w:r>
    </w:p>
    <w:p>
      <w:pPr>
        <w:pStyle w:val="Normal"/>
        <w:tabs>
          <w:tab w:val="left" w:pos="720" w:leader="none"/>
        </w:tabs>
        <w:spacing w:lineRule="exact" w:line="264" w:before="0" w:after="80"/>
        <w:ind w:hanging="360" w:start="720"/>
        <w:rPr/>
      </w:pPr>
      <w:r>
        <w:rPr>
          <w:rFonts w:eastAsia="Arial" w:cs="Arial"/>
          <w:sz w:val="21"/>
          <w:szCs w:val="21"/>
        </w:rPr>
        <w:t>c. Refer or transfer residents whose needs exceed the facility's scope.</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Intake &amp; Assessment Form</w:t>
      </w:r>
    </w:p>
    <w:p>
      <w:pPr>
        <w:pStyle w:val="ListParagraph"/>
        <w:numPr>
          <w:ilvl w:val="0"/>
          <w:numId w:val="1"/>
        </w:numPr>
        <w:spacing w:lineRule="exact" w:line="264" w:before="0" w:after="60"/>
        <w:rPr/>
      </w:pPr>
      <w:r>
        <w:rPr>
          <w:rFonts w:eastAsia="Arial" w:cs="Arial"/>
          <w:sz w:val="21"/>
          <w:szCs w:val="21"/>
        </w:rPr>
        <w:t>Admission Criteria Checklist</w:t>
      </w:r>
    </w:p>
    <w:p>
      <w:pPr>
        <w:pStyle w:val="ListParagraph"/>
        <w:numPr>
          <w:ilvl w:val="0"/>
          <w:numId w:val="1"/>
        </w:numPr>
        <w:spacing w:lineRule="exact" w:line="264" w:before="0" w:after="60"/>
        <w:rPr/>
      </w:pPr>
      <w:r>
        <w:rPr>
          <w:rFonts w:eastAsia="Arial" w:cs="Arial"/>
          <w:sz w:val="21"/>
          <w:szCs w:val="21"/>
        </w:rPr>
        <w:t>Referral / Transfer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4.01  Recovery or Treatment Planning</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4.01  Recovery or Treatment Planning</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Recovery / Treatment Services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Title 9 CCR § 10501(a)(4); Ch. 5</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each resident has an individualized recovery or treatment plan with goals and measurable objectives, developed with the resident.</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residents and to the staff who develop and review plans.</w:t>
      </w:r>
    </w:p>
    <w:p>
      <w:pPr>
        <w:pStyle w:val="Normal"/>
        <w:pBdr>
          <w:bottom w:val="single" w:sz="4" w:space="1" w:color="2E5E45"/>
        </w:pBdr>
        <w:spacing w:before="160" w:after="80"/>
        <w:rPr/>
      </w:pPr>
      <w:r>
        <w:rPr>
          <w:rFonts w:eastAsia="Arial" w:cs="Arial"/>
          <w:b/>
          <w:bCs/>
          <w:color w:val="1A4731"/>
          <w:sz w:val="20"/>
          <w:szCs w:val="20"/>
        </w:rPr>
        <w:t>DEFINITIONS</w:t>
      </w:r>
    </w:p>
    <w:p>
      <w:pPr>
        <w:pStyle w:val="Normal"/>
        <w:spacing w:lineRule="exact" w:line="276" w:before="0" w:after="120"/>
        <w:rPr/>
      </w:pPr>
      <w:r>
        <w:rPr>
          <w:rFonts w:eastAsia="Arial" w:cs="Arial"/>
          <w:sz w:val="21"/>
          <w:szCs w:val="21"/>
        </w:rPr>
        <w:t>Recovery or treatment planning — the development of a resident-specific goal and a continuum of recovery or treatment objectives; an objective is a specific, measurable step that can be evaluated to assess progress toward the goal.</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develops an individualized recovery or treatment plan for each resident, based on the assessment and developed with the resident's participation, that states the resident-specific goal and measurable objectives and the services to be provided to facilitate the resident's progress. Counseling services used to develop the plan are provided by a licensed, certified, or registered counselor. The plan is implemented, reviewed, and updated as the resident's progress requires, and the resident's participation and progress are documented in the resident record.</w:t>
      </w:r>
    </w:p>
    <w:p>
      <w:pPr>
        <w:pStyle w:val="Normal"/>
        <w:pBdr>
          <w:bottom w:val="single" w:sz="4" w:space="1" w:color="2E5E45"/>
        </w:pBdr>
        <w:spacing w:before="160" w:after="80"/>
        <w:rPr/>
      </w:pPr>
      <w:r>
        <w:rPr>
          <w:rFonts w:eastAsia="Arial" w:cs="Arial"/>
          <w:b/>
          <w:bCs/>
          <w:color w:val="1A4731"/>
          <w:sz w:val="20"/>
          <w:szCs w:val="20"/>
        </w:rPr>
        <w:t>PROCEDURE — RECOVERY/TREATMENT PLANNING</w:t>
      </w:r>
    </w:p>
    <w:p>
      <w:pPr>
        <w:pStyle w:val="Normal"/>
        <w:tabs>
          <w:tab w:val="left" w:pos="720" w:leader="none"/>
        </w:tabs>
        <w:spacing w:lineRule="exact" w:line="264" w:before="0" w:after="80"/>
        <w:ind w:hanging="360" w:start="720"/>
        <w:rPr/>
      </w:pPr>
      <w:r>
        <w:rPr>
          <w:rFonts w:eastAsia="Arial" w:cs="Arial"/>
          <w:sz w:val="21"/>
          <w:szCs w:val="21"/>
        </w:rPr>
        <w:t>a. Develop an individualized plan with the resident stating the goal, measurable objectives, and services.</w:t>
      </w:r>
    </w:p>
    <w:p>
      <w:pPr>
        <w:pStyle w:val="Normal"/>
        <w:tabs>
          <w:tab w:val="left" w:pos="720" w:leader="none"/>
        </w:tabs>
        <w:spacing w:lineRule="exact" w:line="264" w:before="0" w:after="80"/>
        <w:ind w:hanging="360" w:start="720"/>
        <w:rPr/>
      </w:pPr>
      <w:r>
        <w:rPr>
          <w:rFonts w:eastAsia="Arial" w:cs="Arial"/>
          <w:sz w:val="21"/>
          <w:szCs w:val="21"/>
        </w:rPr>
        <w:t>b. Ensure counseling services in planning are provided by a licensed, certified, or registered counselor.</w:t>
      </w:r>
    </w:p>
    <w:p>
      <w:pPr>
        <w:pStyle w:val="Normal"/>
        <w:tabs>
          <w:tab w:val="left" w:pos="720" w:leader="none"/>
        </w:tabs>
        <w:spacing w:lineRule="exact" w:line="264" w:before="0" w:after="80"/>
        <w:ind w:hanging="360" w:start="720"/>
        <w:rPr/>
      </w:pPr>
      <w:r>
        <w:rPr>
          <w:rFonts w:eastAsia="Arial" w:cs="Arial"/>
          <w:sz w:val="21"/>
          <w:szCs w:val="21"/>
        </w:rPr>
        <w:t>c. Review and update the plan as progress requires and document participation and progress.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Recovery / Treatment Plan</w:t>
      </w:r>
    </w:p>
    <w:p>
      <w:pPr>
        <w:pStyle w:val="ListParagraph"/>
        <w:numPr>
          <w:ilvl w:val="0"/>
          <w:numId w:val="1"/>
        </w:numPr>
        <w:spacing w:lineRule="exact" w:line="264" w:before="0" w:after="60"/>
        <w:rPr/>
      </w:pPr>
      <w:r>
        <w:rPr>
          <w:rFonts w:eastAsia="Arial" w:cs="Arial"/>
          <w:sz w:val="21"/>
          <w:szCs w:val="21"/>
        </w:rPr>
        <w:t>Plan Review &amp; Update Record</w:t>
      </w:r>
    </w:p>
    <w:p>
      <w:pPr>
        <w:pStyle w:val="ListParagraph"/>
        <w:numPr>
          <w:ilvl w:val="0"/>
          <w:numId w:val="1"/>
        </w:numPr>
        <w:spacing w:lineRule="exact" w:line="264" w:before="0" w:after="60"/>
        <w:rPr/>
      </w:pPr>
      <w:r>
        <w:rPr>
          <w:rFonts w:eastAsia="Arial" w:cs="Arial"/>
          <w:sz w:val="21"/>
          <w:szCs w:val="21"/>
        </w:rPr>
        <w:t>Progress Note Template</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4.02  Service Delivery: Individual, Group &amp; Educational Sessions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4.02  Service Delivery: Individual, Group &amp; Educational Sessions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Recovery / Treatment Services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Title 9 CCR § 10501; Ch. 5</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recovery or treatment services are delivered consistent with the resident's plan and documented.</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individual sessions, group sessions, and educational sessions the facility provides.</w:t>
      </w:r>
    </w:p>
    <w:p>
      <w:pPr>
        <w:pStyle w:val="Normal"/>
        <w:pBdr>
          <w:bottom w:val="single" w:sz="4" w:space="1" w:color="2E5E45"/>
        </w:pBdr>
        <w:spacing w:before="160" w:after="80"/>
        <w:rPr/>
      </w:pPr>
      <w:r>
        <w:rPr>
          <w:rFonts w:eastAsia="Arial" w:cs="Arial"/>
          <w:b/>
          <w:bCs/>
          <w:color w:val="1A4731"/>
          <w:sz w:val="20"/>
          <w:szCs w:val="20"/>
        </w:rPr>
        <w:t>DEFINITIONS</w:t>
      </w:r>
    </w:p>
    <w:p>
      <w:pPr>
        <w:pStyle w:val="Normal"/>
        <w:spacing w:lineRule="exact" w:line="276" w:before="0" w:after="120"/>
        <w:rPr/>
      </w:pPr>
      <w:r>
        <w:rPr>
          <w:rFonts w:eastAsia="Arial" w:cs="Arial"/>
          <w:sz w:val="21"/>
          <w:szCs w:val="21"/>
        </w:rPr>
        <w:t>Individual session — a private interaction between a resident and program staff focused on identifying and resolving alcohol- and/or drug-related problems and barriers to recovery. Group session and educational session are the corresponding group and educational services.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provides the recovery or treatment services its license authorizes — individual sessions, group sessions, and/or educational sessions — consistent with each resident's recovery or treatment plan. Counseling services are provided by licensed, certified, or registered counselors within their scope. Sessions are documented in the resident record, including the date, type, and content of the service and the resident's participation, and the facility maintains a service schedule appropriate to the residents served and the services provided.</w:t>
      </w:r>
    </w:p>
    <w:p>
      <w:pPr>
        <w:pStyle w:val="Normal"/>
        <w:pBdr>
          <w:bottom w:val="single" w:sz="4" w:space="1" w:color="2E5E45"/>
        </w:pBdr>
        <w:spacing w:before="160" w:after="80"/>
        <w:rPr/>
      </w:pPr>
      <w:r>
        <w:rPr>
          <w:rFonts w:eastAsia="Arial" w:cs="Arial"/>
          <w:b/>
          <w:bCs/>
          <w:color w:val="1A4731"/>
          <w:sz w:val="20"/>
          <w:szCs w:val="20"/>
        </w:rPr>
        <w:t>PROCEDURE — SERVICE DELIVERY</w:t>
      </w:r>
    </w:p>
    <w:p>
      <w:pPr>
        <w:pStyle w:val="Normal"/>
        <w:tabs>
          <w:tab w:val="left" w:pos="720" w:leader="none"/>
        </w:tabs>
        <w:spacing w:lineRule="exact" w:line="264" w:before="0" w:after="80"/>
        <w:ind w:hanging="360" w:start="720"/>
        <w:rPr/>
      </w:pPr>
      <w:r>
        <w:rPr>
          <w:rFonts w:eastAsia="Arial" w:cs="Arial"/>
          <w:sz w:val="21"/>
          <w:szCs w:val="21"/>
        </w:rPr>
        <w:t>a. Provide licensed services (individual, group, educational) consistent with each resident's plan through qualified counselors.</w:t>
      </w:r>
    </w:p>
    <w:p>
      <w:pPr>
        <w:pStyle w:val="Normal"/>
        <w:tabs>
          <w:tab w:val="left" w:pos="720" w:leader="none"/>
        </w:tabs>
        <w:spacing w:lineRule="exact" w:line="264" w:before="0" w:after="80"/>
        <w:ind w:hanging="360" w:start="720"/>
        <w:rPr/>
      </w:pPr>
      <w:r>
        <w:rPr>
          <w:rFonts w:eastAsia="Arial" w:cs="Arial"/>
          <w:sz w:val="21"/>
          <w:szCs w:val="21"/>
        </w:rPr>
        <w:t>b. Document each session with date, type, content, and resident participation.</w:t>
      </w:r>
    </w:p>
    <w:p>
      <w:pPr>
        <w:pStyle w:val="Normal"/>
        <w:tabs>
          <w:tab w:val="left" w:pos="720" w:leader="none"/>
        </w:tabs>
        <w:spacing w:lineRule="exact" w:line="264" w:before="0" w:after="80"/>
        <w:ind w:hanging="360" w:start="720"/>
        <w:rPr/>
      </w:pPr>
      <w:r>
        <w:rPr>
          <w:rFonts w:eastAsia="Arial" w:cs="Arial"/>
          <w:sz w:val="21"/>
          <w:szCs w:val="21"/>
        </w:rPr>
        <w:t>c. Maintain a service schedule appropriate to residents and services.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Individual / Group Session Note</w:t>
      </w:r>
    </w:p>
    <w:p>
      <w:pPr>
        <w:pStyle w:val="ListParagraph"/>
        <w:numPr>
          <w:ilvl w:val="0"/>
          <w:numId w:val="1"/>
        </w:numPr>
        <w:spacing w:lineRule="exact" w:line="264" w:before="0" w:after="60"/>
        <w:rPr/>
      </w:pPr>
      <w:r>
        <w:rPr>
          <w:rFonts w:eastAsia="Arial" w:cs="Arial"/>
          <w:sz w:val="21"/>
          <w:szCs w:val="21"/>
        </w:rPr>
        <w:t>Educational Session Record</w:t>
      </w:r>
    </w:p>
    <w:p>
      <w:pPr>
        <w:pStyle w:val="ListParagraph"/>
        <w:numPr>
          <w:ilvl w:val="0"/>
          <w:numId w:val="1"/>
        </w:numPr>
        <w:spacing w:lineRule="exact" w:line="264" w:before="0" w:after="60"/>
        <w:rPr/>
      </w:pPr>
      <w:r>
        <w:rPr>
          <w:rFonts w:eastAsia="Arial" w:cs="Arial"/>
          <w:sz w:val="21"/>
          <w:szCs w:val="21"/>
        </w:rPr>
        <w:t>Service Schedule</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4.03  Resident Records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4.03  Resident Records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Recovery / Treatment Services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Title 9 CCR § 10568</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a complete, accurate, secure record is maintained for each resident as Title 9 § 10568 requires.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resident records and to everyone authorized to make or access entries.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establishes and maintains a resident record for each resident in accordance with Title 9 § 10568, containing the resident's identifying information, the admission agreement and consents, the intake and assessment, the recovery or treatment plan and reviews, documentation of services provided and progress notes, and the discharge and continuing-care plan. A facility that primarily provides detoxification services may be exempt from the specified record requirements the rule identifies. Entries are accurate, legible, dated, and authenticated; records are stored securely and safeguarded against loss, tampering, and unauthorized access; records are retained for the period required; and access follows the confidentiality policy and 42 CFR Part 2, with DHCS permitted access for compliance.</w:t>
      </w:r>
    </w:p>
    <w:p>
      <w:pPr>
        <w:pStyle w:val="Normal"/>
        <w:pBdr>
          <w:bottom w:val="single" w:sz="4" w:space="1" w:color="2E5E45"/>
        </w:pBdr>
        <w:spacing w:before="160" w:after="80"/>
        <w:rPr/>
      </w:pPr>
      <w:r>
        <w:rPr>
          <w:rFonts w:eastAsia="Arial" w:cs="Arial"/>
          <w:b/>
          <w:bCs/>
          <w:color w:val="1A4731"/>
          <w:sz w:val="20"/>
          <w:szCs w:val="20"/>
        </w:rPr>
        <w:t>PROCEDURE — RESIDENT RECORDS</w:t>
      </w:r>
    </w:p>
    <w:p>
      <w:pPr>
        <w:pStyle w:val="Normal"/>
        <w:tabs>
          <w:tab w:val="left" w:pos="720" w:leader="none"/>
        </w:tabs>
        <w:spacing w:lineRule="exact" w:line="264" w:before="0" w:after="80"/>
        <w:ind w:hanging="360" w:start="720"/>
        <w:rPr/>
      </w:pPr>
      <w:r>
        <w:rPr>
          <w:rFonts w:eastAsia="Arial" w:cs="Arial"/>
          <w:sz w:val="21"/>
          <w:szCs w:val="21"/>
        </w:rPr>
        <w:t>a. Establish a resident record at admission with all content § 10568 requires.</w:t>
      </w:r>
    </w:p>
    <w:p>
      <w:pPr>
        <w:pStyle w:val="Normal"/>
        <w:tabs>
          <w:tab w:val="left" w:pos="720" w:leader="none"/>
        </w:tabs>
        <w:spacing w:lineRule="exact" w:line="264" w:before="0" w:after="80"/>
        <w:ind w:hanging="360" w:start="720"/>
        <w:rPr/>
      </w:pPr>
      <w:r>
        <w:rPr>
          <w:rFonts w:eastAsia="Arial" w:cs="Arial"/>
          <w:sz w:val="21"/>
          <w:szCs w:val="21"/>
        </w:rPr>
        <w:t>b. Ensure entries are accurate, legible, dated, and authenticated, and store records securely.</w:t>
      </w:r>
    </w:p>
    <w:p>
      <w:pPr>
        <w:pStyle w:val="Normal"/>
        <w:tabs>
          <w:tab w:val="left" w:pos="720" w:leader="none"/>
        </w:tabs>
        <w:spacing w:lineRule="exact" w:line="264" w:before="0" w:after="80"/>
        <w:ind w:hanging="360" w:start="720"/>
        <w:rPr/>
      </w:pPr>
      <w:r>
        <w:rPr>
          <w:rFonts w:eastAsia="Arial" w:cs="Arial"/>
          <w:sz w:val="21"/>
          <w:szCs w:val="21"/>
        </w:rPr>
        <w:t>c. Retain records for the required period and control access consistent with 42 CFR Part 2 and DHCS compliance access.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Resident Record Index / Chart Order</w:t>
      </w:r>
    </w:p>
    <w:p>
      <w:pPr>
        <w:pStyle w:val="ListParagraph"/>
        <w:numPr>
          <w:ilvl w:val="0"/>
          <w:numId w:val="1"/>
        </w:numPr>
        <w:spacing w:lineRule="exact" w:line="264" w:before="0" w:after="60"/>
        <w:rPr/>
      </w:pPr>
      <w:r>
        <w:rPr>
          <w:rFonts w:eastAsia="Arial" w:cs="Arial"/>
          <w:sz w:val="21"/>
          <w:szCs w:val="21"/>
        </w:rPr>
        <w:t>Record Retention &amp; Destruction Schedule</w:t>
      </w:r>
    </w:p>
    <w:p>
      <w:pPr>
        <w:pStyle w:val="ListParagraph"/>
        <w:numPr>
          <w:ilvl w:val="0"/>
          <w:numId w:val="1"/>
        </w:numPr>
        <w:spacing w:lineRule="exact" w:line="264" w:before="0" w:after="60"/>
        <w:rPr/>
      </w:pPr>
      <w:r>
        <w:rPr>
          <w:rFonts w:eastAsia="Arial" w:cs="Arial"/>
          <w:sz w:val="21"/>
          <w:szCs w:val="21"/>
        </w:rPr>
        <w:t>Record Access &amp; Authorization Log</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4.04  Relapse Policy &amp; Response</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4.04  Relapse Policy &amp; Response</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Recovery / Treatment Services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H&amp;SC § 11834.01 et seq. (AB 3162 / SB 992)</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the facility has a written policy for responding to resident relapse, consistent with California requirements.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residents and to staff responding to relapse.</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maintains a written relapse policy addressing how it responds when a resident relapses, including when a resident is on the licensed premises after consuming alcohol or using illicit drugs. The policy describes how the resident's treatment stay and recovery or treatment plan will be adjusted to address the relapse episode; how the resident will be treated and supervised while under the influence of alcohol or illicit drugs; and the resident's discharge and continuing-care plan, including when the facility determines the resident requires services beyond the scope of its license. Staff follow the relapse policy, prioritize resident safety (including summoning emergency services for a medical emergency or overdose), and document the response.</w:t>
      </w:r>
    </w:p>
    <w:p>
      <w:pPr>
        <w:pStyle w:val="Normal"/>
        <w:pBdr>
          <w:bottom w:val="single" w:sz="4" w:space="1" w:color="2E5E45"/>
        </w:pBdr>
        <w:spacing w:before="160" w:after="80"/>
        <w:rPr/>
      </w:pPr>
      <w:r>
        <w:rPr>
          <w:rFonts w:eastAsia="Arial" w:cs="Arial"/>
          <w:b/>
          <w:bCs/>
          <w:color w:val="1A4731"/>
          <w:sz w:val="20"/>
          <w:szCs w:val="20"/>
        </w:rPr>
        <w:t>PROCEDURE — RELAPSE RESPONSE</w:t>
      </w:r>
    </w:p>
    <w:p>
      <w:pPr>
        <w:pStyle w:val="Normal"/>
        <w:tabs>
          <w:tab w:val="left" w:pos="720" w:leader="none"/>
        </w:tabs>
        <w:spacing w:lineRule="exact" w:line="264" w:before="0" w:after="80"/>
        <w:ind w:hanging="360" w:start="720"/>
        <w:rPr/>
      </w:pPr>
      <w:r>
        <w:rPr>
          <w:rFonts w:eastAsia="Arial" w:cs="Arial"/>
          <w:sz w:val="21"/>
          <w:szCs w:val="21"/>
        </w:rPr>
        <w:t>a. Adjust the resident's stay and recovery or treatment plan to address a relapse episode.</w:t>
      </w:r>
    </w:p>
    <w:p>
      <w:pPr>
        <w:pStyle w:val="Normal"/>
        <w:tabs>
          <w:tab w:val="left" w:pos="720" w:leader="none"/>
        </w:tabs>
        <w:spacing w:lineRule="exact" w:line="264" w:before="0" w:after="80"/>
        <w:ind w:hanging="360" w:start="720"/>
        <w:rPr/>
      </w:pPr>
      <w:r>
        <w:rPr>
          <w:rFonts w:eastAsia="Arial" w:cs="Arial"/>
          <w:sz w:val="21"/>
          <w:szCs w:val="21"/>
        </w:rPr>
        <w:t>b. Supervise the resident safely while under the influence and summon emergency services for a medical emergency or overdose.</w:t>
      </w:r>
    </w:p>
    <w:p>
      <w:pPr>
        <w:pStyle w:val="Normal"/>
        <w:tabs>
          <w:tab w:val="left" w:pos="720" w:leader="none"/>
        </w:tabs>
        <w:spacing w:lineRule="exact" w:line="264" w:before="0" w:after="80"/>
        <w:ind w:hanging="360" w:start="720"/>
        <w:rPr/>
      </w:pPr>
      <w:r>
        <w:rPr>
          <w:rFonts w:eastAsia="Arial" w:cs="Arial"/>
          <w:sz w:val="21"/>
          <w:szCs w:val="21"/>
        </w:rPr>
        <w:t>c. Address discharge and continuing care when the resident's needs exceed the facility's scope, and document the response.</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Relapse Policy</w:t>
      </w:r>
    </w:p>
    <w:p>
      <w:pPr>
        <w:pStyle w:val="ListParagraph"/>
        <w:numPr>
          <w:ilvl w:val="0"/>
          <w:numId w:val="1"/>
        </w:numPr>
        <w:spacing w:lineRule="exact" w:line="264" w:before="0" w:after="60"/>
        <w:rPr/>
      </w:pPr>
      <w:r>
        <w:rPr>
          <w:rFonts w:eastAsia="Arial" w:cs="Arial"/>
          <w:sz w:val="21"/>
          <w:szCs w:val="21"/>
        </w:rPr>
        <w:t>Relapse Response &amp; Supervision Record</w:t>
      </w:r>
    </w:p>
    <w:p>
      <w:pPr>
        <w:pStyle w:val="ListParagraph"/>
        <w:numPr>
          <w:ilvl w:val="0"/>
          <w:numId w:val="1"/>
        </w:numPr>
        <w:spacing w:lineRule="exact" w:line="264" w:before="0" w:after="60"/>
        <w:rPr/>
      </w:pPr>
      <w:r>
        <w:rPr>
          <w:rFonts w:eastAsia="Arial" w:cs="Arial"/>
          <w:sz w:val="21"/>
          <w:szCs w:val="21"/>
        </w:rPr>
        <w:t>Continuing-Care / Transfer Documentation</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4.05  Discharge &amp; Continuing Care Planning</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4.05  Discharge &amp; Continuing Care Planning</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Recovery / Treatment Services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Title 9 CCR Ch. 5</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residents are discharged with appropriate planning and connection to continuing care.</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discharge and continuing care for all residents.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plans for discharge and continuing care from admission and completes a discharge and continuing-care plan for each resident that documents the resident's status at discharge, referrals, and recommendations to support continuing recovery. Where a resident requires services beyond the facility's nonmedical scope, the facility refers or transfers the resident to an appropriate level of care and documents the arrangement. Where a resident leaves against staff advice or before completion, the facility documents the circumstances and provides available follow-up and referral information.</w:t>
      </w:r>
    </w:p>
    <w:p>
      <w:pPr>
        <w:pStyle w:val="Normal"/>
        <w:pBdr>
          <w:bottom w:val="single" w:sz="4" w:space="1" w:color="2E5E45"/>
        </w:pBdr>
        <w:spacing w:before="160" w:after="80"/>
        <w:rPr/>
      </w:pPr>
      <w:r>
        <w:rPr>
          <w:rFonts w:eastAsia="Arial" w:cs="Arial"/>
          <w:b/>
          <w:bCs/>
          <w:color w:val="1A4731"/>
          <w:sz w:val="20"/>
          <w:szCs w:val="20"/>
        </w:rPr>
        <w:t>PROCEDURE — DISCHARGE &amp; CONTINUING CARE</w:t>
      </w:r>
    </w:p>
    <w:p>
      <w:pPr>
        <w:pStyle w:val="Normal"/>
        <w:tabs>
          <w:tab w:val="left" w:pos="720" w:leader="none"/>
        </w:tabs>
        <w:spacing w:lineRule="exact" w:line="264" w:before="0" w:after="80"/>
        <w:ind w:hanging="360" w:start="720"/>
        <w:rPr/>
      </w:pPr>
      <w:r>
        <w:rPr>
          <w:rFonts w:eastAsia="Arial" w:cs="Arial"/>
          <w:sz w:val="21"/>
          <w:szCs w:val="21"/>
        </w:rPr>
        <w:t>a. Plan for discharge and continuing care from admission and identify the resident's continuing needs.</w:t>
      </w:r>
    </w:p>
    <w:p>
      <w:pPr>
        <w:pStyle w:val="Normal"/>
        <w:tabs>
          <w:tab w:val="left" w:pos="720" w:leader="none"/>
        </w:tabs>
        <w:spacing w:lineRule="exact" w:line="264" w:before="0" w:after="80"/>
        <w:ind w:hanging="360" w:start="720"/>
        <w:rPr/>
      </w:pPr>
      <w:r>
        <w:rPr>
          <w:rFonts w:eastAsia="Arial" w:cs="Arial"/>
          <w:sz w:val="21"/>
          <w:szCs w:val="21"/>
        </w:rPr>
        <w:t>b. Complete a discharge and continuing-care plan with referrals and connect the resident to appropriate services.</w:t>
      </w:r>
    </w:p>
    <w:p>
      <w:pPr>
        <w:pStyle w:val="Normal"/>
        <w:tabs>
          <w:tab w:val="left" w:pos="720" w:leader="none"/>
        </w:tabs>
        <w:spacing w:lineRule="exact" w:line="264" w:before="0" w:after="80"/>
        <w:ind w:hanging="360" w:start="720"/>
        <w:rPr/>
      </w:pPr>
      <w:r>
        <w:rPr>
          <w:rFonts w:eastAsia="Arial" w:cs="Arial"/>
          <w:sz w:val="21"/>
          <w:szCs w:val="21"/>
        </w:rPr>
        <w:t>c. Document circumstances and provide follow-up information where a resident leaves against advice or early.</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Discharge &amp; Continuing-Care Plan</w:t>
      </w:r>
    </w:p>
    <w:p>
      <w:pPr>
        <w:pStyle w:val="ListParagraph"/>
        <w:numPr>
          <w:ilvl w:val="0"/>
          <w:numId w:val="1"/>
        </w:numPr>
        <w:spacing w:lineRule="exact" w:line="264" w:before="0" w:after="60"/>
        <w:rPr/>
      </w:pPr>
      <w:r>
        <w:rPr>
          <w:rFonts w:eastAsia="Arial" w:cs="Arial"/>
          <w:sz w:val="21"/>
          <w:szCs w:val="21"/>
        </w:rPr>
        <w:t>Referral &amp; Follow-Up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E</w:t>
      </w:r>
    </w:p>
    <w:p>
      <w:pPr>
        <w:pStyle w:val="Normal"/>
        <w:pBdr>
          <w:bottom w:val="single" w:sz="12" w:space="4" w:color="1A4731"/>
        </w:pBdr>
        <w:spacing w:before="0" w:after="240"/>
        <w:jc w:val="start"/>
        <w:rPr/>
      </w:pPr>
      <w:r>
        <w:rPr>
          <w:rFonts w:eastAsia="Arial" w:cs="Arial"/>
          <w:b/>
          <w:bCs/>
          <w:color w:val="222222"/>
          <w:sz w:val="40"/>
          <w:szCs w:val="40"/>
        </w:rPr>
        <w:t>Facility, Health &amp; Safety</w:t>
      </w:r>
    </w:p>
    <w:p>
      <w:pPr>
        <w:pStyle w:val="Normal"/>
        <w:spacing w:lineRule="exact" w:line="288" w:before="0" w:after="240"/>
        <w:rPr/>
      </w:pPr>
      <w:r>
        <w:rPr>
          <w:rFonts w:eastAsia="Arial" w:cs="Arial"/>
          <w:color w:val="444444"/>
          <w:sz w:val="22"/>
          <w:szCs w:val="22"/>
        </w:rPr>
        <w:t>This section keeps the setting safe — the physical environment and fire clearance, resident medication self-administration and storage, food service and nutrition, death and incident reporting, and emergency preparedness, overdose response, and health safety.</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5.00  Physical Environment &amp; Fire Clearance</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5.01  Medications: Resident Self-Administration &amp; Storage</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5.02  Food Service &amp; Nutrition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5.03  Death, Incident &amp; Unusual Occurrence Reporting</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5.04  Emergency Preparedness, Overdose Response &amp; Health Safety</w:t>
      </w:r>
    </w:p>
    <w:p>
      <w:pPr>
        <w:pStyle w:val="Normal"/>
        <w:rPr/>
      </w:pPr>
      <w:r>
        <w:rPr/>
      </w:r>
      <w:r>
        <w:br w:type="page"/>
      </w:r>
    </w:p>
    <w:p>
      <w:pPr>
        <w:pStyle w:val="Heading2"/>
        <w:spacing w:before="0" w:after="120"/>
        <w:rPr/>
      </w:pPr>
      <w:r>
        <w:rPr>
          <w:rFonts w:eastAsia="Arial" w:cs="Arial" w:ascii="Arial" w:hAnsi="Arial"/>
          <w:b/>
          <w:bCs/>
          <w:color w:val="1A4731"/>
          <w:sz w:val="26"/>
          <w:szCs w:val="26"/>
        </w:rPr>
        <w:t>5.00  Physical Environment &amp; Fire Clearance</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5.00  Physical Environment &amp; Fire Clearance</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Facility, Health &amp; Safety</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Title 9 CCR Ch. 5; H&amp;SC § 13143 / § 13143.6</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the facility provides a safe, clean, residential environment that meets applicable building and fire-safety requirements.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premises included in the license.</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maintains a physical environment that is safe, clean, sanitary, and suitable for residential recovery or treatment services, and complies with applicable state and local building, health, and fire-safety requirements, including any fire clearance required for the facility type and capacity. The facility provides adequate sleeping, living, dining, and bathing space; space for confidential individual sessions; and secure storage for records and for residents' medications. The facility maintains the premises in good repair, identifies and corrects hazards through routine inspection, and keeps required clearances and inspection documentation on file.</w:t>
      </w:r>
    </w:p>
    <w:p>
      <w:pPr>
        <w:pStyle w:val="Normal"/>
        <w:pBdr>
          <w:bottom w:val="single" w:sz="4" w:space="1" w:color="2E5E45"/>
        </w:pBdr>
        <w:spacing w:before="160" w:after="80"/>
        <w:rPr/>
      </w:pPr>
      <w:r>
        <w:rPr>
          <w:rFonts w:eastAsia="Arial" w:cs="Arial"/>
          <w:b/>
          <w:bCs/>
          <w:color w:val="1A4731"/>
          <w:sz w:val="20"/>
          <w:szCs w:val="20"/>
        </w:rPr>
        <w:t>PROCEDURE — ENVIRONMENT &amp; FIRE SAFETY</w:t>
      </w:r>
    </w:p>
    <w:p>
      <w:pPr>
        <w:pStyle w:val="Normal"/>
        <w:tabs>
          <w:tab w:val="left" w:pos="720" w:leader="none"/>
        </w:tabs>
        <w:spacing w:lineRule="exact" w:line="264" w:before="0" w:after="80"/>
        <w:ind w:hanging="360" w:start="720"/>
        <w:rPr/>
      </w:pPr>
      <w:r>
        <w:rPr>
          <w:rFonts w:eastAsia="Arial" w:cs="Arial"/>
          <w:sz w:val="21"/>
          <w:szCs w:val="21"/>
        </w:rPr>
        <w:t>a. Maintain safe, clean, sanitary premises meeting applicable building, health, and fire-safety requirements, including any required fire clearance.</w:t>
      </w:r>
    </w:p>
    <w:p>
      <w:pPr>
        <w:pStyle w:val="Normal"/>
        <w:tabs>
          <w:tab w:val="left" w:pos="720" w:leader="none"/>
        </w:tabs>
        <w:spacing w:lineRule="exact" w:line="264" w:before="0" w:after="80"/>
        <w:ind w:hanging="360" w:start="720"/>
        <w:rPr/>
      </w:pPr>
      <w:r>
        <w:rPr>
          <w:rFonts w:eastAsia="Arial" w:cs="Arial"/>
          <w:sz w:val="21"/>
          <w:szCs w:val="21"/>
        </w:rPr>
        <w:t>b. Provide adequate living space, confidential session space, and secure storage.</w:t>
      </w:r>
    </w:p>
    <w:p>
      <w:pPr>
        <w:pStyle w:val="Normal"/>
        <w:tabs>
          <w:tab w:val="left" w:pos="720" w:leader="none"/>
        </w:tabs>
        <w:spacing w:lineRule="exact" w:line="264" w:before="0" w:after="80"/>
        <w:ind w:hanging="360" w:start="720"/>
        <w:rPr/>
      </w:pPr>
      <w:r>
        <w:rPr>
          <w:rFonts w:eastAsia="Arial" w:cs="Arial"/>
          <w:sz w:val="21"/>
          <w:szCs w:val="21"/>
        </w:rPr>
        <w:t>c. Inspect for hazards, correct them, and keep clearance and inspection documentation on file.</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Fire Clearance &amp; Inspection File</w:t>
      </w:r>
    </w:p>
    <w:p>
      <w:pPr>
        <w:pStyle w:val="ListParagraph"/>
        <w:numPr>
          <w:ilvl w:val="0"/>
          <w:numId w:val="1"/>
        </w:numPr>
        <w:spacing w:lineRule="exact" w:line="264" w:before="0" w:after="60"/>
        <w:rPr/>
      </w:pPr>
      <w:r>
        <w:rPr>
          <w:rFonts w:eastAsia="Arial" w:cs="Arial"/>
          <w:sz w:val="21"/>
          <w:szCs w:val="21"/>
        </w:rPr>
        <w:t>Physical Environment Inspection Checklist</w:t>
      </w:r>
    </w:p>
    <w:p>
      <w:pPr>
        <w:pStyle w:val="ListParagraph"/>
        <w:numPr>
          <w:ilvl w:val="0"/>
          <w:numId w:val="1"/>
        </w:numPr>
        <w:spacing w:lineRule="exact" w:line="264" w:before="0" w:after="60"/>
        <w:rPr/>
      </w:pPr>
      <w:r>
        <w:rPr>
          <w:rFonts w:eastAsia="Arial" w:cs="Arial"/>
          <w:sz w:val="21"/>
          <w:szCs w:val="21"/>
        </w:rPr>
        <w:t>Maintenance &amp; Repair Log</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5.01  Medications: Resident Self-Administration &amp; Storage</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5.01  Medications: Resident Self-Administration &amp; Storage</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Facility, Health &amp; Safety</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Title 9 CCR Ch. 5 (residential nonmedical)</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medications are handled safely in a residential nonmedical setting, centered on resident self-administration and secure storage.</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wherever residents' medications are stored or their self-administration is supported.</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Because the facility is nonmedical, residents are generally responsible for self-administering their own medications, and staff support self-administration by residents in accordance with the facility's policy and any applicable requirements, without providing medical services beyond the facility's scope unless the facility holds incidental medical services approval. The facility provides secure, appropriate storage for residents' medications (including separate, locked storage for centrally stored medications where used), maintains records of medications stored or whose self-administration is assisted, and addresses medication safety, including safe storage of any controlled substances and disposal of unused medications. Residents who require medication administration or medical management beyond self-administration are referred or transferred appropriately, or served under incidental medical services approval where the facility holds it.</w:t>
      </w:r>
    </w:p>
    <w:p>
      <w:pPr>
        <w:pStyle w:val="Normal"/>
        <w:pBdr>
          <w:bottom w:val="single" w:sz="4" w:space="1" w:color="2E5E45"/>
        </w:pBdr>
        <w:spacing w:before="160" w:after="80"/>
        <w:rPr/>
      </w:pPr>
      <w:r>
        <w:rPr>
          <w:rFonts w:eastAsia="Arial" w:cs="Arial"/>
          <w:b/>
          <w:bCs/>
          <w:color w:val="1A4731"/>
          <w:sz w:val="20"/>
          <w:szCs w:val="20"/>
        </w:rPr>
        <w:t>PROCEDURE — MEDICATION HANDLING</w:t>
      </w:r>
    </w:p>
    <w:p>
      <w:pPr>
        <w:pStyle w:val="Normal"/>
        <w:tabs>
          <w:tab w:val="left" w:pos="720" w:leader="none"/>
        </w:tabs>
        <w:spacing w:lineRule="exact" w:line="264" w:before="0" w:after="80"/>
        <w:ind w:hanging="360" w:start="720"/>
        <w:rPr/>
      </w:pPr>
      <w:r>
        <w:rPr>
          <w:rFonts w:eastAsia="Arial" w:cs="Arial"/>
          <w:sz w:val="21"/>
          <w:szCs w:val="21"/>
        </w:rPr>
        <w:t>a. Support resident self-administration and provide secure, appropriate storage for residents' medications.</w:t>
      </w:r>
    </w:p>
    <w:p>
      <w:pPr>
        <w:pStyle w:val="Normal"/>
        <w:tabs>
          <w:tab w:val="left" w:pos="720" w:leader="none"/>
        </w:tabs>
        <w:spacing w:lineRule="exact" w:line="264" w:before="0" w:after="80"/>
        <w:ind w:hanging="360" w:start="720"/>
        <w:rPr/>
      </w:pPr>
      <w:r>
        <w:rPr>
          <w:rFonts w:eastAsia="Arial" w:cs="Arial"/>
          <w:sz w:val="21"/>
          <w:szCs w:val="21"/>
        </w:rPr>
        <w:t>b. Maintain records of stored or assisted medications and address safe storage and disposal.</w:t>
      </w:r>
    </w:p>
    <w:p>
      <w:pPr>
        <w:pStyle w:val="Normal"/>
        <w:tabs>
          <w:tab w:val="left" w:pos="720" w:leader="none"/>
        </w:tabs>
        <w:spacing w:lineRule="exact" w:line="264" w:before="0" w:after="80"/>
        <w:ind w:hanging="360" w:start="720"/>
        <w:rPr/>
      </w:pPr>
      <w:r>
        <w:rPr>
          <w:rFonts w:eastAsia="Arial" w:cs="Arial"/>
          <w:sz w:val="21"/>
          <w:szCs w:val="21"/>
        </w:rPr>
        <w:t>c. Refer or transfer residents needing medication administration beyond self-administration, absent IMS approval.</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Medication Self-Administration &amp; Storage Policy</w:t>
      </w:r>
    </w:p>
    <w:p>
      <w:pPr>
        <w:pStyle w:val="ListParagraph"/>
        <w:numPr>
          <w:ilvl w:val="0"/>
          <w:numId w:val="1"/>
        </w:numPr>
        <w:spacing w:lineRule="exact" w:line="264" w:before="0" w:after="60"/>
        <w:rPr/>
      </w:pPr>
      <w:r>
        <w:rPr>
          <w:rFonts w:eastAsia="Arial" w:cs="Arial"/>
          <w:sz w:val="21"/>
          <w:szCs w:val="21"/>
        </w:rPr>
        <w:t>Centrally Stored Medication Log (where applicable)</w:t>
      </w:r>
    </w:p>
    <w:p>
      <w:pPr>
        <w:pStyle w:val="ListParagraph"/>
        <w:numPr>
          <w:ilvl w:val="0"/>
          <w:numId w:val="1"/>
        </w:numPr>
        <w:spacing w:lineRule="exact" w:line="264" w:before="0" w:after="60"/>
        <w:rPr/>
      </w:pPr>
      <w:r>
        <w:rPr>
          <w:rFonts w:eastAsia="Arial" w:cs="Arial"/>
          <w:sz w:val="21"/>
          <w:szCs w:val="21"/>
        </w:rPr>
        <w:t>Medication Disposal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5.02  Food Service &amp; Nutrition</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5.02  Food Service &amp; Nutrition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Facility, Health &amp; Safety</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Title 9 CCR Ch. 5</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residents receive safe, adequate, and nutritious food prepared and served under sanitary conditions.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food service the facility provides to residents.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provides or arranges meals that meet residents' nutritional needs, with reasonable accommodation of special dietary needs, and never withholds food as a disciplinary measure. Food is purchased, stored, prepared, and served under sanitary conditions consistent with applicable health requirements and safe food-handling practices, and where food service is contracted, the contract and any required inspections are maintained.</w:t>
      </w:r>
    </w:p>
    <w:p>
      <w:pPr>
        <w:pStyle w:val="Normal"/>
        <w:pBdr>
          <w:bottom w:val="single" w:sz="4" w:space="1" w:color="2E5E45"/>
        </w:pBdr>
        <w:spacing w:before="160" w:after="80"/>
        <w:rPr/>
      </w:pPr>
      <w:r>
        <w:rPr>
          <w:rFonts w:eastAsia="Arial" w:cs="Arial"/>
          <w:b/>
          <w:bCs/>
          <w:color w:val="1A4731"/>
          <w:sz w:val="20"/>
          <w:szCs w:val="20"/>
        </w:rPr>
        <w:t>PROCEDURE — FOOD SERVICE</w:t>
      </w:r>
    </w:p>
    <w:p>
      <w:pPr>
        <w:pStyle w:val="Normal"/>
        <w:tabs>
          <w:tab w:val="left" w:pos="720" w:leader="none"/>
        </w:tabs>
        <w:spacing w:lineRule="exact" w:line="264" w:before="0" w:after="80"/>
        <w:ind w:hanging="360" w:start="720"/>
        <w:rPr/>
      </w:pPr>
      <w:r>
        <w:rPr>
          <w:rFonts w:eastAsia="Arial" w:cs="Arial"/>
          <w:sz w:val="21"/>
          <w:szCs w:val="21"/>
        </w:rPr>
        <w:t>a. Provide nutritionally adequate meals with reasonable accommodation of special diets and never withhold food as discipline.</w:t>
      </w:r>
    </w:p>
    <w:p>
      <w:pPr>
        <w:pStyle w:val="Normal"/>
        <w:tabs>
          <w:tab w:val="left" w:pos="720" w:leader="none"/>
        </w:tabs>
        <w:spacing w:lineRule="exact" w:line="264" w:before="0" w:after="80"/>
        <w:ind w:hanging="360" w:start="720"/>
        <w:rPr/>
      </w:pPr>
      <w:r>
        <w:rPr>
          <w:rFonts w:eastAsia="Arial" w:cs="Arial"/>
          <w:sz w:val="21"/>
          <w:szCs w:val="21"/>
        </w:rPr>
        <w:t>b. Store, prepare, and serve food under sanitary conditions with safe food-handling practices.</w:t>
      </w:r>
    </w:p>
    <w:p>
      <w:pPr>
        <w:pStyle w:val="Normal"/>
        <w:tabs>
          <w:tab w:val="left" w:pos="720" w:leader="none"/>
        </w:tabs>
        <w:spacing w:lineRule="exact" w:line="264" w:before="0" w:after="80"/>
        <w:ind w:hanging="360" w:start="720"/>
        <w:rPr/>
      </w:pPr>
      <w:r>
        <w:rPr>
          <w:rFonts w:eastAsia="Arial" w:cs="Arial"/>
          <w:sz w:val="21"/>
          <w:szCs w:val="21"/>
        </w:rPr>
        <w:t>c. Maintain menus and, where contracted, the food-service contract and inspections.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Menu &amp; Nutrition Plan</w:t>
      </w:r>
    </w:p>
    <w:p>
      <w:pPr>
        <w:pStyle w:val="ListParagraph"/>
        <w:numPr>
          <w:ilvl w:val="0"/>
          <w:numId w:val="1"/>
        </w:numPr>
        <w:spacing w:lineRule="exact" w:line="264" w:before="0" w:after="60"/>
        <w:rPr/>
      </w:pPr>
      <w:r>
        <w:rPr>
          <w:rFonts w:eastAsia="Arial" w:cs="Arial"/>
          <w:sz w:val="21"/>
          <w:szCs w:val="21"/>
        </w:rPr>
        <w:t>Food-Service Sanitation Log</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5.03  Death, Incident &amp; Unusual Occurrence Reporting</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5.03  Death, Incident &amp; Unusual Occurrence Reporting</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Facility, Health &amp; Safety</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Title 9 CCR Ch. 5</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deaths, serious incidents, and unusual occurrences are documented and reported to DHCS and other authorities as required.</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reportable incidents affecting residents.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identifies, responds to, documents, and reports deaths, serious injuries, and other unusual occurrences involving residents to DHCS and to other authorities as required and within required timeframes, and reports suspected abuse of a resident to the appropriate protective-services and law-enforcement authorities. The facility responds to protect resident safety, reviews incidents to identify contributing factors, implements corrective action, and retains incident documentation. Reporting is coordinated with the counselor-misconduct reporting and complaint policies.</w:t>
      </w:r>
    </w:p>
    <w:p>
      <w:pPr>
        <w:pStyle w:val="Normal"/>
        <w:pBdr>
          <w:bottom w:val="single" w:sz="4" w:space="1" w:color="2E5E45"/>
        </w:pBdr>
        <w:spacing w:before="160" w:after="80"/>
        <w:rPr/>
      </w:pPr>
      <w:r>
        <w:rPr>
          <w:rFonts w:eastAsia="Arial" w:cs="Arial"/>
          <w:b/>
          <w:bCs/>
          <w:color w:val="1A4731"/>
          <w:sz w:val="20"/>
          <w:szCs w:val="20"/>
        </w:rPr>
        <w:t>PROCEDURE — INCIDENT REPORTING</w:t>
      </w:r>
    </w:p>
    <w:p>
      <w:pPr>
        <w:pStyle w:val="Normal"/>
        <w:tabs>
          <w:tab w:val="left" w:pos="720" w:leader="none"/>
        </w:tabs>
        <w:spacing w:lineRule="exact" w:line="264" w:before="0" w:after="80"/>
        <w:ind w:hanging="360" w:start="720"/>
        <w:rPr/>
      </w:pPr>
      <w:r>
        <w:rPr>
          <w:rFonts w:eastAsia="Arial" w:cs="Arial"/>
          <w:sz w:val="21"/>
          <w:szCs w:val="21"/>
        </w:rPr>
        <w:t>a. Identify and document reportable deaths, injuries, and unusual occurrences and report them to DHCS and other authorities within required timeframes.</w:t>
      </w:r>
    </w:p>
    <w:p>
      <w:pPr>
        <w:pStyle w:val="Normal"/>
        <w:tabs>
          <w:tab w:val="left" w:pos="720" w:leader="none"/>
        </w:tabs>
        <w:spacing w:lineRule="exact" w:line="264" w:before="0" w:after="80"/>
        <w:ind w:hanging="360" w:start="720"/>
        <w:rPr/>
      </w:pPr>
      <w:r>
        <w:rPr>
          <w:rFonts w:eastAsia="Arial" w:cs="Arial"/>
          <w:sz w:val="21"/>
          <w:szCs w:val="21"/>
        </w:rPr>
        <w:t>b. Report suspected resident abuse to protective-services and law-enforcement authorities.</w:t>
      </w:r>
    </w:p>
    <w:p>
      <w:pPr>
        <w:pStyle w:val="Normal"/>
        <w:tabs>
          <w:tab w:val="left" w:pos="720" w:leader="none"/>
        </w:tabs>
        <w:spacing w:lineRule="exact" w:line="264" w:before="0" w:after="80"/>
        <w:ind w:hanging="360" w:start="720"/>
        <w:rPr/>
      </w:pPr>
      <w:r>
        <w:rPr>
          <w:rFonts w:eastAsia="Arial" w:cs="Arial"/>
          <w:sz w:val="21"/>
          <w:szCs w:val="21"/>
        </w:rPr>
        <w:t>c. Respond to protect safety, review incidents, implement corrective action, and retain documentation.</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Incident / Unusual Occurrence Report</w:t>
      </w:r>
    </w:p>
    <w:p>
      <w:pPr>
        <w:pStyle w:val="ListParagraph"/>
        <w:numPr>
          <w:ilvl w:val="0"/>
          <w:numId w:val="1"/>
        </w:numPr>
        <w:spacing w:lineRule="exact" w:line="264" w:before="0" w:after="60"/>
        <w:rPr/>
      </w:pPr>
      <w:r>
        <w:rPr>
          <w:rFonts w:eastAsia="Arial" w:cs="Arial"/>
          <w:sz w:val="21"/>
          <w:szCs w:val="21"/>
        </w:rPr>
        <w:t>Death Report</w:t>
      </w:r>
    </w:p>
    <w:p>
      <w:pPr>
        <w:pStyle w:val="ListParagraph"/>
        <w:numPr>
          <w:ilvl w:val="0"/>
          <w:numId w:val="1"/>
        </w:numPr>
        <w:spacing w:lineRule="exact" w:line="264" w:before="0" w:after="60"/>
        <w:rPr/>
      </w:pPr>
      <w:r>
        <w:rPr>
          <w:rFonts w:eastAsia="Arial" w:cs="Arial"/>
          <w:sz w:val="21"/>
          <w:szCs w:val="21"/>
        </w:rPr>
        <w:t>Incident Review &amp; Corrective Action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5.04  Emergency Preparedness, Overdose Response &amp; Health Safety</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5.04  Emergency Preparedness, Overdose Response &amp; Health Safety</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Facility, Health &amp; Safety</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Title 9 CCR Ch. 5</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the facility is prepared for medical and other emergencies, including overdose, and maintains general health and safety.</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emergency preparedness and health-and-safety practices at all premises.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maintains a written emergency plan addressing medical emergencies, overdose, fire, natural disasters, and evacuation, with posted evacuation routes and clear exits, and trains staff and residents on the plan and conducts and documents drills. Because residents are recovering from alcohol or drug problems, the facility maintains an overdose-response capability, including access to naloxone and staff trained to recognize and respond to overdose and to summon emergency medical services. The facility maintains first-aid supplies, standard infection-control precautions appropriate to a residential setting, and procedures for obtaining emergency medical services, and coordinates with community emergency resources.</w:t>
      </w:r>
    </w:p>
    <w:p>
      <w:pPr>
        <w:pStyle w:val="Normal"/>
        <w:pBdr>
          <w:bottom w:val="single" w:sz="4" w:space="1" w:color="2E5E45"/>
        </w:pBdr>
        <w:spacing w:before="160" w:after="80"/>
        <w:rPr/>
      </w:pPr>
      <w:r>
        <w:rPr>
          <w:rFonts w:eastAsia="Arial" w:cs="Arial"/>
          <w:b/>
          <w:bCs/>
          <w:color w:val="1A4731"/>
          <w:sz w:val="20"/>
          <w:szCs w:val="20"/>
        </w:rPr>
        <w:t>PROCEDURE — EMERGENCY &amp; HEALTH SAFETY</w:t>
      </w:r>
    </w:p>
    <w:p>
      <w:pPr>
        <w:pStyle w:val="Normal"/>
        <w:tabs>
          <w:tab w:val="left" w:pos="720" w:leader="none"/>
        </w:tabs>
        <w:spacing w:lineRule="exact" w:line="264" w:before="0" w:after="80"/>
        <w:ind w:hanging="360" w:start="720"/>
        <w:rPr/>
      </w:pPr>
      <w:r>
        <w:rPr>
          <w:rFonts w:eastAsia="Arial" w:cs="Arial"/>
          <w:sz w:val="21"/>
          <w:szCs w:val="21"/>
        </w:rPr>
        <w:t>a. Maintain a written emergency plan with posted routes and clear exits and train staff and residents, conducting and documenting drills.</w:t>
      </w:r>
    </w:p>
    <w:p>
      <w:pPr>
        <w:pStyle w:val="Normal"/>
        <w:tabs>
          <w:tab w:val="left" w:pos="720" w:leader="none"/>
        </w:tabs>
        <w:spacing w:lineRule="exact" w:line="264" w:before="0" w:after="80"/>
        <w:ind w:hanging="360" w:start="720"/>
        <w:rPr/>
      </w:pPr>
      <w:r>
        <w:rPr>
          <w:rFonts w:eastAsia="Arial" w:cs="Arial"/>
          <w:sz w:val="21"/>
          <w:szCs w:val="21"/>
        </w:rPr>
        <w:t>b. Maintain overdose-response capability, including naloxone access and trained staff, and summon emergency medical services as needed.</w:t>
      </w:r>
    </w:p>
    <w:p>
      <w:pPr>
        <w:pStyle w:val="Normal"/>
        <w:tabs>
          <w:tab w:val="left" w:pos="720" w:leader="none"/>
        </w:tabs>
        <w:spacing w:lineRule="exact" w:line="264" w:before="0" w:after="80"/>
        <w:ind w:hanging="360" w:start="720"/>
        <w:rPr/>
      </w:pPr>
      <w:r>
        <w:rPr>
          <w:rFonts w:eastAsia="Arial" w:cs="Arial"/>
          <w:sz w:val="21"/>
          <w:szCs w:val="21"/>
        </w:rPr>
        <w:t>c. Maintain first-aid supplies, standard precautions, and procedures for obtaining emergency medical services.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Emergency Plan &amp; Drill Log</w:t>
      </w:r>
    </w:p>
    <w:p>
      <w:pPr>
        <w:pStyle w:val="ListParagraph"/>
        <w:numPr>
          <w:ilvl w:val="0"/>
          <w:numId w:val="1"/>
        </w:numPr>
        <w:spacing w:lineRule="exact" w:line="264" w:before="0" w:after="60"/>
        <w:rPr/>
      </w:pPr>
      <w:r>
        <w:rPr>
          <w:rFonts w:eastAsia="Arial" w:cs="Arial"/>
          <w:sz w:val="21"/>
          <w:szCs w:val="21"/>
        </w:rPr>
        <w:t>Overdose Response / Naloxone Procedure</w:t>
      </w:r>
    </w:p>
    <w:p>
      <w:pPr>
        <w:pStyle w:val="ListParagraph"/>
        <w:numPr>
          <w:ilvl w:val="0"/>
          <w:numId w:val="1"/>
        </w:numPr>
        <w:spacing w:lineRule="exact" w:line="264" w:before="0" w:after="60"/>
        <w:rPr/>
      </w:pPr>
      <w:r>
        <w:rPr>
          <w:rFonts w:eastAsia="Arial" w:cs="Arial"/>
          <w:sz w:val="21"/>
          <w:szCs w:val="21"/>
        </w:rPr>
        <w:t>First-Aid &amp; Infection-Control Supplies Inventory</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F</w:t>
      </w:r>
    </w:p>
    <w:p>
      <w:pPr>
        <w:pStyle w:val="Normal"/>
        <w:pBdr>
          <w:bottom w:val="single" w:sz="12" w:space="4" w:color="1A4731"/>
        </w:pBdr>
        <w:spacing w:before="0" w:after="240"/>
        <w:jc w:val="start"/>
        <w:rPr/>
      </w:pPr>
      <w:r>
        <w:rPr>
          <w:rFonts w:eastAsia="Arial" w:cs="Arial"/>
          <w:b/>
          <w:bCs/>
          <w:color w:val="222222"/>
          <w:sz w:val="40"/>
          <w:szCs w:val="40"/>
        </w:rPr>
        <w:t>Optional &amp; Specialized Services</w:t>
      </w:r>
    </w:p>
    <w:p>
      <w:pPr>
        <w:pStyle w:val="Normal"/>
        <w:spacing w:lineRule="exact" w:line="288" w:before="0" w:after="240"/>
        <w:rPr/>
      </w:pPr>
      <w:r>
        <w:rPr>
          <w:rFonts w:eastAsia="Arial" w:cs="Arial"/>
          <w:color w:val="444444"/>
          <w:sz w:val="22"/>
          <w:szCs w:val="22"/>
        </w:rPr>
        <w:t>This section applies only where the service applies to your facility. Adopt each policy only where relevant — incidental medical services (only with DHCS approval), detoxification services, adolescent facilities, and Drug Medi-Cal / DMC-ODS participation.</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6.00  Incidental Medical Services (IMS)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6.01  Detoxification Services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6.02  Adolescent Facilities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6.03  Drug Medi-Cal / DMC-ODS Participation</w:t>
      </w:r>
    </w:p>
    <w:p>
      <w:pPr>
        <w:pStyle w:val="Normal"/>
        <w:rPr/>
      </w:pPr>
      <w:r>
        <w:rPr/>
      </w:r>
      <w:r>
        <w:br w:type="page"/>
      </w:r>
    </w:p>
    <w:p>
      <w:pPr>
        <w:pStyle w:val="Heading2"/>
        <w:spacing w:before="0" w:after="120"/>
        <w:rPr/>
      </w:pPr>
      <w:r>
        <w:rPr>
          <w:rFonts w:eastAsia="Arial" w:cs="Arial" w:ascii="Arial" w:hAnsi="Arial"/>
          <w:b/>
          <w:bCs/>
          <w:color w:val="1A4731"/>
          <w:sz w:val="26"/>
          <w:szCs w:val="26"/>
        </w:rPr>
        <w:t>6.00  Incidental Medical Services (IMS)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6.00  Incidental Medical Services (IMS)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Optional &amp; Specialized Services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H&amp;SC §§ 11834.025, 11834.026 (AB 848); DHCS 5255</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meet the requirements that apply when the facility is approved by DHCS to provide incidental medical services.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only to a licensed facility that has obtained DHCS approval to provide incidental medical services (IMS).</w:t>
      </w:r>
    </w:p>
    <w:p>
      <w:pPr>
        <w:pStyle w:val="Normal"/>
        <w:pBdr>
          <w:bottom w:val="single" w:sz="4" w:space="1" w:color="2E5E45"/>
        </w:pBdr>
        <w:spacing w:before="160" w:after="80"/>
        <w:rPr/>
      </w:pPr>
      <w:r>
        <w:rPr>
          <w:rFonts w:eastAsia="Arial" w:cs="Arial"/>
          <w:b/>
          <w:bCs/>
          <w:color w:val="1A4731"/>
          <w:sz w:val="20"/>
          <w:szCs w:val="20"/>
        </w:rPr>
        <w:t>DEFINITIONS</w:t>
      </w:r>
    </w:p>
    <w:p>
      <w:pPr>
        <w:pStyle w:val="Normal"/>
        <w:spacing w:lineRule="exact" w:line="276" w:before="0" w:after="120"/>
        <w:rPr/>
      </w:pPr>
      <w:r>
        <w:rPr>
          <w:rFonts w:eastAsia="Arial" w:cs="Arial"/>
          <w:sz w:val="21"/>
          <w:szCs w:val="21"/>
        </w:rPr>
        <w:t>Incidental Medical Services (IMS) — optional services provided at the facility by a health care practitioner, or by staff under the supervision of a health care practitioner, to address medical issues associated with detoxification, treatment, or recovery services, provided in compliance with the community standard of practice.</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provides incidental medical services only after obtaining DHCS approval, by submitting the Initial Treatment Provider Application (DHCS 6002) for initial applicants or the Supplemental Application (DHCS 5255) for existing licensed facilities, with applicable fees and supporting documentation, and complying with H&amp;SC §§ 11834.025 and 11834.026 (AB 848) and the applicable DHCS provider bulletin or regulations. IMS is provided by, or under the supervision of, a health care practitioner, in compliance with the community standard of practice, and is documented in the resident record. The facility does not provide IMS beyond the scope of its approval and refers or transfers residents whose medical needs exceed IMS.</w:t>
      </w:r>
    </w:p>
    <w:p>
      <w:pPr>
        <w:pStyle w:val="Normal"/>
        <w:pBdr>
          <w:bottom w:val="single" w:sz="4" w:space="1" w:color="2E5E45"/>
        </w:pBdr>
        <w:spacing w:before="160" w:after="80"/>
        <w:rPr/>
      </w:pPr>
      <w:r>
        <w:rPr>
          <w:rFonts w:eastAsia="Arial" w:cs="Arial"/>
          <w:b/>
          <w:bCs/>
          <w:color w:val="1A4731"/>
          <w:sz w:val="20"/>
          <w:szCs w:val="20"/>
        </w:rPr>
        <w:t>PROCEDURE — INCIDENTAL MEDICAL SERVICES</w:t>
      </w:r>
    </w:p>
    <w:p>
      <w:pPr>
        <w:pStyle w:val="Normal"/>
        <w:tabs>
          <w:tab w:val="left" w:pos="720" w:leader="none"/>
        </w:tabs>
        <w:spacing w:lineRule="exact" w:line="264" w:before="0" w:after="80"/>
        <w:ind w:hanging="360" w:start="720"/>
        <w:rPr/>
      </w:pPr>
      <w:r>
        <w:rPr>
          <w:rFonts w:eastAsia="Arial" w:cs="Arial"/>
          <w:sz w:val="21"/>
          <w:szCs w:val="21"/>
        </w:rPr>
        <w:t>a. Obtain DHCS IMS approval (DHCS 6002 or 5255) with fees and documentation before providing IMS.</w:t>
      </w:r>
    </w:p>
    <w:p>
      <w:pPr>
        <w:pStyle w:val="Normal"/>
        <w:tabs>
          <w:tab w:val="left" w:pos="720" w:leader="none"/>
        </w:tabs>
        <w:spacing w:lineRule="exact" w:line="264" w:before="0" w:after="80"/>
        <w:ind w:hanging="360" w:start="720"/>
        <w:rPr/>
      </w:pPr>
      <w:r>
        <w:rPr>
          <w:rFonts w:eastAsia="Arial" w:cs="Arial"/>
          <w:sz w:val="21"/>
          <w:szCs w:val="21"/>
        </w:rPr>
        <w:t>b. Provide IMS by or under the supervision of a health care practitioner, per the community standard of practice, and document it.</w:t>
      </w:r>
    </w:p>
    <w:p>
      <w:pPr>
        <w:pStyle w:val="Normal"/>
        <w:tabs>
          <w:tab w:val="left" w:pos="720" w:leader="none"/>
        </w:tabs>
        <w:spacing w:lineRule="exact" w:line="264" w:before="0" w:after="80"/>
        <w:ind w:hanging="360" w:start="720"/>
        <w:rPr/>
      </w:pPr>
      <w:r>
        <w:rPr>
          <w:rFonts w:eastAsia="Arial" w:cs="Arial"/>
          <w:sz w:val="21"/>
          <w:szCs w:val="21"/>
        </w:rPr>
        <w:t>c. Refer or transfer residents whose medical needs exceed the scope of IMS approval.</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IMS Approval (DHCS 6002 / 5255) File</w:t>
      </w:r>
    </w:p>
    <w:p>
      <w:pPr>
        <w:pStyle w:val="ListParagraph"/>
        <w:numPr>
          <w:ilvl w:val="0"/>
          <w:numId w:val="1"/>
        </w:numPr>
        <w:spacing w:lineRule="exact" w:line="264" w:before="0" w:after="60"/>
        <w:rPr/>
      </w:pPr>
      <w:r>
        <w:rPr>
          <w:rFonts w:eastAsia="Arial" w:cs="Arial"/>
          <w:sz w:val="21"/>
          <w:szCs w:val="21"/>
        </w:rPr>
        <w:t>Health Care Practitioner Supervision Record</w:t>
      </w:r>
    </w:p>
    <w:p>
      <w:pPr>
        <w:pStyle w:val="ListParagraph"/>
        <w:numPr>
          <w:ilvl w:val="0"/>
          <w:numId w:val="1"/>
        </w:numPr>
        <w:spacing w:lineRule="exact" w:line="264" w:before="0" w:after="60"/>
        <w:rPr/>
      </w:pPr>
      <w:r>
        <w:rPr>
          <w:rFonts w:eastAsia="Arial" w:cs="Arial"/>
          <w:sz w:val="21"/>
          <w:szCs w:val="21"/>
        </w:rPr>
        <w:t>IMS Service Documentation</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6.01  Detoxification Services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6.01  Detoxification Services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Optional &amp; Specialized Services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Title 9 CCR §§ 10501, 10568(f)</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meet the requirements that apply when the facility provides residential nonmedical detoxification services.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only to a facility licensed to provide detoxification services.</w:t>
      </w:r>
    </w:p>
    <w:p>
      <w:pPr>
        <w:pStyle w:val="Normal"/>
        <w:pBdr>
          <w:bottom w:val="single" w:sz="4" w:space="1" w:color="2E5E45"/>
        </w:pBdr>
        <w:spacing w:before="160" w:after="80"/>
        <w:rPr/>
      </w:pPr>
      <w:r>
        <w:rPr>
          <w:rFonts w:eastAsia="Arial" w:cs="Arial"/>
          <w:b/>
          <w:bCs/>
          <w:color w:val="1A4731"/>
          <w:sz w:val="20"/>
          <w:szCs w:val="20"/>
        </w:rPr>
        <w:t>DEFINITIONS</w:t>
      </w:r>
    </w:p>
    <w:p>
      <w:pPr>
        <w:pStyle w:val="Normal"/>
        <w:spacing w:lineRule="exact" w:line="276" w:before="0" w:after="120"/>
        <w:rPr/>
      </w:pPr>
      <w:r>
        <w:rPr>
          <w:rFonts w:eastAsia="Arial" w:cs="Arial"/>
          <w:sz w:val="21"/>
          <w:szCs w:val="21"/>
        </w:rPr>
        <w:t>Detoxification services — services designed to support and assist an individual in the alcohol and/or drug withdrawal process and to explore plans for continued services.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A facility that provides detoxification services delivers residential nonmedical support for the withdrawal process, with protocols for monitoring residents during withdrawal, criteria for identifying when a resident's condition requires medical care beyond the facility's scope, and prompt access to emergency medical services and transfer when needed. A facility that primarily provides detoxification services may be exempt from certain resident-record requirements the rule identifies (§ 10568(f)). Where the facility provides medical support associated with detoxification, it does so only under incidental medical services approval. Detoxification services are documented, and each resident's continued-service plan is addressed.</w:t>
      </w:r>
    </w:p>
    <w:p>
      <w:pPr>
        <w:pStyle w:val="Normal"/>
        <w:pBdr>
          <w:bottom w:val="single" w:sz="4" w:space="1" w:color="2E5E45"/>
        </w:pBdr>
        <w:spacing w:before="160" w:after="80"/>
        <w:rPr/>
      </w:pPr>
      <w:r>
        <w:rPr>
          <w:rFonts w:eastAsia="Arial" w:cs="Arial"/>
          <w:b/>
          <w:bCs/>
          <w:color w:val="1A4731"/>
          <w:sz w:val="20"/>
          <w:szCs w:val="20"/>
        </w:rPr>
        <w:t>PROCEDURE — DETOXIFICATION</w:t>
      </w:r>
    </w:p>
    <w:p>
      <w:pPr>
        <w:pStyle w:val="Normal"/>
        <w:tabs>
          <w:tab w:val="left" w:pos="720" w:leader="none"/>
        </w:tabs>
        <w:spacing w:lineRule="exact" w:line="264" w:before="0" w:after="80"/>
        <w:ind w:hanging="360" w:start="720"/>
        <w:rPr/>
      </w:pPr>
      <w:r>
        <w:rPr>
          <w:rFonts w:eastAsia="Arial" w:cs="Arial"/>
          <w:sz w:val="21"/>
          <w:szCs w:val="21"/>
        </w:rPr>
        <w:t>a. Provide nonmedical withdrawal support with monitoring protocols and criteria for when medical care is required.</w:t>
      </w:r>
    </w:p>
    <w:p>
      <w:pPr>
        <w:pStyle w:val="Normal"/>
        <w:tabs>
          <w:tab w:val="left" w:pos="720" w:leader="none"/>
        </w:tabs>
        <w:spacing w:lineRule="exact" w:line="264" w:before="0" w:after="80"/>
        <w:ind w:hanging="360" w:start="720"/>
        <w:rPr/>
      </w:pPr>
      <w:r>
        <w:rPr>
          <w:rFonts w:eastAsia="Arial" w:cs="Arial"/>
          <w:sz w:val="21"/>
          <w:szCs w:val="21"/>
        </w:rPr>
        <w:t>b. Maintain prompt access to emergency medical services and transfer residents whose condition exceeds scope.</w:t>
      </w:r>
    </w:p>
    <w:p>
      <w:pPr>
        <w:pStyle w:val="Normal"/>
        <w:tabs>
          <w:tab w:val="left" w:pos="720" w:leader="none"/>
        </w:tabs>
        <w:spacing w:lineRule="exact" w:line="264" w:before="0" w:after="80"/>
        <w:ind w:hanging="360" w:start="720"/>
        <w:rPr/>
      </w:pPr>
      <w:r>
        <w:rPr>
          <w:rFonts w:eastAsia="Arial" w:cs="Arial"/>
          <w:sz w:val="21"/>
          <w:szCs w:val="21"/>
        </w:rPr>
        <w:t>c. Provide medical detox support only under IMS approval and document services and continued-service plans.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Detoxification Monitoring Protocol &amp; Record</w:t>
      </w:r>
    </w:p>
    <w:p>
      <w:pPr>
        <w:pStyle w:val="ListParagraph"/>
        <w:numPr>
          <w:ilvl w:val="0"/>
          <w:numId w:val="1"/>
        </w:numPr>
        <w:spacing w:lineRule="exact" w:line="264" w:before="0" w:after="60"/>
        <w:rPr/>
      </w:pPr>
      <w:r>
        <w:rPr>
          <w:rFonts w:eastAsia="Arial" w:cs="Arial"/>
          <w:sz w:val="21"/>
          <w:szCs w:val="21"/>
        </w:rPr>
        <w:t>Medical-Need / Transfer Criteria</w:t>
      </w:r>
    </w:p>
    <w:p>
      <w:pPr>
        <w:pStyle w:val="ListParagraph"/>
        <w:numPr>
          <w:ilvl w:val="0"/>
          <w:numId w:val="1"/>
        </w:numPr>
        <w:spacing w:lineRule="exact" w:line="264" w:before="0" w:after="60"/>
        <w:rPr/>
      </w:pPr>
      <w:r>
        <w:rPr>
          <w:rFonts w:eastAsia="Arial" w:cs="Arial"/>
          <w:sz w:val="21"/>
          <w:szCs w:val="21"/>
        </w:rPr>
        <w:t>Continued-Service Plan</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6.02  Adolescent Facilities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6.02  Adolescent Facilities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Optional &amp; Specialized Services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Title 9 CCR § 10501; Ch. 5 (adolescent provisions)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meet the additional requirements that apply when the facility serves adolescents.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only to a facility designed to serve adolescents (individuals 14 through 17 who are not emancipated).</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A facility designed to serve adolescents meets the additional requirements applicable to adolescent facilities, including developmentally appropriate services, staff qualified to serve adolescents, parental or guardian consent and involvement as required, protections appropriate to minors, provision for mandatory education of residents of school age, and coordination with other youth-serving systems as applicable. Intake, assessment, recovery or treatment planning, records, and rights follow the general standards in this manual, adapted to the developmental and legal needs of adolescent residents.</w:t>
      </w:r>
    </w:p>
    <w:p>
      <w:pPr>
        <w:pStyle w:val="Normal"/>
        <w:pBdr>
          <w:bottom w:val="single" w:sz="4" w:space="1" w:color="2E5E45"/>
        </w:pBdr>
        <w:spacing w:before="160" w:after="80"/>
        <w:rPr/>
      </w:pPr>
      <w:r>
        <w:rPr>
          <w:rFonts w:eastAsia="Arial" w:cs="Arial"/>
          <w:b/>
          <w:bCs/>
          <w:color w:val="1A4731"/>
          <w:sz w:val="20"/>
          <w:szCs w:val="20"/>
        </w:rPr>
        <w:t>PROCEDURE — ADOLESCENT FACILITIES</w:t>
      </w:r>
    </w:p>
    <w:p>
      <w:pPr>
        <w:pStyle w:val="Normal"/>
        <w:tabs>
          <w:tab w:val="left" w:pos="720" w:leader="none"/>
        </w:tabs>
        <w:spacing w:lineRule="exact" w:line="264" w:before="0" w:after="80"/>
        <w:ind w:hanging="360" w:start="720"/>
        <w:rPr/>
      </w:pPr>
      <w:r>
        <w:rPr>
          <w:rFonts w:eastAsia="Arial" w:cs="Arial"/>
          <w:sz w:val="21"/>
          <w:szCs w:val="21"/>
        </w:rPr>
        <w:t>a. Provide developmentally appropriate services with staff qualified to serve adolescents and required parental or guardian consent.</w:t>
      </w:r>
    </w:p>
    <w:p>
      <w:pPr>
        <w:pStyle w:val="Normal"/>
        <w:tabs>
          <w:tab w:val="left" w:pos="720" w:leader="none"/>
        </w:tabs>
        <w:spacing w:lineRule="exact" w:line="264" w:before="0" w:after="80"/>
        <w:ind w:hanging="360" w:start="720"/>
        <w:rPr/>
      </w:pPr>
      <w:r>
        <w:rPr>
          <w:rFonts w:eastAsia="Arial" w:cs="Arial"/>
          <w:sz w:val="21"/>
          <w:szCs w:val="21"/>
        </w:rPr>
        <w:t>b. Provide for mandatory education of school-age residents and appropriate protections for minors.</w:t>
      </w:r>
    </w:p>
    <w:p>
      <w:pPr>
        <w:pStyle w:val="Normal"/>
        <w:tabs>
          <w:tab w:val="left" w:pos="720" w:leader="none"/>
        </w:tabs>
        <w:spacing w:lineRule="exact" w:line="264" w:before="0" w:after="80"/>
        <w:ind w:hanging="360" w:start="720"/>
        <w:rPr/>
      </w:pPr>
      <w:r>
        <w:rPr>
          <w:rFonts w:eastAsia="Arial" w:cs="Arial"/>
          <w:sz w:val="21"/>
          <w:szCs w:val="21"/>
        </w:rPr>
        <w:t>c. Adapt assessment, planning, records, and rights to adolescent developmental and legal needs.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Parental / Guardian Consent &amp; Involvement Record</w:t>
      </w:r>
    </w:p>
    <w:p>
      <w:pPr>
        <w:pStyle w:val="ListParagraph"/>
        <w:numPr>
          <w:ilvl w:val="0"/>
          <w:numId w:val="1"/>
        </w:numPr>
        <w:spacing w:lineRule="exact" w:line="264" w:before="0" w:after="60"/>
        <w:rPr/>
      </w:pPr>
      <w:r>
        <w:rPr>
          <w:rFonts w:eastAsia="Arial" w:cs="Arial"/>
          <w:sz w:val="21"/>
          <w:szCs w:val="21"/>
        </w:rPr>
        <w:t>Adolescent Program Description &amp; Staffing</w:t>
      </w:r>
    </w:p>
    <w:p>
      <w:pPr>
        <w:pStyle w:val="ListParagraph"/>
        <w:numPr>
          <w:ilvl w:val="0"/>
          <w:numId w:val="1"/>
        </w:numPr>
        <w:spacing w:lineRule="exact" w:line="264" w:before="0" w:after="60"/>
        <w:rPr/>
      </w:pPr>
      <w:r>
        <w:rPr>
          <w:rFonts w:eastAsia="Arial" w:cs="Arial"/>
          <w:sz w:val="21"/>
          <w:szCs w:val="21"/>
        </w:rPr>
        <w:t>Education Coordination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6.03  Drug Medi-Cal / DMC-ODS Participation</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6.03  Drug Medi-Cal / DMC-ODS Participation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Optional &amp; Specialized Services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Drug Medi-Cal (DMC) / DMC-ODS; DHCS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meet the additional requirements that apply when the facility participates in Drug Medi-Cal or the Drug Medi-Cal Organized Delivery System.</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only to a facility that is Drug Medi-Cal (DMC) certified or participates in the Drug Medi-Cal Organized Delivery System (DMC-ODS).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A facility that participates in Drug Medi-Cal or DMC-ODS obtains and maintains DMC certification in addition to its license, complies with the applicable DMC/DMC-ODS requirements and its county contract, uses the American Society of Addiction Medicine (ASAM) criteria for level-of-care determinations as required, and meets the documentation, medical necessity, and reporting requirements of the program. DMC/DMC-ODS participation is in addition to, and does not replace, the residential license, and the facility maintains the records and undergoes the reviews the program requires.</w:t>
      </w:r>
    </w:p>
    <w:p>
      <w:pPr>
        <w:pStyle w:val="Normal"/>
        <w:pBdr>
          <w:bottom w:val="single" w:sz="4" w:space="1" w:color="2E5E45"/>
        </w:pBdr>
        <w:spacing w:before="160" w:after="80"/>
        <w:rPr/>
      </w:pPr>
      <w:r>
        <w:rPr>
          <w:rFonts w:eastAsia="Arial" w:cs="Arial"/>
          <w:b/>
          <w:bCs/>
          <w:color w:val="1A4731"/>
          <w:sz w:val="20"/>
          <w:szCs w:val="20"/>
        </w:rPr>
        <w:t>PROCEDURE — DMC / DMC-ODS</w:t>
      </w:r>
    </w:p>
    <w:p>
      <w:pPr>
        <w:pStyle w:val="Normal"/>
        <w:tabs>
          <w:tab w:val="left" w:pos="720" w:leader="none"/>
        </w:tabs>
        <w:spacing w:lineRule="exact" w:line="264" w:before="0" w:after="80"/>
        <w:ind w:hanging="360" w:start="720"/>
        <w:rPr/>
      </w:pPr>
      <w:r>
        <w:rPr>
          <w:rFonts w:eastAsia="Arial" w:cs="Arial"/>
          <w:sz w:val="21"/>
          <w:szCs w:val="21"/>
        </w:rPr>
        <w:t>a. Obtain and maintain DMC certification and comply with DMC/DMC-ODS requirements and the county contract.</w:t>
      </w:r>
    </w:p>
    <w:p>
      <w:pPr>
        <w:pStyle w:val="Normal"/>
        <w:tabs>
          <w:tab w:val="left" w:pos="720" w:leader="none"/>
        </w:tabs>
        <w:spacing w:lineRule="exact" w:line="264" w:before="0" w:after="80"/>
        <w:ind w:hanging="360" w:start="720"/>
        <w:rPr/>
      </w:pPr>
      <w:r>
        <w:rPr>
          <w:rFonts w:eastAsia="Arial" w:cs="Arial"/>
          <w:sz w:val="21"/>
          <w:szCs w:val="21"/>
        </w:rPr>
        <w:t>b. Apply ASAM criteria for level-of-care determinations and meet medical-necessity and documentation requirements.</w:t>
      </w:r>
    </w:p>
    <w:p>
      <w:pPr>
        <w:pStyle w:val="Normal"/>
        <w:tabs>
          <w:tab w:val="left" w:pos="720" w:leader="none"/>
        </w:tabs>
        <w:spacing w:lineRule="exact" w:line="264" w:before="0" w:after="80"/>
        <w:ind w:hanging="360" w:start="720"/>
        <w:rPr/>
      </w:pPr>
      <w:r>
        <w:rPr>
          <w:rFonts w:eastAsia="Arial" w:cs="Arial"/>
          <w:sz w:val="21"/>
          <w:szCs w:val="21"/>
        </w:rPr>
        <w:t>c. Maintain required records and undergo program reviews, in addition to the residential license.</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DMC Certification &amp; County Contract File</w:t>
      </w:r>
    </w:p>
    <w:p>
      <w:pPr>
        <w:pStyle w:val="ListParagraph"/>
        <w:numPr>
          <w:ilvl w:val="0"/>
          <w:numId w:val="1"/>
        </w:numPr>
        <w:spacing w:lineRule="exact" w:line="264" w:before="0" w:after="60"/>
        <w:rPr/>
      </w:pPr>
      <w:r>
        <w:rPr>
          <w:rFonts w:eastAsia="Arial" w:cs="Arial"/>
          <w:sz w:val="21"/>
          <w:szCs w:val="21"/>
        </w:rPr>
        <w:t>ASAM Level-of-Care Determination</w:t>
      </w:r>
    </w:p>
    <w:p>
      <w:pPr>
        <w:pStyle w:val="ListParagraph"/>
        <w:numPr>
          <w:ilvl w:val="0"/>
          <w:numId w:val="1"/>
        </w:numPr>
        <w:spacing w:lineRule="exact" w:line="264" w:before="0" w:after="60"/>
        <w:rPr/>
      </w:pPr>
      <w:r>
        <w:rPr>
          <w:rFonts w:eastAsia="Arial" w:cs="Arial"/>
          <w:sz w:val="21"/>
          <w:szCs w:val="21"/>
        </w:rPr>
        <w:t>DMC Documentation &amp; Review Records</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G</w:t>
      </w:r>
    </w:p>
    <w:p>
      <w:pPr>
        <w:pStyle w:val="Normal"/>
        <w:pBdr>
          <w:bottom w:val="single" w:sz="12" w:space="4" w:color="1A4731"/>
        </w:pBdr>
        <w:spacing w:before="0" w:after="240"/>
        <w:jc w:val="start"/>
        <w:rPr/>
      </w:pPr>
      <w:r>
        <w:rPr>
          <w:rFonts w:eastAsia="Arial" w:cs="Arial"/>
          <w:b/>
          <w:bCs/>
          <w:color w:val="222222"/>
          <w:sz w:val="40"/>
          <w:szCs w:val="40"/>
        </w:rPr>
        <w:t>Appendices</w:t>
      </w:r>
    </w:p>
    <w:p>
      <w:pPr>
        <w:pStyle w:val="Normal"/>
        <w:spacing w:lineRule="exact" w:line="288" w:before="0" w:after="240"/>
        <w:rPr/>
      </w:pPr>
      <w:r>
        <w:rPr>
          <w:rFonts w:eastAsia="Arial" w:cs="Arial"/>
          <w:color w:val="444444"/>
          <w:sz w:val="22"/>
          <w:szCs w:val="22"/>
        </w:rPr>
        <w:t>Supporting reference material for adopting and operating this manual — a required-forms checklist, a directory of California agencies and resources, guidance on customizing the manual and matching it to the facility's services, and a resident rights acknowledgment.</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Appendix A  Required Forms Checklist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Appendix B  California Agency &amp; Resource Directory</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Appendix C  How to Use This Manual</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Appendix D  Resident Rights Acknowledgment</w:t>
      </w:r>
    </w:p>
    <w:p>
      <w:pPr>
        <w:pStyle w:val="Normal"/>
        <w:rPr/>
      </w:pPr>
      <w:r>
        <w:rPr/>
      </w:r>
      <w:r>
        <w:br w:type="page"/>
      </w:r>
    </w:p>
    <w:p>
      <w:pPr>
        <w:pStyle w:val="Normal"/>
        <w:pBdr>
          <w:bottom w:val="single" w:sz="8" w:space="2" w:color="1A4731"/>
        </w:pBdr>
        <w:spacing w:before="0" w:after="120"/>
        <w:rPr/>
      </w:pPr>
      <w:r>
        <w:rPr>
          <w:rFonts w:eastAsia="Arial" w:cs="Arial"/>
          <w:b/>
          <w:bCs/>
          <w:color w:val="1A4731"/>
          <w:sz w:val="26"/>
          <w:szCs w:val="26"/>
        </w:rPr>
        <w:t>Appendix A — Required Forms Checklist</w:t>
      </w:r>
    </w:p>
    <w:p>
      <w:pPr>
        <w:pStyle w:val="Normal"/>
        <w:spacing w:lineRule="exact" w:line="276" w:before="0" w:after="120"/>
        <w:rPr/>
      </w:pPr>
      <w:r>
        <w:rPr>
          <w:rFonts w:eastAsia="Arial" w:cs="Arial"/>
          <w:sz w:val="21"/>
          <w:szCs w:val="21"/>
        </w:rPr>
        <w:t>The forms below are referenced throughout this manual, grouped by section. The facility should maintain a current copy of each and customize as needed. Where a form corresponds to an official DHCS form, use the current DHCS version.</w:t>
      </w:r>
    </w:p>
    <w:p>
      <w:pPr>
        <w:pStyle w:val="Normal"/>
        <w:spacing w:before="140" w:after="40"/>
        <w:rPr/>
      </w:pPr>
      <w:r>
        <w:rPr>
          <w:rFonts w:eastAsia="Arial" w:cs="Arial"/>
          <w:b/>
          <w:bCs/>
          <w:color w:val="333333"/>
          <w:sz w:val="21"/>
          <w:szCs w:val="21"/>
        </w:rPr>
        <w:t>Section A — Licensure &amp; Administration</w:t>
      </w:r>
    </w:p>
    <w:p>
      <w:pPr>
        <w:pStyle w:val="ListParagraph"/>
        <w:numPr>
          <w:ilvl w:val="0"/>
          <w:numId w:val="1"/>
        </w:numPr>
        <w:spacing w:lineRule="exact" w:line="264" w:before="0" w:after="60"/>
        <w:rPr/>
      </w:pPr>
      <w:r>
        <w:rPr>
          <w:rFonts w:eastAsia="Arial" w:cs="Arial"/>
          <w:sz w:val="21"/>
          <w:szCs w:val="21"/>
        </w:rPr>
        <w:t>Organizational Chart</w:t>
      </w:r>
    </w:p>
    <w:p>
      <w:pPr>
        <w:pStyle w:val="ListParagraph"/>
        <w:numPr>
          <w:ilvl w:val="0"/>
          <w:numId w:val="1"/>
        </w:numPr>
        <w:spacing w:lineRule="exact" w:line="264" w:before="0" w:after="60"/>
        <w:rPr/>
      </w:pPr>
      <w:r>
        <w:rPr>
          <w:rFonts w:eastAsia="Arial" w:cs="Arial"/>
          <w:sz w:val="21"/>
          <w:szCs w:val="21"/>
        </w:rPr>
        <w:t>Program Administrator Job Description</w:t>
      </w:r>
    </w:p>
    <w:p>
      <w:pPr>
        <w:pStyle w:val="ListParagraph"/>
        <w:numPr>
          <w:ilvl w:val="0"/>
          <w:numId w:val="1"/>
        </w:numPr>
        <w:spacing w:lineRule="exact" w:line="264" w:before="0" w:after="60"/>
        <w:rPr/>
      </w:pPr>
      <w:r>
        <w:rPr>
          <w:rFonts w:eastAsia="Arial" w:cs="Arial"/>
          <w:sz w:val="21"/>
          <w:szCs w:val="21"/>
        </w:rPr>
        <w:t>Licensee / Governing Authority Documentation</w:t>
      </w:r>
    </w:p>
    <w:p>
      <w:pPr>
        <w:pStyle w:val="ListParagraph"/>
        <w:numPr>
          <w:ilvl w:val="0"/>
          <w:numId w:val="1"/>
        </w:numPr>
        <w:spacing w:lineRule="exact" w:line="264" w:before="0" w:after="60"/>
        <w:rPr/>
      </w:pPr>
      <w:r>
        <w:rPr>
          <w:rFonts w:eastAsia="Arial" w:cs="Arial"/>
          <w:sz w:val="21"/>
          <w:szCs w:val="21"/>
        </w:rPr>
        <w:t>Current DHCS License &amp; Authorized Services</w:t>
      </w:r>
    </w:p>
    <w:p>
      <w:pPr>
        <w:pStyle w:val="ListParagraph"/>
        <w:numPr>
          <w:ilvl w:val="0"/>
          <w:numId w:val="1"/>
        </w:numPr>
        <w:spacing w:lineRule="exact" w:line="264" w:before="0" w:after="60"/>
        <w:rPr/>
      </w:pPr>
      <w:r>
        <w:rPr>
          <w:rFonts w:eastAsia="Arial" w:cs="Arial"/>
          <w:sz w:val="21"/>
          <w:szCs w:val="21"/>
        </w:rPr>
        <w:t>Scope-of-Services Statement</w:t>
      </w:r>
    </w:p>
    <w:p>
      <w:pPr>
        <w:pStyle w:val="ListParagraph"/>
        <w:numPr>
          <w:ilvl w:val="0"/>
          <w:numId w:val="1"/>
        </w:numPr>
        <w:spacing w:lineRule="exact" w:line="264" w:before="0" w:after="60"/>
        <w:rPr/>
      </w:pPr>
      <w:r>
        <w:rPr>
          <w:rFonts w:eastAsia="Arial" w:cs="Arial"/>
          <w:sz w:val="21"/>
          <w:szCs w:val="21"/>
        </w:rPr>
        <w:t>Change-of-Services Request Record</w:t>
      </w:r>
    </w:p>
    <w:p>
      <w:pPr>
        <w:pStyle w:val="ListParagraph"/>
        <w:numPr>
          <w:ilvl w:val="0"/>
          <w:numId w:val="1"/>
        </w:numPr>
        <w:spacing w:lineRule="exact" w:line="264" w:before="0" w:after="60"/>
        <w:rPr/>
      </w:pPr>
      <w:r>
        <w:rPr>
          <w:rFonts w:eastAsia="Arial" w:cs="Arial"/>
          <w:sz w:val="21"/>
          <w:szCs w:val="21"/>
        </w:rPr>
        <w:t>Initial Treatment Provider Application (DHCS 6002)</w:t>
      </w:r>
    </w:p>
    <w:p>
      <w:pPr>
        <w:pStyle w:val="ListParagraph"/>
        <w:numPr>
          <w:ilvl w:val="0"/>
          <w:numId w:val="1"/>
        </w:numPr>
        <w:spacing w:lineRule="exact" w:line="264" w:before="0" w:after="60"/>
        <w:rPr/>
      </w:pPr>
      <w:r>
        <w:rPr>
          <w:rFonts w:eastAsia="Arial" w:cs="Arial"/>
          <w:sz w:val="21"/>
          <w:szCs w:val="21"/>
        </w:rPr>
        <w:t>Supplemental Application — Additional Services (DHCS 5255)</w:t>
      </w:r>
    </w:p>
    <w:p>
      <w:pPr>
        <w:pStyle w:val="ListParagraph"/>
        <w:numPr>
          <w:ilvl w:val="0"/>
          <w:numId w:val="1"/>
        </w:numPr>
        <w:spacing w:lineRule="exact" w:line="264" w:before="0" w:after="60"/>
        <w:rPr/>
      </w:pPr>
      <w:r>
        <w:rPr>
          <w:rFonts w:eastAsia="Arial" w:cs="Arial"/>
          <w:sz w:val="21"/>
          <w:szCs w:val="21"/>
        </w:rPr>
        <w:t>Licensing &amp; Renewal Calendar</w:t>
      </w:r>
    </w:p>
    <w:p>
      <w:pPr>
        <w:pStyle w:val="ListParagraph"/>
        <w:numPr>
          <w:ilvl w:val="0"/>
          <w:numId w:val="1"/>
        </w:numPr>
        <w:spacing w:lineRule="exact" w:line="264" w:before="0" w:after="60"/>
        <w:rPr/>
      </w:pPr>
      <w:r>
        <w:rPr>
          <w:rFonts w:eastAsia="Arial" w:cs="Arial"/>
          <w:sz w:val="21"/>
          <w:szCs w:val="21"/>
        </w:rPr>
        <w:t>Plan of Operation</w:t>
      </w:r>
    </w:p>
    <w:p>
      <w:pPr>
        <w:pStyle w:val="ListParagraph"/>
        <w:numPr>
          <w:ilvl w:val="0"/>
          <w:numId w:val="1"/>
        </w:numPr>
        <w:spacing w:lineRule="exact" w:line="264" w:before="0" w:after="60"/>
        <w:rPr/>
      </w:pPr>
      <w:r>
        <w:rPr>
          <w:rFonts w:eastAsia="Arial" w:cs="Arial"/>
          <w:sz w:val="21"/>
          <w:szCs w:val="21"/>
        </w:rPr>
        <w:t>Master Policy Index &amp; Version Log</w:t>
      </w:r>
    </w:p>
    <w:p>
      <w:pPr>
        <w:pStyle w:val="ListParagraph"/>
        <w:numPr>
          <w:ilvl w:val="0"/>
          <w:numId w:val="1"/>
        </w:numPr>
        <w:spacing w:lineRule="exact" w:line="264" w:before="0" w:after="60"/>
        <w:rPr/>
      </w:pPr>
      <w:r>
        <w:rPr>
          <w:rFonts w:eastAsia="Arial" w:cs="Arial"/>
          <w:sz w:val="21"/>
          <w:szCs w:val="21"/>
        </w:rPr>
        <w:t>Policy Distribution &amp; Acknowledgment Log</w:t>
      </w:r>
    </w:p>
    <w:p>
      <w:pPr>
        <w:pStyle w:val="ListParagraph"/>
        <w:numPr>
          <w:ilvl w:val="0"/>
          <w:numId w:val="1"/>
        </w:numPr>
        <w:spacing w:lineRule="exact" w:line="264" w:before="0" w:after="60"/>
        <w:rPr/>
      </w:pPr>
      <w:r>
        <w:rPr>
          <w:rFonts w:eastAsia="Arial" w:cs="Arial"/>
          <w:sz w:val="21"/>
          <w:szCs w:val="21"/>
        </w:rPr>
        <w:t>Certification Application &amp; Certificate</w:t>
      </w:r>
    </w:p>
    <w:p>
      <w:pPr>
        <w:pStyle w:val="ListParagraph"/>
        <w:numPr>
          <w:ilvl w:val="0"/>
          <w:numId w:val="1"/>
        </w:numPr>
        <w:spacing w:lineRule="exact" w:line="264" w:before="0" w:after="60"/>
        <w:rPr/>
      </w:pPr>
      <w:r>
        <w:rPr>
          <w:rFonts w:eastAsia="Arial" w:cs="Arial"/>
          <w:sz w:val="21"/>
          <w:szCs w:val="21"/>
        </w:rPr>
        <w:t>Plan of Correction Template</w:t>
      </w:r>
    </w:p>
    <w:p>
      <w:pPr>
        <w:pStyle w:val="ListParagraph"/>
        <w:numPr>
          <w:ilvl w:val="0"/>
          <w:numId w:val="1"/>
        </w:numPr>
        <w:spacing w:lineRule="exact" w:line="264" w:before="0" w:after="60"/>
        <w:rPr/>
      </w:pPr>
      <w:r>
        <w:rPr>
          <w:rFonts w:eastAsia="Arial" w:cs="Arial"/>
          <w:sz w:val="21"/>
          <w:szCs w:val="21"/>
        </w:rPr>
        <w:t>Deficiency &amp; Correction Log</w:t>
      </w:r>
    </w:p>
    <w:p>
      <w:pPr>
        <w:pStyle w:val="Normal"/>
        <w:spacing w:before="140" w:after="40"/>
        <w:rPr/>
      </w:pPr>
      <w:r>
        <w:rPr>
          <w:rFonts w:eastAsia="Arial" w:cs="Arial"/>
          <w:b/>
          <w:bCs/>
          <w:color w:val="333333"/>
          <w:sz w:val="21"/>
          <w:szCs w:val="21"/>
        </w:rPr>
        <w:t>Section B — Personnel &amp; Workforce</w:t>
      </w:r>
    </w:p>
    <w:p>
      <w:pPr>
        <w:pStyle w:val="ListParagraph"/>
        <w:numPr>
          <w:ilvl w:val="0"/>
          <w:numId w:val="1"/>
        </w:numPr>
        <w:spacing w:lineRule="exact" w:line="264" w:before="0" w:after="60"/>
        <w:rPr/>
      </w:pPr>
      <w:r>
        <w:rPr>
          <w:rFonts w:eastAsia="Arial" w:cs="Arial"/>
          <w:sz w:val="21"/>
          <w:szCs w:val="21"/>
        </w:rPr>
        <w:t>Personnel Record Checklist</w:t>
      </w:r>
    </w:p>
    <w:p>
      <w:pPr>
        <w:pStyle w:val="ListParagraph"/>
        <w:numPr>
          <w:ilvl w:val="0"/>
          <w:numId w:val="1"/>
        </w:numPr>
        <w:spacing w:lineRule="exact" w:line="264" w:before="0" w:after="60"/>
        <w:rPr/>
      </w:pPr>
      <w:r>
        <w:rPr>
          <w:rFonts w:eastAsia="Arial" w:cs="Arial"/>
          <w:sz w:val="21"/>
          <w:szCs w:val="21"/>
        </w:rPr>
        <w:t>Qualification Documentation (resume / transcripts)</w:t>
      </w:r>
    </w:p>
    <w:p>
      <w:pPr>
        <w:pStyle w:val="ListParagraph"/>
        <w:numPr>
          <w:ilvl w:val="0"/>
          <w:numId w:val="1"/>
        </w:numPr>
        <w:spacing w:lineRule="exact" w:line="264" w:before="0" w:after="60"/>
        <w:rPr/>
      </w:pPr>
      <w:r>
        <w:rPr>
          <w:rFonts w:eastAsia="Arial" w:cs="Arial"/>
          <w:sz w:val="21"/>
          <w:szCs w:val="21"/>
        </w:rPr>
        <w:t>Counselor Credential Documentation</w:t>
      </w:r>
    </w:p>
    <w:p>
      <w:pPr>
        <w:pStyle w:val="ListParagraph"/>
        <w:numPr>
          <w:ilvl w:val="0"/>
          <w:numId w:val="1"/>
        </w:numPr>
        <w:spacing w:lineRule="exact" w:line="264" w:before="0" w:after="60"/>
        <w:rPr/>
      </w:pPr>
      <w:r>
        <w:rPr>
          <w:rFonts w:eastAsia="Arial" w:cs="Arial"/>
          <w:sz w:val="21"/>
          <w:szCs w:val="21"/>
        </w:rPr>
        <w:t>Counselor Credential Verification Record</w:t>
      </w:r>
    </w:p>
    <w:p>
      <w:pPr>
        <w:pStyle w:val="ListParagraph"/>
        <w:numPr>
          <w:ilvl w:val="0"/>
          <w:numId w:val="1"/>
        </w:numPr>
        <w:spacing w:lineRule="exact" w:line="264" w:before="0" w:after="60"/>
        <w:rPr/>
      </w:pPr>
      <w:r>
        <w:rPr>
          <w:rFonts w:eastAsia="Arial" w:cs="Arial"/>
          <w:sz w:val="21"/>
          <w:szCs w:val="21"/>
        </w:rPr>
        <w:t>Registration-to-Certification Tracking Log</w:t>
      </w:r>
    </w:p>
    <w:p>
      <w:pPr>
        <w:pStyle w:val="ListParagraph"/>
        <w:numPr>
          <w:ilvl w:val="0"/>
          <w:numId w:val="1"/>
        </w:numPr>
        <w:spacing w:lineRule="exact" w:line="264" w:before="0" w:after="60"/>
        <w:rPr/>
      </w:pPr>
      <w:r>
        <w:rPr>
          <w:rFonts w:eastAsia="Arial" w:cs="Arial"/>
          <w:sz w:val="21"/>
          <w:szCs w:val="21"/>
        </w:rPr>
        <w:t>Code of Conduct Acknowledgment</w:t>
      </w:r>
    </w:p>
    <w:p>
      <w:pPr>
        <w:pStyle w:val="ListParagraph"/>
        <w:numPr>
          <w:ilvl w:val="0"/>
          <w:numId w:val="1"/>
        </w:numPr>
        <w:spacing w:lineRule="exact" w:line="264" w:before="0" w:after="60"/>
        <w:rPr/>
      </w:pPr>
      <w:r>
        <w:rPr>
          <w:rFonts w:eastAsia="Arial" w:cs="Arial"/>
          <w:sz w:val="21"/>
          <w:szCs w:val="21"/>
        </w:rPr>
        <w:t>24-Hour Counselor Misconduct Report</w:t>
      </w:r>
    </w:p>
    <w:p>
      <w:pPr>
        <w:pStyle w:val="ListParagraph"/>
        <w:numPr>
          <w:ilvl w:val="0"/>
          <w:numId w:val="1"/>
        </w:numPr>
        <w:spacing w:lineRule="exact" w:line="264" w:before="0" w:after="60"/>
        <w:rPr/>
      </w:pPr>
      <w:r>
        <w:rPr>
          <w:rFonts w:eastAsia="Arial" w:cs="Arial"/>
          <w:sz w:val="21"/>
          <w:szCs w:val="21"/>
        </w:rPr>
        <w:t>Orientation Checklist &amp; Acknowledgment</w:t>
      </w:r>
    </w:p>
    <w:p>
      <w:pPr>
        <w:pStyle w:val="ListParagraph"/>
        <w:numPr>
          <w:ilvl w:val="0"/>
          <w:numId w:val="1"/>
        </w:numPr>
        <w:spacing w:lineRule="exact" w:line="264" w:before="0" w:after="60"/>
        <w:rPr/>
      </w:pPr>
      <w:r>
        <w:rPr>
          <w:rFonts w:eastAsia="Arial" w:cs="Arial"/>
          <w:sz w:val="21"/>
          <w:szCs w:val="21"/>
        </w:rPr>
        <w:t>Annual Training Plan</w:t>
      </w:r>
    </w:p>
    <w:p>
      <w:pPr>
        <w:pStyle w:val="ListParagraph"/>
        <w:numPr>
          <w:ilvl w:val="0"/>
          <w:numId w:val="1"/>
        </w:numPr>
        <w:spacing w:lineRule="exact" w:line="264" w:before="0" w:after="60"/>
        <w:rPr/>
      </w:pPr>
      <w:r>
        <w:rPr>
          <w:rFonts w:eastAsia="Arial" w:cs="Arial"/>
          <w:sz w:val="21"/>
          <w:szCs w:val="21"/>
        </w:rPr>
        <w:t>Training Attendance &amp; Documentation Log (3-year retention)</w:t>
      </w:r>
    </w:p>
    <w:p>
      <w:pPr>
        <w:pStyle w:val="ListParagraph"/>
        <w:numPr>
          <w:ilvl w:val="0"/>
          <w:numId w:val="1"/>
        </w:numPr>
        <w:spacing w:lineRule="exact" w:line="264" w:before="0" w:after="60"/>
        <w:rPr/>
      </w:pPr>
      <w:r>
        <w:rPr>
          <w:rFonts w:eastAsia="Arial" w:cs="Arial"/>
          <w:sz w:val="21"/>
          <w:szCs w:val="21"/>
        </w:rPr>
        <w:t>Background / Suitability Screening Record</w:t>
      </w:r>
    </w:p>
    <w:p>
      <w:pPr>
        <w:pStyle w:val="ListParagraph"/>
        <w:numPr>
          <w:ilvl w:val="0"/>
          <w:numId w:val="1"/>
        </w:numPr>
        <w:spacing w:lineRule="exact" w:line="264" w:before="0" w:after="60"/>
        <w:rPr/>
      </w:pPr>
      <w:r>
        <w:rPr>
          <w:rFonts w:eastAsia="Arial" w:cs="Arial"/>
          <w:sz w:val="21"/>
          <w:szCs w:val="21"/>
        </w:rPr>
        <w:t>Health Screening (e.g., TB) Documentation</w:t>
      </w:r>
    </w:p>
    <w:p>
      <w:pPr>
        <w:pStyle w:val="ListParagraph"/>
        <w:numPr>
          <w:ilvl w:val="0"/>
          <w:numId w:val="1"/>
        </w:numPr>
        <w:spacing w:lineRule="exact" w:line="264" w:before="0" w:after="60"/>
        <w:rPr/>
      </w:pPr>
      <w:r>
        <w:rPr>
          <w:rFonts w:eastAsia="Arial" w:cs="Arial"/>
          <w:sz w:val="21"/>
          <w:szCs w:val="21"/>
        </w:rPr>
        <w:t>Program Administrator Job Description &amp; Qualifications</w:t>
      </w:r>
    </w:p>
    <w:p>
      <w:pPr>
        <w:pStyle w:val="ListParagraph"/>
        <w:numPr>
          <w:ilvl w:val="0"/>
          <w:numId w:val="1"/>
        </w:numPr>
        <w:spacing w:lineRule="exact" w:line="264" w:before="0" w:after="60"/>
        <w:rPr/>
      </w:pPr>
      <w:r>
        <w:rPr>
          <w:rFonts w:eastAsia="Arial" w:cs="Arial"/>
          <w:sz w:val="21"/>
          <w:szCs w:val="21"/>
        </w:rPr>
        <w:t>Administrative Coverage Plan</w:t>
      </w:r>
    </w:p>
    <w:p>
      <w:pPr>
        <w:pStyle w:val="Normal"/>
        <w:spacing w:before="140" w:after="40"/>
        <w:rPr/>
      </w:pPr>
      <w:r>
        <w:rPr>
          <w:rFonts w:eastAsia="Arial" w:cs="Arial"/>
          <w:b/>
          <w:bCs/>
          <w:color w:val="333333"/>
          <w:sz w:val="21"/>
          <w:szCs w:val="21"/>
        </w:rPr>
        <w:t>Section C — Resident Rights &amp; Protections</w:t>
      </w:r>
    </w:p>
    <w:p>
      <w:pPr>
        <w:pStyle w:val="ListParagraph"/>
        <w:numPr>
          <w:ilvl w:val="0"/>
          <w:numId w:val="1"/>
        </w:numPr>
        <w:spacing w:lineRule="exact" w:line="264" w:before="0" w:after="60"/>
        <w:rPr/>
      </w:pPr>
      <w:r>
        <w:rPr>
          <w:rFonts w:eastAsia="Arial" w:cs="Arial"/>
          <w:sz w:val="21"/>
          <w:szCs w:val="21"/>
        </w:rPr>
        <w:t>Resident Rights Statement &amp; Poster</w:t>
      </w:r>
    </w:p>
    <w:p>
      <w:pPr>
        <w:pStyle w:val="ListParagraph"/>
        <w:numPr>
          <w:ilvl w:val="0"/>
          <w:numId w:val="1"/>
        </w:numPr>
        <w:spacing w:lineRule="exact" w:line="264" w:before="0" w:after="60"/>
        <w:rPr/>
      </w:pPr>
      <w:r>
        <w:rPr>
          <w:rFonts w:eastAsia="Arial" w:cs="Arial"/>
          <w:sz w:val="21"/>
          <w:szCs w:val="21"/>
        </w:rPr>
        <w:t>Acknowledgment of Receipt of Rights</w:t>
      </w:r>
    </w:p>
    <w:p>
      <w:pPr>
        <w:pStyle w:val="ListParagraph"/>
        <w:numPr>
          <w:ilvl w:val="0"/>
          <w:numId w:val="1"/>
        </w:numPr>
        <w:spacing w:lineRule="exact" w:line="264" w:before="0" w:after="60"/>
        <w:rPr/>
      </w:pPr>
      <w:r>
        <w:rPr>
          <w:rFonts w:eastAsia="Arial" w:cs="Arial"/>
          <w:sz w:val="21"/>
          <w:szCs w:val="21"/>
        </w:rPr>
        <w:t>Facility Rules Acknowledgment</w:t>
      </w:r>
    </w:p>
    <w:p>
      <w:pPr>
        <w:pStyle w:val="ListParagraph"/>
        <w:numPr>
          <w:ilvl w:val="0"/>
          <w:numId w:val="1"/>
        </w:numPr>
        <w:spacing w:lineRule="exact" w:line="264" w:before="0" w:after="60"/>
        <w:rPr/>
      </w:pPr>
      <w:r>
        <w:rPr>
          <w:rFonts w:eastAsia="Arial" w:cs="Arial"/>
          <w:sz w:val="21"/>
          <w:szCs w:val="21"/>
        </w:rPr>
        <w:t>42 CFR Part 2 Consent to Disclosure</w:t>
      </w:r>
    </w:p>
    <w:p>
      <w:pPr>
        <w:pStyle w:val="ListParagraph"/>
        <w:numPr>
          <w:ilvl w:val="0"/>
          <w:numId w:val="1"/>
        </w:numPr>
        <w:spacing w:lineRule="exact" w:line="264" w:before="0" w:after="60"/>
        <w:rPr/>
      </w:pPr>
      <w:r>
        <w:rPr>
          <w:rFonts w:eastAsia="Arial" w:cs="Arial"/>
          <w:sz w:val="21"/>
          <w:szCs w:val="21"/>
        </w:rPr>
        <w:t>Release-of-Information Log</w:t>
      </w:r>
    </w:p>
    <w:p>
      <w:pPr>
        <w:pStyle w:val="ListParagraph"/>
        <w:numPr>
          <w:ilvl w:val="0"/>
          <w:numId w:val="1"/>
        </w:numPr>
        <w:spacing w:lineRule="exact" w:line="264" w:before="0" w:after="60"/>
        <w:rPr/>
      </w:pPr>
      <w:r>
        <w:rPr>
          <w:rFonts w:eastAsia="Arial" w:cs="Arial"/>
          <w:sz w:val="21"/>
          <w:szCs w:val="21"/>
        </w:rPr>
        <w:t>Notice of Privacy Practices</w:t>
      </w:r>
    </w:p>
    <w:p>
      <w:pPr>
        <w:pStyle w:val="ListParagraph"/>
        <w:numPr>
          <w:ilvl w:val="0"/>
          <w:numId w:val="1"/>
        </w:numPr>
        <w:spacing w:lineRule="exact" w:line="264" w:before="0" w:after="60"/>
        <w:rPr/>
      </w:pPr>
      <w:r>
        <w:rPr>
          <w:rFonts w:eastAsia="Arial" w:cs="Arial"/>
          <w:sz w:val="21"/>
          <w:szCs w:val="21"/>
        </w:rPr>
        <w:t>Qualified Service Organization / Business Associate Agreement</w:t>
      </w:r>
    </w:p>
    <w:p>
      <w:pPr>
        <w:pStyle w:val="ListParagraph"/>
        <w:numPr>
          <w:ilvl w:val="0"/>
          <w:numId w:val="1"/>
        </w:numPr>
        <w:spacing w:lineRule="exact" w:line="264" w:before="0" w:after="60"/>
        <w:rPr/>
      </w:pPr>
      <w:r>
        <w:rPr>
          <w:rFonts w:eastAsia="Arial" w:cs="Arial"/>
          <w:sz w:val="21"/>
          <w:szCs w:val="21"/>
        </w:rPr>
        <w:t>Admission Agreement</w:t>
      </w:r>
    </w:p>
    <w:p>
      <w:pPr>
        <w:pStyle w:val="ListParagraph"/>
        <w:numPr>
          <w:ilvl w:val="0"/>
          <w:numId w:val="1"/>
        </w:numPr>
        <w:spacing w:lineRule="exact" w:line="264" w:before="0" w:after="60"/>
        <w:rPr/>
      </w:pPr>
      <w:r>
        <w:rPr>
          <w:rFonts w:eastAsia="Arial" w:cs="Arial"/>
          <w:sz w:val="21"/>
          <w:szCs w:val="21"/>
        </w:rPr>
        <w:t>Informed Consent to Services</w:t>
      </w:r>
    </w:p>
    <w:p>
      <w:pPr>
        <w:pStyle w:val="ListParagraph"/>
        <w:numPr>
          <w:ilvl w:val="0"/>
          <w:numId w:val="1"/>
        </w:numPr>
        <w:spacing w:lineRule="exact" w:line="264" w:before="0" w:after="60"/>
        <w:rPr/>
      </w:pPr>
      <w:r>
        <w:rPr>
          <w:rFonts w:eastAsia="Arial" w:cs="Arial"/>
          <w:sz w:val="21"/>
          <w:szCs w:val="21"/>
        </w:rPr>
        <w:t>Fee &amp; Refund Schedule</w:t>
      </w:r>
    </w:p>
    <w:p>
      <w:pPr>
        <w:pStyle w:val="ListParagraph"/>
        <w:numPr>
          <w:ilvl w:val="0"/>
          <w:numId w:val="1"/>
        </w:numPr>
        <w:spacing w:lineRule="exact" w:line="264" w:before="0" w:after="60"/>
        <w:rPr/>
      </w:pPr>
      <w:r>
        <w:rPr>
          <w:rFonts w:eastAsia="Arial" w:cs="Arial"/>
          <w:sz w:val="21"/>
          <w:szCs w:val="21"/>
        </w:rPr>
        <w:t>Resident Grievance Form</w:t>
      </w:r>
    </w:p>
    <w:p>
      <w:pPr>
        <w:pStyle w:val="ListParagraph"/>
        <w:numPr>
          <w:ilvl w:val="0"/>
          <w:numId w:val="1"/>
        </w:numPr>
        <w:spacing w:lineRule="exact" w:line="264" w:before="0" w:after="60"/>
        <w:rPr/>
      </w:pPr>
      <w:r>
        <w:rPr>
          <w:rFonts w:eastAsia="Arial" w:cs="Arial"/>
          <w:sz w:val="21"/>
          <w:szCs w:val="21"/>
        </w:rPr>
        <w:t>Grievance Response &amp; Resolution Log</w:t>
      </w:r>
    </w:p>
    <w:p>
      <w:pPr>
        <w:pStyle w:val="ListParagraph"/>
        <w:numPr>
          <w:ilvl w:val="0"/>
          <w:numId w:val="1"/>
        </w:numPr>
        <w:spacing w:lineRule="exact" w:line="264" w:before="0" w:after="60"/>
        <w:rPr/>
      </w:pPr>
      <w:r>
        <w:rPr>
          <w:rFonts w:eastAsia="Arial" w:cs="Arial"/>
          <w:sz w:val="21"/>
          <w:szCs w:val="21"/>
        </w:rPr>
        <w:t>DHCS Complaint Information Posting</w:t>
      </w:r>
    </w:p>
    <w:p>
      <w:pPr>
        <w:pStyle w:val="ListParagraph"/>
        <w:numPr>
          <w:ilvl w:val="0"/>
          <w:numId w:val="1"/>
        </w:numPr>
        <w:spacing w:lineRule="exact" w:line="264" w:before="0" w:after="60"/>
        <w:rPr/>
      </w:pPr>
      <w:r>
        <w:rPr>
          <w:rFonts w:eastAsia="Arial" w:cs="Arial"/>
          <w:sz w:val="21"/>
          <w:szCs w:val="21"/>
        </w:rPr>
        <w:t>Prohibited Practices Policy &amp; Acknowledgment</w:t>
      </w:r>
    </w:p>
    <w:p>
      <w:pPr>
        <w:pStyle w:val="ListParagraph"/>
        <w:numPr>
          <w:ilvl w:val="0"/>
          <w:numId w:val="1"/>
        </w:numPr>
        <w:spacing w:lineRule="exact" w:line="264" w:before="0" w:after="60"/>
        <w:rPr/>
      </w:pPr>
      <w:r>
        <w:rPr>
          <w:rFonts w:eastAsia="Arial" w:cs="Arial"/>
          <w:sz w:val="21"/>
          <w:szCs w:val="21"/>
        </w:rPr>
        <w:t>De-escalation Procedure</w:t>
      </w:r>
    </w:p>
    <w:p>
      <w:pPr>
        <w:pStyle w:val="Normal"/>
        <w:spacing w:before="140" w:after="40"/>
        <w:rPr/>
      </w:pPr>
      <w:r>
        <w:rPr>
          <w:rFonts w:eastAsia="Arial" w:cs="Arial"/>
          <w:b/>
          <w:bCs/>
          <w:color w:val="333333"/>
          <w:sz w:val="21"/>
          <w:szCs w:val="21"/>
        </w:rPr>
        <w:t>Section D — Recovery / Treatment Services</w:t>
      </w:r>
    </w:p>
    <w:p>
      <w:pPr>
        <w:pStyle w:val="ListParagraph"/>
        <w:numPr>
          <w:ilvl w:val="0"/>
          <w:numId w:val="1"/>
        </w:numPr>
        <w:spacing w:lineRule="exact" w:line="264" w:before="0" w:after="60"/>
        <w:rPr/>
      </w:pPr>
      <w:r>
        <w:rPr>
          <w:rFonts w:eastAsia="Arial" w:cs="Arial"/>
          <w:sz w:val="21"/>
          <w:szCs w:val="21"/>
        </w:rPr>
        <w:t>Intake &amp; Assessment Form</w:t>
      </w:r>
    </w:p>
    <w:p>
      <w:pPr>
        <w:pStyle w:val="ListParagraph"/>
        <w:numPr>
          <w:ilvl w:val="0"/>
          <w:numId w:val="1"/>
        </w:numPr>
        <w:spacing w:lineRule="exact" w:line="264" w:before="0" w:after="60"/>
        <w:rPr/>
      </w:pPr>
      <w:r>
        <w:rPr>
          <w:rFonts w:eastAsia="Arial" w:cs="Arial"/>
          <w:sz w:val="21"/>
          <w:szCs w:val="21"/>
        </w:rPr>
        <w:t>Admission Criteria Checklist</w:t>
      </w:r>
    </w:p>
    <w:p>
      <w:pPr>
        <w:pStyle w:val="ListParagraph"/>
        <w:numPr>
          <w:ilvl w:val="0"/>
          <w:numId w:val="1"/>
        </w:numPr>
        <w:spacing w:lineRule="exact" w:line="264" w:before="0" w:after="60"/>
        <w:rPr/>
      </w:pPr>
      <w:r>
        <w:rPr>
          <w:rFonts w:eastAsia="Arial" w:cs="Arial"/>
          <w:sz w:val="21"/>
          <w:szCs w:val="21"/>
        </w:rPr>
        <w:t>Referral / Transfer Record</w:t>
      </w:r>
    </w:p>
    <w:p>
      <w:pPr>
        <w:pStyle w:val="ListParagraph"/>
        <w:numPr>
          <w:ilvl w:val="0"/>
          <w:numId w:val="1"/>
        </w:numPr>
        <w:spacing w:lineRule="exact" w:line="264" w:before="0" w:after="60"/>
        <w:rPr/>
      </w:pPr>
      <w:r>
        <w:rPr>
          <w:rFonts w:eastAsia="Arial" w:cs="Arial"/>
          <w:sz w:val="21"/>
          <w:szCs w:val="21"/>
        </w:rPr>
        <w:t>Recovery / Treatment Plan</w:t>
      </w:r>
    </w:p>
    <w:p>
      <w:pPr>
        <w:pStyle w:val="ListParagraph"/>
        <w:numPr>
          <w:ilvl w:val="0"/>
          <w:numId w:val="1"/>
        </w:numPr>
        <w:spacing w:lineRule="exact" w:line="264" w:before="0" w:after="60"/>
        <w:rPr/>
      </w:pPr>
      <w:r>
        <w:rPr>
          <w:rFonts w:eastAsia="Arial" w:cs="Arial"/>
          <w:sz w:val="21"/>
          <w:szCs w:val="21"/>
        </w:rPr>
        <w:t>Plan Review &amp; Update Record</w:t>
      </w:r>
    </w:p>
    <w:p>
      <w:pPr>
        <w:pStyle w:val="ListParagraph"/>
        <w:numPr>
          <w:ilvl w:val="0"/>
          <w:numId w:val="1"/>
        </w:numPr>
        <w:spacing w:lineRule="exact" w:line="264" w:before="0" w:after="60"/>
        <w:rPr/>
      </w:pPr>
      <w:r>
        <w:rPr>
          <w:rFonts w:eastAsia="Arial" w:cs="Arial"/>
          <w:sz w:val="21"/>
          <w:szCs w:val="21"/>
        </w:rPr>
        <w:t>Progress Note Template</w:t>
      </w:r>
    </w:p>
    <w:p>
      <w:pPr>
        <w:pStyle w:val="ListParagraph"/>
        <w:numPr>
          <w:ilvl w:val="0"/>
          <w:numId w:val="1"/>
        </w:numPr>
        <w:spacing w:lineRule="exact" w:line="264" w:before="0" w:after="60"/>
        <w:rPr/>
      </w:pPr>
      <w:r>
        <w:rPr>
          <w:rFonts w:eastAsia="Arial" w:cs="Arial"/>
          <w:sz w:val="21"/>
          <w:szCs w:val="21"/>
        </w:rPr>
        <w:t>Individual / Group Session Note</w:t>
      </w:r>
    </w:p>
    <w:p>
      <w:pPr>
        <w:pStyle w:val="ListParagraph"/>
        <w:numPr>
          <w:ilvl w:val="0"/>
          <w:numId w:val="1"/>
        </w:numPr>
        <w:spacing w:lineRule="exact" w:line="264" w:before="0" w:after="60"/>
        <w:rPr/>
      </w:pPr>
      <w:r>
        <w:rPr>
          <w:rFonts w:eastAsia="Arial" w:cs="Arial"/>
          <w:sz w:val="21"/>
          <w:szCs w:val="21"/>
        </w:rPr>
        <w:t>Educational Session Record</w:t>
      </w:r>
    </w:p>
    <w:p>
      <w:pPr>
        <w:pStyle w:val="ListParagraph"/>
        <w:numPr>
          <w:ilvl w:val="0"/>
          <w:numId w:val="1"/>
        </w:numPr>
        <w:spacing w:lineRule="exact" w:line="264" w:before="0" w:after="60"/>
        <w:rPr/>
      </w:pPr>
      <w:r>
        <w:rPr>
          <w:rFonts w:eastAsia="Arial" w:cs="Arial"/>
          <w:sz w:val="21"/>
          <w:szCs w:val="21"/>
        </w:rPr>
        <w:t>Service Schedule</w:t>
      </w:r>
    </w:p>
    <w:p>
      <w:pPr>
        <w:pStyle w:val="ListParagraph"/>
        <w:numPr>
          <w:ilvl w:val="0"/>
          <w:numId w:val="1"/>
        </w:numPr>
        <w:spacing w:lineRule="exact" w:line="264" w:before="0" w:after="60"/>
        <w:rPr/>
      </w:pPr>
      <w:r>
        <w:rPr>
          <w:rFonts w:eastAsia="Arial" w:cs="Arial"/>
          <w:sz w:val="21"/>
          <w:szCs w:val="21"/>
        </w:rPr>
        <w:t>Resident Record Index / Chart Order</w:t>
      </w:r>
    </w:p>
    <w:p>
      <w:pPr>
        <w:pStyle w:val="ListParagraph"/>
        <w:numPr>
          <w:ilvl w:val="0"/>
          <w:numId w:val="1"/>
        </w:numPr>
        <w:spacing w:lineRule="exact" w:line="264" w:before="0" w:after="60"/>
        <w:rPr/>
      </w:pPr>
      <w:r>
        <w:rPr>
          <w:rFonts w:eastAsia="Arial" w:cs="Arial"/>
          <w:sz w:val="21"/>
          <w:szCs w:val="21"/>
        </w:rPr>
        <w:t>Record Retention &amp; Destruction Schedule</w:t>
      </w:r>
    </w:p>
    <w:p>
      <w:pPr>
        <w:pStyle w:val="ListParagraph"/>
        <w:numPr>
          <w:ilvl w:val="0"/>
          <w:numId w:val="1"/>
        </w:numPr>
        <w:spacing w:lineRule="exact" w:line="264" w:before="0" w:after="60"/>
        <w:rPr/>
      </w:pPr>
      <w:r>
        <w:rPr>
          <w:rFonts w:eastAsia="Arial" w:cs="Arial"/>
          <w:sz w:val="21"/>
          <w:szCs w:val="21"/>
        </w:rPr>
        <w:t>Relapse Policy</w:t>
      </w:r>
    </w:p>
    <w:p>
      <w:pPr>
        <w:pStyle w:val="ListParagraph"/>
        <w:numPr>
          <w:ilvl w:val="0"/>
          <w:numId w:val="1"/>
        </w:numPr>
        <w:spacing w:lineRule="exact" w:line="264" w:before="0" w:after="60"/>
        <w:rPr/>
      </w:pPr>
      <w:r>
        <w:rPr>
          <w:rFonts w:eastAsia="Arial" w:cs="Arial"/>
          <w:sz w:val="21"/>
          <w:szCs w:val="21"/>
        </w:rPr>
        <w:t>Relapse Response &amp; Supervision Record</w:t>
      </w:r>
    </w:p>
    <w:p>
      <w:pPr>
        <w:pStyle w:val="ListParagraph"/>
        <w:numPr>
          <w:ilvl w:val="0"/>
          <w:numId w:val="1"/>
        </w:numPr>
        <w:spacing w:lineRule="exact" w:line="264" w:before="0" w:after="60"/>
        <w:rPr/>
      </w:pPr>
      <w:r>
        <w:rPr>
          <w:rFonts w:eastAsia="Arial" w:cs="Arial"/>
          <w:sz w:val="21"/>
          <w:szCs w:val="21"/>
        </w:rPr>
        <w:t>Discharge &amp; Continuing-Care Plan</w:t>
      </w:r>
    </w:p>
    <w:p>
      <w:pPr>
        <w:pStyle w:val="ListParagraph"/>
        <w:numPr>
          <w:ilvl w:val="0"/>
          <w:numId w:val="1"/>
        </w:numPr>
        <w:spacing w:lineRule="exact" w:line="264" w:before="0" w:after="60"/>
        <w:rPr/>
      </w:pPr>
      <w:r>
        <w:rPr>
          <w:rFonts w:eastAsia="Arial" w:cs="Arial"/>
          <w:sz w:val="21"/>
          <w:szCs w:val="21"/>
        </w:rPr>
        <w:t>Referral &amp; Follow-Up Record</w:t>
      </w:r>
    </w:p>
    <w:p>
      <w:pPr>
        <w:pStyle w:val="Normal"/>
        <w:spacing w:before="140" w:after="40"/>
        <w:rPr/>
      </w:pPr>
      <w:r>
        <w:rPr>
          <w:rFonts w:eastAsia="Arial" w:cs="Arial"/>
          <w:b/>
          <w:bCs/>
          <w:color w:val="333333"/>
          <w:sz w:val="21"/>
          <w:szCs w:val="21"/>
        </w:rPr>
        <w:t>Section E — Facility, Health &amp; Safety</w:t>
      </w:r>
    </w:p>
    <w:p>
      <w:pPr>
        <w:pStyle w:val="ListParagraph"/>
        <w:numPr>
          <w:ilvl w:val="0"/>
          <w:numId w:val="1"/>
        </w:numPr>
        <w:spacing w:lineRule="exact" w:line="264" w:before="0" w:after="60"/>
        <w:rPr/>
      </w:pPr>
      <w:r>
        <w:rPr>
          <w:rFonts w:eastAsia="Arial" w:cs="Arial"/>
          <w:sz w:val="21"/>
          <w:szCs w:val="21"/>
        </w:rPr>
        <w:t>Fire Clearance &amp; Inspection File</w:t>
      </w:r>
    </w:p>
    <w:p>
      <w:pPr>
        <w:pStyle w:val="ListParagraph"/>
        <w:numPr>
          <w:ilvl w:val="0"/>
          <w:numId w:val="1"/>
        </w:numPr>
        <w:spacing w:lineRule="exact" w:line="264" w:before="0" w:after="60"/>
        <w:rPr/>
      </w:pPr>
      <w:r>
        <w:rPr>
          <w:rFonts w:eastAsia="Arial" w:cs="Arial"/>
          <w:sz w:val="21"/>
          <w:szCs w:val="21"/>
        </w:rPr>
        <w:t>Physical Environment Inspection Checklist</w:t>
      </w:r>
    </w:p>
    <w:p>
      <w:pPr>
        <w:pStyle w:val="ListParagraph"/>
        <w:numPr>
          <w:ilvl w:val="0"/>
          <w:numId w:val="1"/>
        </w:numPr>
        <w:spacing w:lineRule="exact" w:line="264" w:before="0" w:after="60"/>
        <w:rPr/>
      </w:pPr>
      <w:r>
        <w:rPr>
          <w:rFonts w:eastAsia="Arial" w:cs="Arial"/>
          <w:sz w:val="21"/>
          <w:szCs w:val="21"/>
        </w:rPr>
        <w:t>Maintenance &amp; Repair Log</w:t>
      </w:r>
    </w:p>
    <w:p>
      <w:pPr>
        <w:pStyle w:val="ListParagraph"/>
        <w:numPr>
          <w:ilvl w:val="0"/>
          <w:numId w:val="1"/>
        </w:numPr>
        <w:spacing w:lineRule="exact" w:line="264" w:before="0" w:after="60"/>
        <w:rPr/>
      </w:pPr>
      <w:r>
        <w:rPr>
          <w:rFonts w:eastAsia="Arial" w:cs="Arial"/>
          <w:sz w:val="21"/>
          <w:szCs w:val="21"/>
        </w:rPr>
        <w:t>Medication Self-Administration &amp; Storage Policy</w:t>
      </w:r>
    </w:p>
    <w:p>
      <w:pPr>
        <w:pStyle w:val="ListParagraph"/>
        <w:numPr>
          <w:ilvl w:val="0"/>
          <w:numId w:val="1"/>
        </w:numPr>
        <w:spacing w:lineRule="exact" w:line="264" w:before="0" w:after="60"/>
        <w:rPr/>
      </w:pPr>
      <w:r>
        <w:rPr>
          <w:rFonts w:eastAsia="Arial" w:cs="Arial"/>
          <w:sz w:val="21"/>
          <w:szCs w:val="21"/>
        </w:rPr>
        <w:t>Centrally Stored Medication Log</w:t>
      </w:r>
    </w:p>
    <w:p>
      <w:pPr>
        <w:pStyle w:val="ListParagraph"/>
        <w:numPr>
          <w:ilvl w:val="0"/>
          <w:numId w:val="1"/>
        </w:numPr>
        <w:spacing w:lineRule="exact" w:line="264" w:before="0" w:after="60"/>
        <w:rPr/>
      </w:pPr>
      <w:r>
        <w:rPr>
          <w:rFonts w:eastAsia="Arial" w:cs="Arial"/>
          <w:sz w:val="21"/>
          <w:szCs w:val="21"/>
        </w:rPr>
        <w:t>Medication Disposal Record</w:t>
      </w:r>
    </w:p>
    <w:p>
      <w:pPr>
        <w:pStyle w:val="ListParagraph"/>
        <w:numPr>
          <w:ilvl w:val="0"/>
          <w:numId w:val="1"/>
        </w:numPr>
        <w:spacing w:lineRule="exact" w:line="264" w:before="0" w:after="60"/>
        <w:rPr/>
      </w:pPr>
      <w:r>
        <w:rPr>
          <w:rFonts w:eastAsia="Arial" w:cs="Arial"/>
          <w:sz w:val="21"/>
          <w:szCs w:val="21"/>
        </w:rPr>
        <w:t>Menu &amp; Nutrition Plan</w:t>
      </w:r>
    </w:p>
    <w:p>
      <w:pPr>
        <w:pStyle w:val="ListParagraph"/>
        <w:numPr>
          <w:ilvl w:val="0"/>
          <w:numId w:val="1"/>
        </w:numPr>
        <w:spacing w:lineRule="exact" w:line="264" w:before="0" w:after="60"/>
        <w:rPr/>
      </w:pPr>
      <w:r>
        <w:rPr>
          <w:rFonts w:eastAsia="Arial" w:cs="Arial"/>
          <w:sz w:val="21"/>
          <w:szCs w:val="21"/>
        </w:rPr>
        <w:t>Food-Service Sanitation Log</w:t>
      </w:r>
    </w:p>
    <w:p>
      <w:pPr>
        <w:pStyle w:val="ListParagraph"/>
        <w:numPr>
          <w:ilvl w:val="0"/>
          <w:numId w:val="1"/>
        </w:numPr>
        <w:spacing w:lineRule="exact" w:line="264" w:before="0" w:after="60"/>
        <w:rPr/>
      </w:pPr>
      <w:r>
        <w:rPr>
          <w:rFonts w:eastAsia="Arial" w:cs="Arial"/>
          <w:sz w:val="21"/>
          <w:szCs w:val="21"/>
        </w:rPr>
        <w:t>Incident / Unusual Occurrence Report</w:t>
      </w:r>
    </w:p>
    <w:p>
      <w:pPr>
        <w:pStyle w:val="ListParagraph"/>
        <w:numPr>
          <w:ilvl w:val="0"/>
          <w:numId w:val="1"/>
        </w:numPr>
        <w:spacing w:lineRule="exact" w:line="264" w:before="0" w:after="60"/>
        <w:rPr/>
      </w:pPr>
      <w:r>
        <w:rPr>
          <w:rFonts w:eastAsia="Arial" w:cs="Arial"/>
          <w:sz w:val="21"/>
          <w:szCs w:val="21"/>
        </w:rPr>
        <w:t>Death Report</w:t>
      </w:r>
    </w:p>
    <w:p>
      <w:pPr>
        <w:pStyle w:val="ListParagraph"/>
        <w:numPr>
          <w:ilvl w:val="0"/>
          <w:numId w:val="1"/>
        </w:numPr>
        <w:spacing w:lineRule="exact" w:line="264" w:before="0" w:after="60"/>
        <w:rPr/>
      </w:pPr>
      <w:r>
        <w:rPr>
          <w:rFonts w:eastAsia="Arial" w:cs="Arial"/>
          <w:sz w:val="21"/>
          <w:szCs w:val="21"/>
        </w:rPr>
        <w:t>Emergency Plan &amp; Drill Log</w:t>
      </w:r>
    </w:p>
    <w:p>
      <w:pPr>
        <w:pStyle w:val="ListParagraph"/>
        <w:numPr>
          <w:ilvl w:val="0"/>
          <w:numId w:val="1"/>
        </w:numPr>
        <w:spacing w:lineRule="exact" w:line="264" w:before="0" w:after="60"/>
        <w:rPr/>
      </w:pPr>
      <w:r>
        <w:rPr>
          <w:rFonts w:eastAsia="Arial" w:cs="Arial"/>
          <w:sz w:val="21"/>
          <w:szCs w:val="21"/>
        </w:rPr>
        <w:t>Overdose Response / Naloxone Procedure</w:t>
      </w:r>
    </w:p>
    <w:p>
      <w:pPr>
        <w:pStyle w:val="ListParagraph"/>
        <w:numPr>
          <w:ilvl w:val="0"/>
          <w:numId w:val="1"/>
        </w:numPr>
        <w:spacing w:lineRule="exact" w:line="264" w:before="0" w:after="60"/>
        <w:rPr/>
      </w:pPr>
      <w:r>
        <w:rPr>
          <w:rFonts w:eastAsia="Arial" w:cs="Arial"/>
          <w:sz w:val="21"/>
          <w:szCs w:val="21"/>
        </w:rPr>
        <w:t>First-Aid &amp; Infection-Control Supplies Inventory</w:t>
      </w:r>
    </w:p>
    <w:p>
      <w:pPr>
        <w:pStyle w:val="Normal"/>
        <w:spacing w:before="140" w:after="40"/>
        <w:rPr/>
      </w:pPr>
      <w:r>
        <w:rPr>
          <w:rFonts w:eastAsia="Arial" w:cs="Arial"/>
          <w:b/>
          <w:bCs/>
          <w:color w:val="333333"/>
          <w:sz w:val="21"/>
          <w:szCs w:val="21"/>
        </w:rPr>
        <w:t>Section F — Optional &amp; Specialized Services</w:t>
      </w:r>
    </w:p>
    <w:p>
      <w:pPr>
        <w:pStyle w:val="ListParagraph"/>
        <w:numPr>
          <w:ilvl w:val="0"/>
          <w:numId w:val="1"/>
        </w:numPr>
        <w:spacing w:lineRule="exact" w:line="264" w:before="0" w:after="60"/>
        <w:rPr/>
      </w:pPr>
      <w:r>
        <w:rPr>
          <w:rFonts w:eastAsia="Arial" w:cs="Arial"/>
          <w:sz w:val="21"/>
          <w:szCs w:val="21"/>
        </w:rPr>
        <w:t>IMS Approval (DHCS 6002 / 5255) File</w:t>
      </w:r>
    </w:p>
    <w:p>
      <w:pPr>
        <w:pStyle w:val="ListParagraph"/>
        <w:numPr>
          <w:ilvl w:val="0"/>
          <w:numId w:val="1"/>
        </w:numPr>
        <w:spacing w:lineRule="exact" w:line="264" w:before="0" w:after="60"/>
        <w:rPr/>
      </w:pPr>
      <w:r>
        <w:rPr>
          <w:rFonts w:eastAsia="Arial" w:cs="Arial"/>
          <w:sz w:val="21"/>
          <w:szCs w:val="21"/>
        </w:rPr>
        <w:t>Health Care Practitioner Supervision Record</w:t>
      </w:r>
    </w:p>
    <w:p>
      <w:pPr>
        <w:pStyle w:val="ListParagraph"/>
        <w:numPr>
          <w:ilvl w:val="0"/>
          <w:numId w:val="1"/>
        </w:numPr>
        <w:spacing w:lineRule="exact" w:line="264" w:before="0" w:after="60"/>
        <w:rPr/>
      </w:pPr>
      <w:r>
        <w:rPr>
          <w:rFonts w:eastAsia="Arial" w:cs="Arial"/>
          <w:sz w:val="21"/>
          <w:szCs w:val="21"/>
        </w:rPr>
        <w:t>IMS Service Documentation</w:t>
      </w:r>
    </w:p>
    <w:p>
      <w:pPr>
        <w:pStyle w:val="ListParagraph"/>
        <w:numPr>
          <w:ilvl w:val="0"/>
          <w:numId w:val="1"/>
        </w:numPr>
        <w:spacing w:lineRule="exact" w:line="264" w:before="0" w:after="60"/>
        <w:rPr/>
      </w:pPr>
      <w:r>
        <w:rPr>
          <w:rFonts w:eastAsia="Arial" w:cs="Arial"/>
          <w:sz w:val="21"/>
          <w:szCs w:val="21"/>
        </w:rPr>
        <w:t>Detoxification Monitoring Protocol &amp; Record</w:t>
      </w:r>
    </w:p>
    <w:p>
      <w:pPr>
        <w:pStyle w:val="ListParagraph"/>
        <w:numPr>
          <w:ilvl w:val="0"/>
          <w:numId w:val="1"/>
        </w:numPr>
        <w:spacing w:lineRule="exact" w:line="264" w:before="0" w:after="60"/>
        <w:rPr/>
      </w:pPr>
      <w:r>
        <w:rPr>
          <w:rFonts w:eastAsia="Arial" w:cs="Arial"/>
          <w:sz w:val="21"/>
          <w:szCs w:val="21"/>
        </w:rPr>
        <w:t>Medical-Need / Transfer Criteria</w:t>
      </w:r>
    </w:p>
    <w:p>
      <w:pPr>
        <w:pStyle w:val="ListParagraph"/>
        <w:numPr>
          <w:ilvl w:val="0"/>
          <w:numId w:val="1"/>
        </w:numPr>
        <w:spacing w:lineRule="exact" w:line="264" w:before="0" w:after="60"/>
        <w:rPr/>
      </w:pPr>
      <w:r>
        <w:rPr>
          <w:rFonts w:eastAsia="Arial" w:cs="Arial"/>
          <w:sz w:val="21"/>
          <w:szCs w:val="21"/>
        </w:rPr>
        <w:t>Continued-Service Plan</w:t>
      </w:r>
    </w:p>
    <w:p>
      <w:pPr>
        <w:pStyle w:val="ListParagraph"/>
        <w:numPr>
          <w:ilvl w:val="0"/>
          <w:numId w:val="1"/>
        </w:numPr>
        <w:spacing w:lineRule="exact" w:line="264" w:before="0" w:after="60"/>
        <w:rPr/>
      </w:pPr>
      <w:r>
        <w:rPr>
          <w:rFonts w:eastAsia="Arial" w:cs="Arial"/>
          <w:sz w:val="21"/>
          <w:szCs w:val="21"/>
        </w:rPr>
        <w:t>Parental / Guardian Consent &amp; Involvement Record</w:t>
      </w:r>
    </w:p>
    <w:p>
      <w:pPr>
        <w:pStyle w:val="ListParagraph"/>
        <w:numPr>
          <w:ilvl w:val="0"/>
          <w:numId w:val="1"/>
        </w:numPr>
        <w:spacing w:lineRule="exact" w:line="264" w:before="0" w:after="60"/>
        <w:rPr/>
      </w:pPr>
      <w:r>
        <w:rPr>
          <w:rFonts w:eastAsia="Arial" w:cs="Arial"/>
          <w:sz w:val="21"/>
          <w:szCs w:val="21"/>
        </w:rPr>
        <w:t>Adolescent Program Description &amp; Staffing</w:t>
      </w:r>
    </w:p>
    <w:p>
      <w:pPr>
        <w:pStyle w:val="ListParagraph"/>
        <w:numPr>
          <w:ilvl w:val="0"/>
          <w:numId w:val="1"/>
        </w:numPr>
        <w:spacing w:lineRule="exact" w:line="264" w:before="0" w:after="60"/>
        <w:rPr/>
      </w:pPr>
      <w:r>
        <w:rPr>
          <w:rFonts w:eastAsia="Arial" w:cs="Arial"/>
          <w:sz w:val="21"/>
          <w:szCs w:val="21"/>
        </w:rPr>
        <w:t>DMC Certification &amp; County Contract File</w:t>
      </w:r>
    </w:p>
    <w:p>
      <w:pPr>
        <w:pStyle w:val="ListParagraph"/>
        <w:numPr>
          <w:ilvl w:val="0"/>
          <w:numId w:val="1"/>
        </w:numPr>
        <w:spacing w:lineRule="exact" w:line="264" w:before="0" w:after="60"/>
        <w:rPr/>
      </w:pPr>
      <w:r>
        <w:rPr>
          <w:rFonts w:eastAsia="Arial" w:cs="Arial"/>
          <w:sz w:val="21"/>
          <w:szCs w:val="21"/>
        </w:rPr>
        <w:t>ASAM Level-of-Care Determination</w:t>
      </w:r>
    </w:p>
    <w:p>
      <w:pPr>
        <w:pStyle w:val="ListParagraph"/>
        <w:numPr>
          <w:ilvl w:val="0"/>
          <w:numId w:val="1"/>
        </w:numPr>
        <w:spacing w:lineRule="exact" w:line="264" w:before="0" w:after="60"/>
        <w:rPr/>
      </w:pPr>
      <w:r>
        <w:rPr>
          <w:rFonts w:eastAsia="Arial" w:cs="Arial"/>
          <w:sz w:val="21"/>
          <w:szCs w:val="21"/>
        </w:rPr>
        <w:t>DMC Documentation &amp; Review Records</w:t>
      </w:r>
    </w:p>
    <w:p>
      <w:pPr>
        <w:pStyle w:val="Normal"/>
        <w:rPr/>
      </w:pPr>
      <w:r>
        <w:rPr/>
      </w:r>
      <w:r>
        <w:br w:type="page"/>
      </w:r>
    </w:p>
    <w:p>
      <w:pPr>
        <w:pStyle w:val="Normal"/>
        <w:pBdr>
          <w:bottom w:val="single" w:sz="8" w:space="2" w:color="1A4731"/>
        </w:pBdr>
        <w:spacing w:before="0" w:after="120"/>
        <w:rPr/>
      </w:pPr>
      <w:r>
        <w:rPr>
          <w:rFonts w:eastAsia="Arial" w:cs="Arial"/>
          <w:b/>
          <w:bCs/>
          <w:color w:val="1A4731"/>
          <w:sz w:val="26"/>
          <w:szCs w:val="26"/>
        </w:rPr>
        <w:t>Appendix B — California Agency &amp; Resource Directory</w:t>
      </w:r>
    </w:p>
    <w:p>
      <w:pPr>
        <w:pStyle w:val="Normal"/>
        <w:spacing w:lineRule="exact" w:line="276" w:before="0" w:after="120"/>
        <w:rPr/>
      </w:pPr>
      <w:r>
        <w:rPr>
          <w:rFonts w:eastAsia="Arial" w:cs="Arial"/>
          <w:sz w:val="21"/>
          <w:szCs w:val="21"/>
        </w:rPr>
        <w:t>The references below support the requirements in this manual. Confirm the current citation, form, and contact information directly with each source, as rules, forms, and web addresses change.</w:t>
      </w:r>
    </w:p>
    <w:tbl>
      <w:tblPr>
        <w:tblW w:w="9360" w:type="dxa"/>
        <w:jc w:val="start"/>
        <w:tblInd w:w="0" w:type="dxa"/>
        <w:tblLayout w:type="fixed"/>
        <w:tblCellMar>
          <w:top w:w="60" w:type="dxa"/>
          <w:start w:w="120" w:type="dxa"/>
          <w:bottom w:w="60" w:type="dxa"/>
          <w:end w:w="120" w:type="dxa"/>
        </w:tblCellMar>
      </w:tblPr>
      <w:tblGrid>
        <w:gridCol w:w="3399"/>
        <w:gridCol w:w="5960"/>
      </w:tblGrid>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Regulator</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California Department of Health Care Services (DHCS), Licensing and Certification Division (LCD), Substance Use Disorder Licensing and Certification Section — sole authority to license residential nonmedical AOD facilities.</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Licensing statute</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Health and Safety Code § 11834.01 et seq. (Chapter 7.5, Part 2, Division 10.5).</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Licensing regulations</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Title 9, California Code of Regulations (CCR), Division 4, Chapter 5 — Licensure of Residential Alcoholism or Drug Abuse Recovery or Treatment Facilities.</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License required</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Title 9 § 10505; H&amp;SC § 11834.30 — license required for 24-hour, nonmedical, residential AOD services to adults.</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Provisional license</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H&amp;SC § 11834.09 (AB 3162) — initial license on/after 1/1/2019 is a two-year license, provisional for the first year.</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Certification (optional)</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H&amp;SC § 11832 et seq.; DHCS Alcohol and Other Drug (AOD) Certification Standards — uses “client” and “program.”</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AOD counselors</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Title 9, Chapter 8 (§ 13000 et seq.) — counselor certification/registration; § 13005 counseling services; § 13060 code of conduct; § 13065 24-hour misconduct reporting.</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Personnel &amp; records</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Title 9 § 10564 (personnel requirements, training, records); § 10568 (resident records).</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Deficiencies</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Title 9 § 10543 — Class A and Class B deficiencies; substantial compliance.</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Incidental Medical Services</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H&amp;SC §§ 11834.025, 11834.026 (AB 848); DHCS 6002 / 5255; applicable IMS provider bulletin.</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Confidentiality</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42 CFR Part 2 (SUD records); HIPAA (45 CFR Parts 160, 164); California Information Practices Act (Civ. Code § 1798 et seq.).</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Zoning (6 or fewer)</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H&amp;SC § 11834.23 — facilities serving six or fewer residents treated as residential use for local zoning.</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Applications</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Submit to LCDSUDApplication@dhcs.ca.gov; general questions to the Licensing and Certification Division.</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Drug Medi-Cal</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Drug Medi-Cal (DMC) / Drug Medi-Cal Organized Delivery System (DMC-ODS) — optional certification using ASAM criteria; county contract.</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Mental health (separate)</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California residential mental health settings are licensed by other departments (e.g., DSS Adult Residential/Social Rehabilitation Facilities; DHCS Mental Health Rehabilitation Centers / Psychiatric Health Facilities) — not covered by this AOD manual.</w:t>
            </w:r>
          </w:p>
        </w:tc>
      </w:tr>
    </w:tbl>
    <w:p>
      <w:pPr>
        <w:pStyle w:val="Normal"/>
        <w:rPr/>
      </w:pPr>
      <w:r>
        <w:rPr/>
      </w:r>
      <w:r>
        <w:br w:type="page"/>
      </w:r>
    </w:p>
    <w:p>
      <w:pPr>
        <w:pStyle w:val="Normal"/>
        <w:pBdr>
          <w:bottom w:val="single" w:sz="8" w:space="2" w:color="1A4731"/>
        </w:pBdr>
        <w:spacing w:before="0" w:after="120"/>
        <w:rPr/>
      </w:pPr>
      <w:r>
        <w:rPr>
          <w:rFonts w:eastAsia="Arial" w:cs="Arial"/>
          <w:b/>
          <w:bCs/>
          <w:color w:val="1A4731"/>
          <w:sz w:val="26"/>
          <w:szCs w:val="26"/>
        </w:rPr>
        <w:t>Appendix C — How to Use This Manual</w:t>
      </w:r>
    </w:p>
    <w:p>
      <w:pPr>
        <w:pStyle w:val="Normal"/>
        <w:spacing w:lineRule="exact" w:line="276" w:before="0" w:after="120"/>
        <w:rPr/>
      </w:pPr>
      <w:r>
        <w:rPr>
          <w:rFonts w:eastAsia="Arial" w:cs="Arial"/>
          <w:sz w:val="21"/>
          <w:szCs w:val="21"/>
        </w:rPr>
        <w:t>This manual is a customizable template for a California DHCS-licensed Residential Alcoholism or Drug Abuse Recovery or Treatment Facility. Follow the steps below to adopt it as your facility's own manual.</w:t>
      </w:r>
    </w:p>
    <w:p>
      <w:pPr>
        <w:pStyle w:val="Normal"/>
        <w:spacing w:before="140" w:after="40"/>
        <w:rPr/>
      </w:pPr>
      <w:r>
        <w:rPr>
          <w:rFonts w:eastAsia="Arial" w:cs="Arial"/>
          <w:b/>
          <w:bCs/>
          <w:color w:val="333333"/>
          <w:sz w:val="21"/>
          <w:szCs w:val="21"/>
        </w:rPr>
        <w:t>1. Customize every placeholder</w:t>
      </w:r>
    </w:p>
    <w:p>
      <w:pPr>
        <w:pStyle w:val="Normal"/>
        <w:spacing w:lineRule="exact" w:line="276" w:before="0" w:after="120"/>
        <w:rPr/>
      </w:pPr>
      <w:r>
        <w:rPr>
          <w:rFonts w:eastAsia="Arial" w:cs="Arial"/>
          <w:sz w:val="21"/>
          <w:szCs w:val="21"/>
        </w:rPr>
        <w:t>Replace each [bracketed] item — facility name, address, DHCS license number, effective date, and role titles — with your facility's information. Set the effective date on each policy when it is adopted.</w:t>
      </w:r>
    </w:p>
    <w:p>
      <w:pPr>
        <w:pStyle w:val="Normal"/>
        <w:spacing w:before="140" w:after="40"/>
        <w:rPr/>
      </w:pPr>
      <w:r>
        <w:rPr>
          <w:rFonts w:eastAsia="Arial" w:cs="Arial"/>
          <w:b/>
          <w:bCs/>
          <w:color w:val="333333"/>
          <w:sz w:val="21"/>
          <w:szCs w:val="21"/>
        </w:rPr>
        <w:t>2. Match the manual to your licensed services</w:t>
      </w:r>
    </w:p>
    <w:p>
      <w:pPr>
        <w:pStyle w:val="Normal"/>
        <w:spacing w:lineRule="exact" w:line="276" w:before="0" w:after="120"/>
        <w:rPr/>
      </w:pPr>
      <w:r>
        <w:rPr>
          <w:rFonts w:eastAsia="Arial" w:cs="Arial"/>
          <w:sz w:val="21"/>
          <w:szCs w:val="21"/>
        </w:rPr>
        <w:t>Sections A through E apply to every licensed residential facility. Keep the Section F policies only where they apply — incidental medical services (only with DHCS approval), detoxification services, adolescent facilities, and Drug Medi-Cal / DMC-ODS participation. Mark any that do not apply as not applicable, or remove that policy.</w:t>
      </w:r>
    </w:p>
    <w:p>
      <w:pPr>
        <w:pStyle w:val="Normal"/>
        <w:spacing w:before="140" w:after="40"/>
        <w:rPr/>
      </w:pPr>
      <w:r>
        <w:rPr>
          <w:rFonts w:eastAsia="Arial" w:cs="Arial"/>
          <w:b/>
          <w:bCs/>
          <w:color w:val="333333"/>
          <w:sz w:val="21"/>
          <w:szCs w:val="21"/>
        </w:rPr>
        <w:t>3. Use the right terminology for your context</w:t>
      </w:r>
    </w:p>
    <w:p>
      <w:pPr>
        <w:pStyle w:val="Normal"/>
        <w:spacing w:lineRule="exact" w:line="276" w:before="0" w:after="120"/>
        <w:rPr/>
      </w:pPr>
      <w:r>
        <w:rPr>
          <w:rFonts w:eastAsia="Arial" w:cs="Arial"/>
          <w:sz w:val="21"/>
          <w:szCs w:val="21"/>
        </w:rPr>
        <w:t>This manual uses “resident” and “facility” for the residential license. If your program is also certified, note that certification uses “client” and “program.” Keep your usage consistent with whichever authority a given document supports.</w:t>
      </w:r>
    </w:p>
    <w:p>
      <w:pPr>
        <w:pStyle w:val="Normal"/>
        <w:spacing w:before="140" w:after="40"/>
        <w:rPr/>
      </w:pPr>
      <w:r>
        <w:rPr>
          <w:rFonts w:eastAsia="Arial" w:cs="Arial"/>
          <w:b/>
          <w:bCs/>
          <w:color w:val="333333"/>
          <w:sz w:val="21"/>
          <w:szCs w:val="21"/>
        </w:rPr>
        <w:t>4. Update the Table of Contents</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4" w:space="0" w:color="1A4731"/>
              <w:start w:val="single" w:sz="4" w:space="0" w:color="1A4731"/>
              <w:bottom w:val="single" w:sz="4" w:space="0" w:color="1A4731"/>
              <w:end w:val="single" w:sz="4" w:space="0" w:color="1A4731"/>
            </w:tcBorders>
            <w:shd w:fill="EFF3F0" w:val="clear"/>
          </w:tcPr>
          <w:p>
            <w:pPr>
              <w:pStyle w:val="Normal"/>
              <w:spacing w:lineRule="exact" w:line="276" w:before="0" w:after="80"/>
              <w:rPr/>
            </w:pPr>
            <w:r>
              <w:rPr>
                <w:rFonts w:eastAsia="Arial" w:cs="Arial"/>
                <w:color w:val="222222"/>
                <w:sz w:val="20"/>
                <w:szCs w:val="20"/>
              </w:rPr>
              <w:t>This manual's Table of Contents is a Word field. When you open the document, Word may ask whether to update fields — click Yes.</w:t>
            </w:r>
          </w:p>
          <w:p>
            <w:pPr>
              <w:pStyle w:val="Normal"/>
              <w:spacing w:lineRule="exact" w:line="276" w:before="0" w:after="0"/>
              <w:rPr/>
            </w:pPr>
            <w:r>
              <w:rPr>
                <w:rFonts w:eastAsia="Arial" w:cs="Arial"/>
                <w:color w:val="222222"/>
                <w:sz w:val="20"/>
                <w:szCs w:val="20"/>
              </w:rPr>
              <w:t>To refresh page numbers and entries after editing, right-click the Table of Contents and choose “Update Field,” then “Update entire table.”</w:t>
            </w:r>
          </w:p>
        </w:tc>
      </w:tr>
    </w:tbl>
    <w:p>
      <w:pPr>
        <w:pStyle w:val="Normal"/>
        <w:spacing w:before="140" w:after="40"/>
        <w:rPr/>
      </w:pPr>
      <w:r>
        <w:rPr>
          <w:rFonts w:eastAsia="Arial" w:cs="Arial"/>
          <w:b/>
          <w:bCs/>
          <w:color w:val="333333"/>
          <w:sz w:val="21"/>
          <w:szCs w:val="21"/>
        </w:rPr>
        <w:t>5. Review, approve, and confirm currency</w:t>
      </w:r>
    </w:p>
    <w:p>
      <w:pPr>
        <w:pStyle w:val="Normal"/>
        <w:spacing w:lineRule="exact" w:line="276" w:before="0" w:after="120"/>
        <w:rPr/>
      </w:pPr>
      <w:r>
        <w:rPr>
          <w:rFonts w:eastAsia="Arial" w:cs="Arial"/>
          <w:sz w:val="21"/>
          <w:szCs w:val="21"/>
        </w:rPr>
        <w:t>Have the licensee and qualified California counsel or a compliance professional review the manual before adoption. Confirm the current version of Title 9, Chapter 5, H&amp;SC § 11834.01 et seq., the counselor rules in Chapter 8, and current DHCS forms and IMS provider bulletins before adopting and periodically thereafter. Record each revision in the document-history table at the end of each policy. Official DHCS forms are referenced by name only; obtain current versions from DHCS.</w:t>
      </w:r>
    </w:p>
    <w:p>
      <w:pPr>
        <w:pStyle w:val="Normal"/>
        <w:rPr/>
      </w:pPr>
      <w:r>
        <w:rPr/>
      </w:r>
      <w:r>
        <w:br w:type="page"/>
      </w:r>
    </w:p>
    <w:p>
      <w:pPr>
        <w:pStyle w:val="Normal"/>
        <w:pBdr>
          <w:bottom w:val="single" w:sz="8" w:space="2" w:color="1A4731"/>
        </w:pBdr>
        <w:spacing w:before="0" w:after="120"/>
        <w:rPr/>
      </w:pPr>
      <w:r>
        <w:rPr>
          <w:rFonts w:eastAsia="Arial" w:cs="Arial"/>
          <w:b/>
          <w:bCs/>
          <w:color w:val="1A4731"/>
          <w:sz w:val="26"/>
          <w:szCs w:val="26"/>
        </w:rPr>
        <w:t>Appendix D — Resident Rights Acknowledgment</w:t>
      </w:r>
    </w:p>
    <w:p>
      <w:pPr>
        <w:pStyle w:val="Normal"/>
        <w:spacing w:lineRule="exact" w:line="276" w:before="0" w:after="120"/>
        <w:rPr/>
      </w:pPr>
      <w:r>
        <w:rPr>
          <w:rFonts w:eastAsia="Arial" w:cs="Arial"/>
          <w:sz w:val="21"/>
          <w:szCs w:val="21"/>
        </w:rPr>
        <w:t>This acknowledgment may be provided to a resident or the resident's authorized representative at admission, together with the written statement of resident rights. Customize as needed.</w:t>
      </w:r>
    </w:p>
    <w:p>
      <w:pPr>
        <w:pStyle w:val="Normal"/>
        <w:spacing w:lineRule="exact" w:line="276" w:before="0" w:after="120"/>
        <w:rPr/>
      </w:pPr>
      <w:r>
        <w:rPr>
          <w:rFonts w:eastAsia="Arial" w:cs="Arial"/>
          <w:sz w:val="21"/>
          <w:szCs w:val="21"/>
        </w:rPr>
        <w:t xml:space="preserve"> </w:t>
      </w:r>
    </w:p>
    <w:p>
      <w:pPr>
        <w:pStyle w:val="Normal"/>
        <w:spacing w:lineRule="exact" w:line="276" w:before="0" w:after="120"/>
        <w:rPr/>
      </w:pPr>
      <w:r>
        <w:rPr>
          <w:rFonts w:eastAsia="Arial" w:cs="Arial"/>
          <w:sz w:val="21"/>
          <w:szCs w:val="21"/>
        </w:rPr>
        <w:t>I acknowledge that I have received a written copy of my rights as a resident of [Organization Name], that these rights and the facility rules have been explained to me in a manner I can understand, and that I have been informed of the grievance process and my right to file a complaint with the California Department of Health Care Services, Licensing and Certification Division, without retaliation.</w:t>
      </w:r>
    </w:p>
    <w:p>
      <w:pPr>
        <w:pStyle w:val="Normal"/>
        <w:spacing w:lineRule="exact" w:line="276" w:before="0" w:after="120"/>
        <w:rPr/>
      </w:pPr>
      <w:r>
        <w:rPr>
          <w:rFonts w:eastAsia="Arial" w:cs="Arial"/>
          <w:sz w:val="21"/>
          <w:szCs w:val="21"/>
        </w:rPr>
        <w:t xml:space="preserve"> </w:t>
      </w:r>
    </w:p>
    <w:p>
      <w:pPr>
        <w:pStyle w:val="Normal"/>
        <w:spacing w:lineRule="exact" w:line="276" w:before="0" w:after="120"/>
        <w:rPr/>
      </w:pPr>
      <w:r>
        <w:rPr>
          <w:rFonts w:eastAsia="Arial" w:cs="Arial"/>
          <w:sz w:val="21"/>
          <w:szCs w:val="21"/>
        </w:rPr>
        <w:t>Resident name (print): ______________________________________________</w:t>
      </w:r>
    </w:p>
    <w:p>
      <w:pPr>
        <w:pStyle w:val="Normal"/>
        <w:spacing w:lineRule="exact" w:line="276" w:before="0" w:after="120"/>
        <w:rPr/>
      </w:pPr>
      <w:r>
        <w:rPr>
          <w:rFonts w:eastAsia="Arial" w:cs="Arial"/>
          <w:sz w:val="21"/>
          <w:szCs w:val="21"/>
        </w:rPr>
        <w:t>Resident signature: ________________________________   Date: ____________</w:t>
      </w:r>
    </w:p>
    <w:p>
      <w:pPr>
        <w:pStyle w:val="Normal"/>
        <w:spacing w:lineRule="exact" w:line="276" w:before="0" w:after="120"/>
        <w:rPr/>
      </w:pPr>
      <w:r>
        <w:rPr>
          <w:rFonts w:eastAsia="Arial" w:cs="Arial"/>
          <w:sz w:val="21"/>
          <w:szCs w:val="21"/>
        </w:rPr>
        <w:t xml:space="preserve"> </w:t>
      </w:r>
    </w:p>
    <w:p>
      <w:pPr>
        <w:pStyle w:val="Normal"/>
        <w:spacing w:lineRule="exact" w:line="276" w:before="0" w:after="120"/>
        <w:rPr/>
      </w:pPr>
      <w:r>
        <w:rPr>
          <w:rFonts w:eastAsia="Arial" w:cs="Arial"/>
          <w:sz w:val="21"/>
          <w:szCs w:val="21"/>
        </w:rPr>
        <w:t>Authorized representative (print), if applicable: ______________________</w:t>
      </w:r>
    </w:p>
    <w:p>
      <w:pPr>
        <w:pStyle w:val="Normal"/>
        <w:spacing w:lineRule="exact" w:line="276" w:before="0" w:after="120"/>
        <w:rPr/>
      </w:pPr>
      <w:r>
        <w:rPr>
          <w:rFonts w:eastAsia="Arial" w:cs="Arial"/>
          <w:sz w:val="21"/>
          <w:szCs w:val="21"/>
        </w:rPr>
        <w:t>Representative signature: __________________________   Date: ____________</w:t>
      </w:r>
    </w:p>
    <w:p>
      <w:pPr>
        <w:pStyle w:val="Normal"/>
        <w:spacing w:lineRule="exact" w:line="276" w:before="0" w:after="120"/>
        <w:rPr/>
      </w:pPr>
      <w:r>
        <w:rPr>
          <w:rFonts w:eastAsia="Arial" w:cs="Arial"/>
          <w:sz w:val="21"/>
          <w:szCs w:val="21"/>
        </w:rPr>
        <w:t xml:space="preserve"> </w:t>
      </w:r>
    </w:p>
    <w:p>
      <w:pPr>
        <w:pStyle w:val="Normal"/>
        <w:spacing w:lineRule="exact" w:line="276" w:before="0" w:after="120"/>
        <w:rPr/>
      </w:pPr>
      <w:r>
        <w:rPr>
          <w:rFonts w:eastAsia="Arial" w:cs="Arial"/>
          <w:sz w:val="21"/>
          <w:szCs w:val="21"/>
        </w:rPr>
        <w:t>Staff witness (print): ______________________________________________</w:t>
      </w:r>
    </w:p>
    <w:p>
      <w:pPr>
        <w:pStyle w:val="Normal"/>
        <w:spacing w:lineRule="exact" w:line="276" w:before="0" w:after="120"/>
        <w:rPr/>
      </w:pPr>
      <w:r>
        <w:rPr>
          <w:rFonts w:eastAsia="Arial" w:cs="Arial"/>
          <w:sz w:val="21"/>
          <w:szCs w:val="21"/>
        </w:rPr>
        <w:t>Staff witness signature: __________________________   Date: ____________</w:t>
      </w:r>
    </w:p>
    <w:sectPr>
      <w:footerReference w:type="even" r:id="rId2"/>
      <w:footerReference w:type="default" r:id="rId3"/>
      <w:footerReference w:type="first" r:id="rId4"/>
      <w:type w:val="nextPage"/>
      <w:pgSz w:w="12240" w:h="15840"/>
      <w:pgMar w:left="1440" w:right="1440" w:gutter="0" w:header="0" w:top="1440" w:footer="708" w:bottom="1440"/>
      <w:pgNumType w:fmt="decimal"/>
      <w:formProt w:val="false"/>
      <w:textDirection w:val="lrTb"/>
      <w:docGrid w:type="default" w:linePitch="360" w:charSpace="6143"/>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6" w:color="CCCCCC"/>
      </w:pBdr>
      <w:tabs>
        <w:tab w:val="clear" w:pos="720"/>
        <w:tab w:val="right" w:pos="9360" w:leader="none"/>
      </w:tabs>
      <w:rPr/>
    </w:pPr>
    <w:r>
      <w:rPr>
        <w:rFonts w:eastAsia="Arial" w:cs="Arial"/>
        <w:color w:val="888888"/>
        <w:sz w:val="14"/>
        <w:szCs w:val="14"/>
      </w:rPr>
      <w:t>California — Residential AOD Recovery or Treatment Facility (Title 9, Ch. 5) Policy &amp; Procedure Manual</w:t>
    </w:r>
    <w:r>
      <w:rPr>
        <w:rFonts w:eastAsia="Arial" w:cs="Arial"/>
        <w:sz w:val="14"/>
        <w:szCs w:val="14"/>
      </w:rPr>
      <w:tab/>
    </w:r>
    <w:r>
      <w:rPr>
        <w:rFonts w:eastAsia="Arial" w:cs="Arial"/>
        <w:color w:val="888888"/>
        <w:sz w:val="14"/>
        <w:szCs w:val="14"/>
      </w:rPr>
      <w:t xml:space="preserve">Page </w:t>
    </w:r>
    <w:r>
      <w:rPr/>
      <w:fldChar w:fldCharType="begin"/>
    </w:r>
    <w:r>
      <w:rPr/>
      <w:instrText xml:space="preserve"> PAGE </w:instrText>
    </w:r>
    <w:r>
      <w:rPr/>
      <w:fldChar w:fldCharType="separate"/>
    </w:r>
    <w:r>
      <w:rPr/>
      <w:t>53</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6" w:color="CCCCCC"/>
      </w:pBdr>
      <w:tabs>
        <w:tab w:val="clear" w:pos="720"/>
        <w:tab w:val="right" w:pos="9360" w:leader="none"/>
      </w:tabs>
      <w:rPr/>
    </w:pPr>
    <w:r>
      <w:rPr>
        <w:rFonts w:eastAsia="Arial" w:cs="Arial"/>
        <w:color w:val="888888"/>
        <w:sz w:val="14"/>
        <w:szCs w:val="14"/>
      </w:rPr>
      <w:t>California — Residential AOD Recovery or Treatment Facility (Title 9, Ch. 5) Policy &amp; Procedure Manual</w:t>
    </w:r>
    <w:r>
      <w:rPr>
        <w:rFonts w:eastAsia="Arial" w:cs="Arial"/>
        <w:sz w:val="14"/>
        <w:szCs w:val="14"/>
      </w:rPr>
      <w:tab/>
    </w:r>
    <w:r>
      <w:rPr>
        <w:rFonts w:eastAsia="Arial" w:cs="Arial"/>
        <w:color w:val="888888"/>
        <w:sz w:val="14"/>
        <w:szCs w:val="14"/>
      </w:rPr>
      <w:t xml:space="preserve">Page </w:t>
    </w:r>
    <w:r>
      <w:rPr/>
      <w:fldChar w:fldCharType="begin"/>
    </w:r>
    <w:r>
      <w:rPr/>
      <w:instrText xml:space="preserve"> PAGE </w:instrText>
    </w:r>
    <w:r>
      <w:rPr/>
      <w:fldChar w:fldCharType="separate"/>
    </w:r>
    <w:r>
      <w:rPr/>
      <w:t>53</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
      <w:lvlJc w:val="start"/>
      <w:pPr>
        <w:tabs>
          <w:tab w:val="num" w:pos="0"/>
        </w:tabs>
        <w:ind w:start="1080" w:hanging="360"/>
      </w:pPr>
      <w:rPr>
        <w:rFonts w:ascii="OpenSymbol" w:hAnsi="OpenSymbol" w:cs="OpenSymbol" w:hint="default"/>
      </w:r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updateFields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1"/>
        <w:szCs w:val="21"/>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1"/>
      <w:szCs w:val="21"/>
      <w:lang w:val="en-US" w:eastAsia="zh-CN" w:bidi="hi-IN"/>
    </w:rPr>
  </w:style>
  <w:style w:type="paragraph" w:styleId="Heading1">
    <w:name w:val="Heading 1"/>
    <w:basedOn w:val="Heading"/>
    <w:qFormat/>
    <w:pPr>
      <w:spacing w:before="240" w:after="160"/>
      <w:outlineLvl w:val="0"/>
    </w:pPr>
    <w:rPr>
      <w:rFonts w:ascii="Arial" w:hAnsi="Arial" w:eastAsia="Arial" w:cs="Arial"/>
      <w:b/>
      <w:bCs/>
      <w:color w:val="1A4731"/>
      <w:sz w:val="32"/>
      <w:szCs w:val="32"/>
    </w:rPr>
  </w:style>
  <w:style w:type="paragraph" w:styleId="Heading2">
    <w:name w:val="Heading 2"/>
    <w:basedOn w:val="Heading"/>
    <w:qFormat/>
    <w:pPr>
      <w:spacing w:before="180" w:after="120"/>
      <w:outlineLvl w:val="1"/>
    </w:pPr>
    <w:rPr>
      <w:rFonts w:ascii="Arial" w:hAnsi="Arial" w:eastAsia="Arial" w:cs="Arial"/>
      <w:b/>
      <w:bCs/>
      <w:color w:val="1A4731"/>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1"/>
      <w:szCs w:val="21"/>
      <w:lang w:val="en-US"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1"/>
      <w:szCs w:val="21"/>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2026-07-02T09:49:48Z</dcterms:created>
  <dc:creator>PolicyReady.org</dc:creator>
  <dc:description/>
  <dc:language>en-US</dc:language>
  <cp:lastModifiedBy>Un-named</cp:lastModifiedBy>
  <dcterms:modified xsi:type="dcterms:W3CDTF">2026-07-02T09:49:48Z</dcterms:modified>
  <cp:revision>1</cp:revision>
  <dc:subject/>
  <dc:title>California Residential AOD Recovery or Treatment Facility (Title 9, Chapter 5) Policy &amp; Procedure Manual</dc:title>
</cp:coreProperties>
</file>