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CALIFORNIA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6"/>
          <w:szCs w:val="26"/>
        </w:rPr>
        <w:t>Residential Care Facility for the Elderly (RCFE)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[CCLD Facility Number]</w:t>
      </w:r>
    </w:p>
    <w:p>
      <w:pPr>
        <w:pStyle w:val="Normal"/>
        <w:spacing w:before="1600" w:after="0"/>
        <w:jc w:val="center"/>
        <w:rPr/>
      </w:pPr>
      <w:r>
        <w:rPr>
          <w:rFonts w:eastAsia="Arial" w:cs="Arial"/>
          <w:color w:val="666666"/>
          <w:sz w:val="18"/>
          <w:szCs w:val="18"/>
        </w:rPr>
        <w:t>Aligned to Title 22 CCR, Division 6, Chapter 8 (RCFE)</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CCLD license. It covers admission and California’s restricted and prohibited health conditions, personal rights, mandated abuse and unusual-incident reporting, resident funds and property, and zoning and fire clearance.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Restricted &amp; Prohibited Health Conditions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Personal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Reporting Abuse &amp; Unusual Incidents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Fire Clearance &amp; Local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Restricted &amp; Prohibited Health Conditions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Restricted &amp; Prohibited Health Conditions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87455, 87458, 87615; H&amp;S Code § 1569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Title 22 of the California Code of Regulations, Division 6, Chapter 8 (Residential Care Facilities for the Elderly), and the California Residential Care Facilities for the Elderly Act (Health and Safety Code Section 1569 et seq.).</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California Department of Social Services (CDSS), Community Care Licensing Division (CCLD), as a Residential Care Facility for the Elderly (RCFE) under Title 22, Division 6, Chapter 8. An RCFE provides care, supervision, and assistance with activities of daily living to persons age sixty (60) and older (and, where permitted, eligible younger residents) who do not require skilled nursing care. A Facility that serves residents with dementia in a secured setting must also meet the additional requirements in the Dementia Care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needs it can meet within its license, based on a physician’s report and a preadmission appraisal, and shall not admit or retain a resident with a prohibited health condition or a restricted health condition for which the Facility does not meet the requirements to provide care.</w:t>
      </w:r>
    </w:p>
    <w:p>
      <w:pPr>
        <w:pStyle w:val="Normal"/>
        <w:pBdr>
          <w:bottom w:val="single" w:sz="4" w:space="1" w:color="2E5E45"/>
        </w:pBdr>
        <w:spacing w:before="160" w:after="80"/>
        <w:rPr/>
      </w:pPr>
      <w:r>
        <w:rPr>
          <w:rFonts w:eastAsia="Arial" w:cs="Arial"/>
          <w:b/>
          <w:bCs/>
          <w:color w:val="1A4731"/>
          <w:sz w:val="20"/>
          <w:szCs w:val="20"/>
        </w:rPr>
        <w:t>PROCEDURE — ADMISSION APPRAISAL</w:t>
      </w:r>
    </w:p>
    <w:p>
      <w:pPr>
        <w:pStyle w:val="Normal"/>
        <w:tabs>
          <w:tab w:val="left" w:pos="720" w:leader="none"/>
        </w:tabs>
        <w:spacing w:lineRule="exact" w:line="264" w:before="0" w:after="80"/>
        <w:ind w:hanging="360" w:start="720"/>
        <w:rPr/>
      </w:pPr>
      <w:r>
        <w:rPr>
          <w:rFonts w:eastAsia="Arial" w:cs="Arial"/>
          <w:sz w:val="21"/>
          <w:szCs w:val="21"/>
        </w:rPr>
        <w:t>a. Before or at admission, obtain a current physician’s report (LIC 602A) documenting the resident’s health status, diagnoses, medications, and care needs, and complete the Facility’s preadmission appraisal of the resident’s functional capabilities and service needs.</w:t>
      </w:r>
    </w:p>
    <w:p>
      <w:pPr>
        <w:pStyle w:val="Normal"/>
        <w:tabs>
          <w:tab w:val="left" w:pos="720" w:leader="none"/>
        </w:tabs>
        <w:spacing w:lineRule="exact" w:line="264" w:before="0" w:after="80"/>
        <w:ind w:hanging="360" w:start="720"/>
        <w:rPr/>
      </w:pPr>
      <w:r>
        <w:rPr>
          <w:rFonts w:eastAsia="Arial" w:cs="Arial"/>
          <w:sz w:val="21"/>
          <w:szCs w:val="21"/>
        </w:rPr>
        <w:t>b. Determine that the Facility can meet the resident’s needs within its license and staffing, and complete a written admission agreement that includes required disclosures (including the Facility’s firearm policy consistent with Health and Safety Code Section 1569.282).</w:t>
      </w:r>
    </w:p>
    <w:p>
      <w:pPr>
        <w:pStyle w:val="Normal"/>
        <w:tabs>
          <w:tab w:val="left" w:pos="720" w:leader="none"/>
        </w:tabs>
        <w:spacing w:lineRule="exact" w:line="264" w:before="0" w:after="80"/>
        <w:ind w:hanging="360" w:start="720"/>
        <w:rPr/>
      </w:pPr>
      <w:r>
        <w:rPr>
          <w:rFonts w:eastAsia="Arial" w:cs="Arial"/>
          <w:sz w:val="21"/>
          <w:szCs w:val="21"/>
        </w:rPr>
        <w:t>c. Provide each resident, at or before admission, the personal rights disclosures and the RCFE complaint poster/telephone number information.</w:t>
      </w:r>
    </w:p>
    <w:p>
      <w:pPr>
        <w:pStyle w:val="Normal"/>
        <w:pBdr>
          <w:bottom w:val="single" w:sz="4" w:space="1" w:color="2E5E45"/>
        </w:pBdr>
        <w:spacing w:before="160" w:after="80"/>
        <w:rPr/>
      </w:pPr>
      <w:r>
        <w:rPr>
          <w:rFonts w:eastAsia="Arial" w:cs="Arial"/>
          <w:b/>
          <w:bCs/>
          <w:color w:val="1A4731"/>
          <w:sz w:val="20"/>
          <w:szCs w:val="20"/>
        </w:rPr>
        <w:t>PROCEDURE — RESTRICTED &amp; PROHIBITED HEALTH CONDITIONS</w:t>
      </w:r>
    </w:p>
    <w:p>
      <w:pPr>
        <w:pStyle w:val="Normal"/>
        <w:tabs>
          <w:tab w:val="left" w:pos="720" w:leader="none"/>
        </w:tabs>
        <w:spacing w:lineRule="exact" w:line="264" w:before="0" w:after="80"/>
        <w:ind w:hanging="360" w:start="720"/>
        <w:rPr/>
      </w:pPr>
      <w:r>
        <w:rPr>
          <w:rFonts w:eastAsia="Arial" w:cs="Arial"/>
          <w:sz w:val="21"/>
          <w:szCs w:val="21"/>
        </w:rPr>
        <w:t>d. Do not admit or retain a resident who has a prohibited health condition under Title 22 (§ 87615) that the RCFE is not authorized to serve.</w:t>
      </w:r>
    </w:p>
    <w:p>
      <w:pPr>
        <w:pStyle w:val="Normal"/>
        <w:tabs>
          <w:tab w:val="left" w:pos="720" w:leader="none"/>
        </w:tabs>
        <w:spacing w:lineRule="exact" w:line="264" w:before="0" w:after="80"/>
        <w:ind w:hanging="360" w:start="720"/>
        <w:rPr/>
      </w:pPr>
      <w:r>
        <w:rPr>
          <w:rFonts w:eastAsia="Arial" w:cs="Arial"/>
          <w:sz w:val="21"/>
          <w:szCs w:val="21"/>
        </w:rPr>
        <w:t>e. For a resident with a restricted health condition, provide care only where the Facility meets the specific requirements for that condition, including any required licensed skilled professional, physician instructions, and documentation.</w:t>
      </w:r>
    </w:p>
    <w:p>
      <w:pPr>
        <w:pStyle w:val="Normal"/>
        <w:tabs>
          <w:tab w:val="left" w:pos="720" w:leader="none"/>
        </w:tabs>
        <w:spacing w:lineRule="exact" w:line="264" w:before="0" w:after="80"/>
        <w:ind w:hanging="360" w:start="720"/>
        <w:rPr/>
      </w:pPr>
      <w:r>
        <w:rPr>
          <w:rFonts w:eastAsia="Arial" w:cs="Arial"/>
          <w:sz w:val="21"/>
          <w:szCs w:val="21"/>
        </w:rPr>
        <w:t>f. Permit a terminally ill resident to remain under a hospice waiver where the Facility and a licensed hospice agency jointly meet the resident’s needs under a hospice care plan, consistent with Title 22.</w:t>
      </w:r>
    </w:p>
    <w:p>
      <w:pPr>
        <w:pStyle w:val="Normal"/>
        <w:tabs>
          <w:tab w:val="left" w:pos="720" w:leader="none"/>
        </w:tabs>
        <w:spacing w:lineRule="exact" w:line="264" w:before="0" w:after="80"/>
        <w:ind w:hanging="360" w:start="720"/>
        <w:rPr/>
      </w:pPr>
      <w:r>
        <w:rPr>
          <w:rFonts w:eastAsia="Arial" w:cs="Arial"/>
          <w:sz w:val="21"/>
          <w:szCs w:val="21"/>
        </w:rPr>
        <w:t>g. Where a resident’s needs exceed what the Facility may lawfully provide, initiate relocation or transfer with the notice required by rule.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Physician’s Report (LIC 602A)</w:t>
      </w:r>
    </w:p>
    <w:p>
      <w:pPr>
        <w:pStyle w:val="ListParagraph"/>
        <w:numPr>
          <w:ilvl w:val="0"/>
          <w:numId w:val="1"/>
        </w:numPr>
        <w:spacing w:lineRule="exact" w:line="264" w:before="0" w:after="60"/>
        <w:rPr/>
      </w:pPr>
      <w:r>
        <w:rPr>
          <w:rFonts w:eastAsia="Arial" w:cs="Arial"/>
          <w:sz w:val="21"/>
          <w:szCs w:val="21"/>
        </w:rPr>
        <w:t>Preadmission Appraisal / Resident Appraisal</w:t>
      </w:r>
    </w:p>
    <w:p>
      <w:pPr>
        <w:pStyle w:val="ListParagraph"/>
        <w:numPr>
          <w:ilvl w:val="0"/>
          <w:numId w:val="1"/>
        </w:numPr>
        <w:spacing w:lineRule="exact" w:line="264" w:before="0" w:after="60"/>
        <w:rPr/>
      </w:pPr>
      <w:r>
        <w:rPr>
          <w:rFonts w:eastAsia="Arial" w:cs="Arial"/>
          <w:sz w:val="21"/>
          <w:szCs w:val="21"/>
        </w:rPr>
        <w:t>Admission Agreement (incl. firearm policy disclosure)</w:t>
      </w:r>
    </w:p>
    <w:p>
      <w:pPr>
        <w:pStyle w:val="ListParagraph"/>
        <w:numPr>
          <w:ilvl w:val="0"/>
          <w:numId w:val="1"/>
        </w:numPr>
        <w:spacing w:lineRule="exact" w:line="264" w:before="0" w:after="60"/>
        <w:rPr/>
      </w:pPr>
      <w:r>
        <w:rPr>
          <w:rFonts w:eastAsia="Arial" w:cs="Arial"/>
          <w:sz w:val="21"/>
          <w:szCs w:val="21"/>
        </w:rPr>
        <w:t>Personal Rights Acknowledgment (LIC 613C)</w:t>
      </w:r>
    </w:p>
    <w:p>
      <w:pPr>
        <w:pStyle w:val="ListParagraph"/>
        <w:numPr>
          <w:ilvl w:val="0"/>
          <w:numId w:val="1"/>
        </w:numPr>
        <w:spacing w:lineRule="exact" w:line="264" w:before="0" w:after="60"/>
        <w:rPr/>
      </w:pPr>
      <w:r>
        <w:rPr>
          <w:rFonts w:eastAsia="Arial" w:cs="Arial"/>
          <w:sz w:val="21"/>
          <w:szCs w:val="21"/>
        </w:rPr>
        <w:t>Notice of Eviction / Relocation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Personal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Personal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87468; H&amp;S Code § 1569.269; Long-Term Care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personal rights of every resident as required by Title 22 (§ 87468) and the RCFE Act,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personal rights of each resident, provide each resident a written copy of personal rights at admission, and post the Long-Term Care Ombudsman and CCLD complaint information.</w:t>
      </w:r>
    </w:p>
    <w:p>
      <w:pPr>
        <w:pStyle w:val="Normal"/>
        <w:pBdr>
          <w:bottom w:val="single" w:sz="4" w:space="1" w:color="2E5E45"/>
        </w:pBdr>
        <w:spacing w:before="160" w:after="80"/>
        <w:rPr/>
      </w:pPr>
      <w:r>
        <w:rPr>
          <w:rFonts w:eastAsia="Arial" w:cs="Arial"/>
          <w:b/>
          <w:bCs/>
          <w:color w:val="1A4731"/>
          <w:sz w:val="20"/>
          <w:szCs w:val="20"/>
        </w:rPr>
        <w:t>PROCEDURE — PERSONAL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corporal punishment, and unnecessary chemical or physical restraint.</w:t>
      </w:r>
    </w:p>
    <w:p>
      <w:pPr>
        <w:pStyle w:val="Normal"/>
        <w:tabs>
          <w:tab w:val="left" w:pos="720" w:leader="none"/>
        </w:tabs>
        <w:spacing w:lineRule="exact" w:line="264" w:before="0" w:after="80"/>
        <w:ind w:hanging="360" w:start="720"/>
        <w:rPr/>
      </w:pPr>
      <w:r>
        <w:rPr>
          <w:rFonts w:eastAsia="Arial" w:cs="Arial"/>
          <w:sz w:val="21"/>
          <w:szCs w:val="21"/>
        </w:rPr>
        <w:t>b. Ensure the right to privacy, to possess and use personal property, to manage personal finances or receive an accounting, and to private communication and visitation, including access to the Long-Term Care Ombudsman.</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appraisal and service plan, to make choices, to leave and return to the facility, and to be free from discrimination.</w:t>
      </w:r>
    </w:p>
    <w:p>
      <w:pPr>
        <w:pStyle w:val="Normal"/>
        <w:tabs>
          <w:tab w:val="left" w:pos="720" w:leader="none"/>
        </w:tabs>
        <w:spacing w:lineRule="exact" w:line="264" w:before="0" w:after="80"/>
        <w:ind w:hanging="360" w:start="720"/>
        <w:rPr/>
      </w:pPr>
      <w:r>
        <w:rPr>
          <w:rFonts w:eastAsia="Arial" w:cs="Arial"/>
          <w:sz w:val="21"/>
          <w:szCs w:val="21"/>
        </w:rPr>
        <w:t>d. Provide each resident a written copy of personal rights (LIC 613C)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present a grievance, and post the Long-Term Care Ombudsman number and the CCLD complaint telephone number and poster (PUB 475).</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CCLD.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Rights Acknowledgment (LIC 613C)</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RCFE Complaint Poster (PUB 475)</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Reporting Abuse &amp; Unusual Incidents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Reporting Abuse &amp; Unusual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87211; Welf. &amp; Inst. Code § 15630 (elder abuse); H&amp;S Code § 1569.35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and reportable incidents are identified, reported, and documented within the timeframes required by California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mandated reporting of suspected elder and dependent adult abuse, and reports unusual incidents and deaths to the Department (CCLD) as required by Title 22.</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that they are mandated reporters of suspected elder or dependent adult abuse under the Elder Abuse and Dependent Adult Civil Protection Act (Welfare and Institutions Code Section 15630), and require immediate reporting to the local Adult Protective Services or law enforcement and follow-up written report.</w:t>
      </w:r>
    </w:p>
    <w:p>
      <w:pPr>
        <w:pStyle w:val="Normal"/>
        <w:tabs>
          <w:tab w:val="left" w:pos="720" w:leader="none"/>
        </w:tabs>
        <w:spacing w:lineRule="exact" w:line="264" w:before="0" w:after="80"/>
        <w:ind w:hanging="360" w:start="720"/>
        <w:rPr/>
      </w:pPr>
      <w:r>
        <w:rPr>
          <w:rFonts w:eastAsia="Arial" w:cs="Arial"/>
          <w:sz w:val="21"/>
          <w:szCs w:val="21"/>
        </w:rPr>
        <w:t>b. Report unusual incidents, injuries of unknown origin, and resident deaths to CCLD using the required reporting (LIC 624 / LIC 624A) within the timeframes required by Title 22, and to the resident’s physician and representative.</w:t>
      </w:r>
    </w:p>
    <w:p>
      <w:pPr>
        <w:pStyle w:val="Normal"/>
        <w:tabs>
          <w:tab w:val="left" w:pos="720" w:leader="none"/>
        </w:tabs>
        <w:spacing w:lineRule="exact" w:line="264" w:before="0" w:after="80"/>
        <w:ind w:hanging="360" w:start="720"/>
        <w:rPr/>
      </w:pPr>
      <w:r>
        <w:rPr>
          <w:rFonts w:eastAsia="Arial" w:cs="Arial"/>
          <w:sz w:val="21"/>
          <w:szCs w:val="21"/>
        </w:rPr>
        <w:t>c. Investigate each incident, documenting facts, dates and times, individuals involved, and corrective action, and retain the documentation.</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CCLD, the Ombudsman, and law enforcement.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Unusual Incident / Injury Report (LIC 624 / 624A)</w:t>
      </w:r>
    </w:p>
    <w:p>
      <w:pPr>
        <w:pStyle w:val="ListParagraph"/>
        <w:numPr>
          <w:ilvl w:val="0"/>
          <w:numId w:val="1"/>
        </w:numPr>
        <w:spacing w:lineRule="exact" w:line="264" w:before="0" w:after="60"/>
        <w:rPr/>
      </w:pPr>
      <w:r>
        <w:rPr>
          <w:rFonts w:eastAsia="Arial" w:cs="Arial"/>
          <w:sz w:val="21"/>
          <w:szCs w:val="21"/>
        </w:rPr>
        <w:t>Mandated Reporter Abuse Report (SOC 341)</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87217, 87218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cash resources, funds, and personal property where the Facility handles or safeguards them, consistent with Title 22.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handles or safeguards a resident’s cash resources or property, it shall do so under written authorization, maintain a separate accounting and safeguards (including bonding where required), and surrender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handling or safeguarding any resident cash or property, and maintain the safeguards required by Title 22, including a surety bond where required by the amount of resident funds handled.</w:t>
      </w:r>
    </w:p>
    <w:p>
      <w:pPr>
        <w:pStyle w:val="Normal"/>
        <w:tabs>
          <w:tab w:val="left" w:pos="720" w:leader="none"/>
        </w:tabs>
        <w:spacing w:lineRule="exact" w:line="264" w:before="0" w:after="80"/>
        <w:ind w:hanging="360" w:start="720"/>
        <w:rPr/>
      </w:pPr>
      <w:r>
        <w:rPr>
          <w:rFonts w:eastAsia="Arial" w:cs="Arial"/>
          <w:sz w:val="21"/>
          <w:szCs w:val="21"/>
        </w:rPr>
        <w:t>b. Maintain a separate, current, itemized accounting for each resident, record each transaction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surrender all funds and property with a final accounting upon discharge, transfer,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Cash/Property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ListParagraph"/>
        <w:numPr>
          <w:ilvl w:val="0"/>
          <w:numId w:val="1"/>
        </w:numPr>
        <w:spacing w:lineRule="exact" w:line="264" w:before="0" w:after="60"/>
        <w:rPr/>
      </w:pPr>
      <w:r>
        <w:rPr>
          <w:rFonts w:eastAsia="Arial" w:cs="Arial"/>
          <w:sz w:val="21"/>
          <w:szCs w:val="21"/>
        </w:rPr>
        <w:t>Surety Bond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Fire Clearance &amp; Local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Fire Clearance &amp; Local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87212 (fire clearance); local zoning; State Fire Marshal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permitted location and holds the fire clearance and local approvals required in addition to its CCLD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CCLD license does not by itself authorize operation at a given location. The Facility shall confirm its use is permitted under local zoning, obtain and maintain the fire clearance required by Title 22, and retain documentation of local approvals.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Confirm the property’s zoning permits a residential care facility for the elderly of the intended size; note that California law provides that RCFEs serving six or fewer residents are treated as a residential use of property for zoning purposes.</w:t>
      </w:r>
    </w:p>
    <w:p>
      <w:pPr>
        <w:pStyle w:val="Normal"/>
        <w:tabs>
          <w:tab w:val="left" w:pos="720" w:leader="none"/>
        </w:tabs>
        <w:spacing w:lineRule="exact" w:line="264" w:before="0" w:after="80"/>
        <w:ind w:hanging="360" w:start="720"/>
        <w:rPr/>
      </w:pPr>
      <w:r>
        <w:rPr>
          <w:rFonts w:eastAsia="Arial" w:cs="Arial"/>
          <w:sz w:val="21"/>
          <w:szCs w:val="21"/>
        </w:rPr>
        <w:t>b. Obtain and maintain a fire clearance approved by the city or county fire department or the State Fire Marshal as required by Title 22 (§ 87212), appropriate to the residents’ ambulatory or nonambulatory status.</w:t>
      </w:r>
    </w:p>
    <w:p>
      <w:pPr>
        <w:pStyle w:val="Normal"/>
        <w:tabs>
          <w:tab w:val="left" w:pos="720" w:leader="none"/>
        </w:tabs>
        <w:spacing w:lineRule="exact" w:line="264" w:before="0" w:after="80"/>
        <w:ind w:hanging="360" w:start="720"/>
        <w:rPr/>
      </w:pPr>
      <w:r>
        <w:rPr>
          <w:rFonts w:eastAsia="Arial" w:cs="Arial"/>
          <w:sz w:val="21"/>
          <w:szCs w:val="21"/>
        </w:rPr>
        <w:t>c. Obtain a repeat fire clearance where the physical plant undergoes substantial change or where the residents’ ambulatory status changes.</w:t>
      </w:r>
    </w:p>
    <w:p>
      <w:pPr>
        <w:pStyle w:val="Normal"/>
        <w:tabs>
          <w:tab w:val="left" w:pos="720" w:leader="none"/>
        </w:tabs>
        <w:spacing w:lineRule="exact" w:line="264" w:before="0" w:after="80"/>
        <w:ind w:hanging="360" w:start="720"/>
        <w:rPr/>
      </w:pPr>
      <w:r>
        <w:rPr>
          <w:rFonts w:eastAsia="Arial" w:cs="Arial"/>
          <w:sz w:val="21"/>
          <w:szCs w:val="21"/>
        </w:rPr>
        <w:t>d. Retain zoning confirmation and fire-clearance documentation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w:t>
      </w:r>
    </w:p>
    <w:p>
      <w:pPr>
        <w:pStyle w:val="ListParagraph"/>
        <w:numPr>
          <w:ilvl w:val="0"/>
          <w:numId w:val="1"/>
        </w:numPr>
        <w:spacing w:lineRule="exact" w:line="264" w:before="0" w:after="60"/>
        <w:rPr/>
      </w:pPr>
      <w:r>
        <w:rPr>
          <w:rFonts w:eastAsia="Arial" w:cs="Arial"/>
          <w:sz w:val="21"/>
          <w:szCs w:val="21"/>
        </w:rPr>
        <w:t>Fire Clearance (LIC 9111 / fire authority approval)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record clearances through Live Scan and health screening, California’s initial and continuing training requirements, and the RCFE Administrator Certificate and size-based qualifications together with staffing.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Criminal Record Clearances &amp; Health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Certification, Qualifications &amp;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Criminal Record Clearances &amp; Health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Criminal Record Clearances &amp; Health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87355, 87411; H&amp;S Code § 1569.17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employee subject to clearance is screened and suitable to work with residents through the required criminal record clearance, and meets health screening requirements, consistent with Title 22 and the RCFE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obtain a criminal record clearance or approved exemption for each person required to be screened before that person has contact with residents, and shall maintain health screening documentation for staff.</w:t>
      </w:r>
    </w:p>
    <w:p>
      <w:pPr>
        <w:pStyle w:val="Normal"/>
        <w:pBdr>
          <w:bottom w:val="single" w:sz="4" w:space="1" w:color="2E5E45"/>
        </w:pBdr>
        <w:spacing w:before="160" w:after="80"/>
        <w:rPr/>
      </w:pPr>
      <w:r>
        <w:rPr>
          <w:rFonts w:eastAsia="Arial" w:cs="Arial"/>
          <w:b/>
          <w:bCs/>
          <w:color w:val="1A4731"/>
          <w:sz w:val="20"/>
          <w:szCs w:val="20"/>
        </w:rPr>
        <w:t>PROCEDURE — CRIMINAL RECORD CLEARANCE</w:t>
      </w:r>
    </w:p>
    <w:p>
      <w:pPr>
        <w:pStyle w:val="Normal"/>
        <w:tabs>
          <w:tab w:val="left" w:pos="720" w:leader="none"/>
        </w:tabs>
        <w:spacing w:lineRule="exact" w:line="264" w:before="0" w:after="80"/>
        <w:ind w:hanging="360" w:start="720"/>
        <w:rPr/>
      </w:pPr>
      <w:r>
        <w:rPr>
          <w:rFonts w:eastAsia="Arial" w:cs="Arial"/>
          <w:sz w:val="21"/>
          <w:szCs w:val="21"/>
        </w:rPr>
        <w:t>a. Submit fingerprints through Live Scan (LIC 9163) and obtain a criminal record clearance or a Department-approved exemption for each employee, applicant, and other person required to be screened, before the person has client contact.</w:t>
      </w:r>
    </w:p>
    <w:p>
      <w:pPr>
        <w:pStyle w:val="Normal"/>
        <w:tabs>
          <w:tab w:val="left" w:pos="720" w:leader="none"/>
        </w:tabs>
        <w:spacing w:lineRule="exact" w:line="264" w:before="0" w:after="80"/>
        <w:ind w:hanging="360" w:start="720"/>
        <w:rPr/>
      </w:pPr>
      <w:r>
        <w:rPr>
          <w:rFonts w:eastAsia="Arial" w:cs="Arial"/>
          <w:sz w:val="21"/>
          <w:szCs w:val="21"/>
        </w:rPr>
        <w:t>b. Do not employ or permit resident contact by any individual without a clearance or approved exemption, and maintain the Criminal Record Statement (LIC 508) and clearance documentation.</w:t>
      </w:r>
    </w:p>
    <w:p>
      <w:pPr>
        <w:pStyle w:val="Normal"/>
        <w:tabs>
          <w:tab w:val="left" w:pos="720" w:leader="none"/>
        </w:tabs>
        <w:spacing w:lineRule="exact" w:line="264" w:before="0" w:after="80"/>
        <w:ind w:hanging="360" w:start="720"/>
        <w:rPr/>
      </w:pPr>
      <w:r>
        <w:rPr>
          <w:rFonts w:eastAsia="Arial" w:cs="Arial"/>
          <w:sz w:val="21"/>
          <w:szCs w:val="21"/>
        </w:rPr>
        <w:t>c. Maintain the association of each cleared individual with the Facility in the Department’s system as required.</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for each employee, including tuberculosis screening/examination as required by Title 22, before or within the timeframe allowed for client contact.</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employee that includes the job description, qualifications, criminal record clearance/exemption, required training, and health screening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CCLD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Live Scan Request (LIC 9163)</w:t>
      </w:r>
    </w:p>
    <w:p>
      <w:pPr>
        <w:pStyle w:val="ListParagraph"/>
        <w:numPr>
          <w:ilvl w:val="0"/>
          <w:numId w:val="1"/>
        </w:numPr>
        <w:spacing w:lineRule="exact" w:line="264" w:before="0" w:after="60"/>
        <w:rPr/>
      </w:pPr>
      <w:r>
        <w:rPr>
          <w:rFonts w:eastAsia="Arial" w:cs="Arial"/>
          <w:sz w:val="21"/>
          <w:szCs w:val="21"/>
        </w:rPr>
        <w:t>Criminal Record Statement (LIC 508)</w:t>
      </w:r>
    </w:p>
    <w:p>
      <w:pPr>
        <w:pStyle w:val="ListParagraph"/>
        <w:numPr>
          <w:ilvl w:val="0"/>
          <w:numId w:val="1"/>
        </w:numPr>
        <w:spacing w:lineRule="exact" w:line="264" w:before="0" w:after="60"/>
        <w:rPr/>
      </w:pPr>
      <w:r>
        <w:rPr>
          <w:rFonts w:eastAsia="Arial" w:cs="Arial"/>
          <w:sz w:val="21"/>
          <w:szCs w:val="21"/>
        </w:rPr>
        <w:t>TB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87411; H&amp;S Code § 1569.625 (direct-care training); dementia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initial and continuing training California requires and demonstrate competency, consistent with Title 22 and the RCFE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direct-care staff member completes required initial training before or promptly after beginning direct care, completes annual continuing training, and completes dementia-specific training where the Facility serves residents with dementia.</w:t>
      </w:r>
    </w:p>
    <w:p>
      <w:pPr>
        <w:pStyle w:val="Normal"/>
        <w:pBdr>
          <w:bottom w:val="single" w:sz="4" w:space="1" w:color="2E5E45"/>
        </w:pBdr>
        <w:spacing w:before="160" w:after="80"/>
        <w:rPr/>
      </w:pPr>
      <w:r>
        <w:rPr>
          <w:rFonts w:eastAsia="Arial" w:cs="Arial"/>
          <w:b/>
          <w:bCs/>
          <w:color w:val="1A4731"/>
          <w:sz w:val="20"/>
          <w:szCs w:val="20"/>
        </w:rPr>
        <w:t>PROCEDURE — INITIAL TRAINING</w:t>
      </w:r>
    </w:p>
    <w:p>
      <w:pPr>
        <w:pStyle w:val="Normal"/>
        <w:tabs>
          <w:tab w:val="left" w:pos="720" w:leader="none"/>
        </w:tabs>
        <w:spacing w:lineRule="exact" w:line="264" w:before="0" w:after="80"/>
        <w:ind w:hanging="360" w:start="720"/>
        <w:rPr/>
      </w:pPr>
      <w:r>
        <w:rPr>
          <w:rFonts w:eastAsia="Arial" w:cs="Arial"/>
          <w:sz w:val="21"/>
          <w:szCs w:val="21"/>
        </w:rPr>
        <w:t>a. Ensure each direct-care staff member completes the initial hours of training required by the RCFE Act before providing direct care, or within the allowed timeframe, covering residents’ rights, ADL assistance, the aging process, medication policies and assistance with self-administration, and recognizing and reporting abuse.</w:t>
      </w:r>
    </w:p>
    <w:p>
      <w:pPr>
        <w:pStyle w:val="Normal"/>
        <w:tabs>
          <w:tab w:val="left" w:pos="720" w:leader="none"/>
        </w:tabs>
        <w:spacing w:lineRule="exact" w:line="264" w:before="0" w:after="80"/>
        <w:ind w:hanging="360" w:start="720"/>
        <w:rPr/>
      </w:pPr>
      <w:r>
        <w:rPr>
          <w:rFonts w:eastAsia="Arial" w:cs="Arial"/>
          <w:sz w:val="21"/>
          <w:szCs w:val="21"/>
        </w:rPr>
        <w:t>b. Ensure staff are trained on the Facility’s emergency and disaster plan, infection control and hand hygiene, and hazardous chemical safety and the location of Safety Data Sheets before providing direct care.</w:t>
      </w:r>
    </w:p>
    <w:p>
      <w:pPr>
        <w:pStyle w:val="Normal"/>
        <w:tabs>
          <w:tab w:val="left" w:pos="720" w:leader="none"/>
        </w:tabs>
        <w:spacing w:lineRule="exact" w:line="264" w:before="0" w:after="80"/>
        <w:ind w:hanging="360" w:start="720"/>
        <w:rPr/>
      </w:pPr>
      <w:r>
        <w:rPr>
          <w:rFonts w:eastAsia="Arial" w:cs="Arial"/>
          <w:sz w:val="21"/>
          <w:szCs w:val="21"/>
        </w:rPr>
        <w:t>c. Where the Facility serves residents with dementia, ensure staff complete the required dementia-specific initial hours before working independently with those residents.</w:t>
      </w:r>
    </w:p>
    <w:p>
      <w:pPr>
        <w:pStyle w:val="Normal"/>
        <w:pBdr>
          <w:bottom w:val="single" w:sz="4" w:space="1" w:color="2E5E45"/>
        </w:pBdr>
        <w:spacing w:before="160" w:after="80"/>
        <w:rPr/>
      </w:pPr>
      <w:r>
        <w:rPr>
          <w:rFonts w:eastAsia="Arial" w:cs="Arial"/>
          <w:b/>
          <w:bCs/>
          <w:color w:val="1A4731"/>
          <w:sz w:val="20"/>
          <w:szCs w:val="20"/>
        </w:rPr>
        <w:t>PROCEDURE — CONTINUING EDUCATION &amp; COMPETENCY</w:t>
      </w:r>
    </w:p>
    <w:p>
      <w:pPr>
        <w:pStyle w:val="Normal"/>
        <w:tabs>
          <w:tab w:val="left" w:pos="720" w:leader="none"/>
        </w:tabs>
        <w:spacing w:lineRule="exact" w:line="264" w:before="0" w:after="80"/>
        <w:ind w:hanging="360" w:start="720"/>
        <w:rPr/>
      </w:pPr>
      <w:r>
        <w:rPr>
          <w:rFonts w:eastAsia="Arial" w:cs="Arial"/>
          <w:sz w:val="21"/>
          <w:szCs w:val="21"/>
        </w:rPr>
        <w:t>d. Ensure each direct-care staff member completes the annual continuing-education hours required by the RCFE Act, including dementia-specific hours where applicable.</w:t>
      </w:r>
    </w:p>
    <w:p>
      <w:pPr>
        <w:pStyle w:val="Normal"/>
        <w:tabs>
          <w:tab w:val="left" w:pos="720" w:leader="none"/>
        </w:tabs>
        <w:spacing w:lineRule="exact" w:line="264" w:before="0" w:after="80"/>
        <w:ind w:hanging="360" w:start="720"/>
        <w:rPr/>
      </w:pPr>
      <w:r>
        <w:rPr>
          <w:rFonts w:eastAsia="Arial" w:cs="Arial"/>
          <w:sz w:val="21"/>
          <w:szCs w:val="21"/>
        </w:rPr>
        <w:t>e. Verify competency for medication assistance and other major duties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f. Maintain training and competency records, including dates, topics, and hours,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Training Checklist</w:t>
      </w:r>
    </w:p>
    <w:p>
      <w:pPr>
        <w:pStyle w:val="ListParagraph"/>
        <w:numPr>
          <w:ilvl w:val="0"/>
          <w:numId w:val="1"/>
        </w:numPr>
        <w:spacing w:lineRule="exact" w:line="264" w:before="0" w:after="60"/>
        <w:rPr/>
      </w:pPr>
      <w:r>
        <w:rPr>
          <w:rFonts w:eastAsia="Arial" w:cs="Arial"/>
          <w:sz w:val="21"/>
          <w:szCs w:val="21"/>
        </w:rPr>
        <w:t>Annual Continuing-Education Log</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Certification, Qualifications &amp;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Certification, Qualifications &amp;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87405; H&amp;S Code § 1569.616 (administrator certification)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certified, qualified administrator and staffed at levels sufficient to meet residents’ needs, consistent with Title 22 (§ 87405) and the RCFE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be operated by an administrator who holds a current RCFE Administrator Certificate, meets the experience and education qualifications for the Facility’s size, and ensures sufficient staff to meet residents’ needs at all times.</w:t>
      </w:r>
    </w:p>
    <w:p>
      <w:pPr>
        <w:pStyle w:val="Normal"/>
        <w:pBdr>
          <w:bottom w:val="single" w:sz="4" w:space="1" w:color="2E5E45"/>
        </w:pBdr>
        <w:spacing w:before="160" w:after="80"/>
        <w:rPr/>
      </w:pPr>
      <w:r>
        <w:rPr>
          <w:rFonts w:eastAsia="Arial" w:cs="Arial"/>
          <w:b/>
          <w:bCs/>
          <w:color w:val="1A4731"/>
          <w:sz w:val="20"/>
          <w:szCs w:val="20"/>
        </w:rPr>
        <w:t>PROCEDURE — ADMINISTRATOR CERTIFICATION</w:t>
      </w:r>
    </w:p>
    <w:p>
      <w:pPr>
        <w:pStyle w:val="Normal"/>
        <w:tabs>
          <w:tab w:val="left" w:pos="720" w:leader="none"/>
        </w:tabs>
        <w:spacing w:lineRule="exact" w:line="264" w:before="0" w:after="80"/>
        <w:ind w:hanging="360" w:start="720"/>
        <w:rPr/>
      </w:pPr>
      <w:r>
        <w:rPr>
          <w:rFonts w:eastAsia="Arial" w:cs="Arial"/>
          <w:sz w:val="21"/>
          <w:szCs w:val="21"/>
        </w:rPr>
        <w:t>a. Ensure the administrator holds a current RCFE Administrator Certificate, obtained by completing the CDSS-approved Initial Certification Training Program (80 hours) and passing the state exam, and renews the certificate with the required continuing-education hours.</w:t>
      </w:r>
    </w:p>
    <w:p>
      <w:pPr>
        <w:pStyle w:val="Normal"/>
        <w:tabs>
          <w:tab w:val="left" w:pos="720" w:leader="none"/>
        </w:tabs>
        <w:spacing w:lineRule="exact" w:line="264" w:before="0" w:after="80"/>
        <w:ind w:hanging="360" w:start="720"/>
        <w:rPr/>
      </w:pPr>
      <w:r>
        <w:rPr>
          <w:rFonts w:eastAsia="Arial" w:cs="Arial"/>
          <w:sz w:val="21"/>
          <w:szCs w:val="21"/>
        </w:rPr>
        <w:t>b. Meet the size-based qualifications: for facilities of 16–49 residents, at least 15 college semester units and one year of residential elder-care experience; for facilities of 50 or more residents, two years of college and three years of experience, consistent with § 87405.</w:t>
      </w:r>
    </w:p>
    <w:p>
      <w:pPr>
        <w:pStyle w:val="Normal"/>
        <w:tabs>
          <w:tab w:val="left" w:pos="720" w:leader="none"/>
        </w:tabs>
        <w:spacing w:lineRule="exact" w:line="264" w:before="0" w:after="80"/>
        <w:ind w:hanging="360" w:start="720"/>
        <w:rPr/>
      </w:pPr>
      <w:r>
        <w:rPr>
          <w:rFonts w:eastAsia="Arial" w:cs="Arial"/>
          <w:sz w:val="21"/>
          <w:szCs w:val="21"/>
        </w:rPr>
        <w:t>c. Ensure the administrator, or a designated substitute who meets the requirements, is present and responsible for the Facility as required.</w:t>
      </w:r>
    </w:p>
    <w:p>
      <w:pPr>
        <w:pStyle w:val="Normal"/>
        <w:pBdr>
          <w:bottom w:val="single" w:sz="4" w:space="1" w:color="2E5E45"/>
        </w:pBdr>
        <w:spacing w:before="160" w:after="80"/>
        <w:rPr/>
      </w:pPr>
      <w:r>
        <w:rPr>
          <w:rFonts w:eastAsia="Arial" w:cs="Arial"/>
          <w:b/>
          <w:bCs/>
          <w:color w:val="1A4731"/>
          <w:sz w:val="20"/>
          <w:szCs w:val="20"/>
        </w:rPr>
        <w:t>PROCEDURE — STAFFING</w:t>
      </w:r>
    </w:p>
    <w:p>
      <w:pPr>
        <w:pStyle w:val="Normal"/>
        <w:tabs>
          <w:tab w:val="left" w:pos="720" w:leader="none"/>
        </w:tabs>
        <w:spacing w:lineRule="exact" w:line="264" w:before="0" w:after="80"/>
        <w:ind w:hanging="360" w:start="720"/>
        <w:rPr/>
      </w:pPr>
      <w:r>
        <w:rPr>
          <w:rFonts w:eastAsia="Arial" w:cs="Arial"/>
          <w:sz w:val="21"/>
          <w:szCs w:val="21"/>
        </w:rPr>
        <w:t>d. Maintain sufficient staff, awake and on duty as required, to meet residents’ needs and to provide the required nighttime supervision based on residents’ ambulatory status and needs.</w:t>
      </w:r>
    </w:p>
    <w:p>
      <w:pPr>
        <w:pStyle w:val="Normal"/>
        <w:tabs>
          <w:tab w:val="left" w:pos="720" w:leader="none"/>
        </w:tabs>
        <w:spacing w:lineRule="exact" w:line="264" w:before="0" w:after="80"/>
        <w:ind w:hanging="360" w:start="720"/>
        <w:rPr/>
      </w:pPr>
      <w:r>
        <w:rPr>
          <w:rFonts w:eastAsia="Arial" w:cs="Arial"/>
          <w:sz w:val="21"/>
          <w:szCs w:val="21"/>
        </w:rPr>
        <w:t>e. Ensure at least one staff member trained in first aid and CPR is on the premises at all times, and that staff are trained on the emergency and disaster plan.</w:t>
      </w:r>
    </w:p>
    <w:p>
      <w:pPr>
        <w:pStyle w:val="Normal"/>
        <w:tabs>
          <w:tab w:val="left" w:pos="720" w:leader="none"/>
        </w:tabs>
        <w:spacing w:lineRule="exact" w:line="264" w:before="0" w:after="80"/>
        <w:ind w:hanging="360" w:start="720"/>
        <w:rPr/>
      </w:pPr>
      <w:r>
        <w:rPr>
          <w:rFonts w:eastAsia="Arial" w:cs="Arial"/>
          <w:sz w:val="21"/>
          <w:szCs w:val="21"/>
        </w:rPr>
        <w:t>f. Maintain a written staffing plan and schedule reflecting the coverage pattern, and make it available to CCLD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Certificate &amp; CE Verification</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First Aid / CPR Certification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appraises residents and plans their care — the preadmission appraisal and individualized service plan (updated when the resident’s condition changes), care, supervision, and assistance with activities of daily living,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Appraisal &amp; Individualized Service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Resident Care, Supervision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Appraisal &amp; Individualized Service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Appraisal &amp; Individualized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87457, 87463 (appraisal &amp;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appraisal and individualized service plan that reflects the resident’s needs and is kept current, consistent with Title 22.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a preadmission appraisal and develop an individualized service plan for each resident, and shall update the service plan when the resident’s condition changes and review it on a regular basis.</w:t>
      </w:r>
    </w:p>
    <w:p>
      <w:pPr>
        <w:pStyle w:val="Normal"/>
        <w:pBdr>
          <w:bottom w:val="single" w:sz="4" w:space="1" w:color="2E5E45"/>
        </w:pBdr>
        <w:spacing w:before="160" w:after="80"/>
        <w:rPr/>
      </w:pPr>
      <w:r>
        <w:rPr>
          <w:rFonts w:eastAsia="Arial" w:cs="Arial"/>
          <w:b/>
          <w:bCs/>
          <w:color w:val="1A4731"/>
          <w:sz w:val="20"/>
          <w:szCs w:val="20"/>
        </w:rPr>
        <w:t>PROCEDURE — APPRAISAL &amp; SERVICE PLAN</w:t>
      </w:r>
    </w:p>
    <w:p>
      <w:pPr>
        <w:pStyle w:val="Normal"/>
        <w:tabs>
          <w:tab w:val="left" w:pos="720" w:leader="none"/>
        </w:tabs>
        <w:spacing w:lineRule="exact" w:line="264" w:before="0" w:after="80"/>
        <w:ind w:hanging="360" w:start="720"/>
        <w:rPr/>
      </w:pPr>
      <w:r>
        <w:rPr>
          <w:rFonts w:eastAsia="Arial" w:cs="Arial"/>
          <w:sz w:val="21"/>
          <w:szCs w:val="21"/>
        </w:rPr>
        <w:t>a. Complete a preadmission appraisal of the resident’s functional capabilities, cognitive and behavioral status, and service needs, informed by the physician’s report (LIC 602A).</w:t>
      </w:r>
    </w:p>
    <w:p>
      <w:pPr>
        <w:pStyle w:val="Normal"/>
        <w:tabs>
          <w:tab w:val="left" w:pos="720" w:leader="none"/>
        </w:tabs>
        <w:spacing w:lineRule="exact" w:line="264" w:before="0" w:after="80"/>
        <w:ind w:hanging="360" w:start="720"/>
        <w:rPr/>
      </w:pPr>
      <w:r>
        <w:rPr>
          <w:rFonts w:eastAsia="Arial" w:cs="Arial"/>
          <w:sz w:val="21"/>
          <w:szCs w:val="21"/>
        </w:rPr>
        <w:t>b. Develop an individualized service plan that documents the assistance the resident needs with ADLs, health-related services, and other supports, and how the Facility will provide them, using person-first language.</w:t>
      </w:r>
    </w:p>
    <w:p>
      <w:pPr>
        <w:pStyle w:val="Normal"/>
        <w:tabs>
          <w:tab w:val="left" w:pos="720" w:leader="none"/>
        </w:tabs>
        <w:spacing w:lineRule="exact" w:line="264" w:before="0" w:after="80"/>
        <w:ind w:hanging="360" w:start="720"/>
        <w:rPr/>
      </w:pPr>
      <w:r>
        <w:rPr>
          <w:rFonts w:eastAsia="Arial" w:cs="Arial"/>
          <w:sz w:val="21"/>
          <w:szCs w:val="21"/>
        </w:rPr>
        <w:t>c. Involve the resident (and the resident’s representative as applicable) in the development of the service plan.</w:t>
      </w:r>
    </w:p>
    <w:p>
      <w:pPr>
        <w:pStyle w:val="Normal"/>
        <w:pBdr>
          <w:bottom w:val="single" w:sz="4" w:space="1" w:color="2E5E45"/>
        </w:pBdr>
        <w:spacing w:before="160" w:after="80"/>
        <w:rPr/>
      </w:pPr>
      <w:r>
        <w:rPr>
          <w:rFonts w:eastAsia="Arial" w:cs="Arial"/>
          <w:b/>
          <w:bCs/>
          <w:color w:val="1A4731"/>
          <w:sz w:val="20"/>
          <w:szCs w:val="20"/>
        </w:rPr>
        <w:t>PROCEDURE — REAPPRAISAL &amp; UPDATES</w:t>
      </w:r>
    </w:p>
    <w:p>
      <w:pPr>
        <w:pStyle w:val="Normal"/>
        <w:tabs>
          <w:tab w:val="left" w:pos="720" w:leader="none"/>
        </w:tabs>
        <w:spacing w:lineRule="exact" w:line="264" w:before="0" w:after="80"/>
        <w:ind w:hanging="360" w:start="720"/>
        <w:rPr/>
      </w:pPr>
      <w:r>
        <w:rPr>
          <w:rFonts w:eastAsia="Arial" w:cs="Arial"/>
          <w:sz w:val="21"/>
          <w:szCs w:val="21"/>
        </w:rPr>
        <w:t>d. Reappraise the resident and update the service plan whenever the resident’s condition changes and on a regular review schedule, documenting the change and the updated plan.</w:t>
      </w:r>
    </w:p>
    <w:p>
      <w:pPr>
        <w:pStyle w:val="Normal"/>
        <w:tabs>
          <w:tab w:val="left" w:pos="720" w:leader="none"/>
        </w:tabs>
        <w:spacing w:lineRule="exact" w:line="264" w:before="0" w:after="80"/>
        <w:ind w:hanging="360" w:start="720"/>
        <w:rPr/>
      </w:pPr>
      <w:r>
        <w:rPr>
          <w:rFonts w:eastAsia="Arial" w:cs="Arial"/>
          <w:sz w:val="21"/>
          <w:szCs w:val="21"/>
        </w:rPr>
        <w:t>e. Where a change indicates the resident may have a restricted or prohibited health condition, evaluate the resident’s continued appropriateness for the Facility.</w:t>
      </w:r>
    </w:p>
    <w:p>
      <w:pPr>
        <w:pStyle w:val="Normal"/>
        <w:tabs>
          <w:tab w:val="left" w:pos="720" w:leader="none"/>
        </w:tabs>
        <w:spacing w:lineRule="exact" w:line="264" w:before="0" w:after="80"/>
        <w:ind w:hanging="360" w:start="720"/>
        <w:rPr/>
      </w:pPr>
      <w:r>
        <w:rPr>
          <w:rFonts w:eastAsia="Arial" w:cs="Arial"/>
          <w:sz w:val="21"/>
          <w:szCs w:val="21"/>
        </w:rPr>
        <w:t>f. Coordinate with third-party providers, including home health and hospice, identified in the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Physician’s Report (LIC 602A)</w:t>
      </w:r>
    </w:p>
    <w:p>
      <w:pPr>
        <w:pStyle w:val="ListParagraph"/>
        <w:numPr>
          <w:ilvl w:val="0"/>
          <w:numId w:val="1"/>
        </w:numPr>
        <w:spacing w:lineRule="exact" w:line="264" w:before="0" w:after="60"/>
        <w:rPr/>
      </w:pPr>
      <w:r>
        <w:rPr>
          <w:rFonts w:eastAsia="Arial" w:cs="Arial"/>
          <w:sz w:val="21"/>
          <w:szCs w:val="21"/>
        </w:rPr>
        <w:t>Resident Appraisal / Reappraisal</w:t>
      </w:r>
    </w:p>
    <w:p>
      <w:pPr>
        <w:pStyle w:val="ListParagraph"/>
        <w:numPr>
          <w:ilvl w:val="0"/>
          <w:numId w:val="1"/>
        </w:numPr>
        <w:spacing w:lineRule="exact" w:line="264" w:before="0" w:after="60"/>
        <w:rPr/>
      </w:pPr>
      <w:r>
        <w:rPr>
          <w:rFonts w:eastAsia="Arial" w:cs="Arial"/>
          <w:sz w:val="21"/>
          <w:szCs w:val="21"/>
        </w:rPr>
        <w:t>Individualized Service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Resident Care, Supervision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Resident Care, Supervision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87464, 87465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care, supervision, and assistance with activities of daily living according to each resident’s service plan, while supporting dignity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care, supervision, and assistance with activities of daily living identified in each resident’s service plan, provide meals meeting residents’ nutritional needs, and support resident participation and activities.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 bathing, dressing, grooming, eating, toileting, transferring, and mobility — and supervision appropriate to each resident’s appraisal.</w:t>
      </w:r>
    </w:p>
    <w:p>
      <w:pPr>
        <w:pStyle w:val="Normal"/>
        <w:tabs>
          <w:tab w:val="left" w:pos="720" w:leader="none"/>
        </w:tabs>
        <w:spacing w:lineRule="exact" w:line="264" w:before="0" w:after="80"/>
        <w:ind w:hanging="360" w:start="720"/>
        <w:rPr/>
      </w:pPr>
      <w:r>
        <w:rPr>
          <w:rFonts w:eastAsia="Arial" w:cs="Arial"/>
          <w:sz w:val="21"/>
          <w:szCs w:val="21"/>
        </w:rPr>
        <w:t>b. Provide meals that meet residents’ nutritional needs and any modified diet, and provide activities and social engagement.</w:t>
      </w:r>
    </w:p>
    <w:p>
      <w:pPr>
        <w:pStyle w:val="Normal"/>
        <w:tabs>
          <w:tab w:val="left" w:pos="720" w:leader="none"/>
        </w:tabs>
        <w:spacing w:lineRule="exact" w:line="264" w:before="0" w:after="80"/>
        <w:ind w:hanging="360" w:start="720"/>
        <w:rPr/>
      </w:pPr>
      <w:r>
        <w:rPr>
          <w:rFonts w:eastAsia="Arial" w:cs="Arial"/>
          <w:sz w:val="21"/>
          <w:szCs w:val="21"/>
        </w:rPr>
        <w:t>c. Arrange for and assist with access to medical, dental, and other health care, and report changes in a resident’s condition to the resident’s physician and representative.</w:t>
      </w:r>
    </w:p>
    <w:p>
      <w:pPr>
        <w:pStyle w:val="Normal"/>
        <w:tabs>
          <w:tab w:val="left" w:pos="720" w:leader="none"/>
        </w:tabs>
        <w:spacing w:lineRule="exact" w:line="264" w:before="0" w:after="80"/>
        <w:ind w:hanging="360" w:start="720"/>
        <w:rPr/>
      </w:pPr>
      <w:r>
        <w:rPr>
          <w:rFonts w:eastAsia="Arial" w:cs="Arial"/>
          <w:sz w:val="21"/>
          <w:szCs w:val="21"/>
        </w:rPr>
        <w:t>d. Observe the incidental medical and dental care and personal-assistance standards of Title 22 in supporting residents.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Menu / Modified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Chapter 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environment, including slip-resistant flooring maintained in good condition, adequate lighting, and grab bars where required,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physician and representative, and report as an unusual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Title 22 — assistance with self-administration, central storage and labeling, the daily medication administration record, written PRN instructions with documented outcomes (including behavior-related PRN use for residents with dementia), and the safe handling of errors, disposal, and destruction.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Medications — Assistance with Self-Administration &amp; Central Storage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Disposal &amp; Destruction</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Medications — Assistance with Self-Administration &amp; Central Storage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Medications — Assistance with Self-Administration &amp; Central Storage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87465(h), 87465; H&amp;S Code § 1569.626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safely, that staff assist with self-administration only within the limits of Title 22, and that records are maintained, consistent with the RCFE regulations.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may assist residents with the self-administration of medications where medications are centrally stored, labeled, and documented, a medication administration record (MAR) is completed daily, PRN medications have written instructions and documented outcomes, and staff do not administer injections unless licensed to do so.</w:t>
      </w:r>
    </w:p>
    <w:p>
      <w:pPr>
        <w:pStyle w:val="Normal"/>
        <w:pBdr>
          <w:bottom w:val="single" w:sz="4" w:space="1" w:color="2E5E45"/>
        </w:pBdr>
        <w:spacing w:before="160" w:after="80"/>
        <w:rPr/>
      </w:pPr>
      <w:r>
        <w:rPr>
          <w:rFonts w:eastAsia="Arial" w:cs="Arial"/>
          <w:b/>
          <w:bCs/>
          <w:color w:val="1A4731"/>
          <w:sz w:val="20"/>
          <w:szCs w:val="20"/>
        </w:rPr>
        <w:t>PROCEDURE — ASSISTANCE &amp; CENTRAL STORAGE</w:t>
      </w:r>
    </w:p>
    <w:p>
      <w:pPr>
        <w:pStyle w:val="Normal"/>
        <w:tabs>
          <w:tab w:val="left" w:pos="720" w:leader="none"/>
        </w:tabs>
        <w:spacing w:lineRule="exact" w:line="264" w:before="0" w:after="80"/>
        <w:ind w:hanging="360" w:start="720"/>
        <w:rPr/>
      </w:pPr>
      <w:r>
        <w:rPr>
          <w:rFonts w:eastAsia="Arial" w:cs="Arial"/>
          <w:sz w:val="21"/>
          <w:szCs w:val="21"/>
        </w:rPr>
        <w:t>a. Assist residents with the self-administration of medications consistent with Title 22, and provide administration only by appropriately licensed personnel where the resident cannot self-administer (for example, a licensed nurse for injections).</w:t>
      </w:r>
    </w:p>
    <w:p>
      <w:pPr>
        <w:pStyle w:val="Normal"/>
        <w:tabs>
          <w:tab w:val="left" w:pos="720" w:leader="none"/>
        </w:tabs>
        <w:spacing w:lineRule="exact" w:line="264" w:before="0" w:after="80"/>
        <w:ind w:hanging="360" w:start="720"/>
        <w:rPr/>
      </w:pPr>
      <w:r>
        <w:rPr>
          <w:rFonts w:eastAsia="Arial" w:cs="Arial"/>
          <w:sz w:val="21"/>
          <w:szCs w:val="21"/>
        </w:rPr>
        <w:t>b. Centrally store medications in a safe, locked location, separate from hazardous chemicals, with controlled substances secured and access limited to authorized staff, and keep each resident’s medications in properly labeled containers per the pharmacy label.</w:t>
      </w:r>
    </w:p>
    <w:p>
      <w:pPr>
        <w:pStyle w:val="Normal"/>
        <w:tabs>
          <w:tab w:val="left" w:pos="720" w:leader="none"/>
        </w:tabs>
        <w:spacing w:lineRule="exact" w:line="264" w:before="0" w:after="80"/>
        <w:ind w:hanging="360" w:start="720"/>
        <w:rPr/>
      </w:pPr>
      <w:r>
        <w:rPr>
          <w:rFonts w:eastAsia="Arial" w:cs="Arial"/>
          <w:sz w:val="21"/>
          <w:szCs w:val="21"/>
        </w:rPr>
        <w:t>c. Complete a medication administration record (MAR) daily for each resident, documenting each medication assisted with or administered.</w:t>
      </w:r>
    </w:p>
    <w:p>
      <w:pPr>
        <w:pStyle w:val="Normal"/>
        <w:pBdr>
          <w:bottom w:val="single" w:sz="4" w:space="1" w:color="2E5E45"/>
        </w:pBdr>
        <w:spacing w:before="160" w:after="80"/>
        <w:rPr/>
      </w:pPr>
      <w:r>
        <w:rPr>
          <w:rFonts w:eastAsia="Arial" w:cs="Arial"/>
          <w:b/>
          <w:bCs/>
          <w:color w:val="1A4731"/>
          <w:sz w:val="20"/>
          <w:szCs w:val="20"/>
        </w:rPr>
        <w:t>PROCEDURE — PRN &amp; BEHAVIOR-RELATED MEDICATIONS</w:t>
      </w:r>
    </w:p>
    <w:p>
      <w:pPr>
        <w:pStyle w:val="Normal"/>
        <w:tabs>
          <w:tab w:val="left" w:pos="720" w:leader="none"/>
        </w:tabs>
        <w:spacing w:lineRule="exact" w:line="264" w:before="0" w:after="80"/>
        <w:ind w:hanging="360" w:start="720"/>
        <w:rPr/>
      </w:pPr>
      <w:r>
        <w:rPr>
          <w:rFonts w:eastAsia="Arial" w:cs="Arial"/>
          <w:sz w:val="21"/>
          <w:szCs w:val="21"/>
        </w:rPr>
        <w:t>d. Ensure each PRN (as-needed) medication has written instructions from the physician, and document the reason given and the outcome each time a PRN is used.</w:t>
      </w:r>
    </w:p>
    <w:p>
      <w:pPr>
        <w:pStyle w:val="Normal"/>
        <w:tabs>
          <w:tab w:val="left" w:pos="720" w:leader="none"/>
        </w:tabs>
        <w:spacing w:lineRule="exact" w:line="264" w:before="0" w:after="80"/>
        <w:ind w:hanging="360" w:start="720"/>
        <w:rPr/>
      </w:pPr>
      <w:r>
        <w:rPr>
          <w:rFonts w:eastAsia="Arial" w:cs="Arial"/>
          <w:sz w:val="21"/>
          <w:szCs w:val="21"/>
        </w:rPr>
        <w:t>e. For any behavior-related PRN medication, ensure the use is properly justified and the outcome recorded, with particular care for residents with dementia, consistent with current Title 22 requirements.</w:t>
      </w:r>
    </w:p>
    <w:p>
      <w:pPr>
        <w:pStyle w:val="Normal"/>
        <w:tabs>
          <w:tab w:val="left" w:pos="720" w:leader="none"/>
        </w:tabs>
        <w:spacing w:lineRule="exact" w:line="264" w:before="0" w:after="80"/>
        <w:ind w:hanging="360" w:start="720"/>
        <w:rPr/>
      </w:pPr>
      <w:r>
        <w:rPr>
          <w:rFonts w:eastAsia="Arial" w:cs="Arial"/>
          <w:sz w:val="21"/>
          <w:szCs w:val="21"/>
        </w:rPr>
        <w:t>f. Monitor for therapeutic effect and side effects and report concerns to the physician and representative, and reconcile medications at admission and at return from a hospital or other setting.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Centrally Stored Medication Log</w:t>
      </w:r>
    </w:p>
    <w:p>
      <w:pPr>
        <w:pStyle w:val="ListParagraph"/>
        <w:numPr>
          <w:ilvl w:val="0"/>
          <w:numId w:val="1"/>
        </w:numPr>
        <w:spacing w:lineRule="exact" w:line="264" w:before="0" w:after="60"/>
        <w:rPr/>
      </w:pPr>
      <w:r>
        <w:rPr>
          <w:rFonts w:eastAsia="Arial" w:cs="Arial"/>
          <w:sz w:val="21"/>
          <w:szCs w:val="21"/>
        </w:rPr>
        <w:t>PRN Medication Instruction &amp; Outcome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Disposal &amp; Destruction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Disposal &amp; Destruction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Chapter 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disposal and destruction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unusual incidents where required, and dispose of or destroy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physician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unusual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DISPOSAL &amp; DESTRUCTION</w:t>
      </w:r>
    </w:p>
    <w:p>
      <w:pPr>
        <w:pStyle w:val="Normal"/>
        <w:tabs>
          <w:tab w:val="left" w:pos="720" w:leader="none"/>
        </w:tabs>
        <w:spacing w:lineRule="exact" w:line="264" w:before="0" w:after="80"/>
        <w:ind w:hanging="360" w:start="720"/>
        <w:rPr/>
      </w:pPr>
      <w:r>
        <w:rPr>
          <w:rFonts w:eastAsia="Arial" w:cs="Arial"/>
          <w:sz w:val="21"/>
          <w:szCs w:val="21"/>
        </w:rPr>
        <w:t>d. Dispose of or destroy discontinued, expired, or unused centrally stored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the Emergency Disaster Plan (LIC 610E), infection prevention and control (including COVID-19 and communicable-disease outbreak response and reporting), hazardous-chemical safety under federal and Cal/OSHA standards, and physical plant, environmental safety, and food service.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&amp; Disaster Plan (LIC 610E)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Environmental Safety &amp; Food Service</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&amp; Disaster Plan (LIC 610E)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&amp; Disaster Plan (LIC 610E)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87212; LIC 610E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Title 22 and using the required Emergency Disaster Plan (LIC 610E).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current written Emergency Disaster Plan (LIC 610E) covering evacuation, shelter-in-place, and relocation, train staff on it, conduct drills, and coordinate with local emergency services.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Emergency Disaster Plan (LIC 610E) that addresses evacuation, shelter-in-place, and relocation, appropriate to the Facility and the residents’ ambulatory and cognitive status.</w:t>
      </w:r>
    </w:p>
    <w:p>
      <w:pPr>
        <w:pStyle w:val="Normal"/>
        <w:tabs>
          <w:tab w:val="left" w:pos="720" w:leader="none"/>
        </w:tabs>
        <w:spacing w:lineRule="exact" w:line="264" w:before="0" w:after="80"/>
        <w:ind w:hanging="360" w:start="720"/>
        <w:rPr/>
      </w:pPr>
      <w:r>
        <w:rPr>
          <w:rFonts w:eastAsia="Arial" w:cs="Arial"/>
          <w:sz w:val="21"/>
          <w:szCs w:val="21"/>
        </w:rPr>
        <w:t>b. Address fire, earthquake, power and utility failure, severe weather, and other hazards, including a plan to maintain resident safety and continuity of care and to account for all residents.</w:t>
      </w:r>
    </w:p>
    <w:p>
      <w:pPr>
        <w:pStyle w:val="Normal"/>
        <w:tabs>
          <w:tab w:val="left" w:pos="720" w:leader="none"/>
        </w:tabs>
        <w:spacing w:lineRule="exact" w:line="264" w:before="0" w:after="80"/>
        <w:ind w:hanging="360" w:start="720"/>
        <w:rPr/>
      </w:pPr>
      <w:r>
        <w:rPr>
          <w:rFonts w:eastAsia="Arial" w:cs="Arial"/>
          <w:sz w:val="21"/>
          <w:szCs w:val="21"/>
        </w:rPr>
        <w:t>c. Conduct and document fire and disaster drills on the schedule required by rule, on each shift as applicable, and take corrective action on identified gaps.</w:t>
      </w:r>
    </w:p>
    <w:p>
      <w:pPr>
        <w:pStyle w:val="Normal"/>
        <w:tabs>
          <w:tab w:val="left" w:pos="720" w:leader="none"/>
        </w:tabs>
        <w:spacing w:lineRule="exact" w:line="264" w:before="0" w:after="80"/>
        <w:ind w:hanging="360" w:start="720"/>
        <w:rPr/>
      </w:pPr>
      <w:r>
        <w:rPr>
          <w:rFonts w:eastAsia="Arial" w:cs="Arial"/>
          <w:sz w:val="21"/>
          <w:szCs w:val="21"/>
        </w:rPr>
        <w:t>d.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Disaster Plan (LIC 610E)</w:t>
      </w:r>
    </w:p>
    <w:p>
      <w:pPr>
        <w:pStyle w:val="ListParagraph"/>
        <w:numPr>
          <w:ilvl w:val="0"/>
          <w:numId w:val="1"/>
        </w:numPr>
        <w:spacing w:lineRule="exact" w:line="264" w:before="0" w:after="60"/>
        <w:rPr/>
      </w:pPr>
      <w:r>
        <w:rPr>
          <w:rFonts w:eastAsia="Arial" w:cs="Arial"/>
          <w:sz w:val="21"/>
          <w:szCs w:val="21"/>
        </w:rPr>
        <w:t>Fire &amp; Disaster Drill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Chapter 8; CDC/CDPH guidance; local public health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and the California Department of Public Health), including standard precautions, surveillance, staff training, and an outbreak-response protocol for communicable diseases including COVID-19, and shall report reportable and communicable diseases to public health authorities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infection control and PPE use, maintain policies for staff who are ill,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specifying cleaning and disinfection frequency for high-touch surfaces and shared equipment, empty waste containers in a timely manner,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local health department and, where required, to CCLD,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 Cal/OSHA T8 CCR § 5194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federal Hazard Communication Standard (29 CFR 1910.1200) and the California (Cal/OSHA) Hazard Communication Standard (Title 8 CCR § 5194).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the federal (OSHA 29 CFR 1910.1200) and California (Cal/OSHA Title 8 CCR § 5194) regulations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in a locked area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Environmental Safety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Environmental Safety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87303, 87307, 87555 (buildings, grounds, food)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 consistent with Title 22.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buildings, grounds, resident living areas, bathrooms, and common areas in a safe and sanitary condition, maintain required safety features, and provide safe food service that meets residents’ nutritional needs.</w:t>
      </w:r>
    </w:p>
    <w:p>
      <w:pPr>
        <w:pStyle w:val="Normal"/>
        <w:pBdr>
          <w:bottom w:val="single" w:sz="4" w:space="1" w:color="2E5E45"/>
        </w:pBdr>
        <w:spacing w:before="160" w:after="80"/>
        <w:rPr/>
      </w:pPr>
      <w:r>
        <w:rPr>
          <w:rFonts w:eastAsia="Arial" w:cs="Arial"/>
          <w:b/>
          <w:bCs/>
          <w:color w:val="1A4731"/>
          <w:sz w:val="20"/>
          <w:szCs w:val="20"/>
        </w:rPr>
        <w:t>PROCEDURE — PHYSICAL PLANT &amp; ENVIRONMENT</w:t>
      </w:r>
    </w:p>
    <w:p>
      <w:pPr>
        <w:pStyle w:val="Normal"/>
        <w:tabs>
          <w:tab w:val="left" w:pos="720" w:leader="none"/>
        </w:tabs>
        <w:spacing w:lineRule="exact" w:line="264" w:before="0" w:after="80"/>
        <w:ind w:hanging="360" w:start="720"/>
        <w:rPr/>
      </w:pPr>
      <w:r>
        <w:rPr>
          <w:rFonts w:eastAsia="Arial" w:cs="Arial"/>
          <w:sz w:val="21"/>
          <w:szCs w:val="21"/>
        </w:rPr>
        <w:t>a. Maintain buildings and grounds in good repair and in a safe, clean, and sanitary condition, with slip-resistant flooring maintained in good condition, adequate lighting, safe water temperature, and required safety features,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b. Maintain fire-safety systems and the fire clearance consistent with the Facility’s license and residents’ ambulatory status.</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modified diet, with menus planned, dated, and retained as required.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consistent with Title 22 and applicable food-safety requirements, and maintain the required food supply.</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Housekeeping &amp; Maintenance Log</w:t>
      </w:r>
    </w:p>
    <w:p>
      <w:pPr>
        <w:pStyle w:val="ListParagraph"/>
        <w:numPr>
          <w:ilvl w:val="0"/>
          <w:numId w:val="1"/>
        </w:numPr>
        <w:spacing w:lineRule="exact" w:line="264" w:before="0" w:after="60"/>
        <w:rPr/>
      </w:pPr>
      <w:r>
        <w:rPr>
          <w:rFonts w:eastAsia="Arial" w:cs="Arial"/>
          <w:sz w:val="21"/>
          <w:szCs w:val="21"/>
        </w:rPr>
        <w:t>Menu / Modified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quality improvement program aligned with Joint Commission Assisted Living Community principles, and — where the Facility serves residents with dementia — the additional Title 22 requirements for dementia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Dementia Care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87506, 87507;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Title 22.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record for each resident, protect the confidentiality and security of resident information consistent with HIPAA and California law, and make records available to the resident and to CCLD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admission agreement; the physician’s report (LIC 602A); the appraisal and individualized service plan; the medication administration record; records of services provided; and unusual-incident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 using person-first language.</w:t>
      </w:r>
    </w:p>
    <w:p>
      <w:pPr>
        <w:pStyle w:val="Normal"/>
        <w:tabs>
          <w:tab w:val="left" w:pos="720" w:leader="none"/>
        </w:tabs>
        <w:spacing w:lineRule="exact" w:line="264" w:before="0" w:after="80"/>
        <w:ind w:hanging="360" w:start="720"/>
        <w:rPr/>
      </w:pPr>
      <w:r>
        <w:rPr>
          <w:rFonts w:eastAsia="Arial" w:cs="Arial"/>
          <w:sz w:val="21"/>
          <w:szCs w:val="21"/>
        </w:rPr>
        <w:t>c. Retain records for the period required by Title 22 and make them available to CCLD on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Chapter 8;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licensee and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unusual incidents for patterns, and report to the licensee/administrator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Dementia Care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Dementia Care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22 CCR §§ 87705, 87706, 87707 (residents with dementia)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accepts or retains residents with dementia, including in a secured perimeter, consistent with Title 22’s requirements for care of residents with dementia. This policy applies only where the Facility serves such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accepts or retains residents with dementia, it shall provide the additional planning, staffing, training, physical-environment, and safety measures required by Title 22 for residents with dementia,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PLANNING, STAFFING &amp; TRAINING</w:t>
      </w:r>
    </w:p>
    <w:p>
      <w:pPr>
        <w:pStyle w:val="Normal"/>
        <w:tabs>
          <w:tab w:val="left" w:pos="720" w:leader="none"/>
        </w:tabs>
        <w:spacing w:lineRule="exact" w:line="264" w:before="0" w:after="80"/>
        <w:ind w:hanging="360" w:start="720"/>
        <w:rPr/>
      </w:pPr>
      <w:r>
        <w:rPr>
          <w:rFonts w:eastAsia="Arial" w:cs="Arial"/>
          <w:sz w:val="21"/>
          <w:szCs w:val="21"/>
        </w:rPr>
        <w:t>a. Assess each resident with dementia and address cognitive status, behavioral support needs, and elopement and safety risk in the individualized service plan, and reassess when the condition changes.</w:t>
      </w:r>
    </w:p>
    <w:p>
      <w:pPr>
        <w:pStyle w:val="Normal"/>
        <w:tabs>
          <w:tab w:val="left" w:pos="720" w:leader="none"/>
        </w:tabs>
        <w:spacing w:lineRule="exact" w:line="264" w:before="0" w:after="80"/>
        <w:ind w:hanging="360" w:start="720"/>
        <w:rPr/>
      </w:pPr>
      <w:r>
        <w:rPr>
          <w:rFonts w:eastAsia="Arial" w:cs="Arial"/>
          <w:sz w:val="21"/>
          <w:szCs w:val="21"/>
        </w:rPr>
        <w:t>b. Provide sufficient staff, awake and on duty as required, to meet the needs and ensure the safety of residents with dementia.</w:t>
      </w:r>
    </w:p>
    <w:p>
      <w:pPr>
        <w:pStyle w:val="Normal"/>
        <w:tabs>
          <w:tab w:val="left" w:pos="720" w:leader="none"/>
        </w:tabs>
        <w:spacing w:lineRule="exact" w:line="264" w:before="0" w:after="80"/>
        <w:ind w:hanging="360" w:start="720"/>
        <w:rPr/>
      </w:pPr>
      <w:r>
        <w:rPr>
          <w:rFonts w:eastAsia="Arial" w:cs="Arial"/>
          <w:sz w:val="21"/>
          <w:szCs w:val="21"/>
        </w:rPr>
        <w:t>c. Ensure staff serving residents with dementia complete the required dementia-specific initial training before working independently with those residents, and the required annual dementia-specific continuing hours.</w:t>
      </w:r>
    </w:p>
    <w:p>
      <w:pPr>
        <w:pStyle w:val="Normal"/>
        <w:pBdr>
          <w:bottom w:val="single" w:sz="4" w:space="1" w:color="2E5E45"/>
        </w:pBdr>
        <w:spacing w:before="160" w:after="80"/>
        <w:rPr/>
      </w:pPr>
      <w:r>
        <w:rPr>
          <w:rFonts w:eastAsia="Arial" w:cs="Arial"/>
          <w:b/>
          <w:bCs/>
          <w:color w:val="1A4731"/>
          <w:sz w:val="20"/>
          <w:szCs w:val="20"/>
        </w:rPr>
        <w:t>PROCEDURE — SECURED ENVIRONMENT &amp; SAFETY</w:t>
      </w:r>
    </w:p>
    <w:p>
      <w:pPr>
        <w:pStyle w:val="Normal"/>
        <w:tabs>
          <w:tab w:val="left" w:pos="720" w:leader="none"/>
        </w:tabs>
        <w:spacing w:lineRule="exact" w:line="264" w:before="0" w:after="80"/>
        <w:ind w:hanging="360" w:start="720"/>
        <w:rPr/>
      </w:pPr>
      <w:r>
        <w:rPr>
          <w:rFonts w:eastAsia="Arial" w:cs="Arial"/>
          <w:sz w:val="21"/>
          <w:szCs w:val="21"/>
        </w:rPr>
        <w:t>d. Where the Facility uses delayed-egress or secured perimeters (locked or secured environments) for residents with dementia, maintain them consistent with Title 22 and fire-safety code, including required fire-clearance approval and egress that does not depend on the resident’s knowledge or a key.</w:t>
      </w:r>
    </w:p>
    <w:p>
      <w:pPr>
        <w:pStyle w:val="Normal"/>
        <w:tabs>
          <w:tab w:val="left" w:pos="720" w:leader="none"/>
        </w:tabs>
        <w:spacing w:lineRule="exact" w:line="264" w:before="0" w:after="80"/>
        <w:ind w:hanging="360" w:start="720"/>
        <w:rPr/>
      </w:pPr>
      <w:r>
        <w:rPr>
          <w:rFonts w:eastAsia="Arial" w:cs="Arial"/>
          <w:sz w:val="21"/>
          <w:szCs w:val="21"/>
        </w:rPr>
        <w:t>e. Provide dementia-appropriate activities and use non-restraint approaches to behavioral expressions of unmet need, with behavior-related PRN medication used only as justified and with outcomes documented.</w:t>
      </w:r>
    </w:p>
    <w:p>
      <w:pPr>
        <w:pStyle w:val="Normal"/>
        <w:tabs>
          <w:tab w:val="left" w:pos="720" w:leader="none"/>
        </w:tabs>
        <w:spacing w:lineRule="exact" w:line="264" w:before="0" w:after="80"/>
        <w:ind w:hanging="360" w:start="720"/>
        <w:rPr/>
      </w:pPr>
      <w:r>
        <w:rPr>
          <w:rFonts w:eastAsia="Arial" w:cs="Arial"/>
          <w:sz w:val="21"/>
          <w:szCs w:val="21"/>
        </w:rPr>
        <w:t>f. Provide the required disclosures to residents and representatives about the dementia-care services and any secured setting, and review dementia-related incidents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Dementia Service Plan &amp; Reassessment</w:t>
      </w:r>
    </w:p>
    <w:p>
      <w:pPr>
        <w:pStyle w:val="ListParagraph"/>
        <w:numPr>
          <w:ilvl w:val="0"/>
          <w:numId w:val="1"/>
        </w:numPr>
        <w:spacing w:lineRule="exact" w:line="264" w:before="0" w:after="60"/>
        <w:rPr/>
      </w:pPr>
      <w:r>
        <w:rPr>
          <w:rFonts w:eastAsia="Arial" w:cs="Arial"/>
          <w:sz w:val="21"/>
          <w:szCs w:val="21"/>
        </w:rPr>
        <w:t>Dementia Training Records (initial &amp; annual)</w:t>
      </w:r>
    </w:p>
    <w:p>
      <w:pPr>
        <w:pStyle w:val="ListParagraph"/>
        <w:numPr>
          <w:ilvl w:val="0"/>
          <w:numId w:val="1"/>
        </w:numPr>
        <w:spacing w:lineRule="exact" w:line="264" w:before="0" w:after="60"/>
        <w:rPr/>
      </w:pPr>
      <w:r>
        <w:rPr>
          <w:rFonts w:eastAsia="Arial" w:cs="Arial"/>
          <w:sz w:val="21"/>
          <w:szCs w:val="21"/>
        </w:rPr>
        <w:t>Secured Perimeter / Delayed-Egress Safety Check</w:t>
      </w:r>
    </w:p>
    <w:p>
      <w:pPr>
        <w:pStyle w:val="ListParagraph"/>
        <w:numPr>
          <w:ilvl w:val="0"/>
          <w:numId w:val="1"/>
        </w:numPr>
        <w:spacing w:lineRule="exact" w:line="264" w:before="0" w:after="60"/>
        <w:rPr/>
      </w:pPr>
      <w:r>
        <w:rPr>
          <w:rFonts w:eastAsia="Arial" w:cs="Arial"/>
          <w:sz w:val="21"/>
          <w:szCs w:val="21"/>
        </w:rPr>
        <w:t>Dementia Care Disclosure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(including California’s official LIC/PUB forms by number), a directory of California agencies and resources, guidance on customizing the manual, and a personal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California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Personal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Several are official California LIC/PUB forms incorporated by reference in Title 22; obtain the current versions from CDSS. The Facility should maintain a current copy of each and customize its own supporting forms as needed.</w:t>
      </w:r>
    </w:p>
    <w:p>
      <w:pPr>
        <w:pStyle w:val="ListParagraph"/>
        <w:numPr>
          <w:ilvl w:val="0"/>
          <w:numId w:val="1"/>
        </w:numPr>
        <w:spacing w:lineRule="exact" w:line="264" w:before="0" w:after="60"/>
        <w:rPr/>
      </w:pPr>
      <w:r>
        <w:rPr>
          <w:rFonts w:eastAsia="Arial" w:cs="Arial"/>
          <w:sz w:val="21"/>
          <w:szCs w:val="21"/>
        </w:rPr>
        <w:t>Physician’s Report for RCFE (LIC 602A)</w:t>
      </w:r>
    </w:p>
    <w:p>
      <w:pPr>
        <w:pStyle w:val="ListParagraph"/>
        <w:numPr>
          <w:ilvl w:val="0"/>
          <w:numId w:val="1"/>
        </w:numPr>
        <w:spacing w:lineRule="exact" w:line="264" w:before="0" w:after="60"/>
        <w:rPr/>
      </w:pPr>
      <w:r>
        <w:rPr>
          <w:rFonts w:eastAsia="Arial" w:cs="Arial"/>
          <w:sz w:val="21"/>
          <w:szCs w:val="21"/>
        </w:rPr>
        <w:t>Preadmission Appraisal / Resident Appraisal</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Admission Agreement (incl. firearm policy disclosure, H&amp;S § 1569.282)</w:t>
      </w:r>
    </w:p>
    <w:p>
      <w:pPr>
        <w:pStyle w:val="ListParagraph"/>
        <w:numPr>
          <w:ilvl w:val="0"/>
          <w:numId w:val="1"/>
        </w:numPr>
        <w:spacing w:lineRule="exact" w:line="264" w:before="0" w:after="60"/>
        <w:rPr/>
      </w:pPr>
      <w:r>
        <w:rPr>
          <w:rFonts w:eastAsia="Arial" w:cs="Arial"/>
          <w:sz w:val="21"/>
          <w:szCs w:val="21"/>
        </w:rPr>
        <w:t>Personal Rights Acknowledgment (LIC 613C)</w:t>
      </w:r>
    </w:p>
    <w:p>
      <w:pPr>
        <w:pStyle w:val="ListParagraph"/>
        <w:numPr>
          <w:ilvl w:val="0"/>
          <w:numId w:val="1"/>
        </w:numPr>
        <w:spacing w:lineRule="exact" w:line="264" w:before="0" w:after="60"/>
        <w:rPr/>
      </w:pPr>
      <w:r>
        <w:rPr>
          <w:rFonts w:eastAsia="Arial" w:cs="Arial"/>
          <w:sz w:val="21"/>
          <w:szCs w:val="21"/>
        </w:rPr>
        <w:t>RCFE Complaint Poster (PUB 475)</w:t>
      </w:r>
    </w:p>
    <w:p>
      <w:pPr>
        <w:pStyle w:val="ListParagraph"/>
        <w:numPr>
          <w:ilvl w:val="0"/>
          <w:numId w:val="1"/>
        </w:numPr>
        <w:spacing w:lineRule="exact" w:line="264" w:before="0" w:after="60"/>
        <w:rPr/>
      </w:pPr>
      <w:r>
        <w:rPr>
          <w:rFonts w:eastAsia="Arial" w:cs="Arial"/>
          <w:sz w:val="21"/>
          <w:szCs w:val="21"/>
        </w:rPr>
        <w:t>Notice of Eviction / Relocation</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Unusual Incident / Injury Report (LIC 624 / 624A)</w:t>
      </w:r>
    </w:p>
    <w:p>
      <w:pPr>
        <w:pStyle w:val="ListParagraph"/>
        <w:numPr>
          <w:ilvl w:val="0"/>
          <w:numId w:val="1"/>
        </w:numPr>
        <w:spacing w:lineRule="exact" w:line="264" w:before="0" w:after="60"/>
        <w:rPr/>
      </w:pPr>
      <w:r>
        <w:rPr>
          <w:rFonts w:eastAsia="Arial" w:cs="Arial"/>
          <w:sz w:val="21"/>
          <w:szCs w:val="21"/>
        </w:rPr>
        <w:t>Mandated Reporter Abuse Report (SOC 341)</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Cash/Property Authorization &amp; Ledger</w:t>
      </w:r>
    </w:p>
    <w:p>
      <w:pPr>
        <w:pStyle w:val="ListParagraph"/>
        <w:numPr>
          <w:ilvl w:val="0"/>
          <w:numId w:val="1"/>
        </w:numPr>
        <w:spacing w:lineRule="exact" w:line="264" w:before="0" w:after="60"/>
        <w:rPr/>
      </w:pPr>
      <w:r>
        <w:rPr>
          <w:rFonts w:eastAsia="Arial" w:cs="Arial"/>
          <w:sz w:val="21"/>
          <w:szCs w:val="21"/>
        </w:rPr>
        <w:t>Surety Bond Documentation</w:t>
      </w:r>
    </w:p>
    <w:p>
      <w:pPr>
        <w:pStyle w:val="ListParagraph"/>
        <w:numPr>
          <w:ilvl w:val="0"/>
          <w:numId w:val="1"/>
        </w:numPr>
        <w:spacing w:lineRule="exact" w:line="264" w:before="0" w:after="60"/>
        <w:rPr/>
      </w:pPr>
      <w:r>
        <w:rPr>
          <w:rFonts w:eastAsia="Arial" w:cs="Arial"/>
          <w:sz w:val="21"/>
          <w:szCs w:val="21"/>
        </w:rPr>
        <w:t>Zoning / Use Confirmation</w:t>
      </w:r>
    </w:p>
    <w:p>
      <w:pPr>
        <w:pStyle w:val="ListParagraph"/>
        <w:numPr>
          <w:ilvl w:val="0"/>
          <w:numId w:val="1"/>
        </w:numPr>
        <w:spacing w:lineRule="exact" w:line="264" w:before="0" w:after="60"/>
        <w:rPr/>
      </w:pPr>
      <w:r>
        <w:rPr>
          <w:rFonts w:eastAsia="Arial" w:cs="Arial"/>
          <w:sz w:val="21"/>
          <w:szCs w:val="21"/>
        </w:rPr>
        <w:t>Fire Clearance (fire authority approval)</w:t>
      </w:r>
    </w:p>
    <w:p>
      <w:pPr>
        <w:pStyle w:val="ListParagraph"/>
        <w:numPr>
          <w:ilvl w:val="0"/>
          <w:numId w:val="1"/>
        </w:numPr>
        <w:spacing w:lineRule="exact" w:line="264" w:before="0" w:after="60"/>
        <w:rPr/>
      </w:pPr>
      <w:r>
        <w:rPr>
          <w:rFonts w:eastAsia="Arial" w:cs="Arial"/>
          <w:sz w:val="21"/>
          <w:szCs w:val="21"/>
        </w:rPr>
        <w:t>Live Scan Request (LIC 9163)</w:t>
      </w:r>
    </w:p>
    <w:p>
      <w:pPr>
        <w:pStyle w:val="ListParagraph"/>
        <w:numPr>
          <w:ilvl w:val="0"/>
          <w:numId w:val="1"/>
        </w:numPr>
        <w:spacing w:lineRule="exact" w:line="264" w:before="0" w:after="60"/>
        <w:rPr/>
      </w:pPr>
      <w:r>
        <w:rPr>
          <w:rFonts w:eastAsia="Arial" w:cs="Arial"/>
          <w:sz w:val="21"/>
          <w:szCs w:val="21"/>
        </w:rPr>
        <w:t>Criminal Record Statement (LIC 508)</w:t>
      </w:r>
    </w:p>
    <w:p>
      <w:pPr>
        <w:pStyle w:val="ListParagraph"/>
        <w:numPr>
          <w:ilvl w:val="0"/>
          <w:numId w:val="1"/>
        </w:numPr>
        <w:spacing w:lineRule="exact" w:line="264" w:before="0" w:after="60"/>
        <w:rPr/>
      </w:pPr>
      <w:r>
        <w:rPr>
          <w:rFonts w:eastAsia="Arial" w:cs="Arial"/>
          <w:sz w:val="21"/>
          <w:szCs w:val="21"/>
        </w:rPr>
        <w:t>TB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Initial Training Checklist</w:t>
      </w:r>
    </w:p>
    <w:p>
      <w:pPr>
        <w:pStyle w:val="ListParagraph"/>
        <w:numPr>
          <w:ilvl w:val="0"/>
          <w:numId w:val="1"/>
        </w:numPr>
        <w:spacing w:lineRule="exact" w:line="264" w:before="0" w:after="60"/>
        <w:rPr/>
      </w:pPr>
      <w:r>
        <w:rPr>
          <w:rFonts w:eastAsia="Arial" w:cs="Arial"/>
          <w:sz w:val="21"/>
          <w:szCs w:val="21"/>
        </w:rPr>
        <w:t>Annual Continuing-Education Log</w:t>
      </w:r>
    </w:p>
    <w:p>
      <w:pPr>
        <w:pStyle w:val="ListParagraph"/>
        <w:numPr>
          <w:ilvl w:val="0"/>
          <w:numId w:val="1"/>
        </w:numPr>
        <w:spacing w:lineRule="exact" w:line="264" w:before="0" w:after="60"/>
        <w:rPr/>
      </w:pPr>
      <w:r>
        <w:rPr>
          <w:rFonts w:eastAsia="Arial" w:cs="Arial"/>
          <w:sz w:val="21"/>
          <w:szCs w:val="21"/>
        </w:rPr>
        <w:t>Competency Assessment Record</w:t>
      </w:r>
    </w:p>
    <w:p>
      <w:pPr>
        <w:pStyle w:val="ListParagraph"/>
        <w:numPr>
          <w:ilvl w:val="0"/>
          <w:numId w:val="1"/>
        </w:numPr>
        <w:spacing w:lineRule="exact" w:line="264" w:before="0" w:after="60"/>
        <w:rPr/>
      </w:pPr>
      <w:r>
        <w:rPr>
          <w:rFonts w:eastAsia="Arial" w:cs="Arial"/>
          <w:sz w:val="21"/>
          <w:szCs w:val="21"/>
        </w:rPr>
        <w:t>Administrator Certificate &amp; CE Verification</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First Aid / CPR Certification Records</w:t>
      </w:r>
    </w:p>
    <w:p>
      <w:pPr>
        <w:pStyle w:val="ListParagraph"/>
        <w:numPr>
          <w:ilvl w:val="0"/>
          <w:numId w:val="1"/>
        </w:numPr>
        <w:spacing w:lineRule="exact" w:line="264" w:before="0" w:after="60"/>
        <w:rPr/>
      </w:pPr>
      <w:r>
        <w:rPr>
          <w:rFonts w:eastAsia="Arial" w:cs="Arial"/>
          <w:sz w:val="21"/>
          <w:szCs w:val="21"/>
        </w:rPr>
        <w:t>Resident Appraisal / Reappraisal</w:t>
      </w:r>
    </w:p>
    <w:p>
      <w:pPr>
        <w:pStyle w:val="ListParagraph"/>
        <w:numPr>
          <w:ilvl w:val="0"/>
          <w:numId w:val="1"/>
        </w:numPr>
        <w:spacing w:lineRule="exact" w:line="264" w:before="0" w:after="60"/>
        <w:rPr/>
      </w:pPr>
      <w:r>
        <w:rPr>
          <w:rFonts w:eastAsia="Arial" w:cs="Arial"/>
          <w:sz w:val="21"/>
          <w:szCs w:val="21"/>
        </w:rPr>
        <w:t>ADL /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Menu / Modified Diet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Centrally Stored Medication Log</w:t>
      </w:r>
    </w:p>
    <w:p>
      <w:pPr>
        <w:pStyle w:val="ListParagraph"/>
        <w:numPr>
          <w:ilvl w:val="0"/>
          <w:numId w:val="1"/>
        </w:numPr>
        <w:spacing w:lineRule="exact" w:line="264" w:before="0" w:after="60"/>
        <w:rPr/>
      </w:pPr>
      <w:r>
        <w:rPr>
          <w:rFonts w:eastAsia="Arial" w:cs="Arial"/>
          <w:sz w:val="21"/>
          <w:szCs w:val="21"/>
        </w:rPr>
        <w:t>PRN Medication Instruction &amp; Outcome Record</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Disaster Plan (LIC 610E)</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Dementia Service Plan &amp; Training Records (if serving residents with dementia)</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California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forms,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Department of Social Services (CDSS), Community Care Licensing Division (CCLD)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22 CCR, Division 6, Chapter 8 — Residential Care Facilities for the Elderly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RCFE Act — Health &amp; Safety Code § 1569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CCLD Live Scan (LIC 9163); Criminal Record Statement (LIC 508); H&amp;S § 1569.17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Administrator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CDSS Administrator Certification Program (80-hour Initial Certification; state exam)</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Adult Protective Services (APS); Elder Abuse Act, Welf. &amp; Inst. Code § 15630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Long-Term Care Ombudsman (CRISISline 1-800-231-4024)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public health department; California Department of Public Health (CDPH)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 /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planning department and city/county fire department or State Fire Marshal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California’s Residential Care Facilities for the Elderly regulations (Title 22 CCR, Division 6, Chapter 8) and the RCFE Act (Health &amp; Safety Code § 1569 et seq.),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RESIDENTIAL CARE FACILITY FOR THE ELDERLY (RCFE) — California’s license for what is commonly called assisted living, serving persons age 60 and older who do not require skilled nursing care. It is a single license type regardless of size; administrator qualifications and some requirements scale with the number of residents.</w:t>
      </w:r>
    </w:p>
    <w:p>
      <w:pPr>
        <w:pStyle w:val="Normal"/>
        <w:spacing w:lineRule="exact" w:line="276" w:before="0" w:after="120"/>
        <w:rPr/>
      </w:pPr>
      <w:r>
        <w:rPr>
          <w:rFonts w:eastAsia="Arial" w:cs="Arial"/>
          <w:sz w:val="21"/>
          <w:szCs w:val="21"/>
        </w:rPr>
        <w:t>Official California forms. This manual references California’s official LIC and PUB forms (for example, LIC 602A, LIC 610E, LIC 613C, LIC 624, PUB 475) by number so you can recognize and use them. It does not reproduce those state forms; obtain the current versions directly from CDSS and use them alongside this manual.</w:t>
      </w:r>
    </w:p>
    <w:p>
      <w:pPr>
        <w:pStyle w:val="Normal"/>
        <w:spacing w:lineRule="exact" w:line="276" w:before="0" w:after="120"/>
        <w:rPr/>
      </w:pPr>
      <w:r>
        <w:rPr>
          <w:rFonts w:eastAsia="Arial" w:cs="Arial"/>
          <w:sz w:val="21"/>
          <w:szCs w:val="21"/>
        </w:rPr>
        <w:t>Dementia care. Where the Facility accepts or retains residents with dementia (including in a secured or delayed-egress setting), the Dementia Care policy applies the additional Title 22 requirements; use it only if you serve such residents.</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CCLD inspection; confirm your administrator certification, criminal record clearances, fire clearance, and current LIC forms;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Personal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personal rights as a resident of this residential care facility for the elderly under Title 22 (§ 87468), including the Facility’s obligations, the procedures for raising a grievance, and the contact information for the Long-Term Care Ombudsman and the Community Care Licensing Division.</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California — Residential Care Facility for the Elderly (RCFE)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California — Residential Care Facility for the Elderly (RCFE)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2026-07-01T13:25:18Z</dcterms:created>
  <dc:creator>PolicyReady.org</dc:creator>
  <dc:description/>
  <dc:language>en-US</dc:language>
  <cp:lastModifiedBy>Un-named</cp:lastModifiedBy>
  <dcterms:modified xsi:type="dcterms:W3CDTF">2026-07-01T13:25:18Z</dcterms:modified>
  <cp:revision>1</cp:revision>
  <dc:subject/>
  <dc:title>California Residential Care Facility for the Elderly (RCFE) Policy &amp; Procedure Manual</dc:title>
</cp:coreProperties>
</file>