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COLORADO</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32"/>
          <w:szCs w:val="32"/>
        </w:rPr>
        <w:t>Assisted Living Residence</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[Residence Name]</w:t>
      </w:r>
    </w:p>
    <w:p>
      <w:pPr>
        <w:pStyle w:val="Normal"/>
        <w:spacing w:before="60" w:after="0"/>
        <w:jc w:val="center"/>
        <w:rPr/>
      </w:pPr>
      <w:r>
        <w:rPr>
          <w:rFonts w:eastAsia="Arial" w:cs="Arial"/>
          <w:color w:val="666666"/>
          <w:sz w:val="20"/>
          <w:szCs w:val="20"/>
        </w:rPr>
        <w:t>[Address]   •   [License Number]</w:t>
      </w:r>
    </w:p>
    <w:p>
      <w:pPr>
        <w:pStyle w:val="Normal"/>
        <w:spacing w:before="1600" w:after="0"/>
        <w:jc w:val="center"/>
        <w:rPr/>
      </w:pPr>
      <w:r>
        <w:rPr>
          <w:rFonts w:eastAsia="Arial" w:cs="Arial"/>
          <w:color w:val="666666"/>
          <w:sz w:val="18"/>
          <w:szCs w:val="18"/>
        </w:rPr>
        <w:t>Aligned to 6 CCR 1011-1, Chapter 7 (eff. March 17, 2025)</w:t>
      </w:r>
    </w:p>
    <w:p>
      <w:pPr>
        <w:pStyle w:val="Normal"/>
        <w:spacing w:before="60" w:after="0"/>
        <w:jc w:val="center"/>
        <w:rPr/>
      </w:pPr>
      <w:r>
        <w:rPr>
          <w:rFonts w:eastAsia="Arial" w:cs="Arial"/>
          <w:color w:val="666666"/>
          <w:sz w:val="18"/>
          <w:szCs w:val="18"/>
        </w:rPr>
        <w:t>and the Joint Commission Assisted Living Community framework</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Administration &amp; Governance</w:t>
      </w:r>
    </w:p>
    <w:p>
      <w:pPr>
        <w:pStyle w:val="Normal"/>
        <w:spacing w:lineRule="exact" w:line="288" w:before="0" w:after="240"/>
        <w:rPr/>
      </w:pPr>
      <w:r>
        <w:rPr>
          <w:rFonts w:eastAsia="Arial" w:cs="Arial"/>
          <w:color w:val="444444"/>
          <w:sz w:val="22"/>
          <w:szCs w:val="22"/>
        </w:rPr>
        <w:t>This section establishes how the Residence is governed and how it admits, contracts with, protects, and resolves concerns for the people it serves. It covers who may be admitted, the rights every resident retains, and the financial and land-use obligations that sit beneath the license.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Admission, Move-In Criteria &amp; Resident Agreement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Resident Rights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Grievance &amp; Complaint Resolution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Management of Resident Funds &amp; Property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Zoning &amp; Local Land Use Compliance</w:t>
      </w:r>
    </w:p>
    <w:p>
      <w:pPr>
        <w:pStyle w:val="Normal"/>
        <w:rPr/>
      </w:pPr>
      <w:r>
        <w:rPr/>
      </w:r>
      <w:r>
        <w:br w:type="page"/>
      </w:r>
    </w:p>
    <w:p>
      <w:pPr>
        <w:pStyle w:val="Heading2"/>
        <w:spacing w:before="0" w:after="120"/>
        <w:rPr/>
      </w:pPr>
      <w:r>
        <w:rPr>
          <w:rFonts w:eastAsia="Arial" w:cs="Arial" w:ascii="Arial" w:hAnsi="Arial"/>
          <w:b/>
          <w:bCs/>
          <w:color w:val="1A4731"/>
          <w:sz w:val="26"/>
          <w:szCs w:val="26"/>
        </w:rPr>
        <w:t>1.00  Admission, Move-In Criteria &amp; Resident Agreement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Admission, Move-In Criteria &amp; Resident Agreement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6 CCR 1011-1, Ch. 7, Part 11; C.R.S. 25-27-101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criteria and procedures for resident admission that ensure the Residence accepts only those persons whose needs can be fully met by the existing staff, physical environment, and services provided, consistent with 6 CCR 1011-1, Chapter 7, Part 11.</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Residence shall accept only those persons whose physical, mental, and social needs can be fully met by existing staff, the physical environment, and the services already being provided. Admission decisions shall be based on a comprehensive pre-admission assessment of the prospective resident’s physical, mental, and social needs; cultural, religious, and activity needs; preferences; and capacity for self-care.</w:t>
      </w:r>
    </w:p>
    <w:p>
      <w:pPr>
        <w:pStyle w:val="Normal"/>
        <w:spacing w:lineRule="exact" w:line="276" w:before="0" w:after="120"/>
        <w:rPr/>
      </w:pPr>
      <w:r>
        <w:rPr>
          <w:rFonts w:eastAsia="Arial" w:cs="Arial"/>
          <w:sz w:val="21"/>
          <w:szCs w:val="21"/>
        </w:rPr>
        <w:t>The Residence shall not admit or retain any person who meets one or more of the move-in restriction criteria below, except as specifically permitted by regulation.</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Comprehensive Pre-Admission Assessment — the evaluation of a prospective resident’s needs and capacity for self-care completed before move-in and used to determine whether the Residence can meet the person’s needs.</w:t>
      </w:r>
    </w:p>
    <w:p>
      <w:pPr>
        <w:pStyle w:val="Normal"/>
        <w:spacing w:lineRule="exact" w:line="276" w:before="0" w:after="120"/>
        <w:rPr/>
      </w:pPr>
      <w:r>
        <w:rPr>
          <w:rFonts w:eastAsia="Arial" w:cs="Arial"/>
          <w:sz w:val="21"/>
          <w:szCs w:val="21"/>
        </w:rPr>
        <w:t>Resident Agreement — the written agreement between the Residence and the resident (and/or legal representative) describing services, charges, rights, and the terms of residency.</w:t>
      </w:r>
    </w:p>
    <w:p>
      <w:pPr>
        <w:pStyle w:val="Normal"/>
        <w:pBdr>
          <w:bottom w:val="single" w:sz="4" w:space="1" w:color="2E5E45"/>
        </w:pBdr>
        <w:spacing w:before="160" w:after="80"/>
        <w:rPr/>
      </w:pPr>
      <w:r>
        <w:rPr>
          <w:rFonts w:eastAsia="Arial" w:cs="Arial"/>
          <w:b/>
          <w:bCs/>
          <w:color w:val="1A4731"/>
          <w:sz w:val="20"/>
          <w:szCs w:val="20"/>
        </w:rPr>
        <w:t>PROCEDURE — PRE-ADMISSION ASSESSMENT</w:t>
      </w:r>
    </w:p>
    <w:p>
      <w:pPr>
        <w:pStyle w:val="Normal"/>
        <w:tabs>
          <w:tab w:val="left" w:pos="720" w:leader="none"/>
        </w:tabs>
        <w:spacing w:lineRule="exact" w:line="264" w:before="0" w:after="80"/>
        <w:ind w:hanging="360" w:start="720"/>
        <w:rPr/>
      </w:pPr>
      <w:r>
        <w:rPr>
          <w:rFonts w:eastAsia="Arial" w:cs="Arial"/>
          <w:sz w:val="21"/>
          <w:szCs w:val="21"/>
        </w:rPr>
        <w:t>a. Complete a comprehensive pre-admission assessment of the prospective resident’s physical, mental, and social needs; cultural, religious, and activity needs; preferences; and capacity for self-care before any admission decision is made.</w:t>
      </w:r>
    </w:p>
    <w:p>
      <w:pPr>
        <w:pStyle w:val="Normal"/>
        <w:tabs>
          <w:tab w:val="left" w:pos="720" w:leader="none"/>
        </w:tabs>
        <w:spacing w:lineRule="exact" w:line="264" w:before="0" w:after="80"/>
        <w:ind w:hanging="360" w:start="720"/>
        <w:rPr/>
      </w:pPr>
      <w:r>
        <w:rPr>
          <w:rFonts w:eastAsia="Arial" w:cs="Arial"/>
          <w:sz w:val="21"/>
          <w:szCs w:val="21"/>
        </w:rPr>
        <w:t>b. Determine whether the Residence’s staff, physical environment, and services can fully meet the identified needs. Document the basis for the determination.</w:t>
      </w:r>
    </w:p>
    <w:p>
      <w:pPr>
        <w:pStyle w:val="Normal"/>
        <w:tabs>
          <w:tab w:val="left" w:pos="720" w:leader="none"/>
        </w:tabs>
        <w:spacing w:lineRule="exact" w:line="264" w:before="0" w:after="80"/>
        <w:ind w:hanging="360" w:start="720"/>
        <w:rPr/>
      </w:pPr>
      <w:r>
        <w:rPr>
          <w:rFonts w:eastAsia="Arial" w:cs="Arial"/>
          <w:sz w:val="21"/>
          <w:szCs w:val="21"/>
        </w:rPr>
        <w:t>c. If the prospective resident’s needs cannot be fully met, the Residence shall not admit the person and shall, where appropriate, provide referral information.</w:t>
      </w:r>
    </w:p>
    <w:p>
      <w:pPr>
        <w:pStyle w:val="Normal"/>
        <w:pBdr>
          <w:bottom w:val="single" w:sz="4" w:space="1" w:color="2E5E45"/>
        </w:pBdr>
        <w:spacing w:before="160" w:after="80"/>
        <w:rPr/>
      </w:pPr>
      <w:r>
        <w:rPr>
          <w:rFonts w:eastAsia="Arial" w:cs="Arial"/>
          <w:b/>
          <w:bCs/>
          <w:color w:val="1A4731"/>
          <w:sz w:val="20"/>
          <w:szCs w:val="20"/>
        </w:rPr>
        <w:t>PROCEDURE — MOVE-IN RESTRICTIONS</w:t>
      </w:r>
    </w:p>
    <w:p>
      <w:pPr>
        <w:pStyle w:val="Normal"/>
        <w:spacing w:lineRule="exact" w:line="276" w:before="0" w:after="120"/>
        <w:rPr/>
      </w:pPr>
      <w:r>
        <w:rPr>
          <w:rFonts w:eastAsia="Arial" w:cs="Arial"/>
          <w:sz w:val="21"/>
          <w:szCs w:val="21"/>
        </w:rPr>
        <w:t>The Residence shall not admit or retain a person who:</w:t>
      </w:r>
    </w:p>
    <w:p>
      <w:pPr>
        <w:pStyle w:val="Normal"/>
        <w:tabs>
          <w:tab w:val="left" w:pos="720" w:leader="none"/>
        </w:tabs>
        <w:spacing w:lineRule="exact" w:line="264" w:before="0" w:after="80"/>
        <w:ind w:hanging="360" w:start="720"/>
        <w:rPr/>
      </w:pPr>
      <w:r>
        <w:rPr>
          <w:rFonts w:eastAsia="Arial" w:cs="Arial"/>
          <w:sz w:val="21"/>
          <w:szCs w:val="21"/>
        </w:rPr>
        <w:t>d. Requires twenty-four-hour medical or skilled nursing care on an ongoing basis;</w:t>
      </w:r>
    </w:p>
    <w:p>
      <w:pPr>
        <w:pStyle w:val="Normal"/>
        <w:tabs>
          <w:tab w:val="left" w:pos="720" w:leader="none"/>
        </w:tabs>
        <w:spacing w:lineRule="exact" w:line="264" w:before="0" w:after="80"/>
        <w:ind w:hanging="360" w:start="720"/>
        <w:rPr/>
      </w:pPr>
      <w:r>
        <w:rPr>
          <w:rFonts w:eastAsia="Arial" w:cs="Arial"/>
          <w:sz w:val="21"/>
          <w:szCs w:val="21"/>
        </w:rPr>
        <w:t>e. Is incapable of self-administration of medication and the Residence does not have staff who are licensed or qualified under 6 CCR 1011-1, Chapter 24 to administer medications;</w:t>
      </w:r>
    </w:p>
    <w:p>
      <w:pPr>
        <w:pStyle w:val="Normal"/>
        <w:tabs>
          <w:tab w:val="left" w:pos="720" w:leader="none"/>
        </w:tabs>
        <w:spacing w:lineRule="exact" w:line="264" w:before="0" w:after="80"/>
        <w:ind w:hanging="360" w:start="720"/>
        <w:rPr/>
      </w:pPr>
      <w:r>
        <w:rPr>
          <w:rFonts w:eastAsia="Arial" w:cs="Arial"/>
          <w:sz w:val="21"/>
          <w:szCs w:val="21"/>
        </w:rPr>
        <w:t>f. Has an acute physical illness that cannot be managed through medication or prescribed therapy;</w:t>
      </w:r>
    </w:p>
    <w:p>
      <w:pPr>
        <w:pStyle w:val="Normal"/>
        <w:tabs>
          <w:tab w:val="left" w:pos="720" w:leader="none"/>
        </w:tabs>
        <w:spacing w:lineRule="exact" w:line="264" w:before="0" w:after="80"/>
        <w:ind w:hanging="360" w:start="720"/>
        <w:rPr/>
      </w:pPr>
      <w:r>
        <w:rPr>
          <w:rFonts w:eastAsia="Arial" w:cs="Arial"/>
          <w:sz w:val="21"/>
          <w:szCs w:val="21"/>
        </w:rPr>
        <w:t>g. Has physical limitations that restrict mobility unless compensated for by available auxiliary aids or intermittent staff assistance;</w:t>
      </w:r>
    </w:p>
    <w:p>
      <w:pPr>
        <w:pStyle w:val="Normal"/>
        <w:tabs>
          <w:tab w:val="left" w:pos="720" w:leader="none"/>
        </w:tabs>
        <w:spacing w:lineRule="exact" w:line="264" w:before="0" w:after="80"/>
        <w:ind w:hanging="360" w:start="720"/>
        <w:rPr/>
      </w:pPr>
      <w:r>
        <w:rPr>
          <w:rFonts w:eastAsia="Arial" w:cs="Arial"/>
          <w:sz w:val="21"/>
          <w:szCs w:val="21"/>
        </w:rPr>
        <w:t>h. Has incontinence issues that cannot be managed by the resident or staff;</w:t>
      </w:r>
    </w:p>
    <w:p>
      <w:pPr>
        <w:pStyle w:val="Normal"/>
        <w:tabs>
          <w:tab w:val="left" w:pos="720" w:leader="none"/>
        </w:tabs>
        <w:spacing w:lineRule="exact" w:line="264" w:before="0" w:after="80"/>
        <w:ind w:hanging="360" w:start="720"/>
        <w:rPr/>
      </w:pPr>
      <w:r>
        <w:rPr>
          <w:rFonts w:eastAsia="Arial" w:cs="Arial"/>
          <w:sz w:val="21"/>
          <w:szCs w:val="21"/>
        </w:rPr>
        <w:t>i. Is profoundly disoriented in a manner requiring a secure environment the Residence is not certified or equipped to provide;</w:t>
      </w:r>
    </w:p>
    <w:p>
      <w:pPr>
        <w:pStyle w:val="Normal"/>
        <w:tabs>
          <w:tab w:val="left" w:pos="720" w:leader="none"/>
        </w:tabs>
        <w:spacing w:lineRule="exact" w:line="264" w:before="0" w:after="80"/>
        <w:ind w:hanging="360" w:start="720"/>
        <w:rPr/>
      </w:pPr>
      <w:r>
        <w:rPr>
          <w:rFonts w:eastAsia="Arial" w:cs="Arial"/>
          <w:sz w:val="21"/>
          <w:szCs w:val="21"/>
        </w:rPr>
        <w:t>j. Has a stage 3 or stage 4 pressure sore, unless the resident has a terminal condition and is receiving continuing care from an external service provider;</w:t>
      </w:r>
    </w:p>
    <w:p>
      <w:pPr>
        <w:pStyle w:val="Normal"/>
        <w:tabs>
          <w:tab w:val="left" w:pos="720" w:leader="none"/>
        </w:tabs>
        <w:spacing w:lineRule="exact" w:line="264" w:before="0" w:after="80"/>
        <w:ind w:hanging="360" w:start="720"/>
        <w:rPr/>
      </w:pPr>
      <w:r>
        <w:rPr>
          <w:rFonts w:eastAsia="Arial" w:cs="Arial"/>
          <w:sz w:val="21"/>
          <w:szCs w:val="21"/>
        </w:rPr>
        <w:t>k. Has a history of dangerous conduct toward self or others that the Residence cannot safely manage; or</w:t>
      </w:r>
    </w:p>
    <w:p>
      <w:pPr>
        <w:pStyle w:val="Normal"/>
        <w:tabs>
          <w:tab w:val="left" w:pos="720" w:leader="none"/>
        </w:tabs>
        <w:spacing w:lineRule="exact" w:line="264" w:before="0" w:after="80"/>
        <w:ind w:hanging="360" w:start="720"/>
        <w:rPr/>
      </w:pPr>
      <w:r>
        <w:rPr>
          <w:rFonts w:eastAsia="Arial" w:cs="Arial"/>
          <w:sz w:val="21"/>
          <w:szCs w:val="21"/>
        </w:rPr>
        <w:t>l. Needs restraints of any kind, except as statutorily allowed for residences specifically certified to provide services for the mentally ill.</w:t>
      </w:r>
    </w:p>
    <w:p>
      <w:pPr>
        <w:pStyle w:val="Normal"/>
        <w:pBdr>
          <w:bottom w:val="single" w:sz="4" w:space="1" w:color="2E5E45"/>
        </w:pBdr>
        <w:spacing w:before="160" w:after="80"/>
        <w:rPr/>
      </w:pPr>
      <w:r>
        <w:rPr>
          <w:rFonts w:eastAsia="Arial" w:cs="Arial"/>
          <w:b/>
          <w:bCs/>
          <w:color w:val="1A4731"/>
          <w:sz w:val="20"/>
          <w:szCs w:val="20"/>
        </w:rPr>
        <w:t>PROCEDURE — RESIDENT AGREEMENT</w:t>
      </w:r>
    </w:p>
    <w:p>
      <w:pPr>
        <w:pStyle w:val="Normal"/>
        <w:tabs>
          <w:tab w:val="left" w:pos="720" w:leader="none"/>
        </w:tabs>
        <w:spacing w:lineRule="exact" w:line="264" w:before="0" w:after="80"/>
        <w:ind w:hanging="360" w:start="720"/>
        <w:rPr/>
      </w:pPr>
      <w:r>
        <w:rPr>
          <w:rFonts w:eastAsia="Arial" w:cs="Arial"/>
          <w:sz w:val="21"/>
          <w:szCs w:val="21"/>
        </w:rPr>
        <w:t>m. Provide the resident and/or legal representative a written resident agreement at move-in and obtain a signed, dated acknowledgment from both parties.</w:t>
      </w:r>
    </w:p>
    <w:p>
      <w:pPr>
        <w:pStyle w:val="Normal"/>
        <w:tabs>
          <w:tab w:val="left" w:pos="720" w:leader="none"/>
        </w:tabs>
        <w:spacing w:lineRule="exact" w:line="264" w:before="0" w:after="80"/>
        <w:ind w:hanging="360" w:start="720"/>
        <w:rPr/>
      </w:pPr>
      <w:r>
        <w:rPr>
          <w:rFonts w:eastAsia="Arial" w:cs="Arial"/>
          <w:sz w:val="21"/>
          <w:szCs w:val="21"/>
        </w:rPr>
        <w:t>n. Ensure the agreement does not alter or relieve the Residence of any obligation under applicable law. The terms of a resident agreement shall not waive any regulatory compliance obligation.</w:t>
      </w:r>
    </w:p>
    <w:p>
      <w:pPr>
        <w:pStyle w:val="Normal"/>
        <w:tabs>
          <w:tab w:val="left" w:pos="720" w:leader="none"/>
        </w:tabs>
        <w:spacing w:lineRule="exact" w:line="264" w:before="0" w:after="80"/>
        <w:ind w:hanging="360" w:start="720"/>
        <w:rPr/>
      </w:pPr>
      <w:r>
        <w:rPr>
          <w:rFonts w:eastAsia="Arial" w:cs="Arial"/>
          <w:sz w:val="21"/>
          <w:szCs w:val="21"/>
        </w:rPr>
        <w:t>o. Provide, and obtain acknowledgment of receipt for, the move-in disclosures required under Part 11.7, including: how to access the Residence’s policies and procedures; the right to receive CPR or to have an advance directive refusing CPR; minimum staffing levels and whether awake staff are present twenty-four hours; whether the Residence has an automatic fire sprinkler system; whether egress alert devices are used; whether resident location monitoring is used; whether the Residence operates a secure environment and what that means; the individualized care plan; smoking policy; the on-site location of the most recent inspection report; and, on request, a copy of the current Chapter 7 rules.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Comprehensive Pre-Admission Assessment Form</w:t>
      </w:r>
    </w:p>
    <w:p>
      <w:pPr>
        <w:pStyle w:val="ListParagraph"/>
        <w:numPr>
          <w:ilvl w:val="0"/>
          <w:numId w:val="1"/>
        </w:numPr>
        <w:spacing w:lineRule="exact" w:line="264" w:before="0" w:after="60"/>
        <w:rPr/>
      </w:pPr>
      <w:r>
        <w:rPr>
          <w:rFonts w:eastAsia="Arial" w:cs="Arial"/>
          <w:sz w:val="21"/>
          <w:szCs w:val="21"/>
        </w:rPr>
        <w:t>Resident Agreement</w:t>
      </w:r>
    </w:p>
    <w:p>
      <w:pPr>
        <w:pStyle w:val="ListParagraph"/>
        <w:numPr>
          <w:ilvl w:val="0"/>
          <w:numId w:val="1"/>
        </w:numPr>
        <w:spacing w:lineRule="exact" w:line="264" w:before="0" w:after="60"/>
        <w:rPr/>
      </w:pPr>
      <w:r>
        <w:rPr>
          <w:rFonts w:eastAsia="Arial" w:cs="Arial"/>
          <w:sz w:val="21"/>
          <w:szCs w:val="21"/>
        </w:rPr>
        <w:t>Move-In Disclosure Acknowledgment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Resident Rights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Resident Rights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C.R.S. 25-27-104; 6 CCR 1011-1, Ch. 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and promote the dignity, autonomy, privacy, and quality of life of every resident, consistent with C.R.S. 25-27-104 and 6 CCR 1011-1, Chapter 7.</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Each resident retains all rights, benefits, and privileges guaranteed by law. The Residence shall provide each resident a written statement of rights at move-in, shall display resident rights prominently, and shall not retaliate against any resident for exercising those rights.</w:t>
      </w:r>
    </w:p>
    <w:p>
      <w:pPr>
        <w:pStyle w:val="Normal"/>
        <w:pBdr>
          <w:bottom w:val="single" w:sz="4" w:space="1" w:color="2E5E45"/>
        </w:pBdr>
        <w:spacing w:before="160" w:after="80"/>
        <w:rPr/>
      </w:pPr>
      <w:r>
        <w:rPr>
          <w:rFonts w:eastAsia="Arial" w:cs="Arial"/>
          <w:b/>
          <w:bCs/>
          <w:color w:val="1A4731"/>
          <w:sz w:val="20"/>
          <w:szCs w:val="20"/>
        </w:rPr>
        <w:t>PROCEDURE — PRIVACY &amp; CONFIDENTIALITY</w:t>
      </w:r>
    </w:p>
    <w:p>
      <w:pPr>
        <w:pStyle w:val="Normal"/>
        <w:tabs>
          <w:tab w:val="left" w:pos="720" w:leader="none"/>
        </w:tabs>
        <w:spacing w:lineRule="exact" w:line="264" w:before="0" w:after="80"/>
        <w:ind w:hanging="360" w:start="720"/>
        <w:rPr/>
      </w:pPr>
      <w:r>
        <w:rPr>
          <w:rFonts w:eastAsia="Arial" w:cs="Arial"/>
          <w:sz w:val="21"/>
          <w:szCs w:val="21"/>
        </w:rPr>
        <w:t>a. Support each resident’s right to unrestricted private communication, including private telephone calls, unopened mail, and visitors at reasonable hours.</w:t>
      </w:r>
    </w:p>
    <w:p>
      <w:pPr>
        <w:pStyle w:val="Normal"/>
        <w:tabs>
          <w:tab w:val="left" w:pos="720" w:leader="none"/>
        </w:tabs>
        <w:spacing w:lineRule="exact" w:line="264" w:before="0" w:after="80"/>
        <w:ind w:hanging="360" w:start="720"/>
        <w:rPr/>
      </w:pPr>
      <w:r>
        <w:rPr>
          <w:rFonts w:eastAsia="Arial" w:cs="Arial"/>
          <w:sz w:val="21"/>
          <w:szCs w:val="21"/>
        </w:rPr>
        <w:t>b. Respect privacy in personal and medical matters, including confidentiality of health information consistent with HIPAA.</w:t>
      </w:r>
    </w:p>
    <w:p>
      <w:pPr>
        <w:pStyle w:val="Normal"/>
        <w:tabs>
          <w:tab w:val="left" w:pos="720" w:leader="none"/>
        </w:tabs>
        <w:spacing w:lineRule="exact" w:line="264" w:before="0" w:after="80"/>
        <w:ind w:hanging="360" w:start="720"/>
        <w:rPr/>
      </w:pPr>
      <w:r>
        <w:rPr>
          <w:rFonts w:eastAsia="Arial" w:cs="Arial"/>
          <w:sz w:val="21"/>
          <w:szCs w:val="21"/>
        </w:rPr>
        <w:t>c. Respect the right of a resident to private, consensual activity and association within the bounds of the resident’s care plan and the rights of others.</w:t>
      </w:r>
    </w:p>
    <w:p>
      <w:pPr>
        <w:pStyle w:val="Normal"/>
        <w:pBdr>
          <w:bottom w:val="single" w:sz="4" w:space="1" w:color="2E5E45"/>
        </w:pBdr>
        <w:spacing w:before="160" w:after="80"/>
        <w:rPr/>
      </w:pPr>
      <w:r>
        <w:rPr>
          <w:rFonts w:eastAsia="Arial" w:cs="Arial"/>
          <w:b/>
          <w:bCs/>
          <w:color w:val="1A4731"/>
          <w:sz w:val="20"/>
          <w:szCs w:val="20"/>
        </w:rPr>
        <w:t>PROCEDURE — CIVIL, RELIGIOUS &amp; PERSONAL LIBERTIES</w:t>
      </w:r>
    </w:p>
    <w:p>
      <w:pPr>
        <w:pStyle w:val="Normal"/>
        <w:tabs>
          <w:tab w:val="left" w:pos="720" w:leader="none"/>
        </w:tabs>
        <w:spacing w:lineRule="exact" w:line="264" w:before="0" w:after="80"/>
        <w:ind w:hanging="360" w:start="720"/>
        <w:rPr/>
      </w:pPr>
      <w:r>
        <w:rPr>
          <w:rFonts w:eastAsia="Arial" w:cs="Arial"/>
          <w:sz w:val="21"/>
          <w:szCs w:val="21"/>
        </w:rPr>
        <w:t>d. Protect each resident’s civil and religious liberties and freedom from abuse, neglect, and exploitation.</w:t>
      </w:r>
    </w:p>
    <w:p>
      <w:pPr>
        <w:pStyle w:val="Normal"/>
        <w:tabs>
          <w:tab w:val="left" w:pos="720" w:leader="none"/>
        </w:tabs>
        <w:spacing w:lineRule="exact" w:line="264" w:before="0" w:after="80"/>
        <w:ind w:hanging="360" w:start="720"/>
        <w:rPr/>
      </w:pPr>
      <w:r>
        <w:rPr>
          <w:rFonts w:eastAsia="Arial" w:cs="Arial"/>
          <w:sz w:val="21"/>
          <w:szCs w:val="21"/>
        </w:rPr>
        <w:t>e. Support each resident’s participation in community and personal activities of their choosing.</w:t>
      </w:r>
    </w:p>
    <w:p>
      <w:pPr>
        <w:pStyle w:val="Normal"/>
        <w:tabs>
          <w:tab w:val="left" w:pos="720" w:leader="none"/>
        </w:tabs>
        <w:spacing w:lineRule="exact" w:line="264" w:before="0" w:after="80"/>
        <w:ind w:hanging="360" w:start="720"/>
        <w:rPr/>
      </w:pPr>
      <w:r>
        <w:rPr>
          <w:rFonts w:eastAsia="Arial" w:cs="Arial"/>
          <w:sz w:val="21"/>
          <w:szCs w:val="21"/>
        </w:rPr>
        <w:t>f. Honor each resident’s right to make personal care decisions, to refuse treatment, and to participate in care planning.</w:t>
      </w:r>
    </w:p>
    <w:p>
      <w:pPr>
        <w:pStyle w:val="Normal"/>
        <w:pBdr>
          <w:bottom w:val="single" w:sz="4" w:space="1" w:color="2E5E45"/>
        </w:pBdr>
        <w:spacing w:before="160" w:after="80"/>
        <w:rPr/>
      </w:pPr>
      <w:r>
        <w:rPr>
          <w:rFonts w:eastAsia="Arial" w:cs="Arial"/>
          <w:b/>
          <w:bCs/>
          <w:color w:val="1A4731"/>
          <w:sz w:val="20"/>
          <w:szCs w:val="20"/>
        </w:rPr>
        <w:t>PROCEDURE — CHOICE &amp; INVOLVEMENT IN CARE</w:t>
      </w:r>
    </w:p>
    <w:p>
      <w:pPr>
        <w:pStyle w:val="Normal"/>
        <w:tabs>
          <w:tab w:val="left" w:pos="720" w:leader="none"/>
        </w:tabs>
        <w:spacing w:lineRule="exact" w:line="264" w:before="0" w:after="80"/>
        <w:ind w:hanging="360" w:start="720"/>
        <w:rPr/>
      </w:pPr>
      <w:r>
        <w:rPr>
          <w:rFonts w:eastAsia="Arial" w:cs="Arial"/>
          <w:sz w:val="21"/>
          <w:szCs w:val="21"/>
        </w:rPr>
        <w:t>g. Involve the resident, and the resident’s representative when requested by the resident, in the development and revision of the individualized care plan.</w:t>
      </w:r>
    </w:p>
    <w:p>
      <w:pPr>
        <w:pStyle w:val="Normal"/>
        <w:tabs>
          <w:tab w:val="left" w:pos="720" w:leader="none"/>
        </w:tabs>
        <w:spacing w:lineRule="exact" w:line="264" w:before="0" w:after="80"/>
        <w:ind w:hanging="360" w:start="720"/>
        <w:rPr/>
      </w:pPr>
      <w:r>
        <w:rPr>
          <w:rFonts w:eastAsia="Arial" w:cs="Arial"/>
          <w:sz w:val="21"/>
          <w:szCs w:val="21"/>
        </w:rPr>
        <w:t>h. Accommodate communication needs, including for residents with limited English proficiency or sensory impairment.</w:t>
      </w:r>
    </w:p>
    <w:p>
      <w:pPr>
        <w:pStyle w:val="Normal"/>
        <w:tabs>
          <w:tab w:val="left" w:pos="720" w:leader="none"/>
        </w:tabs>
        <w:spacing w:lineRule="exact" w:line="264" w:before="0" w:after="80"/>
        <w:ind w:hanging="360" w:start="720"/>
        <w:rPr/>
      </w:pPr>
      <w:r>
        <w:rPr>
          <w:rFonts w:eastAsia="Arial" w:cs="Arial"/>
          <w:sz w:val="21"/>
          <w:szCs w:val="21"/>
        </w:rPr>
        <w:t>i. Provide the resident written information on how to file a grievance and the contact information for the State and local Long-Term Care Ombudsman and CDPHE.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Rights Statement &amp; Acknowledgment</w:t>
      </w:r>
    </w:p>
    <w:p>
      <w:pPr>
        <w:pStyle w:val="ListParagraph"/>
        <w:numPr>
          <w:ilvl w:val="0"/>
          <w:numId w:val="1"/>
        </w:numPr>
        <w:spacing w:lineRule="exact" w:line="264" w:before="0" w:after="60"/>
        <w:rPr/>
      </w:pPr>
      <w:r>
        <w:rPr>
          <w:rFonts w:eastAsia="Arial" w:cs="Arial"/>
          <w:sz w:val="21"/>
          <w:szCs w:val="21"/>
        </w:rPr>
        <w:t>Notice of Grievance Procedure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Grievance &amp; Complaint Resolution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Grievance &amp; Complaint Resolution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6 CCR 1011-1, Ch. 7, Part 9; Part 11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provide residents and their representatives a clear, retaliation-free process for raising concerns and to ensure timely response and escalation.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Residence shall maintain a written grievance procedure, respond to grievances within five business days, and inform residents of their right to appeal to the executive director of CDPHE or designee.</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Provide each resident and representative written information describing how to file a grievance, the five-business-day response commitment, and the appeal pathway.</w:t>
      </w:r>
    </w:p>
    <w:p>
      <w:pPr>
        <w:pStyle w:val="Normal"/>
        <w:tabs>
          <w:tab w:val="left" w:pos="720" w:leader="none"/>
        </w:tabs>
        <w:spacing w:lineRule="exact" w:line="264" w:before="0" w:after="80"/>
        <w:ind w:hanging="360" w:start="720"/>
        <w:rPr/>
      </w:pPr>
      <w:r>
        <w:rPr>
          <w:rFonts w:eastAsia="Arial" w:cs="Arial"/>
          <w:sz w:val="21"/>
          <w:szCs w:val="21"/>
        </w:rPr>
        <w:t>b. Document each grievance, the investigation, the response provided, and the date of response.</w:t>
      </w:r>
    </w:p>
    <w:p>
      <w:pPr>
        <w:pStyle w:val="Normal"/>
        <w:tabs>
          <w:tab w:val="left" w:pos="720" w:leader="none"/>
        </w:tabs>
        <w:spacing w:lineRule="exact" w:line="264" w:before="0" w:after="80"/>
        <w:ind w:hanging="360" w:start="720"/>
        <w:rPr/>
      </w:pPr>
      <w:r>
        <w:rPr>
          <w:rFonts w:eastAsia="Arial" w:cs="Arial"/>
          <w:sz w:val="21"/>
          <w:szCs w:val="21"/>
        </w:rPr>
        <w:t>c. If the person filing is dissatisfied with the response, inform them of the right to appeal to the executive director of CDPHE or designee, and provide the names and contact information for the State Long-Term Care Ombudsman, the designated local ombudsman, and CDPHE.</w:t>
      </w:r>
    </w:p>
    <w:p>
      <w:pPr>
        <w:pStyle w:val="Normal"/>
        <w:tabs>
          <w:tab w:val="left" w:pos="720" w:leader="none"/>
        </w:tabs>
        <w:spacing w:lineRule="exact" w:line="264" w:before="0" w:after="80"/>
        <w:ind w:hanging="360" w:start="720"/>
        <w:rPr/>
      </w:pPr>
      <w:r>
        <w:rPr>
          <w:rFonts w:eastAsia="Arial" w:cs="Arial"/>
          <w:sz w:val="21"/>
          <w:szCs w:val="21"/>
        </w:rPr>
        <w:t>d. Review grievance patterns as part of the Quality Management Program and implement corrective measures where trends indicate systemic issues.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Grievance / Complaint Form</w:t>
      </w:r>
    </w:p>
    <w:p>
      <w:pPr>
        <w:pStyle w:val="ListParagraph"/>
        <w:numPr>
          <w:ilvl w:val="0"/>
          <w:numId w:val="1"/>
        </w:numPr>
        <w:spacing w:lineRule="exact" w:line="264" w:before="0" w:after="60"/>
        <w:rPr/>
      </w:pPr>
      <w:r>
        <w:rPr>
          <w:rFonts w:eastAsia="Arial" w:cs="Arial"/>
          <w:sz w:val="21"/>
          <w:szCs w:val="21"/>
        </w:rPr>
        <w:t>Grievance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Management of Resident Funds &amp; Property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Management of Resident Funds &amp; Property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6 CCR 1011-1, Ch. 7, Part 11.8–11.10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 funds and property when the Residence chooses to provide financial management services, and to prohibit improper financial arrangements.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Residence is not required to handle resident funds or property. The Residence shall not assume power of attorney or guardianship over a resident unless by court order, and shall not require a resident to execute or assign a loan, mortgage, or property interest in exchange for future services. Where the Residence chooses to handle funds, it shall do so under written authorization and the controls below.</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Obtain written authorization specifying the terms and duration of any financial management services before handling any resident funds or property.</w:t>
      </w:r>
    </w:p>
    <w:p>
      <w:pPr>
        <w:pStyle w:val="Normal"/>
        <w:tabs>
          <w:tab w:val="left" w:pos="720" w:leader="none"/>
        </w:tabs>
        <w:spacing w:lineRule="exact" w:line="264" w:before="0" w:after="80"/>
        <w:ind w:hanging="360" w:start="720"/>
        <w:rPr/>
      </w:pPr>
      <w:r>
        <w:rPr>
          <w:rFonts w:eastAsia="Arial" w:cs="Arial"/>
          <w:sz w:val="21"/>
          <w:szCs w:val="21"/>
        </w:rPr>
        <w:t>b. Maintain a separate, individual accounting for each resident, with a declining-balance ledger that records each deposit and disbursement.</w:t>
      </w:r>
    </w:p>
    <w:p>
      <w:pPr>
        <w:pStyle w:val="Normal"/>
        <w:tabs>
          <w:tab w:val="left" w:pos="720" w:leader="none"/>
        </w:tabs>
        <w:spacing w:lineRule="exact" w:line="264" w:before="0" w:after="80"/>
        <w:ind w:hanging="360" w:start="720"/>
        <w:rPr/>
      </w:pPr>
      <w:r>
        <w:rPr>
          <w:rFonts w:eastAsia="Arial" w:cs="Arial"/>
          <w:sz w:val="21"/>
          <w:szCs w:val="21"/>
        </w:rPr>
        <w:t>c. Keep funds entrusted to the Residence in a secured, locked location separate from Residence operating funds, and provide a receipt for transactions.</w:t>
      </w:r>
    </w:p>
    <w:p>
      <w:pPr>
        <w:pStyle w:val="Normal"/>
        <w:tabs>
          <w:tab w:val="left" w:pos="720" w:leader="none"/>
        </w:tabs>
        <w:spacing w:lineRule="exact" w:line="264" w:before="0" w:after="80"/>
        <w:ind w:hanging="360" w:start="720"/>
        <w:rPr/>
      </w:pPr>
      <w:r>
        <w:rPr>
          <w:rFonts w:eastAsia="Arial" w:cs="Arial"/>
          <w:sz w:val="21"/>
          <w:szCs w:val="21"/>
        </w:rPr>
        <w:t>d. Make the individual accounting available to the resident or representative on request and reconcile balances on a regular schedule.</w:t>
      </w:r>
    </w:p>
    <w:p>
      <w:pPr>
        <w:pStyle w:val="Normal"/>
        <w:tabs>
          <w:tab w:val="left" w:pos="720" w:leader="none"/>
        </w:tabs>
        <w:spacing w:lineRule="exact" w:line="264" w:before="0" w:after="80"/>
        <w:ind w:hanging="360" w:start="720"/>
        <w:rPr/>
      </w:pPr>
      <w:r>
        <w:rPr>
          <w:rFonts w:eastAsia="Arial" w:cs="Arial"/>
          <w:sz w:val="21"/>
          <w:szCs w:val="21"/>
        </w:rPr>
        <w:t>e. Return all funds and property, with a final accounting, upon discharge or death.</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Funds Authorization</w:t>
      </w:r>
    </w:p>
    <w:p>
      <w:pPr>
        <w:pStyle w:val="ListParagraph"/>
        <w:numPr>
          <w:ilvl w:val="0"/>
          <w:numId w:val="1"/>
        </w:numPr>
        <w:spacing w:lineRule="exact" w:line="264" w:before="0" w:after="60"/>
        <w:rPr/>
      </w:pPr>
      <w:r>
        <w:rPr>
          <w:rFonts w:eastAsia="Arial" w:cs="Arial"/>
          <w:sz w:val="21"/>
          <w:szCs w:val="21"/>
        </w:rPr>
        <w:t>Individual Resident Funds Ledger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Zoning &amp; Local Land Use Compliance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Zoning &amp; Local Land Use Compliance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Colorado Springs Unified Development Code, Ch. 7; C.R.S. occupancy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Residence operates in a location and use classification permitted under applicable local land use regulations, in addition to its state license.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State licensure under 6 CCR 1011-1 does not by itself authorize operation at a given location. The Residence shall confirm that its use is permitted under the local zoning and land use code and shall maintain documentation of that confirmation.</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Identify the property’s zone district and confirm whether assisted living is a permitted or conditional use in that district through the applicable municipal or county land use code. In Colorado Springs, this is the Unified Development Code (Chapter 7) use table.</w:t>
      </w:r>
    </w:p>
    <w:p>
      <w:pPr>
        <w:pStyle w:val="Normal"/>
        <w:tabs>
          <w:tab w:val="left" w:pos="720" w:leader="none"/>
        </w:tabs>
        <w:spacing w:lineRule="exact" w:line="264" w:before="0" w:after="80"/>
        <w:ind w:hanging="360" w:start="720"/>
        <w:rPr/>
      </w:pPr>
      <w:r>
        <w:rPr>
          <w:rFonts w:eastAsia="Arial" w:cs="Arial"/>
          <w:sz w:val="21"/>
          <w:szCs w:val="21"/>
        </w:rPr>
        <w:t>b. Request a pre-application meeting with the local planning department before establishing or relocating the Residence to confirm use classification, any conditional use approval required, parking, and dimensional standards.</w:t>
      </w:r>
    </w:p>
    <w:p>
      <w:pPr>
        <w:pStyle w:val="Normal"/>
        <w:tabs>
          <w:tab w:val="left" w:pos="720" w:leader="none"/>
        </w:tabs>
        <w:spacing w:lineRule="exact" w:line="264" w:before="0" w:after="80"/>
        <w:ind w:hanging="360" w:start="720"/>
        <w:rPr/>
      </w:pPr>
      <w:r>
        <w:rPr>
          <w:rFonts w:eastAsia="Arial" w:cs="Arial"/>
          <w:sz w:val="21"/>
          <w:szCs w:val="21"/>
        </w:rPr>
        <w:t>c. Confirm any applicable separation requirement between similar human-service or group-living uses (for example, minimum distance from another such establishment).</w:t>
      </w:r>
    </w:p>
    <w:p>
      <w:pPr>
        <w:pStyle w:val="Normal"/>
        <w:tabs>
          <w:tab w:val="left" w:pos="720" w:leader="none"/>
        </w:tabs>
        <w:spacing w:lineRule="exact" w:line="264" w:before="0" w:after="80"/>
        <w:ind w:hanging="360" w:start="720"/>
        <w:rPr/>
      </w:pPr>
      <w:r>
        <w:rPr>
          <w:rFonts w:eastAsia="Arial" w:cs="Arial"/>
          <w:sz w:val="21"/>
          <w:szCs w:val="21"/>
        </w:rPr>
        <w:t>d. Note that, under current Colorado law, local occupancy limits on the number of unrelated persons in a dwelling must be based on demonstrated health and safety standards (such as building or fire code), not arbitrary head counts; confirm the building, fire, and life-safety occupancy basis for the Residence with the local building and fire authorities.</w:t>
      </w:r>
    </w:p>
    <w:p>
      <w:pPr>
        <w:pStyle w:val="Normal"/>
        <w:tabs>
          <w:tab w:val="left" w:pos="720" w:leader="none"/>
        </w:tabs>
        <w:spacing w:lineRule="exact" w:line="264" w:before="0" w:after="80"/>
        <w:ind w:hanging="360" w:start="720"/>
        <w:rPr/>
      </w:pPr>
      <w:r>
        <w:rPr>
          <w:rFonts w:eastAsia="Arial" w:cs="Arial"/>
          <w:sz w:val="21"/>
          <w:szCs w:val="21"/>
        </w:rPr>
        <w:t>e. Retain written confirmation of zoning and use classification in the Residence’s administrative records.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Zoning / Use Classification Confirmation (retained correspondence)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Training</w:t>
      </w:r>
    </w:p>
    <w:p>
      <w:pPr>
        <w:pStyle w:val="Normal"/>
        <w:spacing w:lineRule="exact" w:line="288" w:before="0" w:after="240"/>
        <w:rPr/>
      </w:pPr>
      <w:r>
        <w:rPr>
          <w:rFonts w:eastAsia="Arial" w:cs="Arial"/>
          <w:color w:val="444444"/>
          <w:sz w:val="22"/>
          <w:szCs w:val="22"/>
        </w:rPr>
        <w:t>This section sets the requirements for who provides care and how they are prepared to do it — background and protective-services screening, pre-employment health, orientation, ongoing training, demonstrated competency, and the qualifications of the administrator.</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&amp; Background Checks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Staff Training, Orientation &amp; Competency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Administrator Qualifications &amp; Responsibilities</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&amp; Background Checks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&amp; Background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6 CCR 1011-1, Ch. 7, Part 7; C.R.S. 26-3.1-111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members and volunteers are of good, moral, and responsible character and are physically and mentally able to safely perform their duties.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Prior to hire or volunteer onboarding, the Residence shall obtain a name-based criminal history record check and a check of the Colorado adult protective services data system for each prospective staff member and volunteer, and shall apply its written hiring criteria to the results.</w:t>
      </w:r>
    </w:p>
    <w:p>
      <w:pPr>
        <w:pStyle w:val="Normal"/>
        <w:pBdr>
          <w:bottom w:val="single" w:sz="4" w:space="1" w:color="2E5E45"/>
        </w:pBdr>
        <w:spacing w:before="160" w:after="80"/>
        <w:rPr/>
      </w:pPr>
      <w:r>
        <w:rPr>
          <w:rFonts w:eastAsia="Arial" w:cs="Arial"/>
          <w:b/>
          <w:bCs/>
          <w:color w:val="1A4731"/>
          <w:sz w:val="20"/>
          <w:szCs w:val="20"/>
        </w:rPr>
        <w:t>PROCEDURE — CRIMINAL HISTORY</w:t>
      </w:r>
    </w:p>
    <w:p>
      <w:pPr>
        <w:pStyle w:val="Normal"/>
        <w:tabs>
          <w:tab w:val="left" w:pos="720" w:leader="none"/>
        </w:tabs>
        <w:spacing w:lineRule="exact" w:line="264" w:before="0" w:after="80"/>
        <w:ind w:hanging="360" w:start="720"/>
        <w:rPr/>
      </w:pPr>
      <w:r>
        <w:rPr>
          <w:rFonts w:eastAsia="Arial" w:cs="Arial"/>
          <w:sz w:val="21"/>
          <w:szCs w:val="21"/>
        </w:rPr>
        <w:t>a. Obtain a name-based criminal history report conducted by the Colorado Bureau of Investigation (CBI) for each prospective staff member and volunteer prior to direct resident contact.</w:t>
      </w:r>
    </w:p>
    <w:p>
      <w:pPr>
        <w:pStyle w:val="Normal"/>
        <w:tabs>
          <w:tab w:val="left" w:pos="720" w:leader="none"/>
        </w:tabs>
        <w:spacing w:lineRule="exact" w:line="264" w:before="0" w:after="80"/>
        <w:ind w:hanging="360" w:start="720"/>
        <w:rPr/>
      </w:pPr>
      <w:r>
        <w:rPr>
          <w:rFonts w:eastAsia="Arial" w:cs="Arial"/>
          <w:sz w:val="21"/>
          <w:szCs w:val="21"/>
        </w:rPr>
        <w:t>b. For any individual who has lived outside Colorado in the past three years, obtain a name-based report from the respective state(s) or an equivalent report as determined by the Department.</w:t>
      </w:r>
    </w:p>
    <w:p>
      <w:pPr>
        <w:pStyle w:val="Normal"/>
        <w:tabs>
          <w:tab w:val="left" w:pos="720" w:leader="none"/>
        </w:tabs>
        <w:spacing w:lineRule="exact" w:line="264" w:before="0" w:after="80"/>
        <w:ind w:hanging="360" w:start="720"/>
        <w:rPr/>
      </w:pPr>
      <w:r>
        <w:rPr>
          <w:rFonts w:eastAsia="Arial" w:cs="Arial"/>
          <w:sz w:val="21"/>
          <w:szCs w:val="21"/>
        </w:rPr>
        <w:t>c. The Residence shall bear the cost of obtaining the required reports unless otherwise permitted.</w:t>
      </w:r>
    </w:p>
    <w:p>
      <w:pPr>
        <w:pStyle w:val="Normal"/>
        <w:pBdr>
          <w:bottom w:val="single" w:sz="4" w:space="1" w:color="2E5E45"/>
        </w:pBdr>
        <w:spacing w:before="160" w:after="80"/>
        <w:rPr/>
      </w:pPr>
      <w:r>
        <w:rPr>
          <w:rFonts w:eastAsia="Arial" w:cs="Arial"/>
          <w:b/>
          <w:bCs/>
          <w:color w:val="1A4731"/>
          <w:sz w:val="20"/>
          <w:szCs w:val="20"/>
        </w:rPr>
        <w:t>PROCEDURE — ADULT PROTECTIVE SERVICES CHECK</w:t>
      </w:r>
    </w:p>
    <w:p>
      <w:pPr>
        <w:pStyle w:val="Normal"/>
        <w:tabs>
          <w:tab w:val="left" w:pos="720" w:leader="none"/>
        </w:tabs>
        <w:spacing w:lineRule="exact" w:line="264" w:before="0" w:after="80"/>
        <w:ind w:hanging="360" w:start="720"/>
        <w:rPr/>
      </w:pPr>
      <w:r>
        <w:rPr>
          <w:rFonts w:eastAsia="Arial" w:cs="Arial"/>
          <w:sz w:val="21"/>
          <w:szCs w:val="21"/>
        </w:rPr>
        <w:t>d. Obtain a check of the Colorado adult protective services data system pursuant to C.R.S. 26-3.1-111 for each prospective staff member and volunteer.</w:t>
      </w:r>
    </w:p>
    <w:p>
      <w:pPr>
        <w:pStyle w:val="Normal"/>
        <w:tabs>
          <w:tab w:val="left" w:pos="720" w:leader="none"/>
        </w:tabs>
        <w:spacing w:lineRule="exact" w:line="264" w:before="0" w:after="80"/>
        <w:ind w:hanging="360" w:start="720"/>
        <w:rPr/>
      </w:pPr>
      <w:r>
        <w:rPr>
          <w:rFonts w:eastAsia="Arial" w:cs="Arial"/>
          <w:sz w:val="21"/>
          <w:szCs w:val="21"/>
        </w:rPr>
        <w:t>e. Based on the results of the criminal history and APS data system checks, follow the Residence’s written policy regarding hiring or continued service. At a minimum, consider the nature and seriousness of any offense, the time elapsed, any mitigating circumstances, and the position assigned.</w:t>
      </w:r>
    </w:p>
    <w:p>
      <w:pPr>
        <w:pStyle w:val="Normal"/>
        <w:pBdr>
          <w:bottom w:val="single" w:sz="4" w:space="1" w:color="2E5E45"/>
        </w:pBdr>
        <w:spacing w:before="160" w:after="80"/>
        <w:rPr/>
      </w:pPr>
      <w:r>
        <w:rPr>
          <w:rFonts w:eastAsia="Arial" w:cs="Arial"/>
          <w:b/>
          <w:bCs/>
          <w:color w:val="1A4731"/>
          <w:sz w:val="20"/>
          <w:szCs w:val="20"/>
        </w:rPr>
        <w:t>PROCEDURE — PRE-EMPLOYMENT HEALTH</w:t>
      </w:r>
    </w:p>
    <w:p>
      <w:pPr>
        <w:pStyle w:val="Normal"/>
        <w:tabs>
          <w:tab w:val="left" w:pos="720" w:leader="none"/>
        </w:tabs>
        <w:spacing w:lineRule="exact" w:line="264" w:before="0" w:after="80"/>
        <w:ind w:hanging="360" w:start="720"/>
        <w:rPr/>
      </w:pPr>
      <w:r>
        <w:rPr>
          <w:rFonts w:eastAsia="Arial" w:cs="Arial"/>
          <w:sz w:val="21"/>
          <w:szCs w:val="21"/>
        </w:rPr>
        <w:t>f. Ensure tuberculin skin testing of each staff member and volunteer prior to direct contact with residents, or accept valid proof of prior testing within the period allowed by rule.</w:t>
      </w:r>
    </w:p>
    <w:p>
      <w:pPr>
        <w:pStyle w:val="Normal"/>
        <w:tabs>
          <w:tab w:val="left" w:pos="720" w:leader="none"/>
        </w:tabs>
        <w:spacing w:lineRule="exact" w:line="264" w:before="0" w:after="80"/>
        <w:ind w:hanging="360" w:start="720"/>
        <w:rPr/>
      </w:pPr>
      <w:r>
        <w:rPr>
          <w:rFonts w:eastAsia="Arial" w:cs="Arial"/>
          <w:sz w:val="21"/>
          <w:szCs w:val="21"/>
        </w:rPr>
        <w:t>g. Impose work restrictions on any staff member or volunteer known to be affected with a communicable illness in a communicable stage, barring direct contact with residents or resident food.</w:t>
      </w:r>
    </w:p>
    <w:p>
      <w:pPr>
        <w:pStyle w:val="Normal"/>
        <w:tabs>
          <w:tab w:val="left" w:pos="720" w:leader="none"/>
        </w:tabs>
        <w:spacing w:lineRule="exact" w:line="264" w:before="0" w:after="80"/>
        <w:ind w:hanging="360" w:start="720"/>
        <w:rPr/>
      </w:pPr>
      <w:r>
        <w:rPr>
          <w:rFonts w:eastAsia="Arial" w:cs="Arial"/>
          <w:sz w:val="21"/>
          <w:szCs w:val="21"/>
        </w:rPr>
        <w:t>h. Maintain written policies restricting on-site access by staff or volunteers whose drug or alcohol use would adversely affect resident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Background Check Authorization &amp; Results Record</w:t>
      </w:r>
    </w:p>
    <w:p>
      <w:pPr>
        <w:pStyle w:val="ListParagraph"/>
        <w:numPr>
          <w:ilvl w:val="0"/>
          <w:numId w:val="1"/>
        </w:numPr>
        <w:spacing w:lineRule="exact" w:line="264" w:before="0" w:after="60"/>
        <w:rPr/>
      </w:pPr>
      <w:r>
        <w:rPr>
          <w:rFonts w:eastAsia="Arial" w:cs="Arial"/>
          <w:sz w:val="21"/>
          <w:szCs w:val="21"/>
        </w:rPr>
        <w:t>APS Data System Check Record</w:t>
      </w:r>
    </w:p>
    <w:p>
      <w:pPr>
        <w:pStyle w:val="ListParagraph"/>
        <w:numPr>
          <w:ilvl w:val="0"/>
          <w:numId w:val="1"/>
        </w:numPr>
        <w:spacing w:lineRule="exact" w:line="264" w:before="0" w:after="60"/>
        <w:rPr/>
      </w:pPr>
      <w:r>
        <w:rPr>
          <w:rFonts w:eastAsia="Arial" w:cs="Arial"/>
          <w:sz w:val="21"/>
          <w:szCs w:val="21"/>
        </w:rPr>
        <w:t>TB Test Record</w:t>
      </w:r>
    </w:p>
    <w:p>
      <w:pPr>
        <w:pStyle w:val="ListParagraph"/>
        <w:numPr>
          <w:ilvl w:val="0"/>
          <w:numId w:val="1"/>
        </w:numPr>
        <w:spacing w:lineRule="exact" w:line="264" w:before="0" w:after="60"/>
        <w:rPr/>
      </w:pPr>
      <w:r>
        <w:rPr>
          <w:rFonts w:eastAsia="Arial" w:cs="Arial"/>
          <w:sz w:val="21"/>
          <w:szCs w:val="21"/>
        </w:rPr>
        <w:t>Personnel File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Staff Training, Orientation &amp; Competency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Staff Training, Orientation &amp; Competency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6 CCR 1011-1, Ch. 7, Part 7.9; dementia training eff. 01/01/2024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staff member and volunteer completes orientation before providing care, receives ongoing training appropriate to their duties, and demonstrates competency — not merely attendance — in the skills their role requires.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Each staff member and volunteer shall complete an initial orientation prior to providing any care or services to a resident. Direct-care staff shall meet the dementia training requirements in effect as of January 1, 2024. The Residence distinguishes between training (the skill was taught) and competency (the staff member can demonstrate the skill), and verifies competency for the skills below.</w:t>
      </w:r>
    </w:p>
    <w:p>
      <w:pPr>
        <w:pStyle w:val="Normal"/>
        <w:pBdr>
          <w:bottom w:val="single" w:sz="4" w:space="1" w:color="2E5E45"/>
        </w:pBdr>
        <w:spacing w:before="160" w:after="80"/>
        <w:rPr/>
      </w:pPr>
      <w:r>
        <w:rPr>
          <w:rFonts w:eastAsia="Arial" w:cs="Arial"/>
          <w:b/>
          <w:bCs/>
          <w:color w:val="1A4731"/>
          <w:sz w:val="20"/>
          <w:szCs w:val="20"/>
        </w:rPr>
        <w:t>PROCEDURE — INITIAL ORIENTATION</w:t>
      </w:r>
    </w:p>
    <w:p>
      <w:pPr>
        <w:pStyle w:val="Normal"/>
        <w:spacing w:lineRule="exact" w:line="276" w:before="0" w:after="120"/>
        <w:rPr/>
      </w:pPr>
      <w:r>
        <w:rPr>
          <w:rFonts w:eastAsia="Arial" w:cs="Arial"/>
          <w:sz w:val="21"/>
          <w:szCs w:val="21"/>
        </w:rPr>
        <w:t>Before providing any care or services, each staff member or volunteer shall complete orientation covering, at minimum:</w:t>
      </w:r>
    </w:p>
    <w:p>
      <w:pPr>
        <w:pStyle w:val="Normal"/>
        <w:tabs>
          <w:tab w:val="left" w:pos="720" w:leader="none"/>
        </w:tabs>
        <w:spacing w:lineRule="exact" w:line="264" w:before="0" w:after="80"/>
        <w:ind w:hanging="360" w:start="720"/>
        <w:rPr/>
      </w:pPr>
      <w:r>
        <w:rPr>
          <w:rFonts w:eastAsia="Arial" w:cs="Arial"/>
          <w:sz w:val="21"/>
          <w:szCs w:val="21"/>
        </w:rPr>
        <w:t>a. The care and services provided by the Residence;</w:t>
      </w:r>
    </w:p>
    <w:p>
      <w:pPr>
        <w:pStyle w:val="Normal"/>
        <w:tabs>
          <w:tab w:val="left" w:pos="720" w:leader="none"/>
        </w:tabs>
        <w:spacing w:lineRule="exact" w:line="264" w:before="0" w:after="80"/>
        <w:ind w:hanging="360" w:start="720"/>
        <w:rPr/>
      </w:pPr>
      <w:r>
        <w:rPr>
          <w:rFonts w:eastAsia="Arial" w:cs="Arial"/>
          <w:sz w:val="21"/>
          <w:szCs w:val="21"/>
        </w:rPr>
        <w:t>b. Assignment of duties and responsibilities specific to the individual;</w:t>
      </w:r>
    </w:p>
    <w:p>
      <w:pPr>
        <w:pStyle w:val="Normal"/>
        <w:tabs>
          <w:tab w:val="left" w:pos="720" w:leader="none"/>
        </w:tabs>
        <w:spacing w:lineRule="exact" w:line="264" w:before="0" w:after="80"/>
        <w:ind w:hanging="360" w:start="720"/>
        <w:rPr/>
      </w:pPr>
      <w:r>
        <w:rPr>
          <w:rFonts w:eastAsia="Arial" w:cs="Arial"/>
          <w:sz w:val="21"/>
          <w:szCs w:val="21"/>
        </w:rPr>
        <w:t>c. Hand hygiene and infection control;</w:t>
      </w:r>
    </w:p>
    <w:p>
      <w:pPr>
        <w:pStyle w:val="Normal"/>
        <w:tabs>
          <w:tab w:val="left" w:pos="720" w:leader="none"/>
        </w:tabs>
        <w:spacing w:lineRule="exact" w:line="264" w:before="0" w:after="80"/>
        <w:ind w:hanging="360" w:start="720"/>
        <w:rPr/>
      </w:pPr>
      <w:r>
        <w:rPr>
          <w:rFonts w:eastAsia="Arial" w:cs="Arial"/>
          <w:sz w:val="21"/>
          <w:szCs w:val="21"/>
        </w:rPr>
        <w:t>d. Resident rights and the prohibition on abuse, neglect, and exploitation;</w:t>
      </w:r>
    </w:p>
    <w:p>
      <w:pPr>
        <w:pStyle w:val="Normal"/>
        <w:tabs>
          <w:tab w:val="left" w:pos="720" w:leader="none"/>
        </w:tabs>
        <w:spacing w:lineRule="exact" w:line="264" w:before="0" w:after="80"/>
        <w:ind w:hanging="360" w:start="720"/>
        <w:rPr/>
      </w:pPr>
      <w:r>
        <w:rPr>
          <w:rFonts w:eastAsia="Arial" w:cs="Arial"/>
          <w:sz w:val="21"/>
          <w:szCs w:val="21"/>
        </w:rPr>
        <w:t>e. Emergency procedures, including fire and evacuation, and the location of emergency equipment;</w:t>
      </w:r>
    </w:p>
    <w:p>
      <w:pPr>
        <w:pStyle w:val="Normal"/>
        <w:tabs>
          <w:tab w:val="left" w:pos="720" w:leader="none"/>
        </w:tabs>
        <w:spacing w:lineRule="exact" w:line="264" w:before="0" w:after="80"/>
        <w:ind w:hanging="360" w:start="720"/>
        <w:rPr/>
      </w:pPr>
      <w:r>
        <w:rPr>
          <w:rFonts w:eastAsia="Arial" w:cs="Arial"/>
          <w:sz w:val="21"/>
          <w:szCs w:val="21"/>
        </w:rPr>
        <w:t>f. Fall prevention and safe lift-assistance practices;</w:t>
      </w:r>
    </w:p>
    <w:p>
      <w:pPr>
        <w:pStyle w:val="Normal"/>
        <w:tabs>
          <w:tab w:val="left" w:pos="720" w:leader="none"/>
        </w:tabs>
        <w:spacing w:lineRule="exact" w:line="264" w:before="0" w:after="80"/>
        <w:ind w:hanging="360" w:start="720"/>
        <w:rPr/>
      </w:pPr>
      <w:r>
        <w:rPr>
          <w:rFonts w:eastAsia="Arial" w:cs="Arial"/>
          <w:sz w:val="21"/>
          <w:szCs w:val="21"/>
        </w:rPr>
        <w:t>g. Recognizing and reporting changes in resident condition;</w:t>
      </w:r>
    </w:p>
    <w:p>
      <w:pPr>
        <w:pStyle w:val="Normal"/>
        <w:tabs>
          <w:tab w:val="left" w:pos="720" w:leader="none"/>
        </w:tabs>
        <w:spacing w:lineRule="exact" w:line="264" w:before="0" w:after="80"/>
        <w:ind w:hanging="360" w:start="720"/>
        <w:rPr/>
      </w:pPr>
      <w:r>
        <w:rPr>
          <w:rFonts w:eastAsia="Arial" w:cs="Arial"/>
          <w:sz w:val="21"/>
          <w:szCs w:val="21"/>
        </w:rPr>
        <w:t>h. Hazardous chemical safety and the location of Safety Data Sheets; and</w:t>
      </w:r>
    </w:p>
    <w:p>
      <w:pPr>
        <w:pStyle w:val="Normal"/>
        <w:tabs>
          <w:tab w:val="left" w:pos="720" w:leader="none"/>
        </w:tabs>
        <w:spacing w:lineRule="exact" w:line="264" w:before="0" w:after="80"/>
        <w:ind w:hanging="360" w:start="720"/>
        <w:rPr/>
      </w:pPr>
      <w:r>
        <w:rPr>
          <w:rFonts w:eastAsia="Arial" w:cs="Arial"/>
          <w:sz w:val="21"/>
          <w:szCs w:val="21"/>
        </w:rPr>
        <w:t>i. An overview of the Residence’s policies and procedures and how to access them.</w:t>
      </w:r>
    </w:p>
    <w:p>
      <w:pPr>
        <w:pStyle w:val="Normal"/>
        <w:pBdr>
          <w:bottom w:val="single" w:sz="4" w:space="1" w:color="2E5E45"/>
        </w:pBdr>
        <w:spacing w:before="160" w:after="80"/>
        <w:rPr/>
      </w:pPr>
      <w:r>
        <w:rPr>
          <w:rFonts w:eastAsia="Arial" w:cs="Arial"/>
          <w:b/>
          <w:bCs/>
          <w:color w:val="1A4731"/>
          <w:sz w:val="20"/>
          <w:szCs w:val="20"/>
        </w:rPr>
        <w:t>PROCEDURE — DEMENTIA TRAINING</w:t>
      </w:r>
    </w:p>
    <w:p>
      <w:pPr>
        <w:pStyle w:val="Normal"/>
        <w:tabs>
          <w:tab w:val="left" w:pos="720" w:leader="none"/>
        </w:tabs>
        <w:spacing w:lineRule="exact" w:line="264" w:before="0" w:after="80"/>
        <w:ind w:hanging="360" w:start="720"/>
        <w:rPr/>
      </w:pPr>
      <w:r>
        <w:rPr>
          <w:rFonts w:eastAsia="Arial" w:cs="Arial"/>
          <w:sz w:val="21"/>
          <w:szCs w:val="21"/>
        </w:rPr>
        <w:t>j. Ensure each direct-care staff member completes general dementia/cognitive impairment training meeting the requirements effective January 1, 2024, covering disease processes, stages of memory loss, behavioral expressions, non-pharmacological approaches, and communication strategies.</w:t>
      </w:r>
    </w:p>
    <w:p>
      <w:pPr>
        <w:pStyle w:val="Normal"/>
        <w:tabs>
          <w:tab w:val="left" w:pos="720" w:leader="none"/>
        </w:tabs>
        <w:spacing w:lineRule="exact" w:line="264" w:before="0" w:after="80"/>
        <w:ind w:hanging="360" w:start="720"/>
        <w:rPr/>
      </w:pPr>
      <w:r>
        <w:rPr>
          <w:rFonts w:eastAsia="Arial" w:cs="Arial"/>
          <w:sz w:val="21"/>
          <w:szCs w:val="21"/>
        </w:rPr>
        <w:t>k. Document completion and maintain records for review.</w:t>
      </w:r>
    </w:p>
    <w:p>
      <w:pPr>
        <w:pStyle w:val="Normal"/>
        <w:pBdr>
          <w:bottom w:val="single" w:sz="4" w:space="1" w:color="2E5E45"/>
        </w:pBdr>
        <w:spacing w:before="160" w:after="80"/>
        <w:rPr/>
      </w:pPr>
      <w:r>
        <w:rPr>
          <w:rFonts w:eastAsia="Arial" w:cs="Arial"/>
          <w:b/>
          <w:bCs/>
          <w:color w:val="1A4731"/>
          <w:sz w:val="20"/>
          <w:szCs w:val="20"/>
        </w:rPr>
        <w:t>PROCEDURE — COMPETENCY VERIFICATION</w:t>
      </w:r>
    </w:p>
    <w:p>
      <w:pPr>
        <w:pStyle w:val="Normal"/>
        <w:tabs>
          <w:tab w:val="left" w:pos="720" w:leader="none"/>
        </w:tabs>
        <w:spacing w:lineRule="exact" w:line="264" w:before="0" w:after="80"/>
        <w:ind w:hanging="360" w:start="720"/>
        <w:rPr/>
      </w:pPr>
      <w:r>
        <w:rPr>
          <w:rFonts w:eastAsia="Arial" w:cs="Arial"/>
          <w:sz w:val="21"/>
          <w:szCs w:val="21"/>
        </w:rPr>
        <w:t>l. For each skill area below, verify competency through observation or return demonstration before independent assignment, and reassess at least annually: medication assistance/administration practices applicable to the role; safe transfer and lift assistance; fall-prevention interventions; infection control and PPE use; emergency and first-aid response; recognition and reporting of significant change; and dementia-specific communication and de-escalation.</w:t>
      </w:r>
    </w:p>
    <w:p>
      <w:pPr>
        <w:pStyle w:val="Normal"/>
        <w:tabs>
          <w:tab w:val="left" w:pos="720" w:leader="none"/>
        </w:tabs>
        <w:spacing w:lineRule="exact" w:line="264" w:before="0" w:after="80"/>
        <w:ind w:hanging="360" w:start="720"/>
        <w:rPr/>
      </w:pPr>
      <w:r>
        <w:rPr>
          <w:rFonts w:eastAsia="Arial" w:cs="Arial"/>
          <w:sz w:val="21"/>
          <w:szCs w:val="21"/>
        </w:rPr>
        <w:t>m. Where a competency deficiency is identified, remove or restrict the staff member from independent performance of that skill until retraining and successful reassessment are documented.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w:t>
      </w:r>
    </w:p>
    <w:p>
      <w:pPr>
        <w:pStyle w:val="ListParagraph"/>
        <w:numPr>
          <w:ilvl w:val="0"/>
          <w:numId w:val="1"/>
        </w:numPr>
        <w:spacing w:lineRule="exact" w:line="264" w:before="0" w:after="60"/>
        <w:rPr/>
      </w:pPr>
      <w:r>
        <w:rPr>
          <w:rFonts w:eastAsia="Arial" w:cs="Arial"/>
          <w:sz w:val="21"/>
          <w:szCs w:val="21"/>
        </w:rPr>
        <w:t>Annual Training Log</w:t>
      </w:r>
    </w:p>
    <w:p>
      <w:pPr>
        <w:pStyle w:val="ListParagraph"/>
        <w:numPr>
          <w:ilvl w:val="0"/>
          <w:numId w:val="1"/>
        </w:numPr>
        <w:spacing w:lineRule="exact" w:line="264" w:before="0" w:after="60"/>
        <w:rPr/>
      </w:pPr>
      <w:r>
        <w:rPr>
          <w:rFonts w:eastAsia="Arial" w:cs="Arial"/>
          <w:sz w:val="21"/>
          <w:szCs w:val="21"/>
        </w:rPr>
        <w:t>Competency Assessment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Administrator Qualifications &amp; Responsibilities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Administrator Qualifications &amp; Responsibilities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6 CCR 1011-1, Ch. 7, Part 6; Title 25, Art. 27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Residence is operated under a qualified administrator responsible for overall operation, daily administration, management, and maintenance.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Residence shall be operated under an administrator (synonymous with “operator” under Title 25, Article 27, Part 1) who meets the qualification and training requirements of Part 6. When the administrator position is vacant, a qualified interim administrator shall be designated in accordance with rule.</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Designate an administrator who meets the qualifications of Part 6.3 and completes the training required under Part 6.5.</w:t>
      </w:r>
    </w:p>
    <w:p>
      <w:pPr>
        <w:pStyle w:val="Normal"/>
        <w:tabs>
          <w:tab w:val="left" w:pos="720" w:leader="none"/>
        </w:tabs>
        <w:spacing w:lineRule="exact" w:line="264" w:before="0" w:after="80"/>
        <w:ind w:hanging="360" w:start="720"/>
        <w:rPr/>
      </w:pPr>
      <w:r>
        <w:rPr>
          <w:rFonts w:eastAsia="Arial" w:cs="Arial"/>
          <w:sz w:val="21"/>
          <w:szCs w:val="21"/>
        </w:rPr>
        <w:t>b. Ensure the administrator is responsible for overall day-to-day operation, including implementation of policies and procedures, staffing sufficiency, resident care oversight, and regulatory compliance.</w:t>
      </w:r>
    </w:p>
    <w:p>
      <w:pPr>
        <w:pStyle w:val="Normal"/>
        <w:tabs>
          <w:tab w:val="left" w:pos="720" w:leader="none"/>
        </w:tabs>
        <w:spacing w:lineRule="exact" w:line="264" w:before="0" w:after="80"/>
        <w:ind w:hanging="360" w:start="720"/>
        <w:rPr/>
      </w:pPr>
      <w:r>
        <w:rPr>
          <w:rFonts w:eastAsia="Arial" w:cs="Arial"/>
          <w:sz w:val="21"/>
          <w:szCs w:val="21"/>
        </w:rPr>
        <w:t>c. When the administrator position becomes vacant, appoint a qualified interim administrator meeting the Part 6.3 qualifications and Part 6.5(A) training requirements, and document the appointment.</w:t>
      </w:r>
    </w:p>
    <w:p>
      <w:pPr>
        <w:pStyle w:val="Normal"/>
        <w:tabs>
          <w:tab w:val="left" w:pos="720" w:leader="none"/>
        </w:tabs>
        <w:spacing w:lineRule="exact" w:line="264" w:before="0" w:after="80"/>
        <w:ind w:hanging="360" w:start="720"/>
        <w:rPr/>
      </w:pPr>
      <w:r>
        <w:rPr>
          <w:rFonts w:eastAsia="Arial" w:cs="Arial"/>
          <w:sz w:val="21"/>
          <w:szCs w:val="21"/>
        </w:rPr>
        <w:t>d. Maintain documentation demonstrating administrator qualifications, training, and continuing education.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Administrator Qualification Record</w:t>
      </w:r>
    </w:p>
    <w:p>
      <w:pPr>
        <w:pStyle w:val="ListParagraph"/>
        <w:numPr>
          <w:ilvl w:val="0"/>
          <w:numId w:val="1"/>
        </w:numPr>
        <w:spacing w:lineRule="exact" w:line="264" w:before="0" w:after="60"/>
        <w:rPr/>
      </w:pPr>
      <w:r>
        <w:rPr>
          <w:rFonts w:eastAsia="Arial" w:cs="Arial"/>
          <w:sz w:val="21"/>
          <w:szCs w:val="21"/>
        </w:rPr>
        <w:t>Interim Administrator Designation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Resident Care Services</w:t>
      </w:r>
    </w:p>
    <w:p>
      <w:pPr>
        <w:pStyle w:val="Normal"/>
        <w:spacing w:lineRule="exact" w:line="288" w:before="0" w:after="240"/>
        <w:rPr/>
      </w:pPr>
      <w:r>
        <w:rPr>
          <w:rFonts w:eastAsia="Arial" w:cs="Arial"/>
          <w:color w:val="444444"/>
          <w:sz w:val="22"/>
          <w:szCs w:val="22"/>
        </w:rPr>
        <w:t>This section defines how the Residence assesses each resident, builds and maintains an individualized care plan, and delivers daily care — including practitioner assessment triggers, the fall management program, activities of daily living, and resident engagement.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Comprehensive Assessment &amp; Care Planning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Practitioner Assessment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Fall Management Program</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3.03  Activities of Daily Living &amp; Resident Engagement</w:t>
      </w:r>
    </w:p>
    <w:p>
      <w:pPr>
        <w:pStyle w:val="Normal"/>
        <w:rPr/>
      </w:pPr>
      <w:r>
        <w:rPr/>
      </w:r>
      <w:r>
        <w:br w:type="page"/>
      </w:r>
    </w:p>
    <w:p>
      <w:pPr>
        <w:pStyle w:val="Heading2"/>
        <w:spacing w:before="0" w:after="120"/>
        <w:rPr/>
      </w:pPr>
      <w:r>
        <w:rPr>
          <w:rFonts w:eastAsia="Arial" w:cs="Arial" w:ascii="Arial" w:hAnsi="Arial"/>
          <w:b/>
          <w:bCs/>
          <w:color w:val="1A4731"/>
          <w:sz w:val="26"/>
          <w:szCs w:val="26"/>
        </w:rPr>
        <w:t>3.00  Comprehensive Assessment &amp; Care Planning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Comprehensive Assessment &amp; Care Planning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6 CCR 1011-1, Ch. 7, Part 12.6–12.10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 receives a comprehensive assessment at move-in that drives an individualized, person-centered care plan reflecting the resident’s needs, preferences, and goals.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At move-in, the Residence shall complete a comprehensive assessment reflecting information from the resident, the resident’s representative (if requested by the resident), and a practitioner. The assessment shall be used to establish an individualized care plan, which shall be reviewed and updated as needs change.</w:t>
      </w:r>
    </w:p>
    <w:p>
      <w:pPr>
        <w:pStyle w:val="Normal"/>
        <w:pBdr>
          <w:bottom w:val="single" w:sz="4" w:space="1" w:color="2E5E45"/>
        </w:pBdr>
        <w:spacing w:before="160" w:after="80"/>
        <w:rPr/>
      </w:pPr>
      <w:r>
        <w:rPr>
          <w:rFonts w:eastAsia="Arial" w:cs="Arial"/>
          <w:b/>
          <w:bCs/>
          <w:color w:val="1A4731"/>
          <w:sz w:val="20"/>
          <w:szCs w:val="20"/>
        </w:rPr>
        <w:t>PROCEDURE — COMPREHENSIVE ASSESSMENT</w:t>
      </w:r>
    </w:p>
    <w:p>
      <w:pPr>
        <w:pStyle w:val="Normal"/>
        <w:spacing w:lineRule="exact" w:line="276" w:before="0" w:after="120"/>
        <w:rPr/>
      </w:pPr>
      <w:r>
        <w:rPr>
          <w:rFonts w:eastAsia="Arial" w:cs="Arial"/>
          <w:sz w:val="21"/>
          <w:szCs w:val="21"/>
        </w:rPr>
        <w:t>The comprehensive assessment shall include, at minimum:</w:t>
      </w:r>
    </w:p>
    <w:p>
      <w:pPr>
        <w:pStyle w:val="Normal"/>
        <w:tabs>
          <w:tab w:val="left" w:pos="720" w:leader="none"/>
        </w:tabs>
        <w:spacing w:lineRule="exact" w:line="264" w:before="0" w:after="80"/>
        <w:ind w:hanging="360" w:start="720"/>
        <w:rPr/>
      </w:pPr>
      <w:r>
        <w:rPr>
          <w:rFonts w:eastAsia="Arial" w:cs="Arial"/>
          <w:sz w:val="21"/>
          <w:szCs w:val="21"/>
        </w:rPr>
        <w:t>a. Information from the comprehensive pre-admission assessment;</w:t>
      </w:r>
    </w:p>
    <w:p>
      <w:pPr>
        <w:pStyle w:val="Normal"/>
        <w:tabs>
          <w:tab w:val="left" w:pos="720" w:leader="none"/>
        </w:tabs>
        <w:spacing w:lineRule="exact" w:line="264" w:before="0" w:after="80"/>
        <w:ind w:hanging="360" w:start="720"/>
        <w:rPr/>
      </w:pPr>
      <w:r>
        <w:rPr>
          <w:rFonts w:eastAsia="Arial" w:cs="Arial"/>
          <w:sz w:val="21"/>
          <w:szCs w:val="21"/>
        </w:rPr>
        <w:t>b. The resident’s overall health and physical functioning ability;</w:t>
      </w:r>
    </w:p>
    <w:p>
      <w:pPr>
        <w:pStyle w:val="Normal"/>
        <w:tabs>
          <w:tab w:val="left" w:pos="720" w:leader="none"/>
        </w:tabs>
        <w:spacing w:lineRule="exact" w:line="264" w:before="0" w:after="80"/>
        <w:ind w:hanging="360" w:start="720"/>
        <w:rPr/>
      </w:pPr>
      <w:r>
        <w:rPr>
          <w:rFonts w:eastAsia="Arial" w:cs="Arial"/>
          <w:sz w:val="21"/>
          <w:szCs w:val="21"/>
        </w:rPr>
        <w:t>c. The resident’s advance directives;</w:t>
      </w:r>
    </w:p>
    <w:p>
      <w:pPr>
        <w:pStyle w:val="Normal"/>
        <w:tabs>
          <w:tab w:val="left" w:pos="720" w:leader="none"/>
        </w:tabs>
        <w:spacing w:lineRule="exact" w:line="264" w:before="0" w:after="80"/>
        <w:ind w:hanging="360" w:start="720"/>
        <w:rPr/>
      </w:pPr>
      <w:r>
        <w:rPr>
          <w:rFonts w:eastAsia="Arial" w:cs="Arial"/>
          <w:sz w:val="21"/>
          <w:szCs w:val="21"/>
        </w:rPr>
        <w:t>d. Communication ability and any specific needs to facilitate effective communication;</w:t>
      </w:r>
    </w:p>
    <w:p>
      <w:pPr>
        <w:pStyle w:val="Normal"/>
        <w:tabs>
          <w:tab w:val="left" w:pos="720" w:leader="none"/>
        </w:tabs>
        <w:spacing w:lineRule="exact" w:line="264" w:before="0" w:after="80"/>
        <w:ind w:hanging="360" w:start="720"/>
        <w:rPr/>
      </w:pPr>
      <w:r>
        <w:rPr>
          <w:rFonts w:eastAsia="Arial" w:cs="Arial"/>
          <w:sz w:val="21"/>
          <w:szCs w:val="21"/>
        </w:rPr>
        <w:t>e. Current diagnoses and any known or anticipated needs or impacts related to them;</w:t>
      </w:r>
    </w:p>
    <w:p>
      <w:pPr>
        <w:pStyle w:val="Normal"/>
        <w:tabs>
          <w:tab w:val="left" w:pos="720" w:leader="none"/>
        </w:tabs>
        <w:spacing w:lineRule="exact" w:line="264" w:before="0" w:after="80"/>
        <w:ind w:hanging="360" w:start="720"/>
        <w:rPr/>
      </w:pPr>
      <w:r>
        <w:rPr>
          <w:rFonts w:eastAsia="Arial" w:cs="Arial"/>
          <w:sz w:val="21"/>
          <w:szCs w:val="21"/>
        </w:rPr>
        <w:t>f. Food and dining preferences, unique needs, and restrictions;</w:t>
      </w:r>
    </w:p>
    <w:p>
      <w:pPr>
        <w:pStyle w:val="Normal"/>
        <w:tabs>
          <w:tab w:val="left" w:pos="720" w:leader="none"/>
        </w:tabs>
        <w:spacing w:lineRule="exact" w:line="264" w:before="0" w:after="80"/>
        <w:ind w:hanging="360" w:start="720"/>
        <w:rPr/>
      </w:pPr>
      <w:r>
        <w:rPr>
          <w:rFonts w:eastAsia="Arial" w:cs="Arial"/>
          <w:sz w:val="21"/>
          <w:szCs w:val="21"/>
        </w:rPr>
        <w:t>g. Individual bathroom routines and sleep/wake patterns; and</w:t>
      </w:r>
    </w:p>
    <w:p>
      <w:pPr>
        <w:pStyle w:val="Normal"/>
        <w:tabs>
          <w:tab w:val="left" w:pos="720" w:leader="none"/>
        </w:tabs>
        <w:spacing w:lineRule="exact" w:line="264" w:before="0" w:after="80"/>
        <w:ind w:hanging="360" w:start="720"/>
        <w:rPr/>
      </w:pPr>
      <w:r>
        <w:rPr>
          <w:rFonts w:eastAsia="Arial" w:cs="Arial"/>
          <w:sz w:val="21"/>
          <w:szCs w:val="21"/>
        </w:rPr>
        <w:t>h. Known external service providers, including essential caregivers, and the care coordination arrangements with them.</w:t>
      </w:r>
    </w:p>
    <w:p>
      <w:pPr>
        <w:pStyle w:val="Normal"/>
        <w:pBdr>
          <w:bottom w:val="single" w:sz="4" w:space="1" w:color="2E5E45"/>
        </w:pBdr>
        <w:spacing w:before="160" w:after="80"/>
        <w:rPr/>
      </w:pPr>
      <w:r>
        <w:rPr>
          <w:rFonts w:eastAsia="Arial" w:cs="Arial"/>
          <w:b/>
          <w:bCs/>
          <w:color w:val="1A4731"/>
          <w:sz w:val="20"/>
          <w:szCs w:val="20"/>
        </w:rPr>
        <w:t>PROCEDURE — INDIVIDUALIZED CARE PLAN</w:t>
      </w:r>
    </w:p>
    <w:p>
      <w:pPr>
        <w:pStyle w:val="Normal"/>
        <w:tabs>
          <w:tab w:val="left" w:pos="720" w:leader="none"/>
        </w:tabs>
        <w:spacing w:lineRule="exact" w:line="264" w:before="0" w:after="80"/>
        <w:ind w:hanging="360" w:start="720"/>
        <w:rPr/>
      </w:pPr>
      <w:r>
        <w:rPr>
          <w:rFonts w:eastAsia="Arial" w:cs="Arial"/>
          <w:sz w:val="21"/>
          <w:szCs w:val="21"/>
        </w:rPr>
        <w:t>i. Develop a written, person-centered care plan from the comprehensive assessment that describes the resident’s functional capabilities, need for personal assistance, services from external providers, and services the Residence will provide.</w:t>
      </w:r>
    </w:p>
    <w:p>
      <w:pPr>
        <w:pStyle w:val="Normal"/>
        <w:tabs>
          <w:tab w:val="left" w:pos="720" w:leader="none"/>
        </w:tabs>
        <w:spacing w:lineRule="exact" w:line="264" w:before="0" w:after="80"/>
        <w:ind w:hanging="360" w:start="720"/>
        <w:rPr/>
      </w:pPr>
      <w:r>
        <w:rPr>
          <w:rFonts w:eastAsia="Arial" w:cs="Arial"/>
          <w:sz w:val="21"/>
          <w:szCs w:val="21"/>
        </w:rPr>
        <w:t>j. Incorporate the resident’s preferences and goals, and document formal, planned, and informal engagement opportunities that match the resident’s choices.</w:t>
      </w:r>
    </w:p>
    <w:p>
      <w:pPr>
        <w:pStyle w:val="Normal"/>
        <w:tabs>
          <w:tab w:val="left" w:pos="720" w:leader="none"/>
        </w:tabs>
        <w:spacing w:lineRule="exact" w:line="264" w:before="0" w:after="80"/>
        <w:ind w:hanging="360" w:start="720"/>
        <w:rPr/>
      </w:pPr>
      <w:r>
        <w:rPr>
          <w:rFonts w:eastAsia="Arial" w:cs="Arial"/>
          <w:sz w:val="21"/>
          <w:szCs w:val="21"/>
        </w:rPr>
        <w:t>k. Coordinate care with known external service providers, and notify the resident’s representative whenever the resident experiences a significant change from baseline status.</w:t>
      </w:r>
    </w:p>
    <w:p>
      <w:pPr>
        <w:pStyle w:val="Normal"/>
        <w:tabs>
          <w:tab w:val="left" w:pos="720" w:leader="none"/>
        </w:tabs>
        <w:spacing w:lineRule="exact" w:line="264" w:before="0" w:after="80"/>
        <w:ind w:hanging="360" w:start="720"/>
        <w:rPr/>
      </w:pPr>
      <w:r>
        <w:rPr>
          <w:rFonts w:eastAsia="Arial" w:cs="Arial"/>
          <w:sz w:val="21"/>
          <w:szCs w:val="21"/>
        </w:rPr>
        <w:t>l. Review and revise the care plan when the comprehensive or practitioner assessment indicates changed needs, and ensure staff are aware of and trained on care plan directives.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Comprehensive Assessment Form</w:t>
      </w:r>
    </w:p>
    <w:p>
      <w:pPr>
        <w:pStyle w:val="ListParagraph"/>
        <w:numPr>
          <w:ilvl w:val="0"/>
          <w:numId w:val="1"/>
        </w:numPr>
        <w:spacing w:lineRule="exact" w:line="264" w:before="0" w:after="60"/>
        <w:rPr/>
      </w:pPr>
      <w:r>
        <w:rPr>
          <w:rFonts w:eastAsia="Arial" w:cs="Arial"/>
          <w:sz w:val="21"/>
          <w:szCs w:val="21"/>
        </w:rPr>
        <w:t>Individualized Care Plan</w:t>
      </w:r>
    </w:p>
    <w:p>
      <w:pPr>
        <w:pStyle w:val="ListParagraph"/>
        <w:numPr>
          <w:ilvl w:val="0"/>
          <w:numId w:val="1"/>
        </w:numPr>
        <w:spacing w:lineRule="exact" w:line="264" w:before="0" w:after="60"/>
        <w:rPr/>
      </w:pPr>
      <w:r>
        <w:rPr>
          <w:rFonts w:eastAsia="Arial" w:cs="Arial"/>
          <w:sz w:val="21"/>
          <w:szCs w:val="21"/>
        </w:rPr>
        <w:t>Significant Change Notification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Practitioner Assessment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Practitioner Assessment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6 CCR 1011-1, Ch. 7, Part 12.5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define when a practitioner’s assessment of a resident is appropriate and to ensure timely practitioner involvement when a resident’s condition warrants it.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Residence shall maintain a policy and procedure regarding when a practitioner’s assessment of a resident is appropriate, and shall facilitate practitioner assessment when triggering conditions occur.</w:t>
      </w:r>
    </w:p>
    <w:p>
      <w:pPr>
        <w:pStyle w:val="Normal"/>
        <w:pBdr>
          <w:bottom w:val="single" w:sz="4" w:space="1" w:color="2E5E45"/>
        </w:pBdr>
        <w:spacing w:before="160" w:after="80"/>
        <w:rPr/>
      </w:pPr>
      <w:r>
        <w:rPr>
          <w:rFonts w:eastAsia="Arial" w:cs="Arial"/>
          <w:b/>
          <w:bCs/>
          <w:color w:val="1A4731"/>
          <w:sz w:val="20"/>
          <w:szCs w:val="20"/>
        </w:rPr>
        <w:t>PROCEDURE</w:t>
      </w:r>
    </w:p>
    <w:p>
      <w:pPr>
        <w:pStyle w:val="Normal"/>
        <w:spacing w:lineRule="exact" w:line="276" w:before="0" w:after="120"/>
        <w:rPr/>
      </w:pPr>
      <w:r>
        <w:rPr>
          <w:rFonts w:eastAsia="Arial" w:cs="Arial"/>
          <w:sz w:val="21"/>
          <w:szCs w:val="21"/>
        </w:rPr>
        <w:t>Staff shall seek or facilitate a practitioner assessment when a resident experiences any of the following:</w:t>
      </w:r>
    </w:p>
    <w:p>
      <w:pPr>
        <w:pStyle w:val="Normal"/>
        <w:tabs>
          <w:tab w:val="left" w:pos="720" w:leader="none"/>
        </w:tabs>
        <w:spacing w:lineRule="exact" w:line="264" w:before="0" w:after="80"/>
        <w:ind w:hanging="360" w:start="720"/>
        <w:rPr/>
      </w:pPr>
      <w:r>
        <w:rPr>
          <w:rFonts w:eastAsia="Arial" w:cs="Arial"/>
          <w:sz w:val="21"/>
          <w:szCs w:val="21"/>
        </w:rPr>
        <w:t>a. A significant change in physical, mental, or functional condition from baseline;</w:t>
      </w:r>
    </w:p>
    <w:p>
      <w:pPr>
        <w:pStyle w:val="Normal"/>
        <w:tabs>
          <w:tab w:val="left" w:pos="720" w:leader="none"/>
        </w:tabs>
        <w:spacing w:lineRule="exact" w:line="264" w:before="0" w:after="80"/>
        <w:ind w:hanging="360" w:start="720"/>
        <w:rPr/>
      </w:pPr>
      <w:r>
        <w:rPr>
          <w:rFonts w:eastAsia="Arial" w:cs="Arial"/>
          <w:sz w:val="21"/>
          <w:szCs w:val="21"/>
        </w:rPr>
        <w:t>b. Signs or symptoms of infection;</w:t>
      </w:r>
    </w:p>
    <w:p>
      <w:pPr>
        <w:pStyle w:val="Normal"/>
        <w:tabs>
          <w:tab w:val="left" w:pos="720" w:leader="none"/>
        </w:tabs>
        <w:spacing w:lineRule="exact" w:line="264" w:before="0" w:after="80"/>
        <w:ind w:hanging="360" w:start="720"/>
        <w:rPr/>
      </w:pPr>
      <w:r>
        <w:rPr>
          <w:rFonts w:eastAsia="Arial" w:cs="Arial"/>
          <w:sz w:val="21"/>
          <w:szCs w:val="21"/>
        </w:rPr>
        <w:t>c. An injury or accident affecting the resident’s condition;</w:t>
      </w:r>
    </w:p>
    <w:p>
      <w:pPr>
        <w:pStyle w:val="Normal"/>
        <w:tabs>
          <w:tab w:val="left" w:pos="720" w:leader="none"/>
        </w:tabs>
        <w:spacing w:lineRule="exact" w:line="264" w:before="0" w:after="80"/>
        <w:ind w:hanging="360" w:start="720"/>
        <w:rPr/>
      </w:pPr>
      <w:r>
        <w:rPr>
          <w:rFonts w:eastAsia="Arial" w:cs="Arial"/>
          <w:sz w:val="21"/>
          <w:szCs w:val="21"/>
        </w:rPr>
        <w:t>d. Known exposure to a communicable disease; or</w:t>
      </w:r>
    </w:p>
    <w:p>
      <w:pPr>
        <w:pStyle w:val="Normal"/>
        <w:tabs>
          <w:tab w:val="left" w:pos="720" w:leader="none"/>
        </w:tabs>
        <w:spacing w:lineRule="exact" w:line="264" w:before="0" w:after="80"/>
        <w:ind w:hanging="360" w:start="720"/>
        <w:rPr/>
      </w:pPr>
      <w:r>
        <w:rPr>
          <w:rFonts w:eastAsia="Arial" w:cs="Arial"/>
          <w:sz w:val="21"/>
          <w:szCs w:val="21"/>
        </w:rPr>
        <w:t>e. Development of any condition that would have precluded admission under the move-in criteria.</w:t>
      </w:r>
    </w:p>
    <w:p>
      <w:pPr>
        <w:pStyle w:val="Normal"/>
        <w:spacing w:lineRule="exact" w:line="276" w:before="0" w:after="120"/>
        <w:rPr/>
      </w:pPr>
      <w:r>
        <w:rPr>
          <w:rFonts w:eastAsia="Arial" w:cs="Arial"/>
          <w:sz w:val="21"/>
          <w:szCs w:val="21"/>
        </w:rPr>
        <w:t>Document the triggering condition, the notification to the practitioner and the resident’s representative, the practitioner’s response, and any resulting care plan changes.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Practitioner Assessment Request / Response Record</w:t>
      </w:r>
    </w:p>
    <w:p>
      <w:pPr>
        <w:pStyle w:val="ListParagraph"/>
        <w:numPr>
          <w:ilvl w:val="0"/>
          <w:numId w:val="1"/>
        </w:numPr>
        <w:spacing w:lineRule="exact" w:line="264" w:before="0" w:after="60"/>
        <w:rPr/>
      </w:pPr>
      <w:r>
        <w:rPr>
          <w:rFonts w:eastAsia="Arial" w:cs="Arial"/>
          <w:sz w:val="21"/>
          <w:szCs w:val="21"/>
        </w:rPr>
        <w:t>Change of Condition Note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Fall Management Program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Fall Management Program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6 CCR 1011-1, Ch. 7, Part 12.15–12.17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the risk and impact of resident falls through assessment, individualized care planning, environmental safety, staff training, and a defined response to falls.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Residence shall maintain a fall management program that includes resident and family education, individualized fall-risk planning, engagement activities to improve strength and balance, routine environmental safety inspection, and staff training in fall prevention.</w:t>
      </w:r>
    </w:p>
    <w:p>
      <w:pPr>
        <w:pStyle w:val="Normal"/>
        <w:pBdr>
          <w:bottom w:val="single" w:sz="4" w:space="1" w:color="2E5E45"/>
        </w:pBdr>
        <w:spacing w:before="160" w:after="80"/>
        <w:rPr/>
      </w:pPr>
      <w:r>
        <w:rPr>
          <w:rFonts w:eastAsia="Arial" w:cs="Arial"/>
          <w:b/>
          <w:bCs/>
          <w:color w:val="1A4731"/>
          <w:sz w:val="20"/>
          <w:szCs w:val="20"/>
        </w:rPr>
        <w:t>PROCEDURE — FALL RISK &amp; PREVENTION</w:t>
      </w:r>
    </w:p>
    <w:p>
      <w:pPr>
        <w:pStyle w:val="Normal"/>
        <w:tabs>
          <w:tab w:val="left" w:pos="720" w:leader="none"/>
        </w:tabs>
        <w:spacing w:lineRule="exact" w:line="264" w:before="0" w:after="80"/>
        <w:ind w:hanging="360" w:start="720"/>
        <w:rPr/>
      </w:pPr>
      <w:r>
        <w:rPr>
          <w:rFonts w:eastAsia="Arial" w:cs="Arial"/>
          <w:sz w:val="21"/>
          <w:szCs w:val="21"/>
        </w:rPr>
        <w:t>a. Provide fall management education and materials to residents and family members.</w:t>
      </w:r>
    </w:p>
    <w:p>
      <w:pPr>
        <w:pStyle w:val="Normal"/>
        <w:tabs>
          <w:tab w:val="left" w:pos="720" w:leader="none"/>
        </w:tabs>
        <w:spacing w:lineRule="exact" w:line="264" w:before="0" w:after="80"/>
        <w:ind w:hanging="360" w:start="720"/>
        <w:rPr/>
      </w:pPr>
      <w:r>
        <w:rPr>
          <w:rFonts w:eastAsia="Arial" w:cs="Arial"/>
          <w:sz w:val="21"/>
          <w:szCs w:val="21"/>
        </w:rPr>
        <w:t>b. Detail in each resident’s care plan the individualized approach to address fall risk related to deficits in strength, balance, eyesight, or effects of medication identified during the comprehensive assessment.</w:t>
      </w:r>
    </w:p>
    <w:p>
      <w:pPr>
        <w:pStyle w:val="Normal"/>
        <w:tabs>
          <w:tab w:val="left" w:pos="720" w:leader="none"/>
        </w:tabs>
        <w:spacing w:lineRule="exact" w:line="264" w:before="0" w:after="80"/>
        <w:ind w:hanging="360" w:start="720"/>
        <w:rPr/>
      </w:pPr>
      <w:r>
        <w:rPr>
          <w:rFonts w:eastAsia="Arial" w:cs="Arial"/>
          <w:sz w:val="21"/>
          <w:szCs w:val="21"/>
        </w:rPr>
        <w:t>c. Provide resident engagement activities designed to improve strength and balance.</w:t>
      </w:r>
    </w:p>
    <w:p>
      <w:pPr>
        <w:pStyle w:val="Normal"/>
        <w:tabs>
          <w:tab w:val="left" w:pos="720" w:leader="none"/>
        </w:tabs>
        <w:spacing w:lineRule="exact" w:line="264" w:before="0" w:after="80"/>
        <w:ind w:hanging="360" w:start="720"/>
        <w:rPr/>
      </w:pPr>
      <w:r>
        <w:rPr>
          <w:rFonts w:eastAsia="Arial" w:cs="Arial"/>
          <w:sz w:val="21"/>
          <w:szCs w:val="21"/>
        </w:rPr>
        <w:t>d. Routinely inspect and maintain a safe interior and exterior environment.</w:t>
      </w:r>
    </w:p>
    <w:p>
      <w:pPr>
        <w:pStyle w:val="Normal"/>
        <w:tabs>
          <w:tab w:val="left" w:pos="720" w:leader="none"/>
        </w:tabs>
        <w:spacing w:lineRule="exact" w:line="264" w:before="0" w:after="80"/>
        <w:ind w:hanging="360" w:start="720"/>
        <w:rPr/>
      </w:pPr>
      <w:r>
        <w:rPr>
          <w:rFonts w:eastAsia="Arial" w:cs="Arial"/>
          <w:sz w:val="21"/>
          <w:szCs w:val="21"/>
        </w:rPr>
        <w:t>e. Provide staff training related to fall prevention.</w:t>
      </w:r>
    </w:p>
    <w:p>
      <w:pPr>
        <w:pStyle w:val="Normal"/>
        <w:pBdr>
          <w:bottom w:val="single" w:sz="4" w:space="1" w:color="2E5E45"/>
        </w:pBdr>
        <w:spacing w:before="160" w:after="80"/>
        <w:rPr/>
      </w:pPr>
      <w:r>
        <w:rPr>
          <w:rFonts w:eastAsia="Arial" w:cs="Arial"/>
          <w:b/>
          <w:bCs/>
          <w:color w:val="1A4731"/>
          <w:sz w:val="20"/>
          <w:szCs w:val="20"/>
        </w:rPr>
        <w:t>PROCEDURE — RESPONSE TO A FALL (LIFT ASSISTANCE)</w:t>
      </w:r>
    </w:p>
    <w:p>
      <w:pPr>
        <w:pStyle w:val="Normal"/>
        <w:tabs>
          <w:tab w:val="left" w:pos="720" w:leader="none"/>
        </w:tabs>
        <w:spacing w:lineRule="exact" w:line="264" w:before="0" w:after="80"/>
        <w:ind w:hanging="360" w:start="720"/>
        <w:rPr/>
      </w:pPr>
      <w:r>
        <w:rPr>
          <w:rFonts w:eastAsia="Arial" w:cs="Arial"/>
          <w:sz w:val="21"/>
          <w:szCs w:val="21"/>
        </w:rPr>
        <w:t>f. When a resident has fallen or cannot independently get up, trained staff shall evaluate the situation before attempting to assist, determining whether the resident can be assisted safely.</w:t>
      </w:r>
    </w:p>
    <w:p>
      <w:pPr>
        <w:pStyle w:val="Normal"/>
        <w:tabs>
          <w:tab w:val="left" w:pos="720" w:leader="none"/>
        </w:tabs>
        <w:spacing w:lineRule="exact" w:line="264" w:before="0" w:after="80"/>
        <w:ind w:hanging="360" w:start="720"/>
        <w:rPr/>
      </w:pPr>
      <w:r>
        <w:rPr>
          <w:rFonts w:eastAsia="Arial" w:cs="Arial"/>
          <w:sz w:val="21"/>
          <w:szCs w:val="21"/>
        </w:rPr>
        <w:t>g. Staff may provide lift assistance only when the resident has no pain and there is no change from baseline, the resident’s mental status is unchanged from baseline, and there is no apparent or suspected injury.</w:t>
      </w:r>
    </w:p>
    <w:p>
      <w:pPr>
        <w:pStyle w:val="Normal"/>
        <w:tabs>
          <w:tab w:val="left" w:pos="720" w:leader="none"/>
        </w:tabs>
        <w:spacing w:lineRule="exact" w:line="264" w:before="0" w:after="80"/>
        <w:ind w:hanging="360" w:start="720"/>
        <w:rPr/>
      </w:pPr>
      <w:r>
        <w:rPr>
          <w:rFonts w:eastAsia="Arial" w:cs="Arial"/>
          <w:sz w:val="21"/>
          <w:szCs w:val="21"/>
        </w:rPr>
        <w:t>h. If the resident is unconscious, shows a decline from baseline, reports increased pain, has a suspected injury, or refuses assistance, staff shall not lift the resident and shall call 911.</w:t>
      </w:r>
    </w:p>
    <w:p>
      <w:pPr>
        <w:pStyle w:val="Normal"/>
        <w:tabs>
          <w:tab w:val="left" w:pos="720" w:leader="none"/>
        </w:tabs>
        <w:spacing w:lineRule="exact" w:line="264" w:before="0" w:after="80"/>
        <w:ind w:hanging="360" w:start="720"/>
        <w:rPr/>
      </w:pPr>
      <w:r>
        <w:rPr>
          <w:rFonts w:eastAsia="Arial" w:cs="Arial"/>
          <w:sz w:val="21"/>
          <w:szCs w:val="21"/>
        </w:rPr>
        <w:t>i. Make the Residence’s lift-assistance policy available to its local fire protection district as required.</w:t>
      </w:r>
    </w:p>
    <w:p>
      <w:pPr>
        <w:pStyle w:val="Normal"/>
        <w:tabs>
          <w:tab w:val="left" w:pos="720" w:leader="none"/>
        </w:tabs>
        <w:spacing w:lineRule="exact" w:line="264" w:before="0" w:after="80"/>
        <w:ind w:hanging="360" w:start="720"/>
        <w:rPr/>
      </w:pPr>
      <w:r>
        <w:rPr>
          <w:rFonts w:eastAsia="Arial" w:cs="Arial"/>
          <w:sz w:val="21"/>
          <w:szCs w:val="21"/>
        </w:rPr>
        <w:t>j. Document each fall, the evaluation performed, the response, notifications made, and any care plan revision; review falls for patterns through the Quality Management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Fall Risk Assessment</w:t>
      </w:r>
    </w:p>
    <w:p>
      <w:pPr>
        <w:pStyle w:val="ListParagraph"/>
        <w:numPr>
          <w:ilvl w:val="0"/>
          <w:numId w:val="1"/>
        </w:numPr>
        <w:spacing w:lineRule="exact" w:line="264" w:before="0" w:after="60"/>
        <w:rPr/>
      </w:pPr>
      <w:r>
        <w:rPr>
          <w:rFonts w:eastAsia="Arial" w:cs="Arial"/>
          <w:sz w:val="21"/>
          <w:szCs w:val="21"/>
        </w:rPr>
        <w:t>Post-Fall Evaluation &amp; Report</w:t>
      </w:r>
    </w:p>
    <w:p>
      <w:pPr>
        <w:pStyle w:val="ListParagraph"/>
        <w:numPr>
          <w:ilvl w:val="0"/>
          <w:numId w:val="1"/>
        </w:numPr>
        <w:spacing w:lineRule="exact" w:line="264" w:before="0" w:after="60"/>
        <w:rPr/>
      </w:pPr>
      <w:r>
        <w:rPr>
          <w:rFonts w:eastAsia="Arial" w:cs="Arial"/>
          <w:sz w:val="21"/>
          <w:szCs w:val="21"/>
        </w:rPr>
        <w:t>Fall Log / Trend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3.03  Activities of Daily Living &amp; Resident Engagement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3.03  Activities of Daily Living &amp; Resident Engagement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6 CCR 1011-1, Ch. 7, Part 12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provide personal services and meaningful engagement that support each resident’s functional ability, dignity, and quality of life.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Residence shall make available, directly or through the resident agreement, services sufficient to meet resident needs, including a safe and sanitary environment, personal services, and protective oversight, while supporting resident choice and independence.</w:t>
      </w:r>
    </w:p>
    <w:p>
      <w:pPr>
        <w:pStyle w:val="Normal"/>
        <w:pBdr>
          <w:bottom w:val="single" w:sz="4" w:space="1" w:color="2E5E45"/>
        </w:pBdr>
        <w:spacing w:before="160" w:after="80"/>
        <w:rPr/>
      </w:pPr>
      <w:r>
        <w:rPr>
          <w:rFonts w:eastAsia="Arial" w:cs="Arial"/>
          <w:b/>
          <w:bCs/>
          <w:color w:val="1A4731"/>
          <w:sz w:val="20"/>
          <w:szCs w:val="20"/>
        </w:rPr>
        <w:t>PROCEDURE — ACTIVITIES OF DAILY LIVING</w:t>
      </w:r>
    </w:p>
    <w:p>
      <w:pPr>
        <w:pStyle w:val="Normal"/>
        <w:tabs>
          <w:tab w:val="left" w:pos="720" w:leader="none"/>
        </w:tabs>
        <w:spacing w:lineRule="exact" w:line="264" w:before="0" w:after="80"/>
        <w:ind w:hanging="360" w:start="720"/>
        <w:rPr/>
      </w:pPr>
      <w:r>
        <w:rPr>
          <w:rFonts w:eastAsia="Arial" w:cs="Arial"/>
          <w:sz w:val="21"/>
          <w:szCs w:val="21"/>
        </w:rPr>
        <w:t>a. Provide assistance with activities of daily living as identified in the care plan, including accompaniment, eating, dressing, grooming, bathing, personal hygiene, mobility, transfer, elimination, and respiratory care, as applicable.</w:t>
      </w:r>
    </w:p>
    <w:p>
      <w:pPr>
        <w:pStyle w:val="Normal"/>
        <w:tabs>
          <w:tab w:val="left" w:pos="720" w:leader="none"/>
        </w:tabs>
        <w:spacing w:lineRule="exact" w:line="264" w:before="0" w:after="80"/>
        <w:ind w:hanging="360" w:start="720"/>
        <w:rPr/>
      </w:pPr>
      <w:r>
        <w:rPr>
          <w:rFonts w:eastAsia="Arial" w:cs="Arial"/>
          <w:sz w:val="21"/>
          <w:szCs w:val="21"/>
        </w:rPr>
        <w:t>b. Deliver personal services through a system for identifying and reporting resident concerns that require staff response.</w:t>
      </w:r>
    </w:p>
    <w:p>
      <w:pPr>
        <w:pStyle w:val="Normal"/>
        <w:tabs>
          <w:tab w:val="left" w:pos="720" w:leader="none"/>
        </w:tabs>
        <w:spacing w:lineRule="exact" w:line="264" w:before="0" w:after="80"/>
        <w:ind w:hanging="360" w:start="720"/>
        <w:rPr/>
      </w:pPr>
      <w:r>
        <w:rPr>
          <w:rFonts w:eastAsia="Arial" w:cs="Arial"/>
          <w:sz w:val="21"/>
          <w:szCs w:val="21"/>
        </w:rPr>
        <w:t>c. Provide protective oversight, including appropriate measures when confronted with unanticipated situations and the identification of urgent issues requiring escalation.</w:t>
      </w:r>
    </w:p>
    <w:p>
      <w:pPr>
        <w:pStyle w:val="Normal"/>
        <w:pBdr>
          <w:bottom w:val="single" w:sz="4" w:space="1" w:color="2E5E45"/>
        </w:pBdr>
        <w:spacing w:before="160" w:after="80"/>
        <w:rPr/>
      </w:pPr>
      <w:r>
        <w:rPr>
          <w:rFonts w:eastAsia="Arial" w:cs="Arial"/>
          <w:b/>
          <w:bCs/>
          <w:color w:val="1A4731"/>
          <w:sz w:val="20"/>
          <w:szCs w:val="20"/>
        </w:rPr>
        <w:t>PROCEDURE — RESIDENT ENGAGEMENT</w:t>
      </w:r>
    </w:p>
    <w:p>
      <w:pPr>
        <w:pStyle w:val="Normal"/>
        <w:tabs>
          <w:tab w:val="left" w:pos="720" w:leader="none"/>
        </w:tabs>
        <w:spacing w:lineRule="exact" w:line="264" w:before="0" w:after="80"/>
        <w:ind w:hanging="360" w:start="720"/>
        <w:rPr/>
      </w:pPr>
      <w:r>
        <w:rPr>
          <w:rFonts w:eastAsia="Arial" w:cs="Arial"/>
          <w:sz w:val="21"/>
          <w:szCs w:val="21"/>
        </w:rPr>
        <w:t>d. Offer formal, planned, and informal spontaneous engagement opportunities that match each resident’s personal choices and needs.</w:t>
      </w:r>
    </w:p>
    <w:p>
      <w:pPr>
        <w:pStyle w:val="Normal"/>
        <w:tabs>
          <w:tab w:val="left" w:pos="720" w:leader="none"/>
        </w:tabs>
        <w:spacing w:lineRule="exact" w:line="264" w:before="0" w:after="80"/>
        <w:ind w:hanging="360" w:start="720"/>
        <w:rPr/>
      </w:pPr>
      <w:r>
        <w:rPr>
          <w:rFonts w:eastAsia="Arial" w:cs="Arial"/>
          <w:sz w:val="21"/>
          <w:szCs w:val="21"/>
        </w:rPr>
        <w:t>e. Include engagement activities that support strength and balance as part of the fall management program.</w:t>
      </w:r>
    </w:p>
    <w:p>
      <w:pPr>
        <w:pStyle w:val="Normal"/>
        <w:tabs>
          <w:tab w:val="left" w:pos="720" w:leader="none"/>
        </w:tabs>
        <w:spacing w:lineRule="exact" w:line="264" w:before="0" w:after="80"/>
        <w:ind w:hanging="360" w:start="720"/>
        <w:rPr/>
      </w:pPr>
      <w:r>
        <w:rPr>
          <w:rFonts w:eastAsia="Arial" w:cs="Arial"/>
          <w:sz w:val="21"/>
          <w:szCs w:val="21"/>
        </w:rPr>
        <w:t>f. Respect each resident’s right to decline participation and to direct their own daily routine.</w:t>
      </w:r>
    </w:p>
    <w:p>
      <w:pPr>
        <w:pStyle w:val="Normal"/>
        <w:pBdr>
          <w:bottom w:val="single" w:sz="4" w:space="1" w:color="2E5E45"/>
        </w:pBdr>
        <w:spacing w:before="160" w:after="80"/>
        <w:rPr/>
      </w:pPr>
      <w:r>
        <w:rPr>
          <w:rFonts w:eastAsia="Arial" w:cs="Arial"/>
          <w:b/>
          <w:bCs/>
          <w:color w:val="1A4731"/>
          <w:sz w:val="20"/>
          <w:szCs w:val="20"/>
        </w:rPr>
        <w:t>PROCEDURE — LIMITS ON NURSING SERVICES &amp; RESTRAINTS</w:t>
      </w:r>
    </w:p>
    <w:p>
      <w:pPr>
        <w:pStyle w:val="Normal"/>
        <w:tabs>
          <w:tab w:val="left" w:pos="720" w:leader="none"/>
        </w:tabs>
        <w:spacing w:lineRule="exact" w:line="264" w:before="0" w:after="80"/>
        <w:ind w:hanging="360" w:start="720"/>
        <w:rPr/>
      </w:pPr>
      <w:r>
        <w:rPr>
          <w:rFonts w:eastAsia="Arial" w:cs="Arial"/>
          <w:sz w:val="21"/>
          <w:szCs w:val="21"/>
        </w:rPr>
        <w:t>g. Nursing services may support personal services but shall not rise to the level requiring discharge or regular twenty-four-hour medical or nursing care. Staff assisting with nursing services shall be trained, evaluated for competency, and supervised by a nurse.</w:t>
      </w:r>
    </w:p>
    <w:p>
      <w:pPr>
        <w:pStyle w:val="Normal"/>
        <w:tabs>
          <w:tab w:val="left" w:pos="720" w:leader="none"/>
        </w:tabs>
        <w:spacing w:lineRule="exact" w:line="264" w:before="0" w:after="80"/>
        <w:ind w:hanging="360" w:start="720"/>
        <w:rPr/>
      </w:pPr>
      <w:r>
        <w:rPr>
          <w:rFonts w:eastAsia="Arial" w:cs="Arial"/>
          <w:sz w:val="21"/>
          <w:szCs w:val="21"/>
        </w:rPr>
        <w:t>h. Do not use restraints of any kind or deprive a resident of liberty for purposes of care or safety, except as specifically allowed by rule for residences certified to serve the mentally ill or within a certified secure environment.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ADL Service Record</w:t>
      </w:r>
    </w:p>
    <w:p>
      <w:pPr>
        <w:pStyle w:val="ListParagraph"/>
        <w:numPr>
          <w:ilvl w:val="0"/>
          <w:numId w:val="1"/>
        </w:numPr>
        <w:spacing w:lineRule="exact" w:line="264" w:before="0" w:after="60"/>
        <w:rPr/>
      </w:pPr>
      <w:r>
        <w:rPr>
          <w:rFonts w:eastAsia="Arial" w:cs="Arial"/>
          <w:sz w:val="21"/>
          <w:szCs w:val="21"/>
        </w:rPr>
        <w:t>Activity / Engagement Calendar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Medication Management</w:t>
      </w:r>
    </w:p>
    <w:p>
      <w:pPr>
        <w:pStyle w:val="Normal"/>
        <w:spacing w:lineRule="exact" w:line="288" w:before="0" w:after="240"/>
        <w:rPr/>
      </w:pPr>
      <w:r>
        <w:rPr>
          <w:rFonts w:eastAsia="Arial" w:cs="Arial"/>
          <w:color w:val="444444"/>
          <w:sz w:val="22"/>
          <w:szCs w:val="22"/>
        </w:rPr>
        <w:t>This section governs the full medication process — procurement, storage, ordering, administration by qualified staff, reconciliation at transitions of care, and the safe handling of medication errors, destruction, and disposal.</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Medication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Medication Errors, Destruction &amp; Disposal</w:t>
      </w:r>
    </w:p>
    <w:p>
      <w:pPr>
        <w:pStyle w:val="Normal"/>
        <w:rPr/>
      </w:pPr>
      <w:r>
        <w:rPr/>
      </w:r>
      <w:r>
        <w:br w:type="page"/>
      </w:r>
    </w:p>
    <w:p>
      <w:pPr>
        <w:pStyle w:val="Heading2"/>
        <w:spacing w:before="0" w:after="120"/>
        <w:rPr/>
      </w:pPr>
      <w:r>
        <w:rPr>
          <w:rFonts w:eastAsia="Arial" w:cs="Arial" w:ascii="Arial" w:hAnsi="Arial"/>
          <w:b/>
          <w:bCs/>
          <w:color w:val="1A4731"/>
          <w:sz w:val="26"/>
          <w:szCs w:val="26"/>
        </w:rPr>
        <w:t>4.00  Medication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Medication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6 CCR 1011-1, Ch. 24; C.R.S. 25-1.5-301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medications are managed safely across the full process — procurement, storage, ordering, administration, and monitoring — by qualified staff, consistent with 6 CCR 1011-1, Chapter 24 and the QMAP framework.</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Medication administration shall be performed only by staff who are licensed or qualified under Chapter 24 (Qualified Medication Administration Person, QMAP). The Residence shall manage each stage of the medication process and shall reconcile medications at transitions of care.</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Medication administration — assisting a person in the ingestion, application, inhalation, or, using universal precautions, rectal or vaginal insertion of medication according to the legibly written or printed directions of the attending physician or other authorized practitioner.</w:t>
      </w:r>
    </w:p>
    <w:p>
      <w:pPr>
        <w:pStyle w:val="Normal"/>
        <w:spacing w:lineRule="exact" w:line="276" w:before="0" w:after="120"/>
        <w:rPr/>
      </w:pPr>
      <w:r>
        <w:rPr>
          <w:rFonts w:eastAsia="Arial" w:cs="Arial"/>
          <w:sz w:val="21"/>
          <w:szCs w:val="21"/>
        </w:rPr>
        <w:t>QMAP — a Qualified Medication Administration Person who has met the competency requirements of 6 CCR 1011-1, Chapter 24 to administer medications.</w:t>
      </w:r>
    </w:p>
    <w:p>
      <w:pPr>
        <w:pStyle w:val="Normal"/>
        <w:pBdr>
          <w:bottom w:val="single" w:sz="4" w:space="1" w:color="2E5E45"/>
        </w:pBdr>
        <w:spacing w:before="160" w:after="80"/>
        <w:rPr/>
      </w:pPr>
      <w:r>
        <w:rPr>
          <w:rFonts w:eastAsia="Arial" w:cs="Arial"/>
          <w:b/>
          <w:bCs/>
          <w:color w:val="1A4731"/>
          <w:sz w:val="20"/>
          <w:szCs w:val="20"/>
        </w:rPr>
        <w:t>PROCEDURE — MEDICATION PROCESS</w:t>
      </w:r>
    </w:p>
    <w:p>
      <w:pPr>
        <w:pStyle w:val="Normal"/>
        <w:tabs>
          <w:tab w:val="left" w:pos="720" w:leader="none"/>
        </w:tabs>
        <w:spacing w:lineRule="exact" w:line="264" w:before="0" w:after="80"/>
        <w:ind w:hanging="360" w:start="720"/>
        <w:rPr/>
      </w:pPr>
      <w:r>
        <w:rPr>
          <w:rFonts w:eastAsia="Arial" w:cs="Arial"/>
          <w:sz w:val="21"/>
          <w:szCs w:val="21"/>
        </w:rPr>
        <w:t>a. Procurement &amp; storage: store medications securely, separately from hazardous chemicals, at proper conditions, with controlled substances secured and access limited to authorized staff.</w:t>
      </w:r>
    </w:p>
    <w:p>
      <w:pPr>
        <w:pStyle w:val="Normal"/>
        <w:tabs>
          <w:tab w:val="left" w:pos="720" w:leader="none"/>
        </w:tabs>
        <w:spacing w:lineRule="exact" w:line="264" w:before="0" w:after="80"/>
        <w:ind w:hanging="360" w:start="720"/>
        <w:rPr/>
      </w:pPr>
      <w:r>
        <w:rPr>
          <w:rFonts w:eastAsia="Arial" w:cs="Arial"/>
          <w:sz w:val="21"/>
          <w:szCs w:val="21"/>
        </w:rPr>
        <w:t>b. Ordering &amp; transcribing: maintain current practitioner orders for each medication and ensure the medication administration record (MAR) matches current orders.</w:t>
      </w:r>
    </w:p>
    <w:p>
      <w:pPr>
        <w:pStyle w:val="Normal"/>
        <w:tabs>
          <w:tab w:val="left" w:pos="720" w:leader="none"/>
        </w:tabs>
        <w:spacing w:lineRule="exact" w:line="264" w:before="0" w:after="80"/>
        <w:ind w:hanging="360" w:start="720"/>
        <w:rPr/>
      </w:pPr>
      <w:r>
        <w:rPr>
          <w:rFonts w:eastAsia="Arial" w:cs="Arial"/>
          <w:sz w:val="21"/>
          <w:szCs w:val="21"/>
        </w:rPr>
        <w:t>c. Administration: administer or assist with medications only via QMAP or licensed staff, following the practitioner’s written directions and using the rights of medication administration.</w:t>
      </w:r>
    </w:p>
    <w:p>
      <w:pPr>
        <w:pStyle w:val="Normal"/>
        <w:tabs>
          <w:tab w:val="left" w:pos="720" w:leader="none"/>
        </w:tabs>
        <w:spacing w:lineRule="exact" w:line="264" w:before="0" w:after="80"/>
        <w:ind w:hanging="360" w:start="720"/>
        <w:rPr/>
      </w:pPr>
      <w:r>
        <w:rPr>
          <w:rFonts w:eastAsia="Arial" w:cs="Arial"/>
          <w:sz w:val="21"/>
          <w:szCs w:val="21"/>
        </w:rPr>
        <w:t>d. Monitoring: observe for therapeutic effect and adverse drug reactions, and report concerns to the practitioner.</w:t>
      </w:r>
    </w:p>
    <w:p>
      <w:pPr>
        <w:pStyle w:val="Normal"/>
        <w:tabs>
          <w:tab w:val="left" w:pos="720" w:leader="none"/>
        </w:tabs>
        <w:spacing w:lineRule="exact" w:line="264" w:before="0" w:after="80"/>
        <w:ind w:hanging="360" w:start="720"/>
        <w:rPr/>
      </w:pPr>
      <w:r>
        <w:rPr>
          <w:rFonts w:eastAsia="Arial" w:cs="Arial"/>
          <w:sz w:val="21"/>
          <w:szCs w:val="21"/>
        </w:rPr>
        <w:t>e. Self-administration: where a resident self-administers, document the resident’s capacity and the Residence’s supportive role consistent with the care plan and admission criteria.</w:t>
      </w:r>
    </w:p>
    <w:p>
      <w:pPr>
        <w:pStyle w:val="Normal"/>
        <w:pBdr>
          <w:bottom w:val="single" w:sz="4" w:space="1" w:color="2E5E45"/>
        </w:pBdr>
        <w:spacing w:before="160" w:after="80"/>
        <w:rPr/>
      </w:pPr>
      <w:r>
        <w:rPr>
          <w:rFonts w:eastAsia="Arial" w:cs="Arial"/>
          <w:b/>
          <w:bCs/>
          <w:color w:val="1A4731"/>
          <w:sz w:val="20"/>
          <w:szCs w:val="20"/>
        </w:rPr>
        <w:t>PROCEDURE — MEDICATION RECONCILIATION</w:t>
      </w:r>
    </w:p>
    <w:p>
      <w:pPr>
        <w:pStyle w:val="Normal"/>
        <w:tabs>
          <w:tab w:val="left" w:pos="720" w:leader="none"/>
        </w:tabs>
        <w:spacing w:lineRule="exact" w:line="264" w:before="0" w:after="80"/>
        <w:ind w:hanging="360" w:start="720"/>
        <w:rPr/>
      </w:pPr>
      <w:r>
        <w:rPr>
          <w:rFonts w:eastAsia="Arial" w:cs="Arial"/>
          <w:sz w:val="21"/>
          <w:szCs w:val="21"/>
        </w:rPr>
        <w:t>f. Reconcile the resident’s medications at admission, at return from a hospital or other care setting, and at discharge, comparing prior and current orders to identify discrepancies.</w:t>
      </w:r>
    </w:p>
    <w:p>
      <w:pPr>
        <w:pStyle w:val="Normal"/>
        <w:tabs>
          <w:tab w:val="left" w:pos="720" w:leader="none"/>
        </w:tabs>
        <w:spacing w:lineRule="exact" w:line="264" w:before="0" w:after="80"/>
        <w:ind w:hanging="360" w:start="720"/>
        <w:rPr/>
      </w:pPr>
      <w:r>
        <w:rPr>
          <w:rFonts w:eastAsia="Arial" w:cs="Arial"/>
          <w:sz w:val="21"/>
          <w:szCs w:val="21"/>
        </w:rPr>
        <w:t>g. Resolve discrepancies with the practitioner and document the reconciliation.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Medication Reconciliation Form</w:t>
      </w:r>
    </w:p>
    <w:p>
      <w:pPr>
        <w:pStyle w:val="ListParagraph"/>
        <w:numPr>
          <w:ilvl w:val="0"/>
          <w:numId w:val="1"/>
        </w:numPr>
        <w:spacing w:lineRule="exact" w:line="264" w:before="0" w:after="60"/>
        <w:rPr/>
      </w:pPr>
      <w:r>
        <w:rPr>
          <w:rFonts w:eastAsia="Arial" w:cs="Arial"/>
          <w:sz w:val="21"/>
          <w:szCs w:val="21"/>
        </w:rPr>
        <w:t>Practitioner Order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Medication Errors, Destruction &amp; Disposal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Medication Errors, Destruction &amp; Disposal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6 CCR 1011-1, Ch. 24; Ch. 24.2–24.3 (medical waste)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errors are identified, reported, and reviewed for patterns, and that medication destruction and disposal occur safely and in compliance with medical waste requirements.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Residence shall document and report medication errors and discrepancies, review them for patterns, and destroy or dispose of medications by a non-retrievable method using two-person witnessed verification within the required timeframe.</w:t>
      </w:r>
    </w:p>
    <w:p>
      <w:pPr>
        <w:pStyle w:val="Normal"/>
        <w:pBdr>
          <w:bottom w:val="single" w:sz="4" w:space="1" w:color="2E5E45"/>
        </w:pBdr>
        <w:spacing w:before="160" w:after="80"/>
        <w:rPr/>
      </w:pPr>
      <w:r>
        <w:rPr>
          <w:rFonts w:eastAsia="Arial" w:cs="Arial"/>
          <w:b/>
          <w:bCs/>
          <w:color w:val="1A4731"/>
          <w:sz w:val="20"/>
          <w:szCs w:val="20"/>
        </w:rPr>
        <w:t>PROCEDURE — MEDICATION ERRORS</w:t>
      </w:r>
    </w:p>
    <w:p>
      <w:pPr>
        <w:pStyle w:val="Normal"/>
        <w:tabs>
          <w:tab w:val="left" w:pos="720" w:leader="none"/>
        </w:tabs>
        <w:spacing w:lineRule="exact" w:line="264" w:before="0" w:after="80"/>
        <w:ind w:hanging="360" w:start="720"/>
        <w:rPr/>
      </w:pPr>
      <w:r>
        <w:rPr>
          <w:rFonts w:eastAsia="Arial" w:cs="Arial"/>
          <w:sz w:val="21"/>
          <w:szCs w:val="21"/>
        </w:rPr>
        <w:t>a. Document each medication error or discrepancy, including the type of error, the effect on the resident, vital signs as applicable, and corrective action taken.</w:t>
      </w:r>
    </w:p>
    <w:p>
      <w:pPr>
        <w:pStyle w:val="Normal"/>
        <w:tabs>
          <w:tab w:val="left" w:pos="720" w:leader="none"/>
        </w:tabs>
        <w:spacing w:lineRule="exact" w:line="264" w:before="0" w:after="80"/>
        <w:ind w:hanging="360" w:start="720"/>
        <w:rPr/>
      </w:pPr>
      <w:r>
        <w:rPr>
          <w:rFonts w:eastAsia="Arial" w:cs="Arial"/>
          <w:sz w:val="21"/>
          <w:szCs w:val="21"/>
        </w:rPr>
        <w:t>b. Notify the practitioner, and the resident’s representative or family and physician as appropriate, of any error affecting the resident.</w:t>
      </w:r>
    </w:p>
    <w:p>
      <w:pPr>
        <w:pStyle w:val="Normal"/>
        <w:tabs>
          <w:tab w:val="left" w:pos="720" w:leader="none"/>
        </w:tabs>
        <w:spacing w:lineRule="exact" w:line="264" w:before="0" w:after="80"/>
        <w:ind w:hanging="360" w:start="720"/>
        <w:rPr/>
      </w:pPr>
      <w:r>
        <w:rPr>
          <w:rFonts w:eastAsia="Arial" w:cs="Arial"/>
          <w:sz w:val="21"/>
          <w:szCs w:val="21"/>
        </w:rPr>
        <w:t>c. Apply a tiered sign-off: the QMAP or caregiver involved, the house manager or supervisor, and the administrator, documenting each review.</w:t>
      </w:r>
    </w:p>
    <w:p>
      <w:pPr>
        <w:pStyle w:val="Normal"/>
        <w:tabs>
          <w:tab w:val="left" w:pos="720" w:leader="none"/>
        </w:tabs>
        <w:spacing w:lineRule="exact" w:line="264" w:before="0" w:after="80"/>
        <w:ind w:hanging="360" w:start="720"/>
        <w:rPr/>
      </w:pPr>
      <w:r>
        <w:rPr>
          <w:rFonts w:eastAsia="Arial" w:cs="Arial"/>
          <w:sz w:val="21"/>
          <w:szCs w:val="21"/>
        </w:rPr>
        <w:t>d. Review the medication error log at least monthly for patterns and implement corrective measures through the Quality Management Program.</w:t>
      </w:r>
    </w:p>
    <w:p>
      <w:pPr>
        <w:pStyle w:val="Normal"/>
        <w:pBdr>
          <w:bottom w:val="single" w:sz="4" w:space="1" w:color="2E5E45"/>
        </w:pBdr>
        <w:spacing w:before="160" w:after="80"/>
        <w:rPr/>
      </w:pPr>
      <w:r>
        <w:rPr>
          <w:rFonts w:eastAsia="Arial" w:cs="Arial"/>
          <w:b/>
          <w:bCs/>
          <w:color w:val="1A4731"/>
          <w:sz w:val="20"/>
          <w:szCs w:val="20"/>
        </w:rPr>
        <w:t>PROCEDURE — DESTRUCTION &amp; DISPOSAL</w:t>
      </w:r>
    </w:p>
    <w:p>
      <w:pPr>
        <w:pStyle w:val="Normal"/>
        <w:tabs>
          <w:tab w:val="left" w:pos="720" w:leader="none"/>
        </w:tabs>
        <w:spacing w:lineRule="exact" w:line="264" w:before="0" w:after="80"/>
        <w:ind w:hanging="360" w:start="720"/>
        <w:rPr/>
      </w:pPr>
      <w:r>
        <w:rPr>
          <w:rFonts w:eastAsia="Arial" w:cs="Arial"/>
          <w:sz w:val="21"/>
          <w:szCs w:val="21"/>
        </w:rPr>
        <w:t>e. Destroy or dispose of discontinued, expired, or unused medications by a non-retrievable method within thirty days.</w:t>
      </w:r>
    </w:p>
    <w:p>
      <w:pPr>
        <w:pStyle w:val="Normal"/>
        <w:tabs>
          <w:tab w:val="left" w:pos="720" w:leader="none"/>
        </w:tabs>
        <w:spacing w:lineRule="exact" w:line="264" w:before="0" w:after="80"/>
        <w:ind w:hanging="360" w:start="720"/>
        <w:rPr/>
      </w:pPr>
      <w:r>
        <w:rPr>
          <w:rFonts w:eastAsia="Arial" w:cs="Arial"/>
          <w:sz w:val="21"/>
          <w:szCs w:val="21"/>
        </w:rPr>
        <w:t>f. Verify destruction with two authorized witnesses (QMAP, nurse, or practitioner) and document the medication, quantity, method, date, and witnesses.</w:t>
      </w:r>
    </w:p>
    <w:p>
      <w:pPr>
        <w:pStyle w:val="Normal"/>
        <w:tabs>
          <w:tab w:val="left" w:pos="720" w:leader="none"/>
        </w:tabs>
        <w:spacing w:lineRule="exact" w:line="264" w:before="0" w:after="80"/>
        <w:ind w:hanging="360" w:start="720"/>
        <w:rPr/>
      </w:pPr>
      <w:r>
        <w:rPr>
          <w:rFonts w:eastAsia="Arial" w:cs="Arial"/>
          <w:sz w:val="21"/>
          <w:szCs w:val="21"/>
        </w:rPr>
        <w:t>g. Dispose of medication waste in compliance with applicable medical waste requirements (6 CCR 1011-1, Chapter 24.2 and 24.3).</w:t>
      </w:r>
    </w:p>
    <w:p>
      <w:pPr>
        <w:pStyle w:val="Normal"/>
        <w:tabs>
          <w:tab w:val="left" w:pos="720" w:leader="none"/>
        </w:tabs>
        <w:spacing w:lineRule="exact" w:line="264" w:before="0" w:after="80"/>
        <w:ind w:hanging="360" w:start="720"/>
        <w:rPr/>
      </w:pPr>
      <w:r>
        <w:rPr>
          <w:rFonts w:eastAsia="Arial" w:cs="Arial"/>
          <w:sz w:val="21"/>
          <w:szCs w:val="21"/>
        </w:rPr>
        <w:t>h. For controlled substances, follow the additional security, counting, and documentation requirements before destruction.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Error / Discrepancy Report</w:t>
      </w:r>
    </w:p>
    <w:p>
      <w:pPr>
        <w:pStyle w:val="ListParagraph"/>
        <w:numPr>
          <w:ilvl w:val="0"/>
          <w:numId w:val="1"/>
        </w:numPr>
        <w:spacing w:lineRule="exact" w:line="264" w:before="0" w:after="60"/>
        <w:rPr/>
      </w:pPr>
      <w:r>
        <w:rPr>
          <w:rFonts w:eastAsia="Arial" w:cs="Arial"/>
          <w:sz w:val="21"/>
          <w:szCs w:val="21"/>
        </w:rPr>
        <w:t>Medication Error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Controlled Substance Count Sheet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Emergency Response</w:t>
      </w:r>
    </w:p>
    <w:p>
      <w:pPr>
        <w:pStyle w:val="Normal"/>
        <w:spacing w:lineRule="exact" w:line="288" w:before="0" w:after="240"/>
        <w:rPr/>
      </w:pPr>
      <w:r>
        <w:rPr>
          <w:rFonts w:eastAsia="Arial" w:cs="Arial"/>
          <w:color w:val="444444"/>
          <w:sz w:val="22"/>
          <w:szCs w:val="22"/>
        </w:rPr>
        <w:t>This section addresses the protections that keep residents and staff safe — emergency preparedness, response to illness, injury, significant change and death, infection control, hazardous-chemical safety, environmental safety and house rules, occurrence reporting, and the prevention and reporting of abuse, neglect, and exploitation.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Emergency Preparedness &amp; Response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Unanticipated Illness, Injury, Significant Change &amp; Death</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Infection Prevention &amp; Control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Hazardous Chemicals &amp; Safety Data Sheet (SDS)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Environmental Safety, House Rules &amp; Pest Control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5.05  Occurrence Reporting &amp; Investigation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5.06  Abuse, Neglect &amp; Exploitation — Prevention &amp; Mandatory Reporting</w:t>
      </w:r>
    </w:p>
    <w:p>
      <w:pPr>
        <w:pStyle w:val="Normal"/>
        <w:rPr/>
      </w:pPr>
      <w:r>
        <w:rPr/>
      </w:r>
      <w:r>
        <w:br w:type="page"/>
      </w:r>
    </w:p>
    <w:p>
      <w:pPr>
        <w:pStyle w:val="Heading2"/>
        <w:spacing w:before="0" w:after="120"/>
        <w:rPr/>
      </w:pPr>
      <w:r>
        <w:rPr>
          <w:rFonts w:eastAsia="Arial" w:cs="Arial" w:ascii="Arial" w:hAnsi="Arial"/>
          <w:b/>
          <w:bCs/>
          <w:color w:val="1A4731"/>
          <w:sz w:val="26"/>
          <w:szCs w:val="26"/>
        </w:rPr>
        <w:t>5.00  Emergency Preparedness &amp; Response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Emergency Preparedness &amp; Response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6 CCR 1011-1, Ch. 7; Ch. 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prepare the Residence and its staff to protect residents during emergencies through planning, training, drills, and coordination with local emergency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Residence shall maintain an emergency preparedness plan, train staff on emergency procedures, conduct drills including at least one unannounced drill annually, and integrate hazard assessment into operations.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 written emergency preparedness plan addressing fire, evacuation, severe weather, utility failure, and other hazards relevant to the Residence and its population.</w:t>
      </w:r>
    </w:p>
    <w:p>
      <w:pPr>
        <w:pStyle w:val="Normal"/>
        <w:tabs>
          <w:tab w:val="left" w:pos="720" w:leader="none"/>
        </w:tabs>
        <w:spacing w:lineRule="exact" w:line="264" w:before="0" w:after="80"/>
        <w:ind w:hanging="360" w:start="720"/>
        <w:rPr/>
      </w:pPr>
      <w:r>
        <w:rPr>
          <w:rFonts w:eastAsia="Arial" w:cs="Arial"/>
          <w:sz w:val="21"/>
          <w:szCs w:val="21"/>
        </w:rPr>
        <w:t>b. Conduct an annual hazard vulnerability assessment to identify and prioritize the emergencies most likely to affect the Residence, and reflect the results in the plan.</w:t>
      </w:r>
    </w:p>
    <w:p>
      <w:pPr>
        <w:pStyle w:val="Normal"/>
        <w:tabs>
          <w:tab w:val="left" w:pos="720" w:leader="none"/>
        </w:tabs>
        <w:spacing w:lineRule="exact" w:line="264" w:before="0" w:after="80"/>
        <w:ind w:hanging="360" w:start="720"/>
        <w:rPr/>
      </w:pPr>
      <w:r>
        <w:rPr>
          <w:rFonts w:eastAsia="Arial" w:cs="Arial"/>
          <w:sz w:val="21"/>
          <w:szCs w:val="21"/>
        </w:rPr>
        <w:t>c. Train each staff member on emergency procedures, evacuation routes, and the location and use of emergency equipment, and verify the presence at all times of at least one staff member with current first aid and CPR certification.</w:t>
      </w:r>
    </w:p>
    <w:p>
      <w:pPr>
        <w:pStyle w:val="Normal"/>
        <w:tabs>
          <w:tab w:val="left" w:pos="720" w:leader="none"/>
        </w:tabs>
        <w:spacing w:lineRule="exact" w:line="264" w:before="0" w:after="80"/>
        <w:ind w:hanging="360" w:start="720"/>
        <w:rPr/>
      </w:pPr>
      <w:r>
        <w:rPr>
          <w:rFonts w:eastAsia="Arial" w:cs="Arial"/>
          <w:sz w:val="21"/>
          <w:szCs w:val="21"/>
        </w:rPr>
        <w:t>d. Conduct emergency drills on a regular schedule, including at least one unannounced drill annually, and complete an after-action review of each drill identifying what worked and what requires correction.</w:t>
      </w:r>
    </w:p>
    <w:p>
      <w:pPr>
        <w:pStyle w:val="Normal"/>
        <w:tabs>
          <w:tab w:val="left" w:pos="720" w:leader="none"/>
        </w:tabs>
        <w:spacing w:lineRule="exact" w:line="264" w:before="0" w:after="80"/>
        <w:ind w:hanging="360" w:start="720"/>
        <w:rPr/>
      </w:pPr>
      <w:r>
        <w:rPr>
          <w:rFonts w:eastAsia="Arial" w:cs="Arial"/>
          <w:sz w:val="21"/>
          <w:szCs w:val="21"/>
        </w:rPr>
        <w:t>e. Coordinate with local fire, police, and emergency management, and maintain a continuity plan for resident care during and after an emergency.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Preparedness Plan</w:t>
      </w:r>
    </w:p>
    <w:p>
      <w:pPr>
        <w:pStyle w:val="ListParagraph"/>
        <w:numPr>
          <w:ilvl w:val="0"/>
          <w:numId w:val="1"/>
        </w:numPr>
        <w:spacing w:lineRule="exact" w:line="264" w:before="0" w:after="60"/>
        <w:rPr/>
      </w:pPr>
      <w:r>
        <w:rPr>
          <w:rFonts w:eastAsia="Arial" w:cs="Arial"/>
          <w:sz w:val="21"/>
          <w:szCs w:val="21"/>
        </w:rPr>
        <w:t>Hazard Vulnerability Assessment</w:t>
      </w:r>
    </w:p>
    <w:p>
      <w:pPr>
        <w:pStyle w:val="ListParagraph"/>
        <w:numPr>
          <w:ilvl w:val="0"/>
          <w:numId w:val="1"/>
        </w:numPr>
        <w:spacing w:lineRule="exact" w:line="264" w:before="0" w:after="60"/>
        <w:rPr/>
      </w:pPr>
      <w:r>
        <w:rPr>
          <w:rFonts w:eastAsia="Arial" w:cs="Arial"/>
          <w:sz w:val="21"/>
          <w:szCs w:val="21"/>
        </w:rPr>
        <w:t>Drill Record &amp; After-Action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Unanticipated Illness, Injury, Significant Change &amp; Death</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Unanticipated Illness, Injury, Significant Change &amp; Death</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6 CCR 1011-1, Ch. 7, Part 12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 calm, competent, and documented response to unanticipated illness or injury, significant changes in condition, and resident death.</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Staff shall respond to unanticipated illness, injury, significant change of status, or death according to defined procedures, verify advance directive and code status, notify required parties, and document fully.</w:t>
      </w:r>
    </w:p>
    <w:p>
      <w:pPr>
        <w:pStyle w:val="Normal"/>
        <w:pBdr>
          <w:bottom w:val="single" w:sz="4" w:space="1" w:color="2E5E45"/>
        </w:pBdr>
        <w:spacing w:before="160" w:after="80"/>
        <w:rPr/>
      </w:pPr>
      <w:r>
        <w:rPr>
          <w:rFonts w:eastAsia="Arial" w:cs="Arial"/>
          <w:b/>
          <w:bCs/>
          <w:color w:val="1A4731"/>
          <w:sz w:val="20"/>
          <w:szCs w:val="20"/>
        </w:rPr>
        <w:t>PROCEDURE — ILLNESS, INJURY &amp; SIGNIFICANT CHANGE</w:t>
      </w:r>
    </w:p>
    <w:p>
      <w:pPr>
        <w:pStyle w:val="Normal"/>
        <w:tabs>
          <w:tab w:val="left" w:pos="720" w:leader="none"/>
        </w:tabs>
        <w:spacing w:lineRule="exact" w:line="264" w:before="0" w:after="80"/>
        <w:ind w:hanging="360" w:start="720"/>
        <w:rPr/>
      </w:pPr>
      <w:r>
        <w:rPr>
          <w:rFonts w:eastAsia="Arial" w:cs="Arial"/>
          <w:sz w:val="21"/>
          <w:szCs w:val="21"/>
        </w:rPr>
        <w:t>a. Assess the resident, provide first aid within the scope of training, and call 911 when the situation exceeds the Residence’s capacity or when required by the fall/lift-assistance protocol.</w:t>
      </w:r>
    </w:p>
    <w:p>
      <w:pPr>
        <w:pStyle w:val="Normal"/>
        <w:tabs>
          <w:tab w:val="left" w:pos="720" w:leader="none"/>
        </w:tabs>
        <w:spacing w:lineRule="exact" w:line="264" w:before="0" w:after="80"/>
        <w:ind w:hanging="360" w:start="720"/>
        <w:rPr/>
      </w:pPr>
      <w:r>
        <w:rPr>
          <w:rFonts w:eastAsia="Arial" w:cs="Arial"/>
          <w:sz w:val="21"/>
          <w:szCs w:val="21"/>
        </w:rPr>
        <w:t>b. Verify the resident’s advance directive and CPR/DNR status before initiating or withholding resuscitation, and follow a structured airway-breathing-circulation assessment.</w:t>
      </w:r>
    </w:p>
    <w:p>
      <w:pPr>
        <w:pStyle w:val="Normal"/>
        <w:tabs>
          <w:tab w:val="left" w:pos="720" w:leader="none"/>
        </w:tabs>
        <w:spacing w:lineRule="exact" w:line="264" w:before="0" w:after="80"/>
        <w:ind w:hanging="360" w:start="720"/>
        <w:rPr/>
      </w:pPr>
      <w:r>
        <w:rPr>
          <w:rFonts w:eastAsia="Arial" w:cs="Arial"/>
          <w:sz w:val="21"/>
          <w:szCs w:val="21"/>
        </w:rPr>
        <w:t>c. Notify the practitioner and the resident’s representative of a significant change from baseline status, and revise the care plan as needed.</w:t>
      </w:r>
    </w:p>
    <w:p>
      <w:pPr>
        <w:pStyle w:val="Normal"/>
        <w:tabs>
          <w:tab w:val="left" w:pos="720" w:leader="none"/>
        </w:tabs>
        <w:spacing w:lineRule="exact" w:line="264" w:before="0" w:after="80"/>
        <w:ind w:hanging="360" w:start="720"/>
        <w:rPr/>
      </w:pPr>
      <w:r>
        <w:rPr>
          <w:rFonts w:eastAsia="Arial" w:cs="Arial"/>
          <w:sz w:val="21"/>
          <w:szCs w:val="21"/>
        </w:rPr>
        <w:t>d. Facilitate a practitioner assessment when triggered, consistent with the Practitioner Assessment policy.</w:t>
      </w:r>
    </w:p>
    <w:p>
      <w:pPr>
        <w:pStyle w:val="Normal"/>
        <w:pBdr>
          <w:bottom w:val="single" w:sz="4" w:space="1" w:color="2E5E45"/>
        </w:pBdr>
        <w:spacing w:before="160" w:after="80"/>
        <w:rPr/>
      </w:pPr>
      <w:r>
        <w:rPr>
          <w:rFonts w:eastAsia="Arial" w:cs="Arial"/>
          <w:b/>
          <w:bCs/>
          <w:color w:val="1A4731"/>
          <w:sz w:val="20"/>
          <w:szCs w:val="20"/>
        </w:rPr>
        <w:t>PROCEDURE — RESIDENT DEATH</w:t>
      </w:r>
    </w:p>
    <w:p>
      <w:pPr>
        <w:pStyle w:val="Normal"/>
        <w:tabs>
          <w:tab w:val="left" w:pos="720" w:leader="none"/>
        </w:tabs>
        <w:spacing w:lineRule="exact" w:line="264" w:before="0" w:after="80"/>
        <w:ind w:hanging="360" w:start="720"/>
        <w:rPr/>
      </w:pPr>
      <w:r>
        <w:rPr>
          <w:rFonts w:eastAsia="Arial" w:cs="Arial"/>
          <w:sz w:val="21"/>
          <w:szCs w:val="21"/>
        </w:rPr>
        <w:t>e. Follow the appropriate protocol depending on whether the resident is receiving hospice care: if the resident is on hospice, follow the hospice plan and do not call 911; if the resident is not on hospice and has no vital signs, follow the Residence’s emergency notification procedure.</w:t>
      </w:r>
    </w:p>
    <w:p>
      <w:pPr>
        <w:pStyle w:val="Normal"/>
        <w:tabs>
          <w:tab w:val="left" w:pos="720" w:leader="none"/>
        </w:tabs>
        <w:spacing w:lineRule="exact" w:line="264" w:before="0" w:after="80"/>
        <w:ind w:hanging="360" w:start="720"/>
        <w:rPr/>
      </w:pPr>
      <w:r>
        <w:rPr>
          <w:rFonts w:eastAsia="Arial" w:cs="Arial"/>
          <w:sz w:val="21"/>
          <w:szCs w:val="21"/>
        </w:rPr>
        <w:t>f. Notify the resident’s representative/family, the practitioner, and other required parties.</w:t>
      </w:r>
    </w:p>
    <w:p>
      <w:pPr>
        <w:pStyle w:val="Normal"/>
        <w:tabs>
          <w:tab w:val="left" w:pos="720" w:leader="none"/>
        </w:tabs>
        <w:spacing w:lineRule="exact" w:line="264" w:before="0" w:after="80"/>
        <w:ind w:hanging="360" w:start="720"/>
        <w:rPr/>
      </w:pPr>
      <w:r>
        <w:rPr>
          <w:rFonts w:eastAsia="Arial" w:cs="Arial"/>
          <w:sz w:val="21"/>
          <w:szCs w:val="21"/>
        </w:rPr>
        <w:t>g. Document the date, time, and circumstances of death, who was notified, and the disposition of the body.</w:t>
      </w:r>
    </w:p>
    <w:p>
      <w:pPr>
        <w:pStyle w:val="Normal"/>
        <w:tabs>
          <w:tab w:val="left" w:pos="720" w:leader="none"/>
        </w:tabs>
        <w:spacing w:lineRule="exact" w:line="264" w:before="0" w:after="80"/>
        <w:ind w:hanging="360" w:start="720"/>
        <w:rPr/>
      </w:pPr>
      <w:r>
        <w:rPr>
          <w:rFonts w:eastAsia="Arial" w:cs="Arial"/>
          <w:sz w:val="21"/>
          <w:szCs w:val="21"/>
        </w:rPr>
        <w:t>h. Complete occurrence reporting where the event meets occurrence reporting criteria, consistent with the Occurrence Reporting policy.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 Change of Condition Report</w:t>
      </w:r>
    </w:p>
    <w:p>
      <w:pPr>
        <w:pStyle w:val="ListParagraph"/>
        <w:numPr>
          <w:ilvl w:val="0"/>
          <w:numId w:val="1"/>
        </w:numPr>
        <w:spacing w:lineRule="exact" w:line="264" w:before="0" w:after="60"/>
        <w:rPr/>
      </w:pPr>
      <w:r>
        <w:rPr>
          <w:rFonts w:eastAsia="Arial" w:cs="Arial"/>
          <w:sz w:val="21"/>
          <w:szCs w:val="21"/>
        </w:rPr>
        <w:t>Death Notification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Infection Prevention &amp; Control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Infection Prevention &amp;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6 CCR 1009-1; 6 CCR 1011-1, Ch. 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and control the transmission of infectious disease among residents, staff, and visitors through evidence-based practices, surveillance, and environmental hygiene.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Residence shall maintain infection prevention and control policies based on nationally recognized guidelines (such as CDC, WHO, or APIC) and applicable CDPHE guidance, and shall identify in its policies the guidelines on which they are based, consistent with 6 CCR 1009-1.</w:t>
      </w:r>
    </w:p>
    <w:p>
      <w:pPr>
        <w:pStyle w:val="Normal"/>
        <w:pBdr>
          <w:bottom w:val="single" w:sz="4" w:space="1" w:color="2E5E45"/>
        </w:pBdr>
        <w:spacing w:before="160" w:after="80"/>
        <w:rPr/>
      </w:pPr>
      <w:r>
        <w:rPr>
          <w:rFonts w:eastAsia="Arial" w:cs="Arial"/>
          <w:b/>
          <w:bCs/>
          <w:color w:val="1A4731"/>
          <w:sz w:val="20"/>
          <w:szCs w:val="20"/>
        </w:rPr>
        <w:t>PROCEDURE — STANDARD PRECAUTIONS</w:t>
      </w:r>
    </w:p>
    <w:p>
      <w:pPr>
        <w:pStyle w:val="Normal"/>
        <w:tabs>
          <w:tab w:val="left" w:pos="720" w:leader="none"/>
        </w:tabs>
        <w:spacing w:lineRule="exact" w:line="264" w:before="0" w:after="80"/>
        <w:ind w:hanging="360" w:start="720"/>
        <w:rPr/>
      </w:pPr>
      <w:r>
        <w:rPr>
          <w:rFonts w:eastAsia="Arial" w:cs="Arial"/>
          <w:sz w:val="21"/>
          <w:szCs w:val="21"/>
        </w:rPr>
        <w:t>a. Practice hand hygiene and standard (universal) precautions, treating all blood and body fluids as potentially infectious.</w:t>
      </w:r>
    </w:p>
    <w:p>
      <w:pPr>
        <w:pStyle w:val="Normal"/>
        <w:tabs>
          <w:tab w:val="left" w:pos="720" w:leader="none"/>
        </w:tabs>
        <w:spacing w:lineRule="exact" w:line="264" w:before="0" w:after="80"/>
        <w:ind w:hanging="360" w:start="720"/>
        <w:rPr/>
      </w:pPr>
      <w:r>
        <w:rPr>
          <w:rFonts w:eastAsia="Arial" w:cs="Arial"/>
          <w:sz w:val="21"/>
          <w:szCs w:val="21"/>
        </w:rPr>
        <w:t>b. Provide and require appropriate personal protective equipment — gloves, masks, gowns — based on anticipated exposure, and use barrier devices for any rescue breathing.</w:t>
      </w:r>
    </w:p>
    <w:p>
      <w:pPr>
        <w:pStyle w:val="Normal"/>
        <w:tabs>
          <w:tab w:val="left" w:pos="720" w:leader="none"/>
        </w:tabs>
        <w:spacing w:lineRule="exact" w:line="264" w:before="0" w:after="80"/>
        <w:ind w:hanging="360" w:start="720"/>
        <w:rPr/>
      </w:pPr>
      <w:r>
        <w:rPr>
          <w:rFonts w:eastAsia="Arial" w:cs="Arial"/>
          <w:sz w:val="21"/>
          <w:szCs w:val="21"/>
        </w:rPr>
        <w:t>c. Dispose of sharps and contaminated materials safely and in compliance with medical waste requirements.</w:t>
      </w:r>
    </w:p>
    <w:p>
      <w:pPr>
        <w:pStyle w:val="Normal"/>
        <w:pBdr>
          <w:bottom w:val="single" w:sz="4" w:space="1" w:color="2E5E45"/>
        </w:pBdr>
        <w:spacing w:before="160" w:after="80"/>
        <w:rPr/>
      </w:pPr>
      <w:r>
        <w:rPr>
          <w:rFonts w:eastAsia="Arial" w:cs="Arial"/>
          <w:b/>
          <w:bCs/>
          <w:color w:val="1A4731"/>
          <w:sz w:val="20"/>
          <w:szCs w:val="20"/>
        </w:rPr>
        <w:t>PROCEDURE — SURVEILLANCE &amp; ENVIRONMENTAL HYGIENE</w:t>
      </w:r>
    </w:p>
    <w:p>
      <w:pPr>
        <w:pStyle w:val="Normal"/>
        <w:tabs>
          <w:tab w:val="left" w:pos="720" w:leader="none"/>
        </w:tabs>
        <w:spacing w:lineRule="exact" w:line="264" w:before="0" w:after="80"/>
        <w:ind w:hanging="360" w:start="720"/>
        <w:rPr/>
      </w:pPr>
      <w:r>
        <w:rPr>
          <w:rFonts w:eastAsia="Arial" w:cs="Arial"/>
          <w:sz w:val="21"/>
          <w:szCs w:val="21"/>
        </w:rPr>
        <w:t>d. Conduct an annual infection prevention and control risk assessment to identify the Residence’s priority risks.</w:t>
      </w:r>
    </w:p>
    <w:p>
      <w:pPr>
        <w:pStyle w:val="Normal"/>
        <w:tabs>
          <w:tab w:val="left" w:pos="720" w:leader="none"/>
        </w:tabs>
        <w:spacing w:lineRule="exact" w:line="264" w:before="0" w:after="80"/>
        <w:ind w:hanging="360" w:start="720"/>
        <w:rPr/>
      </w:pPr>
      <w:r>
        <w:rPr>
          <w:rFonts w:eastAsia="Arial" w:cs="Arial"/>
          <w:sz w:val="21"/>
          <w:szCs w:val="21"/>
        </w:rPr>
        <w:t>e. Track and trend infections to detect clusters or outbreaks, and report reportable conditions to CDPHE as required.</w:t>
      </w:r>
    </w:p>
    <w:p>
      <w:pPr>
        <w:pStyle w:val="Normal"/>
        <w:tabs>
          <w:tab w:val="left" w:pos="720" w:leader="none"/>
        </w:tabs>
        <w:spacing w:lineRule="exact" w:line="264" w:before="0" w:after="80"/>
        <w:ind w:hanging="360" w:start="720"/>
        <w:rPr/>
      </w:pPr>
      <w:r>
        <w:rPr>
          <w:rFonts w:eastAsia="Arial" w:cs="Arial"/>
          <w:sz w:val="21"/>
          <w:szCs w:val="21"/>
        </w:rPr>
        <w:t>f. Maintain an environmental hygiene schedule specifying cleaning and disinfection frequency and contact times for high-touch surfaces and shared equipment.</w:t>
      </w:r>
    </w:p>
    <w:p>
      <w:pPr>
        <w:pStyle w:val="Normal"/>
        <w:tabs>
          <w:tab w:val="left" w:pos="720" w:leader="none"/>
        </w:tabs>
        <w:spacing w:lineRule="exact" w:line="264" w:before="0" w:after="80"/>
        <w:ind w:hanging="360" w:start="720"/>
        <w:rPr/>
      </w:pPr>
      <w:r>
        <w:rPr>
          <w:rFonts w:eastAsia="Arial" w:cs="Arial"/>
          <w:sz w:val="21"/>
          <w:szCs w:val="21"/>
        </w:rPr>
        <w:t>g. Provide occupational health protections, including post-exposure follow-up for staff.</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Prevention &amp; Control Risk Assessment</w:t>
      </w:r>
    </w:p>
    <w:p>
      <w:pPr>
        <w:pStyle w:val="ListParagraph"/>
        <w:numPr>
          <w:ilvl w:val="0"/>
          <w:numId w:val="1"/>
        </w:numPr>
        <w:spacing w:lineRule="exact" w:line="264" w:before="0" w:after="60"/>
        <w:rPr/>
      </w:pPr>
      <w:r>
        <w:rPr>
          <w:rFonts w:eastAsia="Arial" w:cs="Arial"/>
          <w:sz w:val="21"/>
          <w:szCs w:val="21"/>
        </w:rPr>
        <w:t>Infection Surveillance Log</w:t>
      </w:r>
    </w:p>
    <w:p>
      <w:pPr>
        <w:pStyle w:val="ListParagraph"/>
        <w:numPr>
          <w:ilvl w:val="0"/>
          <w:numId w:val="1"/>
        </w:numPr>
        <w:spacing w:lineRule="exact" w:line="264" w:before="0" w:after="60"/>
        <w:rPr/>
      </w:pPr>
      <w:r>
        <w:rPr>
          <w:rFonts w:eastAsia="Arial" w:cs="Arial"/>
          <w:sz w:val="21"/>
          <w:szCs w:val="21"/>
        </w:rPr>
        <w:t>Environmental Cleaning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Hazardous Chemicals &amp; Safety Data Sheet (SDS)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Hazardous Chemicals &amp; Safety Data Sheet (SDS)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OSHA Hazard Communication Standard, 29 CFR 1910.1200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staff, and visitors from the hazards of cleaning chemicals, disinfectants, and other hazardous products through proper labeling, storage, safe use, and accessible Safety Data Sheets, in compliance with the OSHA Hazard Communication Standard, 29 CFR 1910.1200. This policy applies in every care setting the Residence operates, regardless of size.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Residence shall maintain a Hazard Communication program that includes a current chemical inventory, an accessible Safety Data Sheet (SDS) for every hazardous chemical on site, proper labeling, safe storage and segregation of incompatible chemicals, staff training, and emergency response procedures for spills and exposures.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Safety Data Sheet (SDS) — the standardized 16-section document provided by a chemical manufacturer describing a product’s hazards, safe handling, storage, and emergency measures.</w:t>
      </w:r>
    </w:p>
    <w:p>
      <w:pPr>
        <w:pStyle w:val="Normal"/>
        <w:spacing w:lineRule="exact" w:line="276" w:before="0" w:after="120"/>
        <w:rPr/>
      </w:pPr>
      <w:r>
        <w:rPr>
          <w:rFonts w:eastAsia="Arial" w:cs="Arial"/>
          <w:sz w:val="21"/>
          <w:szCs w:val="21"/>
        </w:rPr>
        <w:t>Hazard Communication Standard — OSHA 29 CFR 1910.1200, the federal regulation requiring employers to inform and train employees about hazardous chemicals in the workplace.</w:t>
      </w:r>
    </w:p>
    <w:p>
      <w:pPr>
        <w:pStyle w:val="Normal"/>
        <w:pBdr>
          <w:bottom w:val="single" w:sz="4" w:space="1" w:color="2E5E45"/>
        </w:pBdr>
        <w:spacing w:before="160" w:after="80"/>
        <w:rPr/>
      </w:pPr>
      <w:r>
        <w:rPr>
          <w:rFonts w:eastAsia="Arial" w:cs="Arial"/>
          <w:b/>
          <w:bCs/>
          <w:color w:val="1A4731"/>
          <w:sz w:val="20"/>
          <w:szCs w:val="20"/>
        </w:rPr>
        <w:t>PROCEDURE — SDS BINDER &amp; CHEMICAL INVENTORY</w:t>
      </w:r>
    </w:p>
    <w:p>
      <w:pPr>
        <w:pStyle w:val="Normal"/>
        <w:tabs>
          <w:tab w:val="left" w:pos="720" w:leader="none"/>
        </w:tabs>
        <w:spacing w:lineRule="exact" w:line="264" w:before="0" w:after="80"/>
        <w:ind w:hanging="360" w:start="720"/>
        <w:rPr/>
      </w:pPr>
      <w:r>
        <w:rPr>
          <w:rFonts w:eastAsia="Arial" w:cs="Arial"/>
          <w:sz w:val="21"/>
          <w:szCs w:val="21"/>
        </w:rPr>
        <w:t>a. Maintain a master chemical inventory listing every hazardous product on site, cross-referenced to a numbered SDS binder, including the product name, manufacturer, and manufacturer emergency contact.</w:t>
      </w:r>
    </w:p>
    <w:p>
      <w:pPr>
        <w:pStyle w:val="Normal"/>
        <w:tabs>
          <w:tab w:val="left" w:pos="720" w:leader="none"/>
        </w:tabs>
        <w:spacing w:lineRule="exact" w:line="264" w:before="0" w:after="80"/>
        <w:ind w:hanging="360" w:start="720"/>
        <w:rPr/>
      </w:pPr>
      <w:r>
        <w:rPr>
          <w:rFonts w:eastAsia="Arial" w:cs="Arial"/>
          <w:sz w:val="21"/>
          <w:szCs w:val="21"/>
        </w:rPr>
        <w:t>b. Keep a current SDS physically on site for every chemical in use, accessible to staff on every shift, and replace or add SDS when products change.</w:t>
      </w:r>
    </w:p>
    <w:p>
      <w:pPr>
        <w:pStyle w:val="Normal"/>
        <w:tabs>
          <w:tab w:val="left" w:pos="720" w:leader="none"/>
        </w:tabs>
        <w:spacing w:lineRule="exact" w:line="264" w:before="0" w:after="80"/>
        <w:ind w:hanging="360" w:start="720"/>
        <w:rPr/>
      </w:pPr>
      <w:r>
        <w:rPr>
          <w:rFonts w:eastAsia="Arial" w:cs="Arial"/>
          <w:sz w:val="21"/>
          <w:szCs w:val="21"/>
        </w:rPr>
        <w:t>c. Ensure SDS are kept in the current GHS 16-section format and remove or update legacy or outdated sheets.</w:t>
      </w:r>
    </w:p>
    <w:p>
      <w:pPr>
        <w:pStyle w:val="Normal"/>
        <w:pBdr>
          <w:bottom w:val="single" w:sz="4" w:space="1" w:color="2E5E45"/>
        </w:pBdr>
        <w:spacing w:before="160" w:after="80"/>
        <w:rPr/>
      </w:pPr>
      <w:r>
        <w:rPr>
          <w:rFonts w:eastAsia="Arial" w:cs="Arial"/>
          <w:b/>
          <w:bCs/>
          <w:color w:val="1A4731"/>
          <w:sz w:val="20"/>
          <w:szCs w:val="20"/>
        </w:rPr>
        <w:t>PROCEDURE — LABELING, STORAGE &amp; SAFE USE</w:t>
      </w:r>
    </w:p>
    <w:p>
      <w:pPr>
        <w:pStyle w:val="Normal"/>
        <w:tabs>
          <w:tab w:val="left" w:pos="720" w:leader="none"/>
        </w:tabs>
        <w:spacing w:lineRule="exact" w:line="264" w:before="0" w:after="80"/>
        <w:ind w:hanging="360" w:start="720"/>
        <w:rPr/>
      </w:pPr>
      <w:r>
        <w:rPr>
          <w:rFonts w:eastAsia="Arial" w:cs="Arial"/>
          <w:sz w:val="21"/>
          <w:szCs w:val="21"/>
        </w:rPr>
        <w:t>d. Ensure all chemical containers are properly labeled with product identity and hazard information; never store chemicals in unlabeled or mislabeled containers.</w:t>
      </w:r>
    </w:p>
    <w:p>
      <w:pPr>
        <w:pStyle w:val="Normal"/>
        <w:tabs>
          <w:tab w:val="left" w:pos="720" w:leader="none"/>
        </w:tabs>
        <w:spacing w:lineRule="exact" w:line="264" w:before="0" w:after="80"/>
        <w:ind w:hanging="360" w:start="720"/>
        <w:rPr/>
      </w:pPr>
      <w:r>
        <w:rPr>
          <w:rFonts w:eastAsia="Arial" w:cs="Arial"/>
          <w:sz w:val="21"/>
          <w:szCs w:val="21"/>
        </w:rPr>
        <w:t>e. Store chemicals safely and segregate incompatible chemicals — for example, never store or mix bleach with ammonia-based products, which can release toxic gas — and store all chemicals away from medications and resident-accessible areas.</w:t>
      </w:r>
    </w:p>
    <w:p>
      <w:pPr>
        <w:pStyle w:val="Normal"/>
        <w:tabs>
          <w:tab w:val="left" w:pos="720" w:leader="none"/>
        </w:tabs>
        <w:spacing w:lineRule="exact" w:line="264" w:before="0" w:after="80"/>
        <w:ind w:hanging="360" w:start="720"/>
        <w:rPr/>
      </w:pPr>
      <w:r>
        <w:rPr>
          <w:rFonts w:eastAsia="Arial" w:cs="Arial"/>
          <w:sz w:val="21"/>
          <w:szCs w:val="21"/>
        </w:rPr>
        <w:t>f. Use chemicals only as directed, at proper dilution, with the personal protective equipment specified by the SDS for that product.</w:t>
      </w:r>
    </w:p>
    <w:p>
      <w:pPr>
        <w:pStyle w:val="Normal"/>
        <w:tabs>
          <w:tab w:val="left" w:pos="720" w:leader="none"/>
        </w:tabs>
        <w:spacing w:lineRule="exact" w:line="264" w:before="0" w:after="80"/>
        <w:ind w:hanging="360" w:start="720"/>
        <w:rPr/>
      </w:pPr>
      <w:r>
        <w:rPr>
          <w:rFonts w:eastAsia="Arial" w:cs="Arial"/>
          <w:sz w:val="21"/>
          <w:szCs w:val="21"/>
        </w:rPr>
        <w:t>g. Provide and maintain access to eyewash capability or flushing water where required by the products in use.</w:t>
      </w:r>
    </w:p>
    <w:p>
      <w:pPr>
        <w:pStyle w:val="Normal"/>
        <w:pBdr>
          <w:bottom w:val="single" w:sz="4" w:space="1" w:color="2E5E45"/>
        </w:pBdr>
        <w:spacing w:before="160" w:after="80"/>
        <w:rPr/>
      </w:pPr>
      <w:r>
        <w:rPr>
          <w:rFonts w:eastAsia="Arial" w:cs="Arial"/>
          <w:b/>
          <w:bCs/>
          <w:color w:val="1A4731"/>
          <w:sz w:val="20"/>
          <w:szCs w:val="20"/>
        </w:rPr>
        <w:t>PROCEDURE — TRAINING &amp; EMERGENCY RESPONSE</w:t>
      </w:r>
    </w:p>
    <w:p>
      <w:pPr>
        <w:pStyle w:val="Normal"/>
        <w:tabs>
          <w:tab w:val="left" w:pos="720" w:leader="none"/>
        </w:tabs>
        <w:spacing w:lineRule="exact" w:line="264" w:before="0" w:after="80"/>
        <w:ind w:hanging="360" w:start="720"/>
        <w:rPr/>
      </w:pPr>
      <w:r>
        <w:rPr>
          <w:rFonts w:eastAsia="Arial" w:cs="Arial"/>
          <w:sz w:val="21"/>
          <w:szCs w:val="21"/>
        </w:rPr>
        <w:t>h. Train each staff member, before independent work, on labeling, SDS literacy, PPE use, safe storage and segregation, proper use and dilution, and the connection to infection control.</w:t>
      </w:r>
    </w:p>
    <w:p>
      <w:pPr>
        <w:pStyle w:val="Normal"/>
        <w:tabs>
          <w:tab w:val="left" w:pos="720" w:leader="none"/>
        </w:tabs>
        <w:spacing w:lineRule="exact" w:line="264" w:before="0" w:after="80"/>
        <w:ind w:hanging="360" w:start="720"/>
        <w:rPr/>
      </w:pPr>
      <w:r>
        <w:rPr>
          <w:rFonts w:eastAsia="Arial" w:cs="Arial"/>
          <w:sz w:val="21"/>
          <w:szCs w:val="21"/>
        </w:rPr>
        <w:t>i. Train staff on emergency response for chemical spills and exposures, including spill containment, eyewash/flushing, and when to seek medical attention or call the poison center or 911.</w:t>
      </w:r>
    </w:p>
    <w:p>
      <w:pPr>
        <w:pStyle w:val="Normal"/>
        <w:tabs>
          <w:tab w:val="left" w:pos="720" w:leader="none"/>
        </w:tabs>
        <w:spacing w:lineRule="exact" w:line="264" w:before="0" w:after="80"/>
        <w:ind w:hanging="360" w:start="720"/>
        <w:rPr/>
      </w:pPr>
      <w:r>
        <w:rPr>
          <w:rFonts w:eastAsia="Arial" w:cs="Arial"/>
          <w:sz w:val="21"/>
          <w:szCs w:val="21"/>
        </w:rPr>
        <w:t>j. Report and document chemical exposures or significant spills, and review them through the Quality Management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Chemical Inventory List</w:t>
      </w:r>
    </w:p>
    <w:p>
      <w:pPr>
        <w:pStyle w:val="ListParagraph"/>
        <w:numPr>
          <w:ilvl w:val="0"/>
          <w:numId w:val="1"/>
        </w:numPr>
        <w:spacing w:lineRule="exact" w:line="264" w:before="0" w:after="60"/>
        <w:rPr/>
      </w:pPr>
      <w:r>
        <w:rPr>
          <w:rFonts w:eastAsia="Arial" w:cs="Arial"/>
          <w:sz w:val="21"/>
          <w:szCs w:val="21"/>
        </w:rPr>
        <w:t>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Environmental Safety, House Rules &amp; Pest Control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Environmental Safety, House Rules &amp; Pest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6 CCR 1011-1, Ch. 7, Parts 21–22; Part 12.15(D)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safe, sanitary, and well-maintained physical environment, including defined house rules and routine pest control.</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Residence shall maintain a physically safe and sanitary interior and exterior environment, conduct routine safety inspections, control pests, and enforce written house rules that protect resident and facility safety.</w:t>
      </w:r>
    </w:p>
    <w:p>
      <w:pPr>
        <w:pStyle w:val="Normal"/>
        <w:pBdr>
          <w:bottom w:val="single" w:sz="4" w:space="1" w:color="2E5E45"/>
        </w:pBdr>
        <w:spacing w:before="160" w:after="80"/>
        <w:rPr/>
      </w:pPr>
      <w:r>
        <w:rPr>
          <w:rFonts w:eastAsia="Arial" w:cs="Arial"/>
          <w:b/>
          <w:bCs/>
          <w:color w:val="1A4731"/>
          <w:sz w:val="20"/>
          <w:szCs w:val="20"/>
        </w:rPr>
        <w:t>PROCEDURE — ENVIRONMENTAL SAFETY</w:t>
      </w:r>
    </w:p>
    <w:p>
      <w:pPr>
        <w:pStyle w:val="Normal"/>
        <w:tabs>
          <w:tab w:val="left" w:pos="720" w:leader="none"/>
        </w:tabs>
        <w:spacing w:lineRule="exact" w:line="264" w:before="0" w:after="80"/>
        <w:ind w:hanging="360" w:start="720"/>
        <w:rPr/>
      </w:pPr>
      <w:r>
        <w:rPr>
          <w:rFonts w:eastAsia="Arial" w:cs="Arial"/>
          <w:sz w:val="21"/>
          <w:szCs w:val="21"/>
        </w:rPr>
        <w:t>a. Conduct routine safety inspections of the interior and exterior, correcting hazards and maintaining the environment as required by the fall management program and Parts 21–22.</w:t>
      </w:r>
    </w:p>
    <w:p>
      <w:pPr>
        <w:pStyle w:val="Normal"/>
        <w:tabs>
          <w:tab w:val="left" w:pos="720" w:leader="none"/>
        </w:tabs>
        <w:spacing w:lineRule="exact" w:line="264" w:before="0" w:after="80"/>
        <w:ind w:hanging="360" w:start="720"/>
        <w:rPr/>
      </w:pPr>
      <w:r>
        <w:rPr>
          <w:rFonts w:eastAsia="Arial" w:cs="Arial"/>
          <w:sz w:val="21"/>
          <w:szCs w:val="21"/>
        </w:rPr>
        <w:t>b. Maintain utility systems and life-safety equipment, and confirm the building, fire, and life-safety occupancy basis with the appropriate authorities.</w:t>
      </w:r>
    </w:p>
    <w:p>
      <w:pPr>
        <w:pStyle w:val="Normal"/>
        <w:tabs>
          <w:tab w:val="left" w:pos="720" w:leader="none"/>
        </w:tabs>
        <w:spacing w:lineRule="exact" w:line="264" w:before="0" w:after="80"/>
        <w:ind w:hanging="360" w:start="720"/>
        <w:rPr/>
      </w:pPr>
      <w:r>
        <w:rPr>
          <w:rFonts w:eastAsia="Arial" w:cs="Arial"/>
          <w:sz w:val="21"/>
          <w:szCs w:val="21"/>
        </w:rPr>
        <w:t>c. Maintain a hazardous materials program consistent with the Hazardous Chemicals &amp; SDS Management policy.</w:t>
      </w:r>
    </w:p>
    <w:p>
      <w:pPr>
        <w:pStyle w:val="Normal"/>
        <w:pBdr>
          <w:bottom w:val="single" w:sz="4" w:space="1" w:color="2E5E45"/>
        </w:pBdr>
        <w:spacing w:before="160" w:after="80"/>
        <w:rPr/>
      </w:pPr>
      <w:r>
        <w:rPr>
          <w:rFonts w:eastAsia="Arial" w:cs="Arial"/>
          <w:b/>
          <w:bCs/>
          <w:color w:val="1A4731"/>
          <w:sz w:val="20"/>
          <w:szCs w:val="20"/>
        </w:rPr>
        <w:t>PROCEDURE — HOUSE RULES</w:t>
      </w:r>
    </w:p>
    <w:p>
      <w:pPr>
        <w:pStyle w:val="Normal"/>
        <w:tabs>
          <w:tab w:val="left" w:pos="720" w:leader="none"/>
        </w:tabs>
        <w:spacing w:lineRule="exact" w:line="264" w:before="0" w:after="80"/>
        <w:ind w:hanging="360" w:start="720"/>
        <w:rPr/>
      </w:pPr>
      <w:r>
        <w:rPr>
          <w:rFonts w:eastAsia="Arial" w:cs="Arial"/>
          <w:sz w:val="21"/>
          <w:szCs w:val="21"/>
        </w:rPr>
        <w:t>d. Enforce written house rules addressing resident and facility safety, which may include: no resident-room cooking appliances or space heaters; heating pads only with a physician order; no unlinked or daisy-chained surge protectors; no open flame except supervised use such as birthday candles; minimum clearance below fire sprinkler deflectors for stored items; and a policy on pets residing on the premises (with service and guide animals excepted).</w:t>
      </w:r>
    </w:p>
    <w:p>
      <w:pPr>
        <w:pStyle w:val="Normal"/>
        <w:tabs>
          <w:tab w:val="left" w:pos="720" w:leader="none"/>
        </w:tabs>
        <w:spacing w:lineRule="exact" w:line="264" w:before="0" w:after="80"/>
        <w:ind w:hanging="360" w:start="720"/>
        <w:rPr/>
      </w:pPr>
      <w:r>
        <w:rPr>
          <w:rFonts w:eastAsia="Arial" w:cs="Arial"/>
          <w:sz w:val="21"/>
          <w:szCs w:val="21"/>
        </w:rPr>
        <w:t>e. Require prior administrator authorization for visitor-provided home-cooked food for food safety reasons.</w:t>
      </w:r>
    </w:p>
    <w:p>
      <w:pPr>
        <w:pStyle w:val="Normal"/>
        <w:tabs>
          <w:tab w:val="left" w:pos="720" w:leader="none"/>
        </w:tabs>
        <w:spacing w:lineRule="exact" w:line="264" w:before="0" w:after="80"/>
        <w:ind w:hanging="360" w:start="720"/>
        <w:rPr/>
      </w:pPr>
      <w:r>
        <w:rPr>
          <w:rFonts w:eastAsia="Arial" w:cs="Arial"/>
          <w:sz w:val="21"/>
          <w:szCs w:val="21"/>
        </w:rPr>
        <w:t>f. Provide house rules to residents at move-in and make them available on request.</w:t>
      </w:r>
    </w:p>
    <w:p>
      <w:pPr>
        <w:pStyle w:val="Normal"/>
        <w:pBdr>
          <w:bottom w:val="single" w:sz="4" w:space="1" w:color="2E5E45"/>
        </w:pBdr>
        <w:spacing w:before="160" w:after="80"/>
        <w:rPr/>
      </w:pPr>
      <w:r>
        <w:rPr>
          <w:rFonts w:eastAsia="Arial" w:cs="Arial"/>
          <w:b/>
          <w:bCs/>
          <w:color w:val="1A4731"/>
          <w:sz w:val="20"/>
          <w:szCs w:val="20"/>
        </w:rPr>
        <w:t>PROCEDURE — PEST CONTROL</w:t>
      </w:r>
    </w:p>
    <w:p>
      <w:pPr>
        <w:pStyle w:val="Normal"/>
        <w:tabs>
          <w:tab w:val="left" w:pos="720" w:leader="none"/>
        </w:tabs>
        <w:spacing w:lineRule="exact" w:line="264" w:before="0" w:after="80"/>
        <w:ind w:hanging="360" w:start="720"/>
        <w:rPr/>
      </w:pPr>
      <w:r>
        <w:rPr>
          <w:rFonts w:eastAsia="Arial" w:cs="Arial"/>
          <w:sz w:val="21"/>
          <w:szCs w:val="21"/>
        </w:rPr>
        <w:t>g. Maintain a routine pest control program with scheduled inspection and treatment.</w:t>
      </w:r>
    </w:p>
    <w:p>
      <w:pPr>
        <w:pStyle w:val="Normal"/>
        <w:tabs>
          <w:tab w:val="left" w:pos="720" w:leader="none"/>
        </w:tabs>
        <w:spacing w:lineRule="exact" w:line="264" w:before="0" w:after="80"/>
        <w:ind w:hanging="360" w:start="720"/>
        <w:rPr/>
      </w:pPr>
      <w:r>
        <w:rPr>
          <w:rFonts w:eastAsia="Arial" w:cs="Arial"/>
          <w:sz w:val="21"/>
          <w:szCs w:val="21"/>
        </w:rPr>
        <w:t>h. Maintain tight-fitting screens and seal points of entry consistent with fire and building code.</w:t>
      </w:r>
    </w:p>
    <w:p>
      <w:pPr>
        <w:pStyle w:val="Normal"/>
        <w:tabs>
          <w:tab w:val="left" w:pos="720" w:leader="none"/>
        </w:tabs>
        <w:spacing w:lineRule="exact" w:line="264" w:before="0" w:after="80"/>
        <w:ind w:hanging="360" w:start="720"/>
        <w:rPr/>
      </w:pPr>
      <w:r>
        <w:rPr>
          <w:rFonts w:eastAsia="Arial" w:cs="Arial"/>
          <w:sz w:val="21"/>
          <w:szCs w:val="21"/>
        </w:rPr>
        <w:t>i. Document inspections and any treatment performed.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Environmental Safety Inspection Checklist</w:t>
      </w:r>
    </w:p>
    <w:p>
      <w:pPr>
        <w:pStyle w:val="ListParagraph"/>
        <w:numPr>
          <w:ilvl w:val="0"/>
          <w:numId w:val="1"/>
        </w:numPr>
        <w:spacing w:lineRule="exact" w:line="264" w:before="0" w:after="60"/>
        <w:rPr/>
      </w:pPr>
      <w:r>
        <w:rPr>
          <w:rFonts w:eastAsia="Arial" w:cs="Arial"/>
          <w:sz w:val="21"/>
          <w:szCs w:val="21"/>
        </w:rPr>
        <w:t>House Rules (resident copy)</w:t>
      </w:r>
    </w:p>
    <w:p>
      <w:pPr>
        <w:pStyle w:val="ListParagraph"/>
        <w:numPr>
          <w:ilvl w:val="0"/>
          <w:numId w:val="1"/>
        </w:numPr>
        <w:spacing w:lineRule="exact" w:line="264" w:before="0" w:after="60"/>
        <w:rPr/>
      </w:pPr>
      <w:r>
        <w:rPr>
          <w:rFonts w:eastAsia="Arial" w:cs="Arial"/>
          <w:sz w:val="21"/>
          <w:szCs w:val="21"/>
        </w:rPr>
        <w:t>Pest Control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5.05  Occurrence Reporting &amp; Investigation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5.05  Occurrence Reporting &amp; Investigation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6 CCR 1011-1, Ch. 2, Part 4.2; Ch. 7, Part 5; C.R.S. 25-1-124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that events meeting occurrence reporting criteria are investigated, reported to CDPHE, and used to drive corrective action, consistent with C.R.S. 25-1-124 and 6 CCR 1011-1.</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Residence shall comply with all occurrence reporting required by state law, follow the reporting procedures in 6 CCR 1011-1, Chapter 2, Part 4.2, investigate each occurrence, and submit its final investigation report to the Department within five business days after the initial report of the occurrence.</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Identify events that meet occurrence reporting criteria under Chapter 2, Part 4.2, and report them to CDPHE within the required timeframe and through the required portal or method.</w:t>
      </w:r>
    </w:p>
    <w:p>
      <w:pPr>
        <w:pStyle w:val="Normal"/>
        <w:tabs>
          <w:tab w:val="left" w:pos="720" w:leader="none"/>
        </w:tabs>
        <w:spacing w:lineRule="exact" w:line="264" w:before="0" w:after="80"/>
        <w:ind w:hanging="360" w:start="720"/>
        <w:rPr/>
      </w:pPr>
      <w:r>
        <w:rPr>
          <w:rFonts w:eastAsia="Arial" w:cs="Arial"/>
          <w:sz w:val="21"/>
          <w:szCs w:val="21"/>
        </w:rPr>
        <w:t>b. Investigate each occurrence to determine the circumstances of the event and institute appropriate measures to prevent similar future situations; keep investigation documentation available to the Department on request.</w:t>
      </w:r>
    </w:p>
    <w:p>
      <w:pPr>
        <w:pStyle w:val="Normal"/>
        <w:tabs>
          <w:tab w:val="left" w:pos="720" w:leader="none"/>
        </w:tabs>
        <w:spacing w:lineRule="exact" w:line="264" w:before="0" w:after="80"/>
        <w:ind w:hanging="360" w:start="720"/>
        <w:rPr/>
      </w:pPr>
      <w:r>
        <w:rPr>
          <w:rFonts w:eastAsia="Arial" w:cs="Arial"/>
          <w:sz w:val="21"/>
          <w:szCs w:val="21"/>
        </w:rPr>
        <w:t>c. Submit the final investigation report to the Department within five business days after the initial report of the occurrence.</w:t>
      </w:r>
    </w:p>
    <w:p>
      <w:pPr>
        <w:pStyle w:val="Normal"/>
        <w:tabs>
          <w:tab w:val="left" w:pos="720" w:leader="none"/>
        </w:tabs>
        <w:spacing w:lineRule="exact" w:line="264" w:before="0" w:after="80"/>
        <w:ind w:hanging="360" w:start="720"/>
        <w:rPr/>
      </w:pPr>
      <w:r>
        <w:rPr>
          <w:rFonts w:eastAsia="Arial" w:cs="Arial"/>
          <w:sz w:val="21"/>
          <w:szCs w:val="21"/>
        </w:rPr>
        <w:t>d. Track occurrences and their corrective actions through the Quality Management Program to identify and address patterns.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Occurrence Report</w:t>
      </w:r>
    </w:p>
    <w:p>
      <w:pPr>
        <w:pStyle w:val="ListParagraph"/>
        <w:numPr>
          <w:ilvl w:val="0"/>
          <w:numId w:val="1"/>
        </w:numPr>
        <w:spacing w:lineRule="exact" w:line="264" w:before="0" w:after="60"/>
        <w:rPr/>
      </w:pPr>
      <w:r>
        <w:rPr>
          <w:rFonts w:eastAsia="Arial" w:cs="Arial"/>
          <w:sz w:val="21"/>
          <w:szCs w:val="21"/>
        </w:rPr>
        <w:t>Investigation Findings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5.06  Abuse, Neglect &amp; Exploitation — Prevention &amp; Mandatory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5.06  Abuse, Neglect &amp; Exploitation — Prevention &amp; Mandatory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C.R.S. 26-3.1; 6 CCR 1011-1, Ch. 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from abuse, neglect, and exploitation through prevention, prompt reporting, and thorough investigation.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Residence prohibits abuse, neglect, exploitation, and mistreatment of residents, requires immediate reporting of suspected mistreatment to the required authorities, and investigates all allegations.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Train all staff and volunteers to recognize and immediately report suspected abuse, neglect, exploitation, or mistreatment, and to protect the resident’s immediate safety.</w:t>
      </w:r>
    </w:p>
    <w:p>
      <w:pPr>
        <w:pStyle w:val="Normal"/>
        <w:tabs>
          <w:tab w:val="left" w:pos="720" w:leader="none"/>
        </w:tabs>
        <w:spacing w:lineRule="exact" w:line="264" w:before="0" w:after="80"/>
        <w:ind w:hanging="360" w:start="720"/>
        <w:rPr/>
      </w:pPr>
      <w:r>
        <w:rPr>
          <w:rFonts w:eastAsia="Arial" w:cs="Arial"/>
          <w:sz w:val="21"/>
          <w:szCs w:val="21"/>
        </w:rPr>
        <w:t>b. Report suspected mistreatment of at-risk adults to the appropriate authorities, including law enforcement and Adult Protective Services, within required timeframes, and to CDPHE as an occurrence where criteria are met.</w:t>
      </w:r>
    </w:p>
    <w:p>
      <w:pPr>
        <w:pStyle w:val="Normal"/>
        <w:tabs>
          <w:tab w:val="left" w:pos="720" w:leader="none"/>
        </w:tabs>
        <w:spacing w:lineRule="exact" w:line="264" w:before="0" w:after="80"/>
        <w:ind w:hanging="360" w:start="720"/>
        <w:rPr/>
      </w:pPr>
      <w:r>
        <w:rPr>
          <w:rFonts w:eastAsia="Arial" w:cs="Arial"/>
          <w:sz w:val="21"/>
          <w:szCs w:val="21"/>
        </w:rPr>
        <w:t>c. Investigate each allegation, documenting facts (not opinions), dates and times, witnesses, and findings, and institute corrective measures.</w:t>
      </w:r>
    </w:p>
    <w:p>
      <w:pPr>
        <w:pStyle w:val="Normal"/>
        <w:tabs>
          <w:tab w:val="left" w:pos="720" w:leader="none"/>
        </w:tabs>
        <w:spacing w:lineRule="exact" w:line="264" w:before="0" w:after="80"/>
        <w:ind w:hanging="360" w:start="720"/>
        <w:rPr/>
      </w:pPr>
      <w:r>
        <w:rPr>
          <w:rFonts w:eastAsia="Arial" w:cs="Arial"/>
          <w:sz w:val="21"/>
          <w:szCs w:val="21"/>
        </w:rPr>
        <w:t>d. Protect the reporting party from retaliation and cooperate fully with external investigations.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Abuse/Neglect/Exploitation Report</w:t>
      </w:r>
    </w:p>
    <w:p>
      <w:pPr>
        <w:pStyle w:val="ListParagraph"/>
        <w:numPr>
          <w:ilvl w:val="0"/>
          <w:numId w:val="1"/>
        </w:numPr>
        <w:spacing w:lineRule="exact" w:line="264" w:before="0" w:after="60"/>
        <w:rPr/>
      </w:pPr>
      <w:r>
        <w:rPr>
          <w:rFonts w:eastAsia="Arial" w:cs="Arial"/>
          <w:sz w:val="21"/>
          <w:szCs w:val="21"/>
        </w:rPr>
        <w:t>Investigation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Quality Management &amp; Documentation</w:t>
      </w:r>
    </w:p>
    <w:p>
      <w:pPr>
        <w:pStyle w:val="Normal"/>
        <w:spacing w:lineRule="exact" w:line="288" w:before="0" w:after="240"/>
        <w:rPr/>
      </w:pPr>
      <w:r>
        <w:rPr>
          <w:rFonts w:eastAsia="Arial" w:cs="Arial"/>
          <w:color w:val="444444"/>
          <w:sz w:val="22"/>
          <w:szCs w:val="22"/>
        </w:rPr>
        <w:t>This section covers how the Residence records, measures, and improves the care it provides — health information management, the quality management program, palliative care coordination, and the staff influenza immunization program.</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Health Information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Quality Management Program</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Provision of Palliative Care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6.03  Influenza Immunization Program</w:t>
      </w:r>
    </w:p>
    <w:p>
      <w:pPr>
        <w:pStyle w:val="Normal"/>
        <w:rPr/>
      </w:pPr>
      <w:r>
        <w:rPr/>
      </w:r>
      <w:r>
        <w:br w:type="page"/>
      </w:r>
    </w:p>
    <w:p>
      <w:pPr>
        <w:pStyle w:val="Heading2"/>
        <w:spacing w:before="0" w:after="120"/>
        <w:rPr/>
      </w:pPr>
      <w:r>
        <w:rPr>
          <w:rFonts w:eastAsia="Arial" w:cs="Arial" w:ascii="Arial" w:hAnsi="Arial"/>
          <w:b/>
          <w:bCs/>
          <w:color w:val="1A4731"/>
          <w:sz w:val="26"/>
          <w:szCs w:val="26"/>
        </w:rPr>
        <w:t>6.00  Health Information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Health Information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6 CCR 1011-1, Ch. 7; HIPAA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accurate, complete, and confidential resident records that support care and demonstrate compliance.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Residence shall maintain a record for each resident containing the required contents at admission and on an ongoing basis, protect the confidentiality of health information consistent with HIPAA, and retain records as required.</w:t>
      </w:r>
    </w:p>
    <w:p>
      <w:pPr>
        <w:pStyle w:val="Normal"/>
        <w:pBdr>
          <w:bottom w:val="single" w:sz="4" w:space="1" w:color="2E5E45"/>
        </w:pBdr>
        <w:spacing w:before="160" w:after="80"/>
        <w:rPr/>
      </w:pPr>
      <w:r>
        <w:rPr>
          <w:rFonts w:eastAsia="Arial" w:cs="Arial"/>
          <w:b/>
          <w:bCs/>
          <w:color w:val="1A4731"/>
          <w:sz w:val="20"/>
          <w:szCs w:val="20"/>
        </w:rPr>
        <w:t>PROCEDURE — RECORD CONTENTS</w:t>
      </w:r>
    </w:p>
    <w:p>
      <w:pPr>
        <w:pStyle w:val="Normal"/>
        <w:tabs>
          <w:tab w:val="left" w:pos="720" w:leader="none"/>
        </w:tabs>
        <w:spacing w:lineRule="exact" w:line="264" w:before="0" w:after="80"/>
        <w:ind w:hanging="360" w:start="720"/>
        <w:rPr/>
      </w:pPr>
      <w:r>
        <w:rPr>
          <w:rFonts w:eastAsia="Arial" w:cs="Arial"/>
          <w:sz w:val="21"/>
          <w:szCs w:val="21"/>
        </w:rPr>
        <w:t>a. Maintain at admission, at minimum: a face sheet; practitioner’s orders; the initial assessment; the individualized care plan; advance directives; and a copy of the resident agreement.</w:t>
      </w:r>
    </w:p>
    <w:p>
      <w:pPr>
        <w:pStyle w:val="Normal"/>
        <w:tabs>
          <w:tab w:val="left" w:pos="720" w:leader="none"/>
        </w:tabs>
        <w:spacing w:lineRule="exact" w:line="264" w:before="0" w:after="80"/>
        <w:ind w:hanging="360" w:start="720"/>
        <w:rPr/>
      </w:pPr>
      <w:r>
        <w:rPr>
          <w:rFonts w:eastAsia="Arial" w:cs="Arial"/>
          <w:sz w:val="21"/>
          <w:szCs w:val="21"/>
        </w:rPr>
        <w:t>b. Maintain on an ongoing basis: progress and care notes; the medication administration record; documentation of external services provided; and final disposition documentation, including the date, time, and circumstances of death and who received the body, where applicable.</w:t>
      </w:r>
    </w:p>
    <w:p>
      <w:pPr>
        <w:pStyle w:val="Normal"/>
        <w:tabs>
          <w:tab w:val="left" w:pos="720" w:leader="none"/>
        </w:tabs>
        <w:spacing w:lineRule="exact" w:line="264" w:before="0" w:after="80"/>
        <w:ind w:hanging="360" w:start="720"/>
        <w:rPr/>
      </w:pPr>
      <w:r>
        <w:rPr>
          <w:rFonts w:eastAsia="Arial" w:cs="Arial"/>
          <w:sz w:val="21"/>
          <w:szCs w:val="21"/>
        </w:rPr>
        <w:t>c. Update the face sheet at least annually and whenever key information changes.</w:t>
      </w:r>
    </w:p>
    <w:p>
      <w:pPr>
        <w:pStyle w:val="Normal"/>
        <w:pBdr>
          <w:bottom w:val="single" w:sz="4" w:space="1" w:color="2E5E45"/>
        </w:pBdr>
        <w:spacing w:before="160" w:after="80"/>
        <w:rPr/>
      </w:pPr>
      <w:r>
        <w:rPr>
          <w:rFonts w:eastAsia="Arial" w:cs="Arial"/>
          <w:b/>
          <w:bCs/>
          <w:color w:val="1A4731"/>
          <w:sz w:val="20"/>
          <w:szCs w:val="20"/>
        </w:rPr>
        <w:t>PROCEDURE — CONFIDENTIALITY &amp; TRANSITIONS</w:t>
      </w:r>
    </w:p>
    <w:p>
      <w:pPr>
        <w:pStyle w:val="Normal"/>
        <w:tabs>
          <w:tab w:val="left" w:pos="720" w:leader="none"/>
        </w:tabs>
        <w:spacing w:lineRule="exact" w:line="264" w:before="0" w:after="80"/>
        <w:ind w:hanging="360" w:start="720"/>
        <w:rPr/>
      </w:pPr>
      <w:r>
        <w:rPr>
          <w:rFonts w:eastAsia="Arial" w:cs="Arial"/>
          <w:sz w:val="21"/>
          <w:szCs w:val="21"/>
        </w:rPr>
        <w:t>d. Protect the confidentiality and security of resident records and disclose information only as permitted by law.</w:t>
      </w:r>
    </w:p>
    <w:p>
      <w:pPr>
        <w:pStyle w:val="Normal"/>
        <w:tabs>
          <w:tab w:val="left" w:pos="720" w:leader="none"/>
        </w:tabs>
        <w:spacing w:lineRule="exact" w:line="264" w:before="0" w:after="80"/>
        <w:ind w:hanging="360" w:start="720"/>
        <w:rPr/>
      </w:pPr>
      <w:r>
        <w:rPr>
          <w:rFonts w:eastAsia="Arial" w:cs="Arial"/>
          <w:sz w:val="21"/>
          <w:szCs w:val="21"/>
        </w:rPr>
        <w:t>e. At any transfer or transition of care, ensure that the information needed for safe continued care transfers with the resident.</w:t>
      </w:r>
    </w:p>
    <w:p>
      <w:pPr>
        <w:pStyle w:val="Normal"/>
        <w:tabs>
          <w:tab w:val="left" w:pos="720" w:leader="none"/>
        </w:tabs>
        <w:spacing w:lineRule="exact" w:line="264" w:before="0" w:after="80"/>
        <w:ind w:hanging="360" w:start="720"/>
        <w:rPr/>
      </w:pPr>
      <w:r>
        <w:rPr>
          <w:rFonts w:eastAsia="Arial" w:cs="Arial"/>
          <w:sz w:val="21"/>
          <w:szCs w:val="21"/>
        </w:rPr>
        <w:t>f. Maintain data integrity through accurate, timely, and legible documentation and appropriate record security and retention.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Face Sheet</w:t>
      </w:r>
    </w:p>
    <w:p>
      <w:pPr>
        <w:pStyle w:val="ListParagraph"/>
        <w:numPr>
          <w:ilvl w:val="0"/>
          <w:numId w:val="1"/>
        </w:numPr>
        <w:spacing w:lineRule="exact" w:line="264" w:before="0" w:after="60"/>
        <w:rPr/>
      </w:pPr>
      <w:r>
        <w:rPr>
          <w:rFonts w:eastAsia="Arial" w:cs="Arial"/>
          <w:sz w:val="21"/>
          <w:szCs w:val="21"/>
        </w:rPr>
        <w:t>Records Retention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Quality Management Program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Quality Management Program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6 CCR 1011-1, Ch. 7; JC ALC performance measures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structured quality management program that measures performance, drives improvement, and sustains a culture of safety, aligned with Joint Commission Assisted Living Community (ALC) accreditation principles.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Residence shall maintain a quality management program that collects and analyzes data on meaningful measures, implements improvements, monitors to confirm they are sustained, supports non-punitive reporting, and maintains organizational ethics and leadership accountability.</w:t>
      </w:r>
    </w:p>
    <w:p>
      <w:pPr>
        <w:pStyle w:val="Normal"/>
        <w:pBdr>
          <w:bottom w:val="single" w:sz="4" w:space="1" w:color="2E5E45"/>
        </w:pBdr>
        <w:spacing w:before="160" w:after="80"/>
        <w:rPr/>
      </w:pPr>
      <w:r>
        <w:rPr>
          <w:rFonts w:eastAsia="Arial" w:cs="Arial"/>
          <w:b/>
          <w:bCs/>
          <w:color w:val="1A4731"/>
          <w:sz w:val="20"/>
          <w:szCs w:val="20"/>
        </w:rPr>
        <w:t>PROCEDURE — CULTURE OF SAFETY</w:t>
      </w:r>
    </w:p>
    <w:p>
      <w:pPr>
        <w:pStyle w:val="Normal"/>
        <w:tabs>
          <w:tab w:val="left" w:pos="720" w:leader="none"/>
        </w:tabs>
        <w:spacing w:lineRule="exact" w:line="264" w:before="0" w:after="80"/>
        <w:ind w:hanging="360" w:start="720"/>
        <w:rPr/>
      </w:pPr>
      <w:r>
        <w:rPr>
          <w:rFonts w:eastAsia="Arial" w:cs="Arial"/>
          <w:sz w:val="21"/>
          <w:szCs w:val="21"/>
        </w:rPr>
        <w:t>a. Maintain a non-punitive reporting culture in which staff may report safety concerns, errors, and near misses without fear of retaliation.</w:t>
      </w:r>
    </w:p>
    <w:p>
      <w:pPr>
        <w:pStyle w:val="Normal"/>
        <w:tabs>
          <w:tab w:val="left" w:pos="720" w:leader="none"/>
        </w:tabs>
        <w:spacing w:lineRule="exact" w:line="264" w:before="0" w:after="80"/>
        <w:ind w:hanging="360" w:start="720"/>
        <w:rPr/>
      </w:pPr>
      <w:r>
        <w:rPr>
          <w:rFonts w:eastAsia="Arial" w:cs="Arial"/>
          <w:sz w:val="21"/>
          <w:szCs w:val="21"/>
        </w:rPr>
        <w:t>b. Maintain organizational ethics standards, including conflict-of-interest and ethical decision-making expectations, with leadership accountable for quality and safety.</w:t>
      </w:r>
    </w:p>
    <w:p>
      <w:pPr>
        <w:pStyle w:val="Normal"/>
        <w:pBdr>
          <w:bottom w:val="single" w:sz="4" w:space="1" w:color="2E5E45"/>
        </w:pBdr>
        <w:spacing w:before="160" w:after="80"/>
        <w:rPr/>
      </w:pPr>
      <w:r>
        <w:rPr>
          <w:rFonts w:eastAsia="Arial" w:cs="Arial"/>
          <w:b/>
          <w:bCs/>
          <w:color w:val="1A4731"/>
          <w:sz w:val="20"/>
          <w:szCs w:val="20"/>
        </w:rPr>
        <w:t>PROCEDURE — PERFORMANCE IMPROVEMENT</w:t>
      </w:r>
    </w:p>
    <w:p>
      <w:pPr>
        <w:pStyle w:val="Normal"/>
        <w:tabs>
          <w:tab w:val="left" w:pos="720" w:leader="none"/>
        </w:tabs>
        <w:spacing w:lineRule="exact" w:line="264" w:before="0" w:after="80"/>
        <w:ind w:hanging="360" w:start="720"/>
        <w:rPr/>
      </w:pPr>
      <w:r>
        <w:rPr>
          <w:rFonts w:eastAsia="Arial" w:cs="Arial"/>
          <w:sz w:val="21"/>
          <w:szCs w:val="21"/>
        </w:rPr>
        <w:t>c. Identify meaningful measures aligned with Joint Commission ALC performance domains (for example, staff stability and resident-safety measures) and collect data on them.</w:t>
      </w:r>
    </w:p>
    <w:p>
      <w:pPr>
        <w:pStyle w:val="Normal"/>
        <w:tabs>
          <w:tab w:val="left" w:pos="720" w:leader="none"/>
        </w:tabs>
        <w:spacing w:lineRule="exact" w:line="264" w:before="0" w:after="80"/>
        <w:ind w:hanging="360" w:start="720"/>
        <w:rPr/>
      </w:pPr>
      <w:r>
        <w:rPr>
          <w:rFonts w:eastAsia="Arial" w:cs="Arial"/>
          <w:sz w:val="21"/>
          <w:szCs w:val="21"/>
        </w:rPr>
        <w:t>d. Analyze data for trends and patterns; for any sentinel or serious adverse event, conduct a root-cause analysis and implement an action plan distinct from routine occurrence handling.</w:t>
      </w:r>
    </w:p>
    <w:p>
      <w:pPr>
        <w:pStyle w:val="Normal"/>
        <w:tabs>
          <w:tab w:val="left" w:pos="720" w:leader="none"/>
        </w:tabs>
        <w:spacing w:lineRule="exact" w:line="264" w:before="0" w:after="80"/>
        <w:ind w:hanging="360" w:start="720"/>
        <w:rPr/>
      </w:pPr>
      <w:r>
        <w:rPr>
          <w:rFonts w:eastAsia="Arial" w:cs="Arial"/>
          <w:sz w:val="21"/>
          <w:szCs w:val="21"/>
        </w:rPr>
        <w:t>e. Use a Plan-Do-Study-Act cycle: implement an improvement, study the result, and act to standardize or adjust, then monitor to confirm the improvement is sustained.</w:t>
      </w:r>
    </w:p>
    <w:p>
      <w:pPr>
        <w:pStyle w:val="Normal"/>
        <w:tabs>
          <w:tab w:val="left" w:pos="720" w:leader="none"/>
        </w:tabs>
        <w:spacing w:lineRule="exact" w:line="264" w:before="0" w:after="80"/>
        <w:ind w:hanging="360" w:start="720"/>
        <w:rPr/>
      </w:pPr>
      <w:r>
        <w:rPr>
          <w:rFonts w:eastAsia="Arial" w:cs="Arial"/>
          <w:sz w:val="21"/>
          <w:szCs w:val="21"/>
        </w:rPr>
        <w:t>f. Review falls, medication errors, infections, grievances, and occurrences for patterns, and document an annual quality summary.</w:t>
      </w:r>
    </w:p>
    <w:p>
      <w:pPr>
        <w:pStyle w:val="Normal"/>
        <w:tabs>
          <w:tab w:val="left" w:pos="720" w:leader="none"/>
        </w:tabs>
        <w:spacing w:lineRule="exact" w:line="264" w:before="0" w:after="80"/>
        <w:ind w:hanging="360" w:start="720"/>
        <w:rPr/>
      </w:pPr>
      <w:r>
        <w:rPr>
          <w:rFonts w:eastAsia="Arial" w:cs="Arial"/>
          <w:sz w:val="21"/>
          <w:szCs w:val="21"/>
        </w:rPr>
        <w:t>g. Conduct proactive risk assessment to identify and mitigate vulnerabilities before harm occurs.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Measure Dashboard</w:t>
      </w:r>
    </w:p>
    <w:p>
      <w:pPr>
        <w:pStyle w:val="ListParagraph"/>
        <w:numPr>
          <w:ilvl w:val="0"/>
          <w:numId w:val="1"/>
        </w:numPr>
        <w:spacing w:lineRule="exact" w:line="264" w:before="0" w:after="60"/>
        <w:rPr/>
      </w:pPr>
      <w:r>
        <w:rPr>
          <w:rFonts w:eastAsia="Arial" w:cs="Arial"/>
          <w:sz w:val="21"/>
          <w:szCs w:val="21"/>
        </w:rPr>
        <w:t>PDSA / Improvement Record</w:t>
      </w:r>
    </w:p>
    <w:p>
      <w:pPr>
        <w:pStyle w:val="ListParagraph"/>
        <w:numPr>
          <w:ilvl w:val="0"/>
          <w:numId w:val="1"/>
        </w:numPr>
        <w:spacing w:lineRule="exact" w:line="264" w:before="0" w:after="60"/>
        <w:rPr/>
      </w:pPr>
      <w:r>
        <w:rPr>
          <w:rFonts w:eastAsia="Arial" w:cs="Arial"/>
          <w:sz w:val="21"/>
          <w:szCs w:val="21"/>
        </w:rPr>
        <w:t>Annual Quality Summary</w:t>
      </w:r>
    </w:p>
    <w:p>
      <w:pPr>
        <w:pStyle w:val="ListParagraph"/>
        <w:numPr>
          <w:ilvl w:val="0"/>
          <w:numId w:val="1"/>
        </w:numPr>
        <w:spacing w:lineRule="exact" w:line="264" w:before="0" w:after="60"/>
        <w:rPr/>
      </w:pPr>
      <w:r>
        <w:rPr>
          <w:rFonts w:eastAsia="Arial" w:cs="Arial"/>
          <w:sz w:val="21"/>
          <w:szCs w:val="21"/>
        </w:rPr>
        <w:t>Root-Cause Analysis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Provision of Palliative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Provision of Palliative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6 CCR 1011-1, Ch. 2, Part 4.3; Ch. 7; Ch. 21 (Hospice)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support residents with serious or terminal illness through coordinated palliative and hospice care that addresses physical, psychosocial, spiritual, and emotional needs.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Residence shall coordinate palliative and hospice care consistent with 6 CCR 1011-1, Chapter 2, Part 4.3, and the hospice requirements of Chapter 21, integrating the care into the resident’s care plan.</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Coordinate with the hospice or palliative provider, the resident, and the family to address the physical, psychosocial, spiritual, and emotional needs of a terminally ill resident as delineated in the care plan.</w:t>
      </w:r>
    </w:p>
    <w:p>
      <w:pPr>
        <w:pStyle w:val="Normal"/>
        <w:tabs>
          <w:tab w:val="left" w:pos="720" w:leader="none"/>
        </w:tabs>
        <w:spacing w:lineRule="exact" w:line="264" w:before="0" w:after="80"/>
        <w:ind w:hanging="360" w:start="720"/>
        <w:rPr/>
      </w:pPr>
      <w:r>
        <w:rPr>
          <w:rFonts w:eastAsia="Arial" w:cs="Arial"/>
          <w:sz w:val="21"/>
          <w:szCs w:val="21"/>
        </w:rPr>
        <w:t>b. Ensure hospice care services are available consistent with Chapter 21 requirements and that staff understand their role relative to the hospice provider, including end-of-life and death procedures.</w:t>
      </w:r>
    </w:p>
    <w:p>
      <w:pPr>
        <w:pStyle w:val="Normal"/>
        <w:tabs>
          <w:tab w:val="left" w:pos="720" w:leader="none"/>
        </w:tabs>
        <w:spacing w:lineRule="exact" w:line="264" w:before="0" w:after="80"/>
        <w:ind w:hanging="360" w:start="720"/>
        <w:rPr/>
      </w:pPr>
      <w:r>
        <w:rPr>
          <w:rFonts w:eastAsia="Arial" w:cs="Arial"/>
          <w:sz w:val="21"/>
          <w:szCs w:val="21"/>
        </w:rPr>
        <w:t>c. Honor advance directives and CPR/DNR status, and document care provided.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Palliative / Hospice Coordination Record</w:t>
      </w:r>
    </w:p>
    <w:p>
      <w:pPr>
        <w:pStyle w:val="ListParagraph"/>
        <w:numPr>
          <w:ilvl w:val="0"/>
          <w:numId w:val="1"/>
        </w:numPr>
        <w:spacing w:lineRule="exact" w:line="264" w:before="0" w:after="60"/>
        <w:rPr/>
      </w:pPr>
      <w:r>
        <w:rPr>
          <w:rFonts w:eastAsia="Arial" w:cs="Arial"/>
          <w:sz w:val="21"/>
          <w:szCs w:val="21"/>
        </w:rPr>
        <w:t>Advance Directive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6.03  Influenza Immunization Program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6.03  Influenza Immunization Program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6 CCR 1011-1, Ch. 7, Part 11.2.3; Part 1.51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influenza transmission through a staff immunization program that meets the Residence’s regulatory reporting obligations.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Residence shall maintain an influenza immunization program for staff, including offering or documenting immunization, processing medical exemptions, reporting to the Department as required, and retaining documentation.</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Offer or verify staff influenza immunization and document proof of immunization consistent with the rule’s definition.</w:t>
      </w:r>
    </w:p>
    <w:p>
      <w:pPr>
        <w:pStyle w:val="Normal"/>
        <w:tabs>
          <w:tab w:val="left" w:pos="720" w:leader="none"/>
        </w:tabs>
        <w:spacing w:lineRule="exact" w:line="264" w:before="0" w:after="80"/>
        <w:ind w:hanging="360" w:start="720"/>
        <w:rPr/>
      </w:pPr>
      <w:r>
        <w:rPr>
          <w:rFonts w:eastAsia="Arial" w:cs="Arial"/>
          <w:sz w:val="21"/>
          <w:szCs w:val="21"/>
        </w:rPr>
        <w:t>b. Process medical exemptions, requiring sign-off from a Colorado-licensed physician, physician assistant, advanced practice nurse, or certified nurse midwife.</w:t>
      </w:r>
    </w:p>
    <w:p>
      <w:pPr>
        <w:pStyle w:val="Normal"/>
        <w:tabs>
          <w:tab w:val="left" w:pos="720" w:leader="none"/>
        </w:tabs>
        <w:spacing w:lineRule="exact" w:line="264" w:before="0" w:after="80"/>
        <w:ind w:hanging="360" w:start="720"/>
        <w:rPr/>
      </w:pPr>
      <w:r>
        <w:rPr>
          <w:rFonts w:eastAsia="Arial" w:cs="Arial"/>
          <w:sz w:val="21"/>
          <w:szCs w:val="21"/>
        </w:rPr>
        <w:t>c. Track the staff immunization rate toward the applicable target and report to the Department by the required annual date.</w:t>
      </w:r>
    </w:p>
    <w:p>
      <w:pPr>
        <w:pStyle w:val="Normal"/>
        <w:tabs>
          <w:tab w:val="left" w:pos="720" w:leader="none"/>
        </w:tabs>
        <w:spacing w:lineRule="exact" w:line="264" w:before="0" w:after="80"/>
        <w:ind w:hanging="360" w:start="720"/>
        <w:rPr/>
      </w:pPr>
      <w:r>
        <w:rPr>
          <w:rFonts w:eastAsia="Arial" w:cs="Arial"/>
          <w:sz w:val="21"/>
          <w:szCs w:val="21"/>
        </w:rPr>
        <w:t>d. Retain immunization and exemption documentation for the required retention period.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Staff Immunization Record</w:t>
      </w:r>
    </w:p>
    <w:p>
      <w:pPr>
        <w:pStyle w:val="ListParagraph"/>
        <w:numPr>
          <w:ilvl w:val="0"/>
          <w:numId w:val="1"/>
        </w:numPr>
        <w:spacing w:lineRule="exact" w:line="264" w:before="0" w:after="60"/>
        <w:rPr/>
      </w:pPr>
      <w:r>
        <w:rPr>
          <w:rFonts w:eastAsia="Arial" w:cs="Arial"/>
          <w:sz w:val="21"/>
          <w:szCs w:val="21"/>
        </w:rPr>
        <w:t>Medical Exemption Form</w:t>
      </w:r>
    </w:p>
    <w:p>
      <w:pPr>
        <w:pStyle w:val="ListParagraph"/>
        <w:numPr>
          <w:ilvl w:val="0"/>
          <w:numId w:val="1"/>
        </w:numPr>
        <w:spacing w:lineRule="exact" w:line="264" w:before="0" w:after="60"/>
        <w:rPr/>
      </w:pPr>
      <w:r>
        <w:rPr>
          <w:rFonts w:eastAsia="Arial" w:cs="Arial"/>
          <w:sz w:val="21"/>
          <w:szCs w:val="21"/>
        </w:rPr>
        <w:t>Annual Immunization Rate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Secure Environment (Memory Care) Addendum</w:t>
      </w:r>
    </w:p>
    <w:p>
      <w:pPr>
        <w:pStyle w:val="Normal"/>
        <w:spacing w:lineRule="exact" w:line="288" w:before="0" w:after="240"/>
        <w:rPr/>
      </w:pPr>
      <w:r>
        <w:rPr>
          <w:rFonts w:eastAsia="Arial" w:cs="Arial"/>
          <w:color w:val="444444"/>
          <w:sz w:val="22"/>
          <w:szCs w:val="22"/>
        </w:rPr>
        <w:t>This addendum applies only to a Residence, or a portion of one, that operates a secure environment in which residents’ free movement outside the environment is limited. It supplements — and does not replace — the policies in Sections A through F with the additional assessment, care planning, staffing, and training that higher-acuity memory care requires.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7.00  Secure Environment (Memory Care) Addendum</w:t>
      </w:r>
    </w:p>
    <w:p>
      <w:pPr>
        <w:pStyle w:val="Normal"/>
        <w:rPr/>
      </w:pPr>
      <w:r>
        <w:rPr/>
      </w:r>
      <w:r>
        <w:br w:type="page"/>
      </w:r>
    </w:p>
    <w:p>
      <w:pPr>
        <w:pStyle w:val="Heading2"/>
        <w:spacing w:before="0" w:after="120"/>
        <w:rPr/>
      </w:pPr>
      <w:r>
        <w:rPr>
          <w:rFonts w:eastAsia="Arial" w:cs="Arial" w:ascii="Arial" w:hAnsi="Arial"/>
          <w:b/>
          <w:bCs/>
          <w:color w:val="1A4731"/>
          <w:sz w:val="26"/>
          <w:szCs w:val="26"/>
        </w:rPr>
        <w:t>7.00  Secure Environment (Memory Care) Addendum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7.00  Secure Environment (Memory Care) Addendum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Secure Environment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6 CCR 1011-1, Ch. 7, Part 25; JC Memory Care Certification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APPLICABILITY</w:t>
      </w:r>
    </w:p>
    <w:p>
      <w:pPr>
        <w:pStyle w:val="Normal"/>
        <w:spacing w:lineRule="exact" w:line="276" w:before="0" w:after="120"/>
        <w:rPr/>
      </w:pPr>
      <w:r>
        <w:rPr>
          <w:rFonts w:eastAsia="Arial" w:cs="Arial"/>
          <w:sz w:val="21"/>
          <w:szCs w:val="21"/>
        </w:rPr>
        <w:t>This addendum applies only to a Residence, or a distinct portion of a Residence, that operates a secure environment in which the right of residents to move outside the environment is limited. Higher-acuity and memory-care settings receive closer regulatory scrutiny; this addendum supplements — and does not replace — the policies in Sections A through F. It is aligned with Joint Commission Memory Care Certification principles for assisted living communities.</w:t>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define the additional assessment, care planning, staffing, and training protections required for residents in a secure environment under Part 25.</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Residence shall provide secure-environment services only with informed consent and transparency, an enhanced care plan for each resident, sufficient trained and awake staff, and staff trained on each resident’s individualized needs.</w:t>
      </w:r>
    </w:p>
    <w:p>
      <w:pPr>
        <w:pStyle w:val="Normal"/>
        <w:pBdr>
          <w:bottom w:val="single" w:sz="4" w:space="1" w:color="2E5E45"/>
        </w:pBdr>
        <w:spacing w:before="160" w:after="80"/>
        <w:rPr/>
      </w:pPr>
      <w:r>
        <w:rPr>
          <w:rFonts w:eastAsia="Arial" w:cs="Arial"/>
          <w:b/>
          <w:bCs/>
          <w:color w:val="1A4731"/>
          <w:sz w:val="20"/>
          <w:szCs w:val="20"/>
        </w:rPr>
        <w:t>PROCEDURE — ASSESSMENT &amp; ENHANCED CARE PLAN</w:t>
      </w:r>
    </w:p>
    <w:p>
      <w:pPr>
        <w:pStyle w:val="Normal"/>
        <w:tabs>
          <w:tab w:val="left" w:pos="720" w:leader="none"/>
        </w:tabs>
        <w:spacing w:lineRule="exact" w:line="264" w:before="0" w:after="80"/>
        <w:ind w:hanging="360" w:start="720"/>
        <w:rPr/>
      </w:pPr>
      <w:r>
        <w:rPr>
          <w:rFonts w:eastAsia="Arial" w:cs="Arial"/>
          <w:sz w:val="21"/>
          <w:szCs w:val="21"/>
        </w:rPr>
        <w:t>a. Complete a secure-environment assessment and re-assessment, consulting the resident’s attending practitioner, family, and/or representative and reviewing service documentation since the most recent comprehensive assessment.</w:t>
      </w:r>
    </w:p>
    <w:p>
      <w:pPr>
        <w:pStyle w:val="Normal"/>
        <w:tabs>
          <w:tab w:val="left" w:pos="720" w:leader="none"/>
        </w:tabs>
        <w:spacing w:lineRule="exact" w:line="264" w:before="0" w:after="80"/>
        <w:ind w:hanging="360" w:start="720"/>
        <w:rPr/>
      </w:pPr>
      <w:r>
        <w:rPr>
          <w:rFonts w:eastAsia="Arial" w:cs="Arial"/>
          <w:sz w:val="21"/>
          <w:szCs w:val="21"/>
        </w:rPr>
        <w:t>b. In addition to the standard care plan, include in each secure-environment resident’s plan: a description of wandering patterns and known behavioral expressions with individualized staff approaches; how the resident will have continuous independent access to their own room and be protected from unwanted visitation; and the type and level of staff oversight, monitoring, or accompaniment determined necessary.</w:t>
      </w:r>
    </w:p>
    <w:p>
      <w:pPr>
        <w:pStyle w:val="Normal"/>
        <w:tabs>
          <w:tab w:val="left" w:pos="720" w:leader="none"/>
        </w:tabs>
        <w:spacing w:lineRule="exact" w:line="264" w:before="0" w:after="80"/>
        <w:ind w:hanging="360" w:start="720"/>
        <w:rPr/>
      </w:pPr>
      <w:r>
        <w:rPr>
          <w:rFonts w:eastAsia="Arial" w:cs="Arial"/>
          <w:sz w:val="21"/>
          <w:szCs w:val="21"/>
        </w:rPr>
        <w:t>c. Update the enhanced care plan when staff approach changes or when assessment indicates changed needs.</w:t>
      </w:r>
    </w:p>
    <w:p>
      <w:pPr>
        <w:pStyle w:val="Normal"/>
        <w:pBdr>
          <w:bottom w:val="single" w:sz="4" w:space="1" w:color="2E5E45"/>
        </w:pBdr>
        <w:spacing w:before="160" w:after="80"/>
        <w:rPr/>
      </w:pPr>
      <w:r>
        <w:rPr>
          <w:rFonts w:eastAsia="Arial" w:cs="Arial"/>
          <w:b/>
          <w:bCs/>
          <w:color w:val="1A4731"/>
          <w:sz w:val="20"/>
          <w:szCs w:val="20"/>
        </w:rPr>
        <w:t>PROCEDURE — STAFFING &amp; TRAINING</w:t>
      </w:r>
    </w:p>
    <w:p>
      <w:pPr>
        <w:pStyle w:val="Normal"/>
        <w:tabs>
          <w:tab w:val="left" w:pos="720" w:leader="none"/>
        </w:tabs>
        <w:spacing w:lineRule="exact" w:line="264" w:before="0" w:after="80"/>
        <w:ind w:hanging="360" w:start="720"/>
        <w:rPr/>
      </w:pPr>
      <w:r>
        <w:rPr>
          <w:rFonts w:eastAsia="Arial" w:cs="Arial"/>
          <w:sz w:val="21"/>
          <w:szCs w:val="21"/>
        </w:rPr>
        <w:t>d. Determine staffing based on day-to-day resident needs and the intensity of assistance required, on an individual basis. At a minimum, there shall be one trained, awake staff member on duty at all times.</w:t>
      </w:r>
    </w:p>
    <w:p>
      <w:pPr>
        <w:pStyle w:val="Normal"/>
        <w:tabs>
          <w:tab w:val="left" w:pos="720" w:leader="none"/>
        </w:tabs>
        <w:spacing w:lineRule="exact" w:line="264" w:before="0" w:after="80"/>
        <w:ind w:hanging="360" w:start="720"/>
        <w:rPr/>
      </w:pPr>
      <w:r>
        <w:rPr>
          <w:rFonts w:eastAsia="Arial" w:cs="Arial"/>
          <w:sz w:val="21"/>
          <w:szCs w:val="21"/>
        </w:rPr>
        <w:t>e. Ensure staff are familiar with each resident’s specific care-planned needs and the unique approaches for assisting with care and safety, and are trained on each new resident’s care plan within their assigned duties.</w:t>
      </w:r>
    </w:p>
    <w:p>
      <w:pPr>
        <w:pStyle w:val="Normal"/>
        <w:tabs>
          <w:tab w:val="left" w:pos="720" w:leader="none"/>
        </w:tabs>
        <w:spacing w:lineRule="exact" w:line="264" w:before="0" w:after="80"/>
        <w:ind w:hanging="360" w:start="720"/>
        <w:rPr/>
      </w:pPr>
      <w:r>
        <w:rPr>
          <w:rFonts w:eastAsia="Arial" w:cs="Arial"/>
          <w:sz w:val="21"/>
          <w:szCs w:val="21"/>
        </w:rPr>
        <w:t>f. Maintain a policy on staff response to a missing resident or resident incident/altercation, including how staff are distributed during such an event to maintain sufficient presence.</w:t>
      </w:r>
    </w:p>
    <w:p>
      <w:pPr>
        <w:pStyle w:val="Normal"/>
        <w:tabs>
          <w:tab w:val="left" w:pos="720" w:leader="none"/>
        </w:tabs>
        <w:spacing w:lineRule="exact" w:line="264" w:before="0" w:after="80"/>
        <w:ind w:hanging="360" w:start="720"/>
        <w:rPr/>
      </w:pPr>
      <w:r>
        <w:rPr>
          <w:rFonts w:eastAsia="Arial" w:cs="Arial"/>
          <w:sz w:val="21"/>
          <w:szCs w:val="21"/>
        </w:rPr>
        <w:t>g. Provide secure-environment staff the dementia training required by rule, including continuing education on the provision of care for residents with dementia/cognitive impairment.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Secure-Environment Assessment &amp; Re-Assessment</w:t>
      </w:r>
    </w:p>
    <w:p>
      <w:pPr>
        <w:pStyle w:val="ListParagraph"/>
        <w:numPr>
          <w:ilvl w:val="0"/>
          <w:numId w:val="1"/>
        </w:numPr>
        <w:spacing w:lineRule="exact" w:line="264" w:before="0" w:after="60"/>
        <w:rPr/>
      </w:pPr>
      <w:r>
        <w:rPr>
          <w:rFonts w:eastAsia="Arial" w:cs="Arial"/>
          <w:sz w:val="21"/>
          <w:szCs w:val="21"/>
        </w:rPr>
        <w:t>Enhanced (Memory Care) Care Plan</w:t>
      </w:r>
    </w:p>
    <w:p>
      <w:pPr>
        <w:pStyle w:val="ListParagraph"/>
        <w:numPr>
          <w:ilvl w:val="0"/>
          <w:numId w:val="1"/>
        </w:numPr>
        <w:spacing w:lineRule="exact" w:line="264" w:before="0" w:after="60"/>
        <w:rPr/>
      </w:pPr>
      <w:r>
        <w:rPr>
          <w:rFonts w:eastAsia="Arial" w:cs="Arial"/>
          <w:sz w:val="21"/>
          <w:szCs w:val="21"/>
        </w:rPr>
        <w:t>Missing Resident Response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H</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checklist of required forms, a directory of Colorado agencies and resources, guidance on customizing the manual, and a resident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Colorado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Resident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following forms are referenced throughout this manual. The Residence should maintain a current copy of each and customize as needed.</w:t>
      </w:r>
    </w:p>
    <w:p>
      <w:pPr>
        <w:pStyle w:val="ListParagraph"/>
        <w:numPr>
          <w:ilvl w:val="0"/>
          <w:numId w:val="1"/>
        </w:numPr>
        <w:spacing w:lineRule="exact" w:line="264" w:before="0" w:after="60"/>
        <w:rPr/>
      </w:pPr>
      <w:r>
        <w:rPr>
          <w:rFonts w:eastAsia="Arial" w:cs="Arial"/>
          <w:sz w:val="21"/>
          <w:szCs w:val="21"/>
        </w:rPr>
        <w:t>Comprehensive Pre-Admission Assessment</w:t>
      </w:r>
    </w:p>
    <w:p>
      <w:pPr>
        <w:pStyle w:val="ListParagraph"/>
        <w:numPr>
          <w:ilvl w:val="0"/>
          <w:numId w:val="1"/>
        </w:numPr>
        <w:spacing w:lineRule="exact" w:line="264" w:before="0" w:after="60"/>
        <w:rPr/>
      </w:pPr>
      <w:r>
        <w:rPr>
          <w:rFonts w:eastAsia="Arial" w:cs="Arial"/>
          <w:sz w:val="21"/>
          <w:szCs w:val="21"/>
        </w:rPr>
        <w:t>Resident Agreement</w:t>
      </w:r>
    </w:p>
    <w:p>
      <w:pPr>
        <w:pStyle w:val="ListParagraph"/>
        <w:numPr>
          <w:ilvl w:val="0"/>
          <w:numId w:val="1"/>
        </w:numPr>
        <w:spacing w:lineRule="exact" w:line="264" w:before="0" w:after="60"/>
        <w:rPr/>
      </w:pPr>
      <w:r>
        <w:rPr>
          <w:rFonts w:eastAsia="Arial" w:cs="Arial"/>
          <w:sz w:val="21"/>
          <w:szCs w:val="21"/>
        </w:rPr>
        <w:t>Move-In Disclosure Acknowledgment</w:t>
      </w:r>
    </w:p>
    <w:p>
      <w:pPr>
        <w:pStyle w:val="ListParagraph"/>
        <w:numPr>
          <w:ilvl w:val="0"/>
          <w:numId w:val="1"/>
        </w:numPr>
        <w:spacing w:lineRule="exact" w:line="264" w:before="0" w:after="60"/>
        <w:rPr/>
      </w:pPr>
      <w:r>
        <w:rPr>
          <w:rFonts w:eastAsia="Arial" w:cs="Arial"/>
          <w:sz w:val="21"/>
          <w:szCs w:val="21"/>
        </w:rPr>
        <w:t>Resident Rights Statement &amp; Acknowledgment</w:t>
      </w:r>
    </w:p>
    <w:p>
      <w:pPr>
        <w:pStyle w:val="ListParagraph"/>
        <w:numPr>
          <w:ilvl w:val="0"/>
          <w:numId w:val="1"/>
        </w:numPr>
        <w:spacing w:lineRule="exact" w:line="264" w:before="0" w:after="60"/>
        <w:rPr/>
      </w:pPr>
      <w:r>
        <w:rPr>
          <w:rFonts w:eastAsia="Arial" w:cs="Arial"/>
          <w:sz w:val="21"/>
          <w:szCs w:val="21"/>
        </w:rPr>
        <w:t>Grievance / Complaint Form &amp; Log</w:t>
      </w:r>
    </w:p>
    <w:p>
      <w:pPr>
        <w:pStyle w:val="ListParagraph"/>
        <w:numPr>
          <w:ilvl w:val="0"/>
          <w:numId w:val="1"/>
        </w:numPr>
        <w:spacing w:lineRule="exact" w:line="264" w:before="0" w:after="60"/>
        <w:rPr/>
      </w:pPr>
      <w:r>
        <w:rPr>
          <w:rFonts w:eastAsia="Arial" w:cs="Arial"/>
          <w:sz w:val="21"/>
          <w:szCs w:val="21"/>
        </w:rPr>
        <w:t>Resident Funds Authorization &amp; Ledger</w:t>
      </w:r>
    </w:p>
    <w:p>
      <w:pPr>
        <w:pStyle w:val="ListParagraph"/>
        <w:numPr>
          <w:ilvl w:val="0"/>
          <w:numId w:val="1"/>
        </w:numPr>
        <w:spacing w:lineRule="exact" w:line="264" w:before="0" w:after="60"/>
        <w:rPr/>
      </w:pPr>
      <w:r>
        <w:rPr>
          <w:rFonts w:eastAsia="Arial" w:cs="Arial"/>
          <w:sz w:val="21"/>
          <w:szCs w:val="21"/>
        </w:rPr>
        <w:t>Background Check &amp; APS Check Records</w:t>
      </w:r>
    </w:p>
    <w:p>
      <w:pPr>
        <w:pStyle w:val="ListParagraph"/>
        <w:numPr>
          <w:ilvl w:val="0"/>
          <w:numId w:val="1"/>
        </w:numPr>
        <w:spacing w:lineRule="exact" w:line="264" w:before="0" w:after="60"/>
        <w:rPr/>
      </w:pPr>
      <w:r>
        <w:rPr>
          <w:rFonts w:eastAsia="Arial" w:cs="Arial"/>
          <w:sz w:val="21"/>
          <w:szCs w:val="21"/>
        </w:rPr>
        <w:t>TB Test Record</w:t>
      </w:r>
    </w:p>
    <w:p>
      <w:pPr>
        <w:pStyle w:val="ListParagraph"/>
        <w:numPr>
          <w:ilvl w:val="0"/>
          <w:numId w:val="1"/>
        </w:numPr>
        <w:spacing w:lineRule="exact" w:line="264" w:before="0" w:after="60"/>
        <w:rPr/>
      </w:pPr>
      <w:r>
        <w:rPr>
          <w:rFonts w:eastAsia="Arial" w:cs="Arial"/>
          <w:sz w:val="21"/>
          <w:szCs w:val="21"/>
        </w:rPr>
        <w:t>Orientation Checklist &amp; Competency Assessment Record</w:t>
      </w:r>
    </w:p>
    <w:p>
      <w:pPr>
        <w:pStyle w:val="ListParagraph"/>
        <w:numPr>
          <w:ilvl w:val="0"/>
          <w:numId w:val="1"/>
        </w:numPr>
        <w:spacing w:lineRule="exact" w:line="264" w:before="0" w:after="60"/>
        <w:rPr/>
      </w:pPr>
      <w:r>
        <w:rPr>
          <w:rFonts w:eastAsia="Arial" w:cs="Arial"/>
          <w:sz w:val="21"/>
          <w:szCs w:val="21"/>
        </w:rPr>
        <w:t>Comprehensive Assessment &amp; Individualized Care Plan</w:t>
      </w:r>
    </w:p>
    <w:p>
      <w:pPr>
        <w:pStyle w:val="ListParagraph"/>
        <w:numPr>
          <w:ilvl w:val="0"/>
          <w:numId w:val="1"/>
        </w:numPr>
        <w:spacing w:lineRule="exact" w:line="264" w:before="0" w:after="60"/>
        <w:rPr/>
      </w:pPr>
      <w:r>
        <w:rPr>
          <w:rFonts w:eastAsia="Arial" w:cs="Arial"/>
          <w:sz w:val="21"/>
          <w:szCs w:val="21"/>
        </w:rPr>
        <w:t>Practitioner Assessment Request/Response</w:t>
      </w:r>
    </w:p>
    <w:p>
      <w:pPr>
        <w:pStyle w:val="ListParagraph"/>
        <w:numPr>
          <w:ilvl w:val="0"/>
          <w:numId w:val="1"/>
        </w:numPr>
        <w:spacing w:lineRule="exact" w:line="264" w:before="0" w:after="60"/>
        <w:rPr/>
      </w:pPr>
      <w:r>
        <w:rPr>
          <w:rFonts w:eastAsia="Arial" w:cs="Arial"/>
          <w:sz w:val="21"/>
          <w:szCs w:val="21"/>
        </w:rPr>
        <w:t>Fall Risk Assessment &amp; Post-Fall Report</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Medication Reconciliation Form</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Controlled Substance Count Sheet</w:t>
      </w:r>
    </w:p>
    <w:p>
      <w:pPr>
        <w:pStyle w:val="ListParagraph"/>
        <w:numPr>
          <w:ilvl w:val="0"/>
          <w:numId w:val="1"/>
        </w:numPr>
        <w:spacing w:lineRule="exact" w:line="264" w:before="0" w:after="60"/>
        <w:rPr/>
      </w:pPr>
      <w:r>
        <w:rPr>
          <w:rFonts w:eastAsia="Arial" w:cs="Arial"/>
          <w:sz w:val="21"/>
          <w:szCs w:val="21"/>
        </w:rPr>
        <w:t>Emergency Preparedness Plan &amp; Drill/After-Action Report</w:t>
      </w:r>
    </w:p>
    <w:p>
      <w:pPr>
        <w:pStyle w:val="ListParagraph"/>
        <w:numPr>
          <w:ilvl w:val="0"/>
          <w:numId w:val="1"/>
        </w:numPr>
        <w:spacing w:lineRule="exact" w:line="264" w:before="0" w:after="60"/>
        <w:rPr/>
      </w:pPr>
      <w:r>
        <w:rPr>
          <w:rFonts w:eastAsia="Arial" w:cs="Arial"/>
          <w:sz w:val="21"/>
          <w:szCs w:val="21"/>
        </w:rPr>
        <w:t>Hazard Vulnerability Assessment</w:t>
      </w:r>
    </w:p>
    <w:p>
      <w:pPr>
        <w:pStyle w:val="ListParagraph"/>
        <w:numPr>
          <w:ilvl w:val="0"/>
          <w:numId w:val="1"/>
        </w:numPr>
        <w:spacing w:lineRule="exact" w:line="264" w:before="0" w:after="60"/>
        <w:rPr/>
      </w:pPr>
      <w:r>
        <w:rPr>
          <w:rFonts w:eastAsia="Arial" w:cs="Arial"/>
          <w:sz w:val="21"/>
          <w:szCs w:val="21"/>
        </w:rPr>
        <w:t>Incident / Change of Condition Report</w:t>
      </w:r>
    </w:p>
    <w:p>
      <w:pPr>
        <w:pStyle w:val="ListParagraph"/>
        <w:numPr>
          <w:ilvl w:val="0"/>
          <w:numId w:val="1"/>
        </w:numPr>
        <w:spacing w:lineRule="exact" w:line="264" w:before="0" w:after="60"/>
        <w:rPr/>
      </w:pPr>
      <w:r>
        <w:rPr>
          <w:rFonts w:eastAsia="Arial" w:cs="Arial"/>
          <w:sz w:val="21"/>
          <w:szCs w:val="21"/>
        </w:rPr>
        <w:t>Death Notification Record</w:t>
      </w:r>
    </w:p>
    <w:p>
      <w:pPr>
        <w:pStyle w:val="ListParagraph"/>
        <w:numPr>
          <w:ilvl w:val="0"/>
          <w:numId w:val="1"/>
        </w:numPr>
        <w:spacing w:lineRule="exact" w:line="264" w:before="0" w:after="60"/>
        <w:rPr/>
      </w:pPr>
      <w:r>
        <w:rPr>
          <w:rFonts w:eastAsia="Arial" w:cs="Arial"/>
          <w:sz w:val="21"/>
          <w:szCs w:val="21"/>
        </w:rPr>
        <w:t>Infection Surveillance Log &amp; IPC Risk Assessment</w:t>
      </w:r>
    </w:p>
    <w:p>
      <w:pPr>
        <w:pStyle w:val="ListParagraph"/>
        <w:numPr>
          <w:ilvl w:val="0"/>
          <w:numId w:val="1"/>
        </w:numPr>
        <w:spacing w:lineRule="exact" w:line="264" w:before="0" w:after="60"/>
        <w:rPr/>
      </w:pPr>
      <w:r>
        <w:rPr>
          <w:rFonts w:eastAsia="Arial" w:cs="Arial"/>
          <w:sz w:val="21"/>
          <w:szCs w:val="21"/>
        </w:rPr>
        <w:t>Environmental Cleaning Schedule</w:t>
      </w:r>
    </w:p>
    <w:p>
      <w:pPr>
        <w:pStyle w:val="ListParagraph"/>
        <w:numPr>
          <w:ilvl w:val="0"/>
          <w:numId w:val="1"/>
        </w:numPr>
        <w:spacing w:lineRule="exact" w:line="264" w:before="0" w:after="60"/>
        <w:rPr/>
      </w:pPr>
      <w:r>
        <w:rPr>
          <w:rFonts w:eastAsia="Arial" w:cs="Arial"/>
          <w:sz w:val="21"/>
          <w:szCs w:val="21"/>
        </w:rPr>
        <w:t>Master Chemical Inventory &amp; 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ListParagraph"/>
        <w:numPr>
          <w:ilvl w:val="0"/>
          <w:numId w:val="1"/>
        </w:numPr>
        <w:spacing w:lineRule="exact" w:line="264" w:before="0" w:after="60"/>
        <w:rPr/>
      </w:pPr>
      <w:r>
        <w:rPr>
          <w:rFonts w:eastAsia="Arial" w:cs="Arial"/>
          <w:sz w:val="21"/>
          <w:szCs w:val="21"/>
        </w:rPr>
        <w:t>Environmental Safety Inspection Checklist</w:t>
      </w:r>
    </w:p>
    <w:p>
      <w:pPr>
        <w:pStyle w:val="ListParagraph"/>
        <w:numPr>
          <w:ilvl w:val="0"/>
          <w:numId w:val="1"/>
        </w:numPr>
        <w:spacing w:lineRule="exact" w:line="264" w:before="0" w:after="60"/>
        <w:rPr/>
      </w:pPr>
      <w:r>
        <w:rPr>
          <w:rFonts w:eastAsia="Arial" w:cs="Arial"/>
          <w:sz w:val="21"/>
          <w:szCs w:val="21"/>
        </w:rPr>
        <w:t>House Rules (resident copy)</w:t>
      </w:r>
    </w:p>
    <w:p>
      <w:pPr>
        <w:pStyle w:val="ListParagraph"/>
        <w:numPr>
          <w:ilvl w:val="0"/>
          <w:numId w:val="1"/>
        </w:numPr>
        <w:spacing w:lineRule="exact" w:line="264" w:before="0" w:after="60"/>
        <w:rPr/>
      </w:pPr>
      <w:r>
        <w:rPr>
          <w:rFonts w:eastAsia="Arial" w:cs="Arial"/>
          <w:sz w:val="21"/>
          <w:szCs w:val="21"/>
        </w:rPr>
        <w:t>Pest Control Log</w:t>
      </w:r>
    </w:p>
    <w:p>
      <w:pPr>
        <w:pStyle w:val="ListParagraph"/>
        <w:numPr>
          <w:ilvl w:val="0"/>
          <w:numId w:val="1"/>
        </w:numPr>
        <w:spacing w:lineRule="exact" w:line="264" w:before="0" w:after="60"/>
        <w:rPr/>
      </w:pPr>
      <w:r>
        <w:rPr>
          <w:rFonts w:eastAsia="Arial" w:cs="Arial"/>
          <w:sz w:val="21"/>
          <w:szCs w:val="21"/>
        </w:rPr>
        <w:t>Occurrence Report &amp; Investigation Record</w:t>
      </w:r>
    </w:p>
    <w:p>
      <w:pPr>
        <w:pStyle w:val="ListParagraph"/>
        <w:numPr>
          <w:ilvl w:val="0"/>
          <w:numId w:val="1"/>
        </w:numPr>
        <w:spacing w:lineRule="exact" w:line="264" w:before="0" w:after="60"/>
        <w:rPr/>
      </w:pPr>
      <w:r>
        <w:rPr>
          <w:rFonts w:eastAsia="Arial" w:cs="Arial"/>
          <w:sz w:val="21"/>
          <w:szCs w:val="21"/>
        </w:rPr>
        <w:t>Abuse/Neglect/Exploitation Report</w:t>
      </w:r>
    </w:p>
    <w:p>
      <w:pPr>
        <w:pStyle w:val="ListParagraph"/>
        <w:numPr>
          <w:ilvl w:val="0"/>
          <w:numId w:val="1"/>
        </w:numPr>
        <w:spacing w:lineRule="exact" w:line="264" w:before="0" w:after="60"/>
        <w:rPr/>
      </w:pPr>
      <w:r>
        <w:rPr>
          <w:rFonts w:eastAsia="Arial" w:cs="Arial"/>
          <w:sz w:val="21"/>
          <w:szCs w:val="21"/>
        </w:rPr>
        <w:t>Resident Face Sheet</w:t>
      </w:r>
    </w:p>
    <w:p>
      <w:pPr>
        <w:pStyle w:val="ListParagraph"/>
        <w:numPr>
          <w:ilvl w:val="0"/>
          <w:numId w:val="1"/>
        </w:numPr>
        <w:spacing w:lineRule="exact" w:line="264" w:before="0" w:after="60"/>
        <w:rPr/>
      </w:pPr>
      <w:r>
        <w:rPr>
          <w:rFonts w:eastAsia="Arial" w:cs="Arial"/>
          <w:sz w:val="21"/>
          <w:szCs w:val="21"/>
        </w:rPr>
        <w:t>Quality Measure Dashboard &amp; Annual Quality Summary</w:t>
      </w:r>
    </w:p>
    <w:p>
      <w:pPr>
        <w:pStyle w:val="ListParagraph"/>
        <w:numPr>
          <w:ilvl w:val="0"/>
          <w:numId w:val="1"/>
        </w:numPr>
        <w:spacing w:lineRule="exact" w:line="264" w:before="0" w:after="60"/>
        <w:rPr/>
      </w:pPr>
      <w:r>
        <w:rPr>
          <w:rFonts w:eastAsia="Arial" w:cs="Arial"/>
          <w:sz w:val="21"/>
          <w:szCs w:val="21"/>
        </w:rPr>
        <w:t>Staff Immunization Record &amp; Exemption Form</w:t>
      </w:r>
    </w:p>
    <w:p>
      <w:pPr>
        <w:pStyle w:val="ListParagraph"/>
        <w:numPr>
          <w:ilvl w:val="0"/>
          <w:numId w:val="1"/>
        </w:numPr>
        <w:spacing w:lineRule="exact" w:line="264" w:before="0" w:after="60"/>
        <w:rPr/>
      </w:pPr>
      <w:r>
        <w:rPr>
          <w:rFonts w:eastAsia="Arial" w:cs="Arial"/>
          <w:sz w:val="21"/>
          <w:szCs w:val="21"/>
        </w:rPr>
        <w:t>Secure-Environment Assessment &amp; Enhanced Care Plan</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Colorado Agency &amp; Resource Directory</w:t>
      </w:r>
    </w:p>
    <w:p>
      <w:pPr>
        <w:pStyle w:val="Normal"/>
        <w:spacing w:lineRule="exact" w:line="276" w:before="0" w:after="120"/>
        <w:rPr/>
      </w:pPr>
      <w:r>
        <w:rPr>
          <w:rFonts w:eastAsia="Arial" w:cs="Arial"/>
          <w:sz w:val="21"/>
          <w:szCs w:val="21"/>
        </w:rPr>
        <w:t>Verify all contact details against the current published information before relying on them; agency numbers and portals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Colorado Department of Public Health and Environment (CDPHE), Health Facilities and Emergency Medical Services Division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Regulation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6 CCR 1011-1, Chapter 7 (Assisted Living Residences) and Chapter 2; C.R.S. 25-27-101 et seq.</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Occurrence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CDPHE Health Facilities occurrence reporting (per Chapter 2, Part 4.2 and C.R.S. 25-1-124)</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Long-Term Care Ombudsman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Colorado State Long-Term Care Ombudsman Program and the designated local ombudsman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Adult Protective Services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County Department of Human Services / Adult Protective Services (per C.R.S. 26-3.1)</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Medication Standards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6 CCR 1011-1, Chapter 24 (QMAP) and C.R.S. 25-1.5-301 et seq.</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Local Land Use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city/county planning department (in Colorado Springs, the Unified Development Code, Chapter 7)</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Building &amp; Fire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Regional Building Department and local Fire Protection District / Fire Department</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When you first open this file</w:t>
            </w:r>
          </w:p>
          <w:p>
            <w:pPr>
              <w:pStyle w:val="Normal"/>
              <w:rPr/>
            </w:pPr>
            <w:r>
              <w:rPr>
                <w:rFonts w:eastAsia="Arial" w:cs="Arial"/>
                <w:sz w:val="19"/>
                <w:szCs w:val="19"/>
              </w:rPr>
              <w:t xml:space="preserve">Microsoft Word may ask whether to update the fields in this document. Click </w:t>
            </w:r>
            <w:r>
              <w:rPr>
                <w:rFonts w:eastAsia="Arial" w:cs="Arial"/>
                <w:b/>
                <w:bCs/>
                <w:sz w:val="19"/>
                <w:szCs w:val="19"/>
              </w:rPr>
              <w:t>Yes</w:t>
            </w:r>
            <w:r>
              <w:rPr>
                <w:rFonts w:eastAsia="Arial" w:cs="Arial"/>
                <w:sz w:val="19"/>
                <w:szCs w:val="19"/>
              </w:rPr>
              <w:t xml:space="preserve"> — this fills in the Table of Contents with the correct page numbers. If you click No by accident, click anywhere in the Table of Contents and press </w:t>
            </w:r>
            <w:r>
              <w:rPr>
                <w:rFonts w:eastAsia="Arial" w:cs="Arial"/>
                <w:b/>
                <w:bCs/>
                <w:sz w:val="19"/>
                <w:szCs w:val="19"/>
              </w:rPr>
              <w:t>F9</w:t>
            </w:r>
            <w:r>
              <w:rPr>
                <w:rFonts w:eastAsia="Arial" w:cs="Arial"/>
                <w:sz w:val="19"/>
                <w:szCs w:val="19"/>
              </w:rPr>
              <w:t xml:space="preserve"> to update it.</w:t>
            </w:r>
          </w:p>
        </w:tc>
      </w:tr>
    </w:tbl>
    <w:p>
      <w:pPr>
        <w:pStyle w:val="Normal"/>
        <w:spacing w:before="0" w:after="120"/>
        <w:rPr/>
      </w:pPr>
      <w:r>
        <w:rPr/>
      </w:r>
    </w:p>
    <w:p>
      <w:pPr>
        <w:pStyle w:val="Normal"/>
        <w:spacing w:lineRule="exact" w:line="276" w:before="0" w:after="120"/>
        <w:rPr/>
      </w:pPr>
      <w:r>
        <w:rPr>
          <w:rFonts w:eastAsia="Arial" w:cs="Arial"/>
          <w:sz w:val="21"/>
          <w:szCs w:val="21"/>
        </w:rPr>
        <w:t>This manual is a customizable template aligned to Colorado assisted living regulations (6 CCR 1011-1, Chapter 7, effective March 17, 2025) and the Joint Commission Assisted Living Community (ALC) accreditation framework. It is provided as an editable document for the licensee to adopt as its own.</w:t>
      </w:r>
    </w:p>
    <w:p>
      <w:pPr>
        <w:pStyle w:val="Normal"/>
        <w:spacing w:lineRule="exact" w:line="276" w:before="0" w:after="120"/>
        <w:rPr/>
      </w:pPr>
      <w:r>
        <w:rPr>
          <w:rFonts w:eastAsia="Arial" w:cs="Arial"/>
          <w:sz w:val="21"/>
          <w:szCs w:val="21"/>
        </w:rPr>
        <w:t>Before adopting: replace every [bracketed] placeholder (Residence name, effective date, administrator) with your own information; review each policy against your current operations and your most recent CDPHE survey; confirm your property’s zoning and use classification with your local planning department; and verify all agency contacts in Appendix B.</w:t>
      </w:r>
    </w:p>
    <w:p>
      <w:pPr>
        <w:pStyle w:val="Normal"/>
        <w:spacing w:lineRule="exact" w:line="276" w:before="0" w:after="120"/>
        <w:rPr/>
      </w:pPr>
      <w:r>
        <w:rPr>
          <w:rFonts w:eastAsia="Arial" w:cs="Arial"/>
          <w:sz w:val="21"/>
          <w:szCs w:val="21"/>
        </w:rPr>
        <w:t>This manual aligns to the Joint Commission ALC framework at the level of structure and chapter coverage; it does not reproduce the proprietary Joint Commission standard text. Organizations pursuing accreditation should obtain the current standards directly from the Joint Commission.</w:t>
      </w:r>
    </w:p>
    <w:p>
      <w:pPr>
        <w:pStyle w:val="Normal"/>
        <w:spacing w:lineRule="exact" w:line="276" w:before="0" w:after="120"/>
        <w:rPr/>
      </w:pPr>
      <w:r>
        <w:rPr>
          <w:rFonts w:eastAsia="Arial" w:cs="Arial"/>
          <w:sz w:val="21"/>
          <w:szCs w:val="21"/>
        </w:rPr>
        <w:t>This template does not constitute legal advice. The licensee remains responsible for compliance with all applicable state and federal requirements as they change over time.</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Resident Rights Acknowledgment</w:t>
      </w:r>
    </w:p>
    <w:p>
      <w:pPr>
        <w:pStyle w:val="Normal"/>
        <w:spacing w:lineRule="exact" w:line="276" w:before="0" w:after="120"/>
        <w:rPr/>
      </w:pPr>
      <w:r>
        <w:rPr>
          <w:rFonts w:eastAsia="Arial" w:cs="Arial"/>
          <w:sz w:val="21"/>
          <w:szCs w:val="21"/>
        </w:rPr>
        <w:t>I acknowledge that I have received, and had the opportunity to review, a written statement of my rights as a resident of this Assisted Living Residence, including the procedures for filing a grievance and the contact information for the Long-Term Care Ombudsman and CDPHE.</w:t>
      </w:r>
    </w:p>
    <w:p>
      <w:pPr>
        <w:pStyle w:val="Normal"/>
        <w:spacing w:before="400" w:after="0"/>
        <w:rPr/>
      </w:pPr>
      <w:r>
        <w:rPr>
          <w:rFonts w:eastAsia="Arial" w:cs="Arial"/>
          <w:sz w:val="21"/>
          <w:szCs w:val="21"/>
        </w:rPr>
        <w:t>Resident signature: ______________________________    Date: ______________</w:t>
      </w:r>
    </w:p>
    <w:p>
      <w:pPr>
        <w:pStyle w:val="Normal"/>
        <w:spacing w:before="200" w:after="0"/>
        <w:rPr/>
      </w:pPr>
      <w:r>
        <w:rPr>
          <w:rFonts w:eastAsia="Arial" w:cs="Arial"/>
          <w:sz w:val="21"/>
          <w:szCs w:val="21"/>
        </w:rPr>
        <w:t>Representative (if applicable): ______________________________    Date: ______________</w:t>
      </w:r>
    </w:p>
    <w:p>
      <w:pPr>
        <w:pStyle w:val="Normal"/>
        <w:spacing w:before="200" w:after="0"/>
        <w:rPr/>
      </w:pPr>
      <w:r>
        <w:rPr>
          <w:rFonts w:eastAsia="Arial" w:cs="Arial"/>
          <w:sz w:val="21"/>
          <w:szCs w:val="21"/>
        </w:rPr>
        <w:t>Administrator / Staff: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Colorado — Assisted Living Residence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54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Colorado — Assisted Living Residence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54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2026-06-30T15:24:21Z</dcterms:created>
  <dc:creator>PolicyReady.org</dc:creator>
  <dc:description/>
  <dc:language>en-US</dc:language>
  <cp:lastModifiedBy>Un-named</cp:lastModifiedBy>
  <dcterms:modified xsi:type="dcterms:W3CDTF">2026-06-30T15:24:21Z</dcterms:modified>
  <cp:revision>1</cp:revision>
  <dc:subject/>
  <dc:title>Colorado Assisted Living Residence Policy &amp; Procedure Manual</dc:title>
</cp:coreProperties>
</file>