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COLORADO</w:t>
      </w:r>
    </w:p>
    <w:p>
      <w:pPr>
        <w:pStyle w:val="Normal"/>
        <w:pBdr>
          <w:bottom w:val="single" w:sz="18" w:space="8" w:color="1A4731"/>
        </w:pBdr>
        <w:spacing w:before="200" w:after="0"/>
        <w:jc w:val="center"/>
        <w:rPr/>
      </w:pPr>
      <w:r>
        <w:rPr>
          <w:rFonts w:eastAsia="Arial" w:cs="Arial"/>
          <w:b/>
          <w:bCs/>
          <w:color w:val="222222"/>
          <w:sz w:val="44"/>
          <w:szCs w:val="44"/>
        </w:rPr>
        <w:t>Behavioral Health Entity (BHE)</w:t>
      </w:r>
    </w:p>
    <w:p>
      <w:pPr>
        <w:pStyle w:val="Normal"/>
        <w:spacing w:before="200" w:after="0"/>
        <w:jc w:val="center"/>
        <w:rPr/>
      </w:pPr>
      <w:r>
        <w:rPr>
          <w:rFonts w:eastAsia="Arial" w:cs="Arial"/>
          <w:color w:val="444444"/>
          <w:sz w:val="28"/>
          <w:szCs w:val="28"/>
        </w:rPr>
        <w:t>Outpatient &amp; High-Intensity Outpatient Endorsement Add-On</w:t>
      </w:r>
    </w:p>
    <w:p>
      <w:pPr>
        <w:pStyle w:val="Normal"/>
        <w:spacing w:before="1200" w:after="0"/>
        <w:jc w:val="center"/>
        <w:rPr/>
      </w:pPr>
      <w:r>
        <w:rPr>
          <w:rFonts w:eastAsia="Arial" w:cs="Arial"/>
          <w:color w:val="666666"/>
          <w:sz w:val="20"/>
          <w:szCs w:val="20"/>
        </w:rPr>
        <w:t>Supplements the CO BHE Base Policy &amp; Procedure Manual</w:t>
      </w:r>
    </w:p>
    <w:p>
      <w:pPr>
        <w:pStyle w:val="Normal"/>
        <w:spacing w:before="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[BHE License / Endorsement Number(s)]</w:t>
      </w:r>
    </w:p>
    <w:p>
      <w:pPr>
        <w:pStyle w:val="Normal"/>
        <w:spacing w:before="1200" w:after="0"/>
        <w:jc w:val="center"/>
        <w:rPr/>
      </w:pPr>
      <w:r>
        <w:rPr>
          <w:rFonts w:eastAsia="Arial" w:cs="Arial"/>
          <w:color w:val="666666"/>
          <w:sz w:val="18"/>
          <w:szCs w:val="18"/>
        </w:rPr>
        <w:t>Aligned to 2 CCR 502-1, Chapter 4</w:t>
      </w:r>
    </w:p>
    <w:p>
      <w:pPr>
        <w:pStyle w:val="Normal"/>
        <w:spacing w:before="60" w:after="0"/>
        <w:jc w:val="center"/>
        <w:rPr/>
      </w:pPr>
      <w:r>
        <w:rPr>
          <w:rFonts w:eastAsia="Arial" w:cs="Arial"/>
          <w:color w:val="666666"/>
          <w:sz w:val="18"/>
          <w:szCs w:val="18"/>
        </w:rPr>
        <w:t>Colorado Behavioral Health Administration (BHA)</w:t>
      </w:r>
    </w:p>
    <w:p>
      <w:pPr>
        <w:pStyle w:val="Normal"/>
        <w:spacing w:before="5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Add-On</w:t>
      </w:r>
    </w:p>
    <w:p>
      <w:pPr>
        <w:pStyle w:val="Normal"/>
        <w:spacing w:lineRule="exact" w:line="276" w:before="0" w:after="120"/>
        <w:rPr/>
      </w:pPr>
      <w:r>
        <w:rPr>
          <w:rFonts w:eastAsia="Arial" w:cs="Arial"/>
          <w:sz w:val="21"/>
          <w:szCs w:val="21"/>
        </w:rPr>
        <w:t>This is an endorsement add-on module for a Colorado Behavioral Health Entity (BHE) that holds an Outpatient and/or High-Intensity Outpatient endorsement. It is built to 2 CCR 502-1, Chapter 4 (Behavioral Health Outpatient and High-Intensity Outpatient Services).</w:t>
      </w:r>
    </w:p>
    <w:p>
      <w:pPr>
        <w:pStyle w:val="Normal"/>
        <w:spacing w:lineRule="exact" w:line="276" w:before="0" w:after="120"/>
        <w:rPr/>
      </w:pPr>
      <w:r>
        <w:rPr>
          <w:rFonts w:eastAsia="Arial" w:cs="Arial"/>
          <w:sz w:val="21"/>
          <w:szCs w:val="21"/>
        </w:rPr>
        <w:t>This module supplements — and does not replace — the BHE Base Manual. Adopt the base manual first; it carries the requirements every BHE must meet (governance, personnel, individual rights, general clinical service delivery, records and confidentiality, safety, and quality). This module adds the service-specific standards for outpatient care, including intensive outpatient (IOP) and partial hospitalization (PHP) where provided. Where this module and the base address the same topic, apply both, with the more specific requirement controlling.</w:t>
      </w:r>
    </w:p>
    <w:p>
      <w:pPr>
        <w:pStyle w:val="Normal"/>
        <w:spacing w:lineRule="exact" w:line="276" w:before="0" w:after="120"/>
        <w:rPr/>
      </w:pPr>
      <w:r>
        <w:rPr>
          <w:rFonts w:eastAsia="Arial" w:cs="Arial"/>
          <w:sz w:val="21"/>
          <w:szCs w:val="21"/>
        </w:rPr>
        <w:t>Each policy in this module follows the same detailed structure as the base manual — Purpose, Scope, Definitions where useful, Policy, one or more Procedure sub-processes, and Related Forms — and closes with a Document History table.</w:t>
      </w:r>
    </w:p>
    <w:p>
      <w:pPr>
        <w:pStyle w:val="Normal"/>
        <w:spacing w:lineRule="exact" w:line="276" w:before="0" w:after="120"/>
        <w:rPr/>
      </w:pPr>
      <w:r>
        <w:rPr>
          <w:rFonts w:eastAsia="Arial" w:cs="Arial"/>
          <w:sz w:val="21"/>
          <w:szCs w:val="21"/>
        </w:rPr>
        <w:t>Replace every [bracketed] placeholder with your organization’s information, confirm the outpatient services you are endorsed to provide, and review each policy against your actual operations and the current version of 2 CCR 502-1, Chapter 4. This module is a template and is not legal advice; have qualified Colorado counsel or a compliance professional review the combined manual against your license.</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Outpatient &amp; High-Intensity Outpatient Services</w:t>
      </w:r>
    </w:p>
    <w:p>
      <w:pPr>
        <w:pStyle w:val="Normal"/>
        <w:spacing w:lineRule="exact" w:line="288" w:before="0" w:after="240"/>
        <w:rPr/>
      </w:pPr>
      <w:r>
        <w:rPr>
          <w:rFonts w:eastAsia="Arial" w:cs="Arial"/>
          <w:color w:val="444444"/>
          <w:sz w:val="22"/>
          <w:szCs w:val="22"/>
        </w:rPr>
        <w:t>This add-on supplements the CO BHE Base Policy &amp; Procedure Manual with policies specific to the Outpatient and High-Intensity Outpatient endorsement under 2 CCR 502-1, Chapter 4. It is not a standalone manual; the Base Manual governs all cross-cutting requirements. Where this add-on and the Base Manual address the same subject, the more specific provision applies to outpatient services.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Outpatient Endorsement Scope &amp; Service Standards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Intensive Outpatient (IOP) &amp; Partial Hospitalization (PHP)</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Outpatient Service Planning, Frequency &amp; Progress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Group Therapy &amp; Programming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Medication Management &amp; MAT Coordination in Outpatient Care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Emergency &amp; Crisis Response in Outpatient Settings</w:t>
      </w:r>
    </w:p>
    <w:p>
      <w:pPr>
        <w:pStyle w:val="Normal"/>
        <w:rPr/>
      </w:pPr>
      <w:r>
        <w:rPr/>
      </w:r>
      <w:r>
        <w:br w:type="page"/>
      </w:r>
    </w:p>
    <w:p>
      <w:pPr>
        <w:pStyle w:val="Heading2"/>
        <w:spacing w:before="0" w:after="120"/>
        <w:rPr/>
      </w:pPr>
      <w:r>
        <w:rPr>
          <w:rFonts w:eastAsia="Arial" w:cs="Arial" w:ascii="Arial" w:hAnsi="Arial"/>
          <w:b/>
          <w:bCs/>
          <w:color w:val="1A4731"/>
          <w:sz w:val="26"/>
          <w:szCs w:val="26"/>
        </w:rPr>
        <w:t>OP-1  Outpatient Endorsement Scope &amp; Service Standards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OP-1  Outpatient Endorsement Scope &amp; Service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Outpatient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4 (outpatient services); Ch. 2 (base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define the outpatient services the BHE is endorsed to provide and the standards for delivering them safely, accessibly, and within scope.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outpatient and high-intensity outpatient services delivered under the endorsement, in office, community, home, and telehealth settings.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Outpatient Treatment — behavioral health services provided on a regular basis in a non-overnight setting, which may include individual, group, or family therapy, counseling, peer support, case management, or medication management.</w:t>
      </w:r>
    </w:p>
    <w:p>
      <w:pPr>
        <w:pStyle w:val="Normal"/>
        <w:spacing w:lineRule="exact" w:line="276" w:before="0" w:after="120"/>
        <w:rPr/>
      </w:pPr>
      <w:r>
        <w:rPr>
          <w:rFonts w:eastAsia="Arial" w:cs="Arial"/>
          <w:sz w:val="21"/>
          <w:szCs w:val="21"/>
        </w:rPr>
        <w:t>Intensive Outpatient Program (IOP) — a structured outpatient treatment experience of greater intensity than standard outpatient services.</w:t>
      </w:r>
    </w:p>
    <w:p>
      <w:pPr>
        <w:pStyle w:val="Normal"/>
        <w:spacing w:lineRule="exact" w:line="276" w:before="0" w:after="120"/>
        <w:rPr/>
      </w:pPr>
      <w:r>
        <w:rPr>
          <w:rFonts w:eastAsia="Arial" w:cs="Arial"/>
          <w:sz w:val="21"/>
          <w:szCs w:val="21"/>
        </w:rPr>
        <w:t>Partial Hospitalization Program (PHP) — a service for individuals who require regularly scheduled, structured monitoring or management at a higher intensity than IOP, in a non-overnight setting.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provides only the outpatient services within its endorsement, delivers them through qualified personnel practicing within scope, and follows the base manual for assessment, service planning, records, confidentiality, safety, and quality.</w:t>
      </w:r>
    </w:p>
    <w:p>
      <w:pPr>
        <w:pStyle w:val="Normal"/>
        <w:spacing w:lineRule="exact" w:line="276" w:before="0" w:after="120"/>
        <w:rPr/>
      </w:pPr>
      <w:r>
        <w:rPr>
          <w:rFonts w:eastAsia="Arial" w:cs="Arial"/>
          <w:sz w:val="21"/>
          <w:szCs w:val="21"/>
        </w:rPr>
        <w:t>Services are delivered at times and in modalities — including in-home, community-based, and telehealth where appropriate — that meet the needs of the population served, and are matched to the individual’s assessed level of care.</w:t>
      </w:r>
    </w:p>
    <w:p>
      <w:pPr>
        <w:pStyle w:val="Normal"/>
        <w:pBdr>
          <w:bottom w:val="single" w:sz="4" w:space="1" w:color="2E5E45"/>
        </w:pBdr>
        <w:spacing w:before="160" w:after="80"/>
        <w:rPr/>
      </w:pPr>
      <w:r>
        <w:rPr>
          <w:rFonts w:eastAsia="Arial" w:cs="Arial"/>
          <w:b/>
          <w:bCs/>
          <w:color w:val="1A4731"/>
          <w:sz w:val="20"/>
          <w:szCs w:val="20"/>
        </w:rPr>
        <w:t>PROCEDURE — SERVICE DELIVERY</w:t>
      </w:r>
    </w:p>
    <w:p>
      <w:pPr>
        <w:pStyle w:val="Normal"/>
        <w:tabs>
          <w:tab w:val="left" w:pos="720" w:leader="none"/>
        </w:tabs>
        <w:spacing w:lineRule="exact" w:line="264" w:before="0" w:after="80"/>
        <w:ind w:hanging="360" w:start="720"/>
        <w:rPr/>
      </w:pPr>
      <w:r>
        <w:rPr>
          <w:rFonts w:eastAsia="Arial" w:cs="Arial"/>
          <w:sz w:val="21"/>
          <w:szCs w:val="21"/>
        </w:rPr>
        <w:t>a. Confirm each outpatient service offered is within the BHE’s endorsement and delivered by qualified, in-scope personnel.</w:t>
      </w:r>
    </w:p>
    <w:p>
      <w:pPr>
        <w:pStyle w:val="Normal"/>
        <w:tabs>
          <w:tab w:val="left" w:pos="720" w:leader="none"/>
        </w:tabs>
        <w:spacing w:lineRule="exact" w:line="264" w:before="0" w:after="80"/>
        <w:ind w:hanging="360" w:start="720"/>
        <w:rPr/>
      </w:pPr>
      <w:r>
        <w:rPr>
          <w:rFonts w:eastAsia="Arial" w:cs="Arial"/>
          <w:sz w:val="21"/>
          <w:szCs w:val="21"/>
        </w:rPr>
        <w:t>b. Deliver services according to the individual’s service plan and the applicable level of care (standard outpatient, IOP, or PHP).</w:t>
      </w:r>
    </w:p>
    <w:p>
      <w:pPr>
        <w:pStyle w:val="Normal"/>
        <w:tabs>
          <w:tab w:val="left" w:pos="720" w:leader="none"/>
        </w:tabs>
        <w:spacing w:lineRule="exact" w:line="264" w:before="0" w:after="80"/>
        <w:ind w:hanging="360" w:start="720"/>
        <w:rPr/>
      </w:pPr>
      <w:r>
        <w:rPr>
          <w:rFonts w:eastAsia="Arial" w:cs="Arial"/>
          <w:sz w:val="21"/>
          <w:szCs w:val="21"/>
        </w:rPr>
        <w:t>c. Document services in the individual record consistent with the base manual’s documentation standards.</w:t>
      </w:r>
    </w:p>
    <w:p>
      <w:pPr>
        <w:pStyle w:val="Normal"/>
        <w:pBdr>
          <w:bottom w:val="single" w:sz="4" w:space="1" w:color="2E5E45"/>
        </w:pBdr>
        <w:spacing w:before="160" w:after="80"/>
        <w:rPr/>
      </w:pPr>
      <w:r>
        <w:rPr>
          <w:rFonts w:eastAsia="Arial" w:cs="Arial"/>
          <w:b/>
          <w:bCs/>
          <w:color w:val="1A4731"/>
          <w:sz w:val="20"/>
          <w:szCs w:val="20"/>
        </w:rPr>
        <w:t>PROCEDURE — ACCESS</w:t>
      </w:r>
    </w:p>
    <w:p>
      <w:pPr>
        <w:pStyle w:val="Normal"/>
        <w:tabs>
          <w:tab w:val="left" w:pos="720" w:leader="none"/>
        </w:tabs>
        <w:spacing w:lineRule="exact" w:line="264" w:before="0" w:after="80"/>
        <w:ind w:hanging="360" w:start="720"/>
        <w:rPr/>
      </w:pPr>
      <w:r>
        <w:rPr>
          <w:rFonts w:eastAsia="Arial" w:cs="Arial"/>
          <w:sz w:val="21"/>
          <w:szCs w:val="21"/>
        </w:rPr>
        <w:t>d. Provide access appropriate to need, including evening or weekend availability where feasible, community-based delivery, and telehealth.</w:t>
      </w:r>
    </w:p>
    <w:p>
      <w:pPr>
        <w:pStyle w:val="Normal"/>
        <w:tabs>
          <w:tab w:val="left" w:pos="720" w:leader="none"/>
        </w:tabs>
        <w:spacing w:lineRule="exact" w:line="264" w:before="0" w:after="80"/>
        <w:ind w:hanging="360" w:start="720"/>
        <w:rPr/>
      </w:pPr>
      <w:r>
        <w:rPr>
          <w:rFonts w:eastAsia="Arial" w:cs="Arial"/>
          <w:sz w:val="21"/>
          <w:szCs w:val="21"/>
        </w:rPr>
        <w:t>e. Monitor access, wait times, and no-show patterns through the quality program and adjust to reduce barriers.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Outpatient Service Description &amp; Schedule</w:t>
      </w:r>
    </w:p>
    <w:p>
      <w:pPr>
        <w:pStyle w:val="ListParagraph"/>
        <w:numPr>
          <w:ilvl w:val="0"/>
          <w:numId w:val="1"/>
        </w:numPr>
        <w:spacing w:lineRule="exact" w:line="264" w:before="0" w:after="60"/>
        <w:rPr/>
      </w:pPr>
      <w:r>
        <w:rPr>
          <w:rFonts w:eastAsia="Arial" w:cs="Arial"/>
          <w:sz w:val="21"/>
          <w:szCs w:val="21"/>
        </w:rPr>
        <w:t>Level-of-Care Determination Record</w:t>
      </w:r>
    </w:p>
    <w:p>
      <w:pPr>
        <w:pStyle w:val="ListParagraph"/>
        <w:numPr>
          <w:ilvl w:val="0"/>
          <w:numId w:val="1"/>
        </w:numPr>
        <w:spacing w:lineRule="exact" w:line="264" w:before="0" w:after="60"/>
        <w:rPr/>
      </w:pPr>
      <w:r>
        <w:rPr>
          <w:rFonts w:eastAsia="Arial" w:cs="Arial"/>
          <w:sz w:val="21"/>
          <w:szCs w:val="21"/>
        </w:rPr>
        <w:t>Access &amp; Wait-Time Monitoring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OP-2  Intensive Outpatient (IOP) &amp; Partial Hospitalization (PHP)</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OP-2  Intensive Outpatient (IOP) &amp; Partial Hospitalization (PHP)</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Outpatient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4 (high-intensity outpatient: IOP/PHP); Ch. 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set standards for higher-intensity outpatient programming (IOP and PHP) where the BHE provides it, including admission, structure, and transitions.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IOP and PHP services delivered under the endorsement.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endorsed, the BHE provides IOP and/or PHP as structured programs with defined clinical content, frequency, and duration appropriate to the level of care, delivered by qualified personnel and coordinated with the individual’s broader care. Admission to and continued stay in these levels are based on documented clinical criteria, and individuals are stepped up or down as their needs change.</w:t>
      </w:r>
    </w:p>
    <w:p>
      <w:pPr>
        <w:pStyle w:val="Normal"/>
        <w:pBdr>
          <w:bottom w:val="single" w:sz="4" w:space="1" w:color="2E5E45"/>
        </w:pBdr>
        <w:spacing w:before="160" w:after="80"/>
        <w:rPr/>
      </w:pPr>
      <w:r>
        <w:rPr>
          <w:rFonts w:eastAsia="Arial" w:cs="Arial"/>
          <w:b/>
          <w:bCs/>
          <w:color w:val="1A4731"/>
          <w:sz w:val="20"/>
          <w:szCs w:val="20"/>
        </w:rPr>
        <w:t>PROCEDURE — ADMISSION &amp; CONTINUED STAY</w:t>
      </w:r>
    </w:p>
    <w:p>
      <w:pPr>
        <w:pStyle w:val="Normal"/>
        <w:tabs>
          <w:tab w:val="left" w:pos="720" w:leader="none"/>
        </w:tabs>
        <w:spacing w:lineRule="exact" w:line="264" w:before="0" w:after="80"/>
        <w:ind w:hanging="360" w:start="720"/>
        <w:rPr/>
      </w:pPr>
      <w:r>
        <w:rPr>
          <w:rFonts w:eastAsia="Arial" w:cs="Arial"/>
          <w:sz w:val="21"/>
          <w:szCs w:val="21"/>
        </w:rPr>
        <w:t>a. Admit individuals to IOP or PHP based on documented clinical criteria appropriate to the level of care.</w:t>
      </w:r>
    </w:p>
    <w:p>
      <w:pPr>
        <w:pStyle w:val="Normal"/>
        <w:tabs>
          <w:tab w:val="left" w:pos="720" w:leader="none"/>
        </w:tabs>
        <w:spacing w:lineRule="exact" w:line="264" w:before="0" w:after="80"/>
        <w:ind w:hanging="360" w:start="720"/>
        <w:rPr/>
      </w:pPr>
      <w:r>
        <w:rPr>
          <w:rFonts w:eastAsia="Arial" w:cs="Arial"/>
          <w:sz w:val="21"/>
          <w:szCs w:val="21"/>
        </w:rPr>
        <w:t>b. Reassess for step-up or step-down at defined intervals and document the clinical basis for continued stay.</w:t>
      </w:r>
    </w:p>
    <w:p>
      <w:pPr>
        <w:pStyle w:val="Normal"/>
        <w:tabs>
          <w:tab w:val="left" w:pos="720" w:leader="none"/>
        </w:tabs>
        <w:spacing w:lineRule="exact" w:line="264" w:before="0" w:after="80"/>
        <w:ind w:hanging="360" w:start="720"/>
        <w:rPr/>
      </w:pPr>
      <w:r>
        <w:rPr>
          <w:rFonts w:eastAsia="Arial" w:cs="Arial"/>
          <w:sz w:val="21"/>
          <w:szCs w:val="21"/>
        </w:rPr>
        <w:t>c. Coordinate transitions between levels of care and with external providers, consistent with the base manual’s continuity-of-care policy.</w:t>
      </w:r>
    </w:p>
    <w:p>
      <w:pPr>
        <w:pStyle w:val="Normal"/>
        <w:pBdr>
          <w:bottom w:val="single" w:sz="4" w:space="1" w:color="2E5E45"/>
        </w:pBdr>
        <w:spacing w:before="160" w:after="80"/>
        <w:rPr/>
      </w:pPr>
      <w:r>
        <w:rPr>
          <w:rFonts w:eastAsia="Arial" w:cs="Arial"/>
          <w:b/>
          <w:bCs/>
          <w:color w:val="1A4731"/>
          <w:sz w:val="20"/>
          <w:szCs w:val="20"/>
        </w:rPr>
        <w:t>PROCEDURE — PROGRAM STRUCTURE</w:t>
      </w:r>
    </w:p>
    <w:p>
      <w:pPr>
        <w:pStyle w:val="Normal"/>
        <w:tabs>
          <w:tab w:val="left" w:pos="720" w:leader="none"/>
        </w:tabs>
        <w:spacing w:lineRule="exact" w:line="264" w:before="0" w:after="80"/>
        <w:ind w:hanging="360" w:start="720"/>
        <w:rPr/>
      </w:pPr>
      <w:r>
        <w:rPr>
          <w:rFonts w:eastAsia="Arial" w:cs="Arial"/>
          <w:sz w:val="21"/>
          <w:szCs w:val="21"/>
        </w:rPr>
        <w:t>d. Define and deliver the program’s clinical structure (for example, the components and hours per week appropriate to the level of care).</w:t>
      </w:r>
    </w:p>
    <w:p>
      <w:pPr>
        <w:pStyle w:val="Normal"/>
        <w:tabs>
          <w:tab w:val="left" w:pos="720" w:leader="none"/>
        </w:tabs>
        <w:spacing w:lineRule="exact" w:line="264" w:before="0" w:after="80"/>
        <w:ind w:hanging="360" w:start="720"/>
        <w:rPr/>
      </w:pPr>
      <w:r>
        <w:rPr>
          <w:rFonts w:eastAsia="Arial" w:cs="Arial"/>
          <w:sz w:val="21"/>
          <w:szCs w:val="21"/>
        </w:rPr>
        <w:t>e. Document participation, progress toward goals, and response to treatment.</w:t>
      </w:r>
    </w:p>
    <w:p>
      <w:pPr>
        <w:pStyle w:val="Normal"/>
        <w:tabs>
          <w:tab w:val="left" w:pos="720" w:leader="none"/>
        </w:tabs>
        <w:spacing w:lineRule="exact" w:line="264" w:before="0" w:after="80"/>
        <w:ind w:hanging="360" w:start="720"/>
        <w:rPr/>
      </w:pPr>
      <w:r>
        <w:rPr>
          <w:rFonts w:eastAsia="Arial" w:cs="Arial"/>
          <w:sz w:val="21"/>
          <w:szCs w:val="21"/>
        </w:rPr>
        <w:t>f. Monitor program outcomes through the quality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IOP/PHP Admission &amp; Continued-Stay Criteria Record</w:t>
      </w:r>
    </w:p>
    <w:p>
      <w:pPr>
        <w:pStyle w:val="ListParagraph"/>
        <w:numPr>
          <w:ilvl w:val="0"/>
          <w:numId w:val="1"/>
        </w:numPr>
        <w:spacing w:lineRule="exact" w:line="264" w:before="0" w:after="60"/>
        <w:rPr/>
      </w:pPr>
      <w:r>
        <w:rPr>
          <w:rFonts w:eastAsia="Arial" w:cs="Arial"/>
          <w:sz w:val="21"/>
          <w:szCs w:val="21"/>
        </w:rPr>
        <w:t>Program Schedule &amp; Curriculum</w:t>
      </w:r>
    </w:p>
    <w:p>
      <w:pPr>
        <w:pStyle w:val="ListParagraph"/>
        <w:numPr>
          <w:ilvl w:val="0"/>
          <w:numId w:val="1"/>
        </w:numPr>
        <w:spacing w:lineRule="exact" w:line="264" w:before="0" w:after="60"/>
        <w:rPr/>
      </w:pPr>
      <w:r>
        <w:rPr>
          <w:rFonts w:eastAsia="Arial" w:cs="Arial"/>
          <w:sz w:val="21"/>
          <w:szCs w:val="21"/>
        </w:rPr>
        <w:t>Attendance &amp; Progress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OP-3  Outpatient Service Planning, Frequency &amp; Progress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OP-3  Outpatient Service Planning, Frequency &amp; Progress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Outpatient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4; Ch. 2 (service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outpatient services are guided by an individualized plan with appropriate frequency and ongoing progress review.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service planning and progress monitoring for all outpatient individuals.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Outpatient services follow the individualized service plan developed under the base manual, with a frequency, modality, and duration matched to clinical need. Progress is reviewed regularly, and the plan and level of care are adjusted as the individual’s needs change.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Set service frequency and modality in the service plan based on assessed need and the applicable level of care.</w:t>
      </w:r>
    </w:p>
    <w:p>
      <w:pPr>
        <w:pStyle w:val="Normal"/>
        <w:tabs>
          <w:tab w:val="left" w:pos="720" w:leader="none"/>
        </w:tabs>
        <w:spacing w:lineRule="exact" w:line="264" w:before="0" w:after="80"/>
        <w:ind w:hanging="360" w:start="720"/>
        <w:rPr/>
      </w:pPr>
      <w:r>
        <w:rPr>
          <w:rFonts w:eastAsia="Arial" w:cs="Arial"/>
          <w:sz w:val="21"/>
          <w:szCs w:val="21"/>
        </w:rPr>
        <w:t>b. Review progress toward goals at defined intervals, document response to treatment, and revise the plan as needed.</w:t>
      </w:r>
    </w:p>
    <w:p>
      <w:pPr>
        <w:pStyle w:val="Normal"/>
        <w:tabs>
          <w:tab w:val="left" w:pos="720" w:leader="none"/>
        </w:tabs>
        <w:spacing w:lineRule="exact" w:line="264" w:before="0" w:after="80"/>
        <w:ind w:hanging="360" w:start="720"/>
        <w:rPr/>
      </w:pPr>
      <w:r>
        <w:rPr>
          <w:rFonts w:eastAsia="Arial" w:cs="Arial"/>
          <w:sz w:val="21"/>
          <w:szCs w:val="21"/>
        </w:rPr>
        <w:t>c. Step care up or down (for example, between standard outpatient, IOP, and PHP) based on documented clinical criteria.</w:t>
      </w:r>
    </w:p>
    <w:p>
      <w:pPr>
        <w:pStyle w:val="Normal"/>
        <w:tabs>
          <w:tab w:val="left" w:pos="720" w:leader="none"/>
        </w:tabs>
        <w:spacing w:lineRule="exact" w:line="264" w:before="0" w:after="80"/>
        <w:ind w:hanging="360" w:start="720"/>
        <w:rPr/>
      </w:pPr>
      <w:r>
        <w:rPr>
          <w:rFonts w:eastAsia="Arial" w:cs="Arial"/>
          <w:sz w:val="21"/>
          <w:szCs w:val="21"/>
        </w:rPr>
        <w:t>d. Address disengagement and missed appointments consistent with the base manual’s engagement and continuity policy.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Outpatient Progress Note Standard</w:t>
      </w:r>
    </w:p>
    <w:p>
      <w:pPr>
        <w:pStyle w:val="ListParagraph"/>
        <w:numPr>
          <w:ilvl w:val="0"/>
          <w:numId w:val="1"/>
        </w:numPr>
        <w:spacing w:lineRule="exact" w:line="264" w:before="0" w:after="60"/>
        <w:rPr/>
      </w:pPr>
      <w:r>
        <w:rPr>
          <w:rFonts w:eastAsia="Arial" w:cs="Arial"/>
          <w:sz w:val="21"/>
          <w:szCs w:val="21"/>
        </w:rPr>
        <w:t>Service Plan Review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OP-4  Group Therapy &amp; Programming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OP-4  Group Therapy &amp; Programming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Outpatient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4 (group services); confidentiality (HIPAA &amp; 42 CFR Part 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group therapy and programming are clinically appropriate, safe, and protective of confidentiality.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group-based services the BHE provides in outpatient care, including within IOP and PHP.</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BHE provides group services, groups are led by qualified personnel within scope, are appropriately composed and sized for clinical benefit and safety, and are conducted so that confidentiality is protected — including the heightened protections of 42 CFR Part 2 for substance use groups. Participants are informed of group confidentiality expectations and their limits.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Assign qualified facilitators and define group purpose, composition, and size appropriate to the clinical goals and safety.</w:t>
      </w:r>
    </w:p>
    <w:p>
      <w:pPr>
        <w:pStyle w:val="Normal"/>
        <w:tabs>
          <w:tab w:val="left" w:pos="720" w:leader="none"/>
        </w:tabs>
        <w:spacing w:lineRule="exact" w:line="264" w:before="0" w:after="80"/>
        <w:ind w:hanging="360" w:start="720"/>
        <w:rPr/>
      </w:pPr>
      <w:r>
        <w:rPr>
          <w:rFonts w:eastAsia="Arial" w:cs="Arial"/>
          <w:sz w:val="21"/>
          <w:szCs w:val="21"/>
        </w:rPr>
        <w:t>b. Inform participants of confidentiality expectations and limits at the start of group participation and document consent as applicable.</w:t>
      </w:r>
    </w:p>
    <w:p>
      <w:pPr>
        <w:pStyle w:val="Normal"/>
        <w:tabs>
          <w:tab w:val="left" w:pos="720" w:leader="none"/>
        </w:tabs>
        <w:spacing w:lineRule="exact" w:line="264" w:before="0" w:after="80"/>
        <w:ind w:hanging="360" w:start="720"/>
        <w:rPr/>
      </w:pPr>
      <w:r>
        <w:rPr>
          <w:rFonts w:eastAsia="Arial" w:cs="Arial"/>
          <w:sz w:val="21"/>
          <w:szCs w:val="21"/>
        </w:rPr>
        <w:t>c. Document each participant’s attendance and clinically relevant participation in the individual record, and protect other participants’ identities consistent with confidentiality rules.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Group Description &amp; Facilitator Assignment</w:t>
      </w:r>
    </w:p>
    <w:p>
      <w:pPr>
        <w:pStyle w:val="ListParagraph"/>
        <w:numPr>
          <w:ilvl w:val="0"/>
          <w:numId w:val="1"/>
        </w:numPr>
        <w:spacing w:lineRule="exact" w:line="264" w:before="0" w:after="60"/>
        <w:rPr/>
      </w:pPr>
      <w:r>
        <w:rPr>
          <w:rFonts w:eastAsia="Arial" w:cs="Arial"/>
          <w:sz w:val="21"/>
          <w:szCs w:val="21"/>
        </w:rPr>
        <w:t>Group Confidentiality Acknowledgment</w:t>
      </w:r>
    </w:p>
    <w:p>
      <w:pPr>
        <w:pStyle w:val="ListParagraph"/>
        <w:numPr>
          <w:ilvl w:val="0"/>
          <w:numId w:val="1"/>
        </w:numPr>
        <w:spacing w:lineRule="exact" w:line="264" w:before="0" w:after="60"/>
        <w:rPr/>
      </w:pPr>
      <w:r>
        <w:rPr>
          <w:rFonts w:eastAsia="Arial" w:cs="Arial"/>
          <w:sz w:val="21"/>
          <w:szCs w:val="21"/>
        </w:rPr>
        <w:t>Group Attendance &amp; Participation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OP-5  Medication Management &amp; MAT Coordination in Outpatient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OP-5  Medication Management &amp; MAT Coordination in Outpatient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Outpatient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4; Ch. 2 (medication); DEA/Colorado prescribing law; 42 CFR Part 2 (SUD)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outpatient medication services, including coordination of medication-assisted treatment (MAT) where applicable, are safe and within scope.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medication management provided or coordinated in outpatient care, including MAT and any office-based opioid treatment.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BHE provides medication management in outpatient care, prescribing and management are performed by licensed prescribers within scope and documented in the individual record. Where the BHE provides or coordinates MAT for substance use disorders, it does so in compliance with applicable federal and state requirements and protects records under 42 CFR Part 2. Opioid treatment program services, if provided, require the applicable licensure and federal certification.</w:t>
      </w:r>
    </w:p>
    <w:p>
      <w:pPr>
        <w:pStyle w:val="Normal"/>
        <w:pBdr>
          <w:bottom w:val="single" w:sz="4" w:space="1" w:color="2E5E45"/>
        </w:pBdr>
        <w:spacing w:before="160" w:after="80"/>
        <w:rPr/>
      </w:pPr>
      <w:r>
        <w:rPr>
          <w:rFonts w:eastAsia="Arial" w:cs="Arial"/>
          <w:b/>
          <w:bCs/>
          <w:color w:val="1A4731"/>
          <w:sz w:val="20"/>
          <w:szCs w:val="20"/>
        </w:rPr>
        <w:t>PROCEDURE — MEDICATION MANAGEMENT</w:t>
      </w:r>
    </w:p>
    <w:p>
      <w:pPr>
        <w:pStyle w:val="Normal"/>
        <w:tabs>
          <w:tab w:val="left" w:pos="720" w:leader="none"/>
        </w:tabs>
        <w:spacing w:lineRule="exact" w:line="264" w:before="0" w:after="80"/>
        <w:ind w:hanging="360" w:start="720"/>
        <w:rPr/>
      </w:pPr>
      <w:r>
        <w:rPr>
          <w:rFonts w:eastAsia="Arial" w:cs="Arial"/>
          <w:sz w:val="21"/>
          <w:szCs w:val="21"/>
        </w:rPr>
        <w:t>a. Ensure prescribing and medication management occur only through licensed, in-scope prescribers, with documentation in the individual record.</w:t>
      </w:r>
    </w:p>
    <w:p>
      <w:pPr>
        <w:pStyle w:val="Normal"/>
        <w:tabs>
          <w:tab w:val="left" w:pos="720" w:leader="none"/>
        </w:tabs>
        <w:spacing w:lineRule="exact" w:line="264" w:before="0" w:after="80"/>
        <w:ind w:hanging="360" w:start="720"/>
        <w:rPr/>
      </w:pPr>
      <w:r>
        <w:rPr>
          <w:rFonts w:eastAsia="Arial" w:cs="Arial"/>
          <w:sz w:val="21"/>
          <w:szCs w:val="21"/>
        </w:rPr>
        <w:t>b. Reconcile medications and coordinate with other prescribers consistent with the base manual’s reconciliation policy.</w:t>
      </w:r>
    </w:p>
    <w:p>
      <w:pPr>
        <w:pStyle w:val="Normal"/>
        <w:tabs>
          <w:tab w:val="left" w:pos="720" w:leader="none"/>
        </w:tabs>
        <w:spacing w:lineRule="exact" w:line="264" w:before="0" w:after="80"/>
        <w:ind w:hanging="360" w:start="720"/>
        <w:rPr/>
      </w:pPr>
      <w:r>
        <w:rPr>
          <w:rFonts w:eastAsia="Arial" w:cs="Arial"/>
          <w:sz w:val="21"/>
          <w:szCs w:val="21"/>
        </w:rPr>
        <w:t>c. Review medication errors and adverse events through the base manual’s incident and quality processes.</w:t>
      </w:r>
    </w:p>
    <w:p>
      <w:pPr>
        <w:pStyle w:val="Normal"/>
        <w:pBdr>
          <w:bottom w:val="single" w:sz="4" w:space="1" w:color="2E5E45"/>
        </w:pBdr>
        <w:spacing w:before="160" w:after="80"/>
        <w:rPr/>
      </w:pPr>
      <w:r>
        <w:rPr>
          <w:rFonts w:eastAsia="Arial" w:cs="Arial"/>
          <w:b/>
          <w:bCs/>
          <w:color w:val="1A4731"/>
          <w:sz w:val="20"/>
          <w:szCs w:val="20"/>
        </w:rPr>
        <w:t>PROCEDURE — MAT COORDINATION</w:t>
      </w:r>
    </w:p>
    <w:p>
      <w:pPr>
        <w:pStyle w:val="Normal"/>
        <w:tabs>
          <w:tab w:val="left" w:pos="720" w:leader="none"/>
        </w:tabs>
        <w:spacing w:lineRule="exact" w:line="264" w:before="0" w:after="80"/>
        <w:ind w:hanging="360" w:start="720"/>
        <w:rPr/>
      </w:pPr>
      <w:r>
        <w:rPr>
          <w:rFonts w:eastAsia="Arial" w:cs="Arial"/>
          <w:sz w:val="21"/>
          <w:szCs w:val="21"/>
        </w:rPr>
        <w:t>d. For MAT, verify the required authorities and certifications and coordinate care across prescriber, counseling, and supports.</w:t>
      </w:r>
    </w:p>
    <w:p>
      <w:pPr>
        <w:pStyle w:val="Normal"/>
        <w:tabs>
          <w:tab w:val="left" w:pos="720" w:leader="none"/>
        </w:tabs>
        <w:spacing w:lineRule="exact" w:line="264" w:before="0" w:after="80"/>
        <w:ind w:hanging="360" w:start="720"/>
        <w:rPr/>
      </w:pPr>
      <w:r>
        <w:rPr>
          <w:rFonts w:eastAsia="Arial" w:cs="Arial"/>
          <w:sz w:val="21"/>
          <w:szCs w:val="21"/>
        </w:rPr>
        <w:t>e. Apply 42 CFR Part 2 protections and specific consent requirements to substance use records.</w:t>
      </w:r>
    </w:p>
    <w:p>
      <w:pPr>
        <w:pStyle w:val="Normal"/>
        <w:tabs>
          <w:tab w:val="left" w:pos="720" w:leader="none"/>
        </w:tabs>
        <w:spacing w:lineRule="exact" w:line="264" w:before="0" w:after="80"/>
        <w:ind w:hanging="360" w:start="720"/>
        <w:rPr/>
      </w:pPr>
      <w:r>
        <w:rPr>
          <w:rFonts w:eastAsia="Arial" w:cs="Arial"/>
          <w:sz w:val="21"/>
          <w:szCs w:val="21"/>
        </w:rPr>
        <w:t>f. Monitor adherence, response, and safety, and document coordination.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Management Note</w:t>
      </w:r>
    </w:p>
    <w:p>
      <w:pPr>
        <w:pStyle w:val="ListParagraph"/>
        <w:numPr>
          <w:ilvl w:val="0"/>
          <w:numId w:val="1"/>
        </w:numPr>
        <w:spacing w:lineRule="exact" w:line="264" w:before="0" w:after="60"/>
        <w:rPr/>
      </w:pPr>
      <w:r>
        <w:rPr>
          <w:rFonts w:eastAsia="Arial" w:cs="Arial"/>
          <w:sz w:val="21"/>
          <w:szCs w:val="21"/>
        </w:rPr>
        <w:t>MAT Coordination &amp; Consent Record (Part 2)</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OP-6  Emergency &amp; Crisis Response in Outpatient Settings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OP-6  Emergency &amp; Crisis Response in Outpatient Settings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Outpatient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4; Ch. 2 (safety); Ch. 6 (crisis) where coordinated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outpatient staff respond appropriately when an individual presents with an emergency or crisis, in the office, community, or via telehealth.</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emergency and crisis situations arising in the course of outpatient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When an individual in outpatient services presents with an emergency or crisis need, staff take immediate, appropriate action to protect safety and coordinate prompt follow-up, using the individual’s crisis and safety plan and referring to emergency or crisis services (including 988 and Colorado Crisis Services) when indicated. Telehealth encounters include a protocol to reach emergency help.</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Assess and respond immediately to any emergency or crisis, following the individual’s crisis/safety plan where one exists.</w:t>
      </w:r>
    </w:p>
    <w:p>
      <w:pPr>
        <w:pStyle w:val="Normal"/>
        <w:tabs>
          <w:tab w:val="left" w:pos="720" w:leader="none"/>
        </w:tabs>
        <w:spacing w:lineRule="exact" w:line="264" w:before="0" w:after="80"/>
        <w:ind w:hanging="360" w:start="720"/>
        <w:rPr/>
      </w:pPr>
      <w:r>
        <w:rPr>
          <w:rFonts w:eastAsia="Arial" w:cs="Arial"/>
          <w:sz w:val="21"/>
          <w:szCs w:val="21"/>
        </w:rPr>
        <w:t>b. For telehealth, apply the base manual’s telehealth emergency protocol, including knowing the individual’s location and local emergency contacts.</w:t>
      </w:r>
    </w:p>
    <w:p>
      <w:pPr>
        <w:pStyle w:val="Normal"/>
        <w:tabs>
          <w:tab w:val="left" w:pos="720" w:leader="none"/>
        </w:tabs>
        <w:spacing w:lineRule="exact" w:line="264" w:before="0" w:after="80"/>
        <w:ind w:hanging="360" w:start="720"/>
        <w:rPr/>
      </w:pPr>
      <w:r>
        <w:rPr>
          <w:rFonts w:eastAsia="Arial" w:cs="Arial"/>
          <w:sz w:val="21"/>
          <w:szCs w:val="21"/>
        </w:rPr>
        <w:t>c. Arrange referral to emergency or crisis services when the need exceeds outpatient scope, and coordinate a warm hand-off where possible.</w:t>
      </w:r>
    </w:p>
    <w:p>
      <w:pPr>
        <w:pStyle w:val="Normal"/>
        <w:tabs>
          <w:tab w:val="left" w:pos="720" w:leader="none"/>
        </w:tabs>
        <w:spacing w:lineRule="exact" w:line="264" w:before="0" w:after="80"/>
        <w:ind w:hanging="360" w:start="720"/>
        <w:rPr/>
      </w:pPr>
      <w:r>
        <w:rPr>
          <w:rFonts w:eastAsia="Arial" w:cs="Arial"/>
          <w:sz w:val="21"/>
          <w:szCs w:val="21"/>
        </w:rPr>
        <w:t>d. Document the event and follow up promptly with the individual and, with consent, supports and other providers.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Crisis / Safety Plan (from base manual)</w:t>
      </w:r>
    </w:p>
    <w:p>
      <w:pPr>
        <w:pStyle w:val="ListParagraph"/>
        <w:numPr>
          <w:ilvl w:val="0"/>
          <w:numId w:val="1"/>
        </w:numPr>
        <w:spacing w:lineRule="exact" w:line="264" w:before="0" w:after="60"/>
        <w:rPr/>
      </w:pPr>
      <w:r>
        <w:rPr>
          <w:rFonts w:eastAsia="Arial" w:cs="Arial"/>
          <w:sz w:val="21"/>
          <w:szCs w:val="21"/>
        </w:rPr>
        <w:t>Crisis Response &amp; Follow-Up Note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 Using This Add-On</w:t>
      </w:r>
    </w:p>
    <w:p>
      <w:pPr>
        <w:pStyle w:val="Normal"/>
        <w:spacing w:lineRule="exact" w:line="276" w:before="0" w:after="120"/>
        <w:rPr/>
      </w:pPr>
      <w:r>
        <w:rPr>
          <w:rFonts w:eastAsia="Arial" w:cs="Arial"/>
          <w:sz w:val="21"/>
          <w:szCs w:val="21"/>
        </w:rPr>
        <w:t>This add-on supplements the CO BHE Base Manual for organizations holding an outpatient or high-intensity outpatient endorsement. Adopt the base manual first, then incorporate these policies. Where a topic appears in both, apply both and follow the more specific requirement.</w:t>
      </w:r>
    </w:p>
    <w:p>
      <w:pPr>
        <w:pStyle w:val="Normal"/>
        <w:spacing w:lineRule="exact" w:line="276" w:before="0" w:after="120"/>
        <w:rPr/>
      </w:pPr>
      <w:r>
        <w:rPr>
          <w:rFonts w:eastAsia="Arial" w:cs="Arial"/>
          <w:sz w:val="21"/>
          <w:szCs w:val="21"/>
        </w:rPr>
        <w:t>Confirm the current version of 2 CCR 502-1, Chapter 4 before adopting, and have qualified Colorado counsel or a compliance professional review the combined manual against your license and endorsements.</w:t>
      </w:r>
    </w:p>
    <w:p>
      <w:pPr>
        <w:pStyle w:val="Normal"/>
        <w:spacing w:lineRule="exact" w:line="276" w:before="0" w:after="120"/>
        <w:rPr/>
      </w:pPr>
      <w:r>
        <w:rPr>
          <w:rFonts w:eastAsia="Arial" w:cs="Arial"/>
          <w:sz w:val="21"/>
          <w:szCs w:val="21"/>
        </w:rPr>
        <w:t>Additional outpatient forms referenced here — Outpatient Service Description &amp; Schedule, Level-of-Care Determination, Access &amp; Wait-Time Monitoring Log, IOP/PHP Admission &amp; Continued-Stay Criteria, Program Schedule &amp; Curriculum, Attendance &amp; Progress Log, Outpatient Progress Note, Service Plan Review Record, Group Description &amp; Facilitator Assignment, Group Confidentiality Acknowledgment, Group Attendance &amp; Participation Record, Medication Management Note, MAT Coordination &amp; Consent (Part 2), and Crisis Response &amp; Follow-Up Note — supplement the base manual’s Required Forms Checklist.</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CO BHE — Outpatient Endorsement Add-On</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CO BHE — Outpatient Endorsement Add-On</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14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2026-07-02T02:45:48Z</dcterms:created>
  <dc:creator>PolicyReady.org</dc:creator>
  <dc:description/>
  <dc:language>en-US</dc:language>
  <cp:lastModifiedBy>Un-named</cp:lastModifiedBy>
  <dcterms:modified xsi:type="dcterms:W3CDTF">2026-07-02T02:45:48Z</dcterms:modified>
  <cp:revision>1</cp:revision>
  <dc:subject/>
  <dc:title>Colorado BHE — Outpatient &amp; High-Intensity Outpatient Endorsement Add-On</dc:title>
</cp:coreProperties>
</file>