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COLORADO</w:t>
      </w:r>
    </w:p>
    <w:p>
      <w:pPr>
        <w:pStyle w:val="Normal"/>
        <w:pBdr>
          <w:bottom w:val="single" w:sz="18" w:space="8" w:color="1A4731"/>
        </w:pBdr>
        <w:spacing w:before="200" w:after="0"/>
        <w:jc w:val="center"/>
        <w:rPr/>
      </w:pPr>
      <w:r>
        <w:rPr>
          <w:rFonts w:eastAsia="Arial" w:cs="Arial"/>
          <w:b/>
          <w:bCs/>
          <w:color w:val="222222"/>
          <w:sz w:val="44"/>
          <w:szCs w:val="44"/>
        </w:rPr>
        <w:t>Behavioral Health Entity (BHE)</w:t>
      </w:r>
    </w:p>
    <w:p>
      <w:pPr>
        <w:pStyle w:val="Normal"/>
        <w:spacing w:before="200" w:after="0"/>
        <w:jc w:val="center"/>
        <w:rPr/>
      </w:pPr>
      <w:r>
        <w:rPr>
          <w:rFonts w:eastAsia="Arial" w:cs="Arial"/>
          <w:color w:val="444444"/>
          <w:sz w:val="28"/>
          <w:szCs w:val="28"/>
        </w:rPr>
        <w:t>Residential &amp; Level 3 Withdrawal Management Endorsement Add-On</w:t>
      </w:r>
    </w:p>
    <w:p>
      <w:pPr>
        <w:pStyle w:val="Normal"/>
        <w:spacing w:before="1200" w:after="0"/>
        <w:jc w:val="center"/>
        <w:rPr/>
      </w:pPr>
      <w:r>
        <w:rPr>
          <w:rFonts w:eastAsia="Arial" w:cs="Arial"/>
          <w:color w:val="666666"/>
          <w:sz w:val="20"/>
          <w:szCs w:val="20"/>
        </w:rPr>
        <w:t>Supplements the CO BHE Base Policy &amp; Procedure Manual</w:t>
      </w:r>
    </w:p>
    <w:p>
      <w:pPr>
        <w:pStyle w:val="Normal"/>
        <w:spacing w:before="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[Organization Name]</w:t>
      </w:r>
    </w:p>
    <w:p>
      <w:pPr>
        <w:pStyle w:val="Normal"/>
        <w:spacing w:before="60" w:after="0"/>
        <w:jc w:val="center"/>
        <w:rPr/>
      </w:pPr>
      <w:r>
        <w:rPr>
          <w:rFonts w:eastAsia="Arial" w:cs="Arial"/>
          <w:color w:val="666666"/>
          <w:sz w:val="20"/>
          <w:szCs w:val="20"/>
        </w:rPr>
        <w:t>[Address]   •   [BHE License / Endorsement Number(s)]</w:t>
      </w:r>
    </w:p>
    <w:p>
      <w:pPr>
        <w:pStyle w:val="Normal"/>
        <w:spacing w:before="1200" w:after="0"/>
        <w:jc w:val="center"/>
        <w:rPr/>
      </w:pPr>
      <w:r>
        <w:rPr>
          <w:rFonts w:eastAsia="Arial" w:cs="Arial"/>
          <w:color w:val="666666"/>
          <w:sz w:val="18"/>
          <w:szCs w:val="18"/>
        </w:rPr>
        <w:t>Aligned to 2 CCR 502-1, Chapter 5</w:t>
      </w:r>
    </w:p>
    <w:p>
      <w:pPr>
        <w:pStyle w:val="Normal"/>
        <w:spacing w:before="60" w:after="0"/>
        <w:jc w:val="center"/>
        <w:rPr/>
      </w:pPr>
      <w:r>
        <w:rPr>
          <w:rFonts w:eastAsia="Arial" w:cs="Arial"/>
          <w:color w:val="666666"/>
          <w:sz w:val="18"/>
          <w:szCs w:val="18"/>
        </w:rPr>
        <w:t>Colorado Behavioral Health Administration (BHA)</w:t>
      </w:r>
    </w:p>
    <w:p>
      <w:pPr>
        <w:pStyle w:val="Normal"/>
        <w:spacing w:before="5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bottom w:val="single" w:sz="12" w:space="4" w:color="1A4731"/>
        </w:pBdr>
        <w:spacing w:before="0" w:after="120"/>
        <w:rPr/>
      </w:pPr>
      <w:r>
        <w:rPr>
          <w:rFonts w:eastAsia="Arial" w:cs="Arial"/>
          <w:b/>
          <w:bCs/>
          <w:color w:val="1A4731"/>
          <w:sz w:val="32"/>
          <w:szCs w:val="32"/>
        </w:rPr>
        <w:t>About This Add-On</w:t>
      </w:r>
    </w:p>
    <w:p>
      <w:pPr>
        <w:pStyle w:val="Normal"/>
        <w:spacing w:lineRule="exact" w:line="276" w:before="0" w:after="120"/>
        <w:rPr/>
      </w:pPr>
      <w:r>
        <w:rPr>
          <w:rFonts w:eastAsia="Arial" w:cs="Arial"/>
          <w:sz w:val="21"/>
          <w:szCs w:val="21"/>
        </w:rPr>
        <w:t>This is an endorsement add-on module for a Colorado Behavioral Health Entity (BHE) that holds a Residential and/or Level 3 Withdrawal Management endorsement. It is built to 2 CCR 502-1, Chapter 5 (Behavioral Health Residential and Level 3 Withdrawal Management Services).</w:t>
      </w:r>
    </w:p>
    <w:p>
      <w:pPr>
        <w:pStyle w:val="Normal"/>
        <w:spacing w:lineRule="exact" w:line="276" w:before="0" w:after="120"/>
        <w:rPr/>
      </w:pPr>
      <w:r>
        <w:rPr>
          <w:rFonts w:eastAsia="Arial" w:cs="Arial"/>
          <w:sz w:val="21"/>
          <w:szCs w:val="21"/>
        </w:rPr>
        <w:t>This module supplements — and does not replace — the BHE Base Manual. Adopt the base manual first; it carries the requirements every BHE must meet (governance, personnel, individual rights, general clinical service delivery, records and confidentiality, safety, medication management, and quality). This module adds the service-specific standards for 24-hour residential treatment and, where endorsed, clinically managed and medically monitored withdrawal management. Where this module and the base address the same topic, apply both, with the more specific requirement controlling.</w:t>
      </w:r>
    </w:p>
    <w:p>
      <w:pPr>
        <w:pStyle w:val="Normal"/>
        <w:spacing w:lineRule="exact" w:line="276" w:before="0" w:after="120"/>
        <w:rPr/>
      </w:pPr>
      <w:r>
        <w:rPr>
          <w:rFonts w:eastAsia="Arial" w:cs="Arial"/>
          <w:sz w:val="21"/>
          <w:szCs w:val="21"/>
        </w:rPr>
        <w:t>Residential care is a 24-hour, seven-day service. Several policies in this module therefore address around-the-clock staffing, overnight operations, health monitoring, and the physical living environment in more detail than the base manual. Confirm which residential and withdrawal management services you are endorsed to provide, and describe your actual program — its structure, staffing pattern, and medical arrangements — in the bracketed placeholders.</w:t>
      </w:r>
    </w:p>
    <w:p>
      <w:pPr>
        <w:pStyle w:val="Normal"/>
        <w:spacing w:lineRule="exact" w:line="276" w:before="0" w:after="120"/>
        <w:rPr/>
      </w:pPr>
      <w:r>
        <w:rPr>
          <w:rFonts w:eastAsia="Arial" w:cs="Arial"/>
          <w:sz w:val="21"/>
          <w:szCs w:val="21"/>
        </w:rPr>
        <w:t>Level-of-care decisions in this module are framed around a recognized set of placement criteria. Colorado is transitioning to alignment with the ASAM Criteria, 4th Edition, with an alignment date of July 1, 2027; several provisions reference this transition. Confirm the current placement-criteria requirement that applies to your program before adopting, and update the bracketed references accordingly.</w:t>
      </w:r>
    </w:p>
    <w:p>
      <w:pPr>
        <w:pStyle w:val="Normal"/>
        <w:spacing w:lineRule="exact" w:line="276" w:before="0" w:after="120"/>
        <w:rPr/>
      </w:pPr>
      <w:r>
        <w:rPr>
          <w:rFonts w:eastAsia="Arial" w:cs="Arial"/>
          <w:sz w:val="21"/>
          <w:szCs w:val="21"/>
        </w:rPr>
        <w:t>Each policy in this module follows the same detailed structure as the base manual — Purpose, Scope, Definitions where useful, Policy, one or more Procedure sub-processes, Documentation and Oversight where relevant, and Related Forms — and closes with a Document History table.</w:t>
      </w:r>
    </w:p>
    <w:p>
      <w:pPr>
        <w:pStyle w:val="Normal"/>
        <w:spacing w:lineRule="exact" w:line="276" w:before="0" w:after="120"/>
        <w:rPr/>
      </w:pPr>
      <w:r>
        <w:rPr>
          <w:rFonts w:eastAsia="Arial" w:cs="Arial"/>
          <w:sz w:val="21"/>
          <w:szCs w:val="21"/>
        </w:rPr>
        <w:t>Replace every [bracketed] placeholder with your organization’s information, and review each policy against your actual operations and the current version of 2 CCR 502-1, Chapter 5. This module is a template and is not legal advice; have qualified Colorado counsel or a compliance professional review the combined manual against your license and endorsements.</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Residential &amp; Level 3 Withdrawal Management Services</w:t>
      </w:r>
    </w:p>
    <w:p>
      <w:pPr>
        <w:pStyle w:val="Normal"/>
        <w:spacing w:lineRule="exact" w:line="288" w:before="0" w:after="240"/>
        <w:rPr/>
      </w:pPr>
      <w:r>
        <w:rPr>
          <w:rFonts w:eastAsia="Arial" w:cs="Arial"/>
          <w:color w:val="444444"/>
          <w:sz w:val="22"/>
          <w:szCs w:val="22"/>
        </w:rPr>
        <w:t>This add-on supplements the CO BHE Base Policy &amp; Procedure Manual with policies specific to the Residential and Level 3 Withdrawal Management endorsement under 2 CCR 502-1, Chapter 5. It is not a standalone manual; the Base Manual governs all cross-cutting requirements. Providers should note that BHA residential and withdrawal-management standards are aligned to the ASAM Criteria, with ASAM 4th Edition alignment scheduled to take effect July 1, 2027; confirm the current requirements with the BHA before adopting. Where this add-on and the Base Manual address the same subject, the more specific provision applies to residential services.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Residential Endorsement Scope &amp; 24-Hour Operations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Admission, Level of Care &amp; Continued-Stay Determination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24-Hour Staffing, Coverage &amp; Clinical Supervision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Level 3 Withdrawal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Medication Management &amp; Medical Oversight in Residential Care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Health Monitoring, Nursing &amp; Access to Medical Care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Physical Environment, Safety &amp; Overnight Operations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Daily Structure, Programming &amp; Therapeutic Milieu</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Visitation, Communication &amp; Community Access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Resident Belongings, Searches &amp; Contraband</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Nutrition &amp; Food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Discharge, Transfer &amp; Continuing Care from Residential</w:t>
      </w:r>
    </w:p>
    <w:p>
      <w:pPr>
        <w:pStyle w:val="Normal"/>
        <w:rPr/>
      </w:pPr>
      <w:r>
        <w:rPr/>
      </w:r>
      <w:r>
        <w:br w:type="page"/>
      </w:r>
    </w:p>
    <w:p>
      <w:pPr>
        <w:pStyle w:val="Heading2"/>
        <w:spacing w:before="0" w:after="120"/>
        <w:rPr/>
      </w:pPr>
      <w:r>
        <w:rPr>
          <w:rFonts w:eastAsia="Arial" w:cs="Arial" w:ascii="Arial" w:hAnsi="Arial"/>
          <w:b/>
          <w:bCs/>
          <w:color w:val="1A4731"/>
          <w:sz w:val="26"/>
          <w:szCs w:val="26"/>
        </w:rPr>
        <w:t>RES-1  Residential Endorsement Scope &amp; 24-Hour Operations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RES-1  Residential Endorsement Scope &amp; 24-Hour Operations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Residential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5 (residential services); Ch. 2 (base standards)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define the residential and withdrawal management services the BHE is endorsed to provide and the standards for operating a 24-hour treatment setting safely and within scope.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residential and Level 3 withdrawal management services delivered under the endorsement, and to all staff, contractors, and volunteers who work in the residential setting.</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Residential Treatment — behavioral health services provided in a 24-hour, non-hospital setting in which individuals live on site and receive structured treatment and supervision.</w:t>
      </w:r>
    </w:p>
    <w:p>
      <w:pPr>
        <w:pStyle w:val="Normal"/>
        <w:spacing w:lineRule="exact" w:line="276" w:before="0" w:after="120"/>
        <w:rPr/>
      </w:pPr>
      <w:r>
        <w:rPr>
          <w:rFonts w:eastAsia="Arial" w:cs="Arial"/>
          <w:sz w:val="21"/>
          <w:szCs w:val="21"/>
        </w:rPr>
        <w:t>Level 3 Withdrawal Management — residential withdrawal management services (clinically managed and/or medically monitored, per the applicable placement criteria) for individuals whose withdrawal cannot be safely managed at a lower level of care.</w:t>
      </w:r>
    </w:p>
    <w:p>
      <w:pPr>
        <w:pStyle w:val="Normal"/>
        <w:spacing w:lineRule="exact" w:line="276" w:before="0" w:after="120"/>
        <w:rPr/>
      </w:pPr>
      <w:r>
        <w:rPr>
          <w:rFonts w:eastAsia="Arial" w:cs="Arial"/>
          <w:sz w:val="21"/>
          <w:szCs w:val="21"/>
        </w:rPr>
        <w:t>Milieu — the structured therapeutic environment of the residential program, including its schedule, expectations, relationships, and physical setting.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BHE provides only the residential and withdrawal management services within its endorsement, delivers them through qualified personnel practicing within scope, and follows the base manual for assessment, service planning, records, confidentiality, medication management, safety, and quality.</w:t>
      </w:r>
    </w:p>
    <w:p>
      <w:pPr>
        <w:pStyle w:val="Normal"/>
        <w:spacing w:lineRule="exact" w:line="276" w:before="0" w:after="120"/>
        <w:rPr/>
      </w:pPr>
      <w:r>
        <w:rPr>
          <w:rFonts w:eastAsia="Arial" w:cs="Arial"/>
          <w:sz w:val="21"/>
          <w:szCs w:val="21"/>
        </w:rPr>
        <w:t>The residential setting operates 24 hours a day, seven days a week, with continuous staffing, supervision, and the ability to respond to individual needs and emergencies at any hour. The program describes its services, structure, and hours of clinical programming in writing and delivers care consistent with each individual’s assessed level of care and service plan.</w:t>
      </w:r>
    </w:p>
    <w:p>
      <w:pPr>
        <w:pStyle w:val="Normal"/>
        <w:pBdr>
          <w:bottom w:val="single" w:sz="4" w:space="1" w:color="2E5E45"/>
        </w:pBdr>
        <w:spacing w:before="160" w:after="80"/>
        <w:rPr/>
      </w:pPr>
      <w:r>
        <w:rPr>
          <w:rFonts w:eastAsia="Arial" w:cs="Arial"/>
          <w:b/>
          <w:bCs/>
          <w:color w:val="1A4731"/>
          <w:sz w:val="20"/>
          <w:szCs w:val="20"/>
        </w:rPr>
        <w:t>PROCEDURE — DEFINING SERVICES &amp; SCOPE</w:t>
      </w:r>
    </w:p>
    <w:p>
      <w:pPr>
        <w:pStyle w:val="Normal"/>
        <w:tabs>
          <w:tab w:val="left" w:pos="720" w:leader="none"/>
        </w:tabs>
        <w:spacing w:lineRule="exact" w:line="264" w:before="0" w:after="80"/>
        <w:ind w:hanging="360" w:start="720"/>
        <w:rPr/>
      </w:pPr>
      <w:r>
        <w:rPr>
          <w:rFonts w:eastAsia="Arial" w:cs="Arial"/>
          <w:sz w:val="21"/>
          <w:szCs w:val="21"/>
        </w:rPr>
        <w:t>a. Maintain a written description of the residential and withdrawal management services offered, the population served, and the endorsement(s) under which they are provided.</w:t>
      </w:r>
    </w:p>
    <w:p>
      <w:pPr>
        <w:pStyle w:val="Normal"/>
        <w:tabs>
          <w:tab w:val="left" w:pos="720" w:leader="none"/>
        </w:tabs>
        <w:spacing w:lineRule="exact" w:line="264" w:before="0" w:after="80"/>
        <w:ind w:hanging="360" w:start="720"/>
        <w:rPr/>
      </w:pPr>
      <w:r>
        <w:rPr>
          <w:rFonts w:eastAsia="Arial" w:cs="Arial"/>
          <w:sz w:val="21"/>
          <w:szCs w:val="21"/>
        </w:rPr>
        <w:t>b. Confirm every service delivered is within the BHE’s endorsement and is provided by qualified, in-scope personnel.</w:t>
      </w:r>
    </w:p>
    <w:p>
      <w:pPr>
        <w:pStyle w:val="Normal"/>
        <w:tabs>
          <w:tab w:val="left" w:pos="720" w:leader="none"/>
        </w:tabs>
        <w:spacing w:lineRule="exact" w:line="264" w:before="0" w:after="80"/>
        <w:ind w:hanging="360" w:start="720"/>
        <w:rPr/>
      </w:pPr>
      <w:r>
        <w:rPr>
          <w:rFonts w:eastAsia="Arial" w:cs="Arial"/>
          <w:sz w:val="21"/>
          <w:szCs w:val="21"/>
        </w:rPr>
        <w:t>c. Where withdrawal management is provided, confirm the specific level(s) of withdrawal management the program is endorsed and equipped to deliver.</w:t>
      </w:r>
    </w:p>
    <w:p>
      <w:pPr>
        <w:pStyle w:val="Normal"/>
        <w:pBdr>
          <w:bottom w:val="single" w:sz="4" w:space="1" w:color="2E5E45"/>
        </w:pBdr>
        <w:spacing w:before="160" w:after="80"/>
        <w:rPr/>
      </w:pPr>
      <w:r>
        <w:rPr>
          <w:rFonts w:eastAsia="Arial" w:cs="Arial"/>
          <w:b/>
          <w:bCs/>
          <w:color w:val="1A4731"/>
          <w:sz w:val="20"/>
          <w:szCs w:val="20"/>
        </w:rPr>
        <w:t>PROCEDURE — 24-HOUR OPERATIONS</w:t>
      </w:r>
    </w:p>
    <w:p>
      <w:pPr>
        <w:pStyle w:val="Normal"/>
        <w:tabs>
          <w:tab w:val="left" w:pos="720" w:leader="none"/>
        </w:tabs>
        <w:spacing w:lineRule="exact" w:line="264" w:before="0" w:after="80"/>
        <w:ind w:hanging="360" w:start="720"/>
        <w:rPr/>
      </w:pPr>
      <w:r>
        <w:rPr>
          <w:rFonts w:eastAsia="Arial" w:cs="Arial"/>
          <w:sz w:val="21"/>
          <w:szCs w:val="21"/>
        </w:rPr>
        <w:t>d. Maintain continuous, awake staffing appropriate to the acuity and needs of the individuals served and to the program’s scope.</w:t>
      </w:r>
    </w:p>
    <w:p>
      <w:pPr>
        <w:pStyle w:val="Normal"/>
        <w:tabs>
          <w:tab w:val="left" w:pos="720" w:leader="none"/>
        </w:tabs>
        <w:spacing w:lineRule="exact" w:line="264" w:before="0" w:after="80"/>
        <w:ind w:hanging="360" w:start="720"/>
        <w:rPr/>
      </w:pPr>
      <w:r>
        <w:rPr>
          <w:rFonts w:eastAsia="Arial" w:cs="Arial"/>
          <w:sz w:val="21"/>
          <w:szCs w:val="21"/>
        </w:rPr>
        <w:t>e. Maintain shift-to-shift communication and handoff so that clinical status, safety concerns, medications, and pending tasks pass reliably between shifts.</w:t>
      </w:r>
    </w:p>
    <w:p>
      <w:pPr>
        <w:pStyle w:val="Normal"/>
        <w:tabs>
          <w:tab w:val="left" w:pos="720" w:leader="none"/>
        </w:tabs>
        <w:spacing w:lineRule="exact" w:line="264" w:before="0" w:after="80"/>
        <w:ind w:hanging="360" w:start="720"/>
        <w:rPr/>
      </w:pPr>
      <w:r>
        <w:rPr>
          <w:rFonts w:eastAsia="Arial" w:cs="Arial"/>
          <w:sz w:val="21"/>
          <w:szCs w:val="21"/>
        </w:rPr>
        <w:t>f. Maintain the ability to obtain clinical, medical, and emergency consultation at any hour, and post current emergency and on-call contacts where staff can reach them.</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Residential Service Description &amp; Program Statement</w:t>
      </w:r>
    </w:p>
    <w:p>
      <w:pPr>
        <w:pStyle w:val="ListParagraph"/>
        <w:numPr>
          <w:ilvl w:val="0"/>
          <w:numId w:val="1"/>
        </w:numPr>
        <w:spacing w:lineRule="exact" w:line="264" w:before="0" w:after="60"/>
        <w:rPr/>
      </w:pPr>
      <w:r>
        <w:rPr>
          <w:rFonts w:eastAsia="Arial" w:cs="Arial"/>
          <w:sz w:val="21"/>
          <w:szCs w:val="21"/>
        </w:rPr>
        <w:t>Shift Staffing Plan &amp; Coverage Schedule</w:t>
      </w:r>
    </w:p>
    <w:p>
      <w:pPr>
        <w:pStyle w:val="ListParagraph"/>
        <w:numPr>
          <w:ilvl w:val="0"/>
          <w:numId w:val="1"/>
        </w:numPr>
        <w:spacing w:lineRule="exact" w:line="264" w:before="0" w:after="60"/>
        <w:rPr/>
      </w:pPr>
      <w:r>
        <w:rPr>
          <w:rFonts w:eastAsia="Arial" w:cs="Arial"/>
          <w:sz w:val="21"/>
          <w:szCs w:val="21"/>
        </w:rPr>
        <w:t>Shift Handoff / Communication Log</w:t>
      </w:r>
    </w:p>
    <w:p>
      <w:pPr>
        <w:pStyle w:val="ListParagraph"/>
        <w:numPr>
          <w:ilvl w:val="0"/>
          <w:numId w:val="1"/>
        </w:numPr>
        <w:spacing w:lineRule="exact" w:line="264" w:before="0" w:after="60"/>
        <w:rPr/>
      </w:pPr>
      <w:r>
        <w:rPr>
          <w:rFonts w:eastAsia="Arial" w:cs="Arial"/>
          <w:sz w:val="21"/>
          <w:szCs w:val="21"/>
        </w:rPr>
        <w:t>On-Call &amp; Emergency Contact Roster</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RES-2  Admission, Level of Care &amp; Continued-Stay Determination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RES-2  Admission, Level of Care &amp; Continued-Stay Determination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Residential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5; Ch. 2 (screening/assessment); ASAM Criteria (4th Ed. alignment eff. 7/1/2027)</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individuals are admitted to, retained in, and stepped down from residential care based on documented clinical criteria and medical necessity.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admissions, continued-stay reviews, and level-of-care decisions in residential and withdrawal management services.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Placement Criteria — the recognized clinical criteria used to determine the appropriate level of care (for example, the ASAM Criteria), applied at admission and at defined review points.</w:t>
      </w:r>
    </w:p>
    <w:p>
      <w:pPr>
        <w:pStyle w:val="Normal"/>
        <w:spacing w:lineRule="exact" w:line="276" w:before="0" w:after="120"/>
        <w:rPr/>
      </w:pPr>
      <w:r>
        <w:rPr>
          <w:rFonts w:eastAsia="Arial" w:cs="Arial"/>
          <w:sz w:val="21"/>
          <w:szCs w:val="21"/>
        </w:rPr>
        <w:t>Continued-Stay Review — a documented clinical reassessment of whether residential care remains medically necessary and appropriate.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Admission to residential care is based on a documented assessment establishing that the individual meets the clinical criteria and medical necessity for this level of care and that the program can safely meet the individual’s needs within its scope. The program does not admit individuals whose needs exceed what it is endorsed and equipped to serve.</w:t>
      </w:r>
    </w:p>
    <w:p>
      <w:pPr>
        <w:pStyle w:val="Normal"/>
        <w:spacing w:lineRule="exact" w:line="276" w:before="0" w:after="120"/>
        <w:rPr/>
      </w:pPr>
      <w:r>
        <w:rPr>
          <w:rFonts w:eastAsia="Arial" w:cs="Arial"/>
          <w:sz w:val="21"/>
          <w:szCs w:val="21"/>
        </w:rPr>
        <w:t>Continued stay is reviewed at defined intervals against the applicable placement criteria, and individuals are stepped up or down as their needs change. Colorado is aligning level-of-care determinations with the ASAM Criteria, 4th Edition (alignment date July 1, 2027); the program applies the placement criteria currently required for its services and updates its tools as the requirement changes.</w:t>
      </w:r>
    </w:p>
    <w:p>
      <w:pPr>
        <w:pStyle w:val="Normal"/>
        <w:pBdr>
          <w:bottom w:val="single" w:sz="4" w:space="1" w:color="2E5E45"/>
        </w:pBdr>
        <w:spacing w:before="160" w:after="80"/>
        <w:rPr/>
      </w:pPr>
      <w:r>
        <w:rPr>
          <w:rFonts w:eastAsia="Arial" w:cs="Arial"/>
          <w:b/>
          <w:bCs/>
          <w:color w:val="1A4731"/>
          <w:sz w:val="20"/>
          <w:szCs w:val="20"/>
        </w:rPr>
        <w:t>PROCEDURE — ADMISSION</w:t>
      </w:r>
    </w:p>
    <w:p>
      <w:pPr>
        <w:pStyle w:val="Normal"/>
        <w:tabs>
          <w:tab w:val="left" w:pos="720" w:leader="none"/>
        </w:tabs>
        <w:spacing w:lineRule="exact" w:line="264" w:before="0" w:after="80"/>
        <w:ind w:hanging="360" w:start="720"/>
        <w:rPr/>
      </w:pPr>
      <w:r>
        <w:rPr>
          <w:rFonts w:eastAsia="Arial" w:cs="Arial"/>
          <w:sz w:val="21"/>
          <w:szCs w:val="21"/>
        </w:rPr>
        <w:t>a. Complete a screening and assessment sufficient to determine that the individual meets clinical criteria and medical necessity for residential care, consistent with the base manual’s access and assessment policies.</w:t>
      </w:r>
    </w:p>
    <w:p>
      <w:pPr>
        <w:pStyle w:val="Normal"/>
        <w:tabs>
          <w:tab w:val="left" w:pos="720" w:leader="none"/>
        </w:tabs>
        <w:spacing w:lineRule="exact" w:line="264" w:before="0" w:after="80"/>
        <w:ind w:hanging="360" w:start="720"/>
        <w:rPr/>
      </w:pPr>
      <w:r>
        <w:rPr>
          <w:rFonts w:eastAsia="Arial" w:cs="Arial"/>
          <w:sz w:val="21"/>
          <w:szCs w:val="21"/>
        </w:rPr>
        <w:t>b. Confirm the program can safely serve the individual within its scope, staffing, and medical arrangements; where it cannot, refer and assist with linkage to an appropriate level of care.</w:t>
      </w:r>
    </w:p>
    <w:p>
      <w:pPr>
        <w:pStyle w:val="Normal"/>
        <w:tabs>
          <w:tab w:val="left" w:pos="720" w:leader="none"/>
        </w:tabs>
        <w:spacing w:lineRule="exact" w:line="264" w:before="0" w:after="80"/>
        <w:ind w:hanging="360" w:start="720"/>
        <w:rPr/>
      </w:pPr>
      <w:r>
        <w:rPr>
          <w:rFonts w:eastAsia="Arial" w:cs="Arial"/>
          <w:sz w:val="21"/>
          <w:szCs w:val="21"/>
        </w:rPr>
        <w:t>c. Complete admission consents, orientation to the program and rights, an initial risk assessment and safety plan, and a medication reconciliation on admission.</w:t>
      </w:r>
    </w:p>
    <w:p>
      <w:pPr>
        <w:pStyle w:val="Normal"/>
        <w:tabs>
          <w:tab w:val="left" w:pos="720" w:leader="none"/>
        </w:tabs>
        <w:spacing w:lineRule="exact" w:line="264" w:before="0" w:after="80"/>
        <w:ind w:hanging="360" w:start="720"/>
        <w:rPr/>
      </w:pPr>
      <w:r>
        <w:rPr>
          <w:rFonts w:eastAsia="Arial" w:cs="Arial"/>
          <w:sz w:val="21"/>
          <w:szCs w:val="21"/>
        </w:rPr>
        <w:t>d. Document the level-of-care determination and the placement criteria applied.</w:t>
      </w:r>
    </w:p>
    <w:p>
      <w:pPr>
        <w:pStyle w:val="Normal"/>
        <w:pBdr>
          <w:bottom w:val="single" w:sz="4" w:space="1" w:color="2E5E45"/>
        </w:pBdr>
        <w:spacing w:before="160" w:after="80"/>
        <w:rPr/>
      </w:pPr>
      <w:r>
        <w:rPr>
          <w:rFonts w:eastAsia="Arial" w:cs="Arial"/>
          <w:b/>
          <w:bCs/>
          <w:color w:val="1A4731"/>
          <w:sz w:val="20"/>
          <w:szCs w:val="20"/>
        </w:rPr>
        <w:t>PROCEDURE — CONTINUED STAY &amp; STEP-DOWN</w:t>
      </w:r>
    </w:p>
    <w:p>
      <w:pPr>
        <w:pStyle w:val="Normal"/>
        <w:tabs>
          <w:tab w:val="left" w:pos="720" w:leader="none"/>
        </w:tabs>
        <w:spacing w:lineRule="exact" w:line="264" w:before="0" w:after="80"/>
        <w:ind w:hanging="360" w:start="720"/>
        <w:rPr/>
      </w:pPr>
      <w:r>
        <w:rPr>
          <w:rFonts w:eastAsia="Arial" w:cs="Arial"/>
          <w:sz w:val="21"/>
          <w:szCs w:val="21"/>
        </w:rPr>
        <w:t>e. Reassess level of care at defined intervals and whenever clinical status changes materially, documenting the clinical basis for continued stay.</w:t>
      </w:r>
    </w:p>
    <w:p>
      <w:pPr>
        <w:pStyle w:val="Normal"/>
        <w:tabs>
          <w:tab w:val="left" w:pos="720" w:leader="none"/>
        </w:tabs>
        <w:spacing w:lineRule="exact" w:line="264" w:before="0" w:after="80"/>
        <w:ind w:hanging="360" w:start="720"/>
        <w:rPr/>
      </w:pPr>
      <w:r>
        <w:rPr>
          <w:rFonts w:eastAsia="Arial" w:cs="Arial"/>
          <w:sz w:val="21"/>
          <w:szCs w:val="21"/>
        </w:rPr>
        <w:t>f. Plan for step-down or transfer as soon as a lower level of care can safely meet the individual’s needs, coordinating with the discharge and continuing-care policy.</w:t>
      </w:r>
    </w:p>
    <w:p>
      <w:pPr>
        <w:pStyle w:val="Normal"/>
        <w:tabs>
          <w:tab w:val="left" w:pos="720" w:leader="none"/>
        </w:tabs>
        <w:spacing w:lineRule="exact" w:line="264" w:before="0" w:after="80"/>
        <w:ind w:hanging="360" w:start="720"/>
        <w:rPr/>
      </w:pPr>
      <w:r>
        <w:rPr>
          <w:rFonts w:eastAsia="Arial" w:cs="Arial"/>
          <w:sz w:val="21"/>
          <w:szCs w:val="21"/>
        </w:rPr>
        <w:t>g. Apply utilization review and medical-necessity standards consistent with the base manual, including Colorado utilization-review requirements.</w:t>
      </w:r>
    </w:p>
    <w:p>
      <w:pPr>
        <w:pStyle w:val="Normal"/>
        <w:pBdr>
          <w:bottom w:val="single" w:sz="4" w:space="1" w:color="2E5E45"/>
        </w:pBdr>
        <w:spacing w:before="160" w:after="80"/>
        <w:rPr/>
      </w:pPr>
      <w:r>
        <w:rPr>
          <w:rFonts w:eastAsia="Arial" w:cs="Arial"/>
          <w:b/>
          <w:bCs/>
          <w:color w:val="1A4731"/>
          <w:sz w:val="20"/>
          <w:szCs w:val="20"/>
        </w:rPr>
        <w:t>DOCUMENTATION &amp; OVERSIGHT</w:t>
      </w:r>
    </w:p>
    <w:p>
      <w:pPr>
        <w:pStyle w:val="Normal"/>
        <w:spacing w:lineRule="exact" w:line="276" w:before="0" w:after="120"/>
        <w:rPr/>
      </w:pPr>
      <w:r>
        <w:rPr>
          <w:rFonts w:eastAsia="Arial" w:cs="Arial"/>
          <w:sz w:val="21"/>
          <w:szCs w:val="21"/>
        </w:rPr>
        <w:t>Level-of-care determinations, continued-stay reviews, and the criteria applied are documented in the individual record. The quality program monitors admission, length of stay, and step-down patterns and reviews them for appropriateness.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Level-of-Care / Placement-Criteria Determination Record</w:t>
      </w:r>
    </w:p>
    <w:p>
      <w:pPr>
        <w:pStyle w:val="ListParagraph"/>
        <w:numPr>
          <w:ilvl w:val="0"/>
          <w:numId w:val="1"/>
        </w:numPr>
        <w:spacing w:lineRule="exact" w:line="264" w:before="0" w:after="60"/>
        <w:rPr/>
      </w:pPr>
      <w:r>
        <w:rPr>
          <w:rFonts w:eastAsia="Arial" w:cs="Arial"/>
          <w:sz w:val="21"/>
          <w:szCs w:val="21"/>
        </w:rPr>
        <w:t>Residential Admission Checklist &amp; Consents</w:t>
      </w:r>
    </w:p>
    <w:p>
      <w:pPr>
        <w:pStyle w:val="ListParagraph"/>
        <w:numPr>
          <w:ilvl w:val="0"/>
          <w:numId w:val="1"/>
        </w:numPr>
        <w:spacing w:lineRule="exact" w:line="264" w:before="0" w:after="60"/>
        <w:rPr/>
      </w:pPr>
      <w:r>
        <w:rPr>
          <w:rFonts w:eastAsia="Arial" w:cs="Arial"/>
          <w:sz w:val="21"/>
          <w:szCs w:val="21"/>
        </w:rPr>
        <w:t>Continued-Stay Review Record</w:t>
      </w:r>
    </w:p>
    <w:p>
      <w:pPr>
        <w:pStyle w:val="ListParagraph"/>
        <w:numPr>
          <w:ilvl w:val="0"/>
          <w:numId w:val="1"/>
        </w:numPr>
        <w:spacing w:lineRule="exact" w:line="264" w:before="0" w:after="60"/>
        <w:rPr/>
      </w:pPr>
      <w:r>
        <w:rPr>
          <w:rFonts w:eastAsia="Arial" w:cs="Arial"/>
          <w:sz w:val="21"/>
          <w:szCs w:val="21"/>
        </w:rPr>
        <w:t>Medication Reconciliation (Admission)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RES-3  24-Hour Staffing, Coverage &amp; Clinical Supervision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RES-3  24-Hour Staffing, Coverage &amp; Clinical Supervision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Residential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5 (staffing); Ch. 2 (personnel, supervision)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residential setting is staffed at all times with qualified personnel and appropriate clinical supervision to meet individual needs and respond to emergencies.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staffing, coverage, and supervision in the residential and withdrawal management setting, on every shift.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residential program maintains continuous, awake staffing sufficient in number and qualifications for the acuity of the individuals served, the program’s scope, and the demands of each shift, including nights, weekends, and holidays. Clinical services are delivered and supervised by qualified, in-scope personnel, and clinical supervision is available consistent with the base manual’s supervision policy.</w:t>
      </w:r>
    </w:p>
    <w:p>
      <w:pPr>
        <w:pStyle w:val="Normal"/>
        <w:spacing w:lineRule="exact" w:line="276" w:before="0" w:after="120"/>
        <w:rPr/>
      </w:pPr>
      <w:r>
        <w:rPr>
          <w:rFonts w:eastAsia="Arial" w:cs="Arial"/>
          <w:sz w:val="21"/>
          <w:szCs w:val="21"/>
        </w:rPr>
        <w:t>Staffing is adjusted for changes in census and acuity, and the program has a plan to obtain additional coverage when individual needs or emergencies require it.</w:t>
      </w:r>
    </w:p>
    <w:p>
      <w:pPr>
        <w:pStyle w:val="Normal"/>
        <w:pBdr>
          <w:bottom w:val="single" w:sz="4" w:space="1" w:color="2E5E45"/>
        </w:pBdr>
        <w:spacing w:before="160" w:after="80"/>
        <w:rPr/>
      </w:pPr>
      <w:r>
        <w:rPr>
          <w:rFonts w:eastAsia="Arial" w:cs="Arial"/>
          <w:b/>
          <w:bCs/>
          <w:color w:val="1A4731"/>
          <w:sz w:val="20"/>
          <w:szCs w:val="20"/>
        </w:rPr>
        <w:t>PROCEDURE — STAFFING &amp; COVERAGE</w:t>
      </w:r>
    </w:p>
    <w:p>
      <w:pPr>
        <w:pStyle w:val="Normal"/>
        <w:tabs>
          <w:tab w:val="left" w:pos="720" w:leader="none"/>
        </w:tabs>
        <w:spacing w:lineRule="exact" w:line="264" w:before="0" w:after="80"/>
        <w:ind w:hanging="360" w:start="720"/>
        <w:rPr/>
      </w:pPr>
      <w:r>
        <w:rPr>
          <w:rFonts w:eastAsia="Arial" w:cs="Arial"/>
          <w:sz w:val="21"/>
          <w:szCs w:val="21"/>
        </w:rPr>
        <w:t>a. Set and maintain a staffing plan that specifies coverage by shift and adjusts for acuity and census.</w:t>
      </w:r>
    </w:p>
    <w:p>
      <w:pPr>
        <w:pStyle w:val="Normal"/>
        <w:tabs>
          <w:tab w:val="left" w:pos="720" w:leader="none"/>
        </w:tabs>
        <w:spacing w:lineRule="exact" w:line="264" w:before="0" w:after="80"/>
        <w:ind w:hanging="360" w:start="720"/>
        <w:rPr/>
      </w:pPr>
      <w:r>
        <w:rPr>
          <w:rFonts w:eastAsia="Arial" w:cs="Arial"/>
          <w:sz w:val="21"/>
          <w:szCs w:val="21"/>
        </w:rPr>
        <w:t>b. Maintain awake overnight staffing able to conduct required checks, administer or assist with medications within scope, and respond to emergencies.</w:t>
      </w:r>
    </w:p>
    <w:p>
      <w:pPr>
        <w:pStyle w:val="Normal"/>
        <w:tabs>
          <w:tab w:val="left" w:pos="720" w:leader="none"/>
        </w:tabs>
        <w:spacing w:lineRule="exact" w:line="264" w:before="0" w:after="80"/>
        <w:ind w:hanging="360" w:start="720"/>
        <w:rPr/>
      </w:pPr>
      <w:r>
        <w:rPr>
          <w:rFonts w:eastAsia="Arial" w:cs="Arial"/>
          <w:sz w:val="21"/>
          <w:szCs w:val="21"/>
        </w:rPr>
        <w:t>c. Maintain a call-in / backup plan to fill absences and surge needs without leaving the setting under-covered.</w:t>
      </w:r>
    </w:p>
    <w:p>
      <w:pPr>
        <w:pStyle w:val="Normal"/>
        <w:tabs>
          <w:tab w:val="left" w:pos="720" w:leader="none"/>
        </w:tabs>
        <w:spacing w:lineRule="exact" w:line="264" w:before="0" w:after="80"/>
        <w:ind w:hanging="360" w:start="720"/>
        <w:rPr/>
      </w:pPr>
      <w:r>
        <w:rPr>
          <w:rFonts w:eastAsia="Arial" w:cs="Arial"/>
          <w:sz w:val="21"/>
          <w:szCs w:val="21"/>
        </w:rPr>
        <w:t>d. Document actual staffing each shift and reconcile it against the plan.</w:t>
      </w:r>
    </w:p>
    <w:p>
      <w:pPr>
        <w:pStyle w:val="Normal"/>
        <w:pBdr>
          <w:bottom w:val="single" w:sz="4" w:space="1" w:color="2E5E45"/>
        </w:pBdr>
        <w:spacing w:before="160" w:after="80"/>
        <w:rPr/>
      </w:pPr>
      <w:r>
        <w:rPr>
          <w:rFonts w:eastAsia="Arial" w:cs="Arial"/>
          <w:b/>
          <w:bCs/>
          <w:color w:val="1A4731"/>
          <w:sz w:val="20"/>
          <w:szCs w:val="20"/>
        </w:rPr>
        <w:t>PROCEDURE — CLINICAL SUPERVISION</w:t>
      </w:r>
    </w:p>
    <w:p>
      <w:pPr>
        <w:pStyle w:val="Normal"/>
        <w:tabs>
          <w:tab w:val="left" w:pos="720" w:leader="none"/>
        </w:tabs>
        <w:spacing w:lineRule="exact" w:line="264" w:before="0" w:after="80"/>
        <w:ind w:hanging="360" w:start="720"/>
        <w:rPr/>
      </w:pPr>
      <w:r>
        <w:rPr>
          <w:rFonts w:eastAsia="Arial" w:cs="Arial"/>
          <w:sz w:val="21"/>
          <w:szCs w:val="21"/>
        </w:rPr>
        <w:t>e. Ensure clinical services are delivered within scope and supervised per the base manual’s clinical supervision policy.</w:t>
      </w:r>
    </w:p>
    <w:p>
      <w:pPr>
        <w:pStyle w:val="Normal"/>
        <w:tabs>
          <w:tab w:val="left" w:pos="720" w:leader="none"/>
        </w:tabs>
        <w:spacing w:lineRule="exact" w:line="264" w:before="0" w:after="80"/>
        <w:ind w:hanging="360" w:start="720"/>
        <w:rPr/>
      </w:pPr>
      <w:r>
        <w:rPr>
          <w:rFonts w:eastAsia="Arial" w:cs="Arial"/>
          <w:sz w:val="21"/>
          <w:szCs w:val="21"/>
        </w:rPr>
        <w:t>f. Provide access to clinical consultation at all hours for urgent clinical questions.</w:t>
      </w:r>
    </w:p>
    <w:p>
      <w:pPr>
        <w:pStyle w:val="Normal"/>
        <w:tabs>
          <w:tab w:val="left" w:pos="720" w:leader="none"/>
        </w:tabs>
        <w:spacing w:lineRule="exact" w:line="264" w:before="0" w:after="80"/>
        <w:ind w:hanging="360" w:start="720"/>
        <w:rPr/>
      </w:pPr>
      <w:r>
        <w:rPr>
          <w:rFonts w:eastAsia="Arial" w:cs="Arial"/>
          <w:sz w:val="21"/>
          <w:szCs w:val="21"/>
        </w:rPr>
        <w:t>g. Orient and train all residential staff to the milieu, safety procedures, and emergency response before independent shift work.</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Staffing Plan &amp; Acuity Adjustment Guide</w:t>
      </w:r>
    </w:p>
    <w:p>
      <w:pPr>
        <w:pStyle w:val="ListParagraph"/>
        <w:numPr>
          <w:ilvl w:val="0"/>
          <w:numId w:val="1"/>
        </w:numPr>
        <w:spacing w:lineRule="exact" w:line="264" w:before="0" w:after="60"/>
        <w:rPr/>
      </w:pPr>
      <w:r>
        <w:rPr>
          <w:rFonts w:eastAsia="Arial" w:cs="Arial"/>
          <w:sz w:val="21"/>
          <w:szCs w:val="21"/>
        </w:rPr>
        <w:t>Daily Shift Staffing Record</w:t>
      </w:r>
    </w:p>
    <w:p>
      <w:pPr>
        <w:pStyle w:val="ListParagraph"/>
        <w:numPr>
          <w:ilvl w:val="0"/>
          <w:numId w:val="1"/>
        </w:numPr>
        <w:spacing w:lineRule="exact" w:line="264" w:before="0" w:after="60"/>
        <w:rPr/>
      </w:pPr>
      <w:r>
        <w:rPr>
          <w:rFonts w:eastAsia="Arial" w:cs="Arial"/>
          <w:sz w:val="21"/>
          <w:szCs w:val="21"/>
        </w:rPr>
        <w:t>Backup / Call-In Coverage Log</w:t>
      </w:r>
    </w:p>
    <w:p>
      <w:pPr>
        <w:pStyle w:val="ListParagraph"/>
        <w:numPr>
          <w:ilvl w:val="0"/>
          <w:numId w:val="1"/>
        </w:numPr>
        <w:spacing w:lineRule="exact" w:line="264" w:before="0" w:after="60"/>
        <w:rPr/>
      </w:pPr>
      <w:r>
        <w:rPr>
          <w:rFonts w:eastAsia="Arial" w:cs="Arial"/>
          <w:sz w:val="21"/>
          <w:szCs w:val="21"/>
        </w:rPr>
        <w:t>Clinical Supervision Record (from base manual)</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RES-4  Level 3 Withdrawal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RES-4  Level 3 Withdrawal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Residential / Withdrawal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5 (withdrawal management); ASAM Criteria (4th Ed. alignment eff. 7/1/2027); medication (base Ch. 2)</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residential (Level 3) withdrawal management is delivered safely, with appropriate monitoring, medical oversight, and transition planning, where the BHE is endorsed to provide it.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clinically managed and/or medically monitored residential withdrawal management services provided under the endorsement.</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Withdrawal Management — services to manage an individual’s withdrawal from alcohol or other substances safely, ranging by intensity and medical involvement according to the applicable placement criteria.</w:t>
      </w:r>
    </w:p>
    <w:p>
      <w:pPr>
        <w:pStyle w:val="Normal"/>
        <w:spacing w:lineRule="exact" w:line="276" w:before="0" w:after="120"/>
        <w:rPr/>
      </w:pPr>
      <w:r>
        <w:rPr>
          <w:rFonts w:eastAsia="Arial" w:cs="Arial"/>
          <w:sz w:val="21"/>
          <w:szCs w:val="21"/>
        </w:rPr>
        <w:t>Clinically Managed Withdrawal Management — residential withdrawal management with 24-hour support and monitoring and defined access to medical services.</w:t>
      </w:r>
    </w:p>
    <w:p>
      <w:pPr>
        <w:pStyle w:val="Normal"/>
        <w:spacing w:lineRule="exact" w:line="276" w:before="0" w:after="120"/>
        <w:rPr/>
      </w:pPr>
      <w:r>
        <w:rPr>
          <w:rFonts w:eastAsia="Arial" w:cs="Arial"/>
          <w:sz w:val="21"/>
          <w:szCs w:val="21"/>
        </w:rPr>
        <w:t>Medically Monitored Withdrawal Management — residential withdrawal management with a higher level of medical and nursing involvement for individuals with greater medical acuity.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endorsed, the BHE provides residential withdrawal management appropriate to the individual’s assessed severity and medical acuity, with the level of medical and nursing involvement required for the service and population. Individuals are assessed for withdrawal risk on admission, monitored on a defined schedule using a recognized approach, and provided medications and interventions within scope and under appropriate medical oversight.</w:t>
      </w:r>
    </w:p>
    <w:p>
      <w:pPr>
        <w:pStyle w:val="Normal"/>
        <w:spacing w:lineRule="exact" w:line="276" w:before="0" w:after="120"/>
        <w:rPr/>
      </w:pPr>
      <w:r>
        <w:rPr>
          <w:rFonts w:eastAsia="Arial" w:cs="Arial"/>
          <w:sz w:val="21"/>
          <w:szCs w:val="21"/>
        </w:rPr>
        <w:t>The program maintains protocols to recognize and respond to escalating or complicated withdrawal, including the criteria and pathway for prompt transfer to a higher level of care or emergency medical services when an individual’s condition exceeds the program’s scope.</w:t>
      </w:r>
    </w:p>
    <w:p>
      <w:pPr>
        <w:pStyle w:val="Normal"/>
        <w:pBdr>
          <w:bottom w:val="single" w:sz="4" w:space="1" w:color="2E5E45"/>
        </w:pBdr>
        <w:spacing w:before="160" w:after="80"/>
        <w:rPr/>
      </w:pPr>
      <w:r>
        <w:rPr>
          <w:rFonts w:eastAsia="Arial" w:cs="Arial"/>
          <w:b/>
          <w:bCs/>
          <w:color w:val="1A4731"/>
          <w:sz w:val="20"/>
          <w:szCs w:val="20"/>
        </w:rPr>
        <w:t>PROCEDURE — ASSESSMENT &amp; MONITORING</w:t>
      </w:r>
    </w:p>
    <w:p>
      <w:pPr>
        <w:pStyle w:val="Normal"/>
        <w:tabs>
          <w:tab w:val="left" w:pos="720" w:leader="none"/>
        </w:tabs>
        <w:spacing w:lineRule="exact" w:line="264" w:before="0" w:after="80"/>
        <w:ind w:hanging="360" w:start="720"/>
        <w:rPr/>
      </w:pPr>
      <w:r>
        <w:rPr>
          <w:rFonts w:eastAsia="Arial" w:cs="Arial"/>
          <w:sz w:val="21"/>
          <w:szCs w:val="21"/>
        </w:rPr>
        <w:t>a. Complete a withdrawal-risk assessment on admission and determine the appropriate level of withdrawal management using the applicable placement criteria.</w:t>
      </w:r>
    </w:p>
    <w:p>
      <w:pPr>
        <w:pStyle w:val="Normal"/>
        <w:tabs>
          <w:tab w:val="left" w:pos="720" w:leader="none"/>
        </w:tabs>
        <w:spacing w:lineRule="exact" w:line="264" w:before="0" w:after="80"/>
        <w:ind w:hanging="360" w:start="720"/>
        <w:rPr/>
      </w:pPr>
      <w:r>
        <w:rPr>
          <w:rFonts w:eastAsia="Arial" w:cs="Arial"/>
          <w:sz w:val="21"/>
          <w:szCs w:val="21"/>
        </w:rPr>
        <w:t>b. Monitor withdrawal signs and symptoms on a defined schedule using a recognized, documented method, and adjust monitoring frequency to the individual’s status.</w:t>
      </w:r>
    </w:p>
    <w:p>
      <w:pPr>
        <w:pStyle w:val="Normal"/>
        <w:tabs>
          <w:tab w:val="left" w:pos="720" w:leader="none"/>
        </w:tabs>
        <w:spacing w:lineRule="exact" w:line="264" w:before="0" w:after="80"/>
        <w:ind w:hanging="360" w:start="720"/>
        <w:rPr/>
      </w:pPr>
      <w:r>
        <w:rPr>
          <w:rFonts w:eastAsia="Arial" w:cs="Arial"/>
          <w:sz w:val="21"/>
          <w:szCs w:val="21"/>
        </w:rPr>
        <w:t>c. Document vital signs, symptom scores, medications given, and clinical response in the individual record.</w:t>
      </w:r>
    </w:p>
    <w:p>
      <w:pPr>
        <w:pStyle w:val="Normal"/>
        <w:pBdr>
          <w:bottom w:val="single" w:sz="4" w:space="1" w:color="2E5E45"/>
        </w:pBdr>
        <w:spacing w:before="160" w:after="80"/>
        <w:rPr/>
      </w:pPr>
      <w:r>
        <w:rPr>
          <w:rFonts w:eastAsia="Arial" w:cs="Arial"/>
          <w:b/>
          <w:bCs/>
          <w:color w:val="1A4731"/>
          <w:sz w:val="20"/>
          <w:szCs w:val="20"/>
        </w:rPr>
        <w:t>PROCEDURE — MEDICAL OVERSIGHT &amp; ESCALATION</w:t>
      </w:r>
    </w:p>
    <w:p>
      <w:pPr>
        <w:pStyle w:val="Normal"/>
        <w:tabs>
          <w:tab w:val="left" w:pos="720" w:leader="none"/>
        </w:tabs>
        <w:spacing w:lineRule="exact" w:line="264" w:before="0" w:after="80"/>
        <w:ind w:hanging="360" w:start="720"/>
        <w:rPr/>
      </w:pPr>
      <w:r>
        <w:rPr>
          <w:rFonts w:eastAsia="Arial" w:cs="Arial"/>
          <w:sz w:val="21"/>
          <w:szCs w:val="21"/>
        </w:rPr>
        <w:t>d. Deliver withdrawal-management medications and interventions only within scope and under the medical oversight arrangement required for the service.</w:t>
      </w:r>
    </w:p>
    <w:p>
      <w:pPr>
        <w:pStyle w:val="Normal"/>
        <w:tabs>
          <w:tab w:val="left" w:pos="720" w:leader="none"/>
        </w:tabs>
        <w:spacing w:lineRule="exact" w:line="264" w:before="0" w:after="80"/>
        <w:ind w:hanging="360" w:start="720"/>
        <w:rPr/>
      </w:pPr>
      <w:r>
        <w:rPr>
          <w:rFonts w:eastAsia="Arial" w:cs="Arial"/>
          <w:sz w:val="21"/>
          <w:szCs w:val="21"/>
        </w:rPr>
        <w:t>e. Maintain and follow protocols for recognizing complicated or escalating withdrawal and for prompt transfer to a higher level of care or activation of emergency medical services.</w:t>
      </w:r>
    </w:p>
    <w:p>
      <w:pPr>
        <w:pStyle w:val="Normal"/>
        <w:tabs>
          <w:tab w:val="left" w:pos="720" w:leader="none"/>
        </w:tabs>
        <w:spacing w:lineRule="exact" w:line="264" w:before="0" w:after="80"/>
        <w:ind w:hanging="360" w:start="720"/>
        <w:rPr/>
      </w:pPr>
      <w:r>
        <w:rPr>
          <w:rFonts w:eastAsia="Arial" w:cs="Arial"/>
          <w:sz w:val="21"/>
          <w:szCs w:val="21"/>
        </w:rPr>
        <w:t>f. Notify the responsible clinician/prescriber of significant changes and document all escalation decisions and actions.</w:t>
      </w:r>
    </w:p>
    <w:p>
      <w:pPr>
        <w:pStyle w:val="Normal"/>
        <w:pBdr>
          <w:bottom w:val="single" w:sz="4" w:space="1" w:color="2E5E45"/>
        </w:pBdr>
        <w:spacing w:before="160" w:after="80"/>
        <w:rPr/>
      </w:pPr>
      <w:r>
        <w:rPr>
          <w:rFonts w:eastAsia="Arial" w:cs="Arial"/>
          <w:b/>
          <w:bCs/>
          <w:color w:val="1A4731"/>
          <w:sz w:val="20"/>
          <w:szCs w:val="20"/>
        </w:rPr>
        <w:t>PROCEDURE — TRANSITION &amp; ENGAGEMENT</w:t>
      </w:r>
    </w:p>
    <w:p>
      <w:pPr>
        <w:pStyle w:val="Normal"/>
        <w:tabs>
          <w:tab w:val="left" w:pos="720" w:leader="none"/>
        </w:tabs>
        <w:spacing w:lineRule="exact" w:line="264" w:before="0" w:after="80"/>
        <w:ind w:hanging="360" w:start="720"/>
        <w:rPr/>
      </w:pPr>
      <w:r>
        <w:rPr>
          <w:rFonts w:eastAsia="Arial" w:cs="Arial"/>
          <w:sz w:val="21"/>
          <w:szCs w:val="21"/>
        </w:rPr>
        <w:t>g. Engage the individual in planning for continuing treatment beyond withdrawal management from the point of admission.</w:t>
      </w:r>
    </w:p>
    <w:p>
      <w:pPr>
        <w:pStyle w:val="Normal"/>
        <w:tabs>
          <w:tab w:val="left" w:pos="720" w:leader="none"/>
        </w:tabs>
        <w:spacing w:lineRule="exact" w:line="264" w:before="0" w:after="80"/>
        <w:ind w:hanging="360" w:start="720"/>
        <w:rPr/>
      </w:pPr>
      <w:r>
        <w:rPr>
          <w:rFonts w:eastAsia="Arial" w:cs="Arial"/>
          <w:sz w:val="21"/>
          <w:szCs w:val="21"/>
        </w:rPr>
        <w:t>h. Coordinate a warm hand-off to ongoing treatment (for example, residential treatment, outpatient, or medication-assisted treatment) consistent with the base manual’s continuity and discharge policies.</w:t>
      </w:r>
    </w:p>
    <w:p>
      <w:pPr>
        <w:pStyle w:val="Normal"/>
        <w:tabs>
          <w:tab w:val="left" w:pos="720" w:leader="none"/>
        </w:tabs>
        <w:spacing w:lineRule="exact" w:line="264" w:before="0" w:after="80"/>
        <w:ind w:hanging="360" w:start="720"/>
        <w:rPr/>
      </w:pPr>
      <w:r>
        <w:rPr>
          <w:rFonts w:eastAsia="Arial" w:cs="Arial"/>
          <w:sz w:val="21"/>
          <w:szCs w:val="21"/>
        </w:rPr>
        <w:t>i. Apply 42 CFR Part 2 protections to substance use records and disclosures throughout.</w:t>
      </w:r>
    </w:p>
    <w:p>
      <w:pPr>
        <w:pStyle w:val="Normal"/>
        <w:pBdr>
          <w:bottom w:val="single" w:sz="4" w:space="1" w:color="2E5E45"/>
        </w:pBdr>
        <w:spacing w:before="160" w:after="80"/>
        <w:rPr/>
      </w:pPr>
      <w:r>
        <w:rPr>
          <w:rFonts w:eastAsia="Arial" w:cs="Arial"/>
          <w:b/>
          <w:bCs/>
          <w:color w:val="1A4731"/>
          <w:sz w:val="20"/>
          <w:szCs w:val="20"/>
        </w:rPr>
        <w:t>DOCUMENTATION &amp; OVERSIGHT</w:t>
      </w:r>
    </w:p>
    <w:p>
      <w:pPr>
        <w:pStyle w:val="Normal"/>
        <w:spacing w:lineRule="exact" w:line="276" w:before="0" w:after="120"/>
        <w:rPr/>
      </w:pPr>
      <w:r>
        <w:rPr>
          <w:rFonts w:eastAsia="Arial" w:cs="Arial"/>
          <w:sz w:val="21"/>
          <w:szCs w:val="21"/>
        </w:rPr>
        <w:t>Withdrawal-management assessments, monitoring, medications, escalations, and transitions are documented in the individual record. The quality program reviews withdrawal-management outcomes, transfers to higher levels of care, and any adverse events.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Withdrawal-Risk Assessment</w:t>
      </w:r>
    </w:p>
    <w:p>
      <w:pPr>
        <w:pStyle w:val="ListParagraph"/>
        <w:numPr>
          <w:ilvl w:val="0"/>
          <w:numId w:val="1"/>
        </w:numPr>
        <w:spacing w:lineRule="exact" w:line="264" w:before="0" w:after="60"/>
        <w:rPr/>
      </w:pPr>
      <w:r>
        <w:rPr>
          <w:rFonts w:eastAsia="Arial" w:cs="Arial"/>
          <w:sz w:val="21"/>
          <w:szCs w:val="21"/>
        </w:rPr>
        <w:t>Withdrawal Monitoring Flowsheet</w:t>
      </w:r>
    </w:p>
    <w:p>
      <w:pPr>
        <w:pStyle w:val="ListParagraph"/>
        <w:numPr>
          <w:ilvl w:val="0"/>
          <w:numId w:val="1"/>
        </w:numPr>
        <w:spacing w:lineRule="exact" w:line="264" w:before="0" w:after="60"/>
        <w:rPr/>
      </w:pPr>
      <w:r>
        <w:rPr>
          <w:rFonts w:eastAsia="Arial" w:cs="Arial"/>
          <w:sz w:val="21"/>
          <w:szCs w:val="21"/>
        </w:rPr>
        <w:t>Withdrawal-Management Medication Record</w:t>
      </w:r>
    </w:p>
    <w:p>
      <w:pPr>
        <w:pStyle w:val="ListParagraph"/>
        <w:numPr>
          <w:ilvl w:val="0"/>
          <w:numId w:val="1"/>
        </w:numPr>
        <w:spacing w:lineRule="exact" w:line="264" w:before="0" w:after="60"/>
        <w:rPr/>
      </w:pPr>
      <w:r>
        <w:rPr>
          <w:rFonts w:eastAsia="Arial" w:cs="Arial"/>
          <w:sz w:val="21"/>
          <w:szCs w:val="21"/>
        </w:rPr>
        <w:t>Escalation / Transfer Protocol &amp;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RES-5  Medication Management &amp; Medical Oversight in Residential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RES-5  Medication Management &amp; Medical Oversight in Residential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Residential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5; Ch. 2 (medication, controlled substances); DEA/Colorado prescribing law</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medications in the 24-hour residential setting are prescribed, stored, administered or self-administered, documented, and reconciled safely and within scope.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medication activities in the residential setting and builds on the base manual’s medication management and controlled-substances policies.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Medications in residential care are managed under the base manual’s medication policies, with additional controls appropriate to a 24-hour setting: secure storage, accountability for controlled substances, defined administration or supervised self-administration within scope, and reconciliation at admission, at significant transitions, and at discharge. Only personnel acting within their scope administer or assist with medications, and prescribing is performed only by licensed prescribers.</w:t>
      </w:r>
    </w:p>
    <w:p>
      <w:pPr>
        <w:pStyle w:val="Normal"/>
        <w:spacing w:lineRule="exact" w:line="276" w:before="0" w:after="120"/>
        <w:rPr/>
      </w:pPr>
      <w:r>
        <w:rPr>
          <w:rFonts w:eastAsia="Arial" w:cs="Arial"/>
          <w:sz w:val="21"/>
          <w:szCs w:val="21"/>
        </w:rPr>
        <w:t>The program maintains the medical oversight appropriate to its services and population, including access to prescriber and, where required, nursing involvement, and a pathway to obtain medical care when needs exceed the program’s scope.</w:t>
      </w:r>
    </w:p>
    <w:p>
      <w:pPr>
        <w:pStyle w:val="Normal"/>
        <w:pBdr>
          <w:bottom w:val="single" w:sz="4" w:space="1" w:color="2E5E45"/>
        </w:pBdr>
        <w:spacing w:before="160" w:after="80"/>
        <w:rPr/>
      </w:pPr>
      <w:r>
        <w:rPr>
          <w:rFonts w:eastAsia="Arial" w:cs="Arial"/>
          <w:b/>
          <w:bCs/>
          <w:color w:val="1A4731"/>
          <w:sz w:val="20"/>
          <w:szCs w:val="20"/>
        </w:rPr>
        <w:t>PROCEDURE — STORAGE &amp; ACCOUNTABILITY</w:t>
      </w:r>
    </w:p>
    <w:p>
      <w:pPr>
        <w:pStyle w:val="Normal"/>
        <w:tabs>
          <w:tab w:val="left" w:pos="720" w:leader="none"/>
        </w:tabs>
        <w:spacing w:lineRule="exact" w:line="264" w:before="0" w:after="80"/>
        <w:ind w:hanging="360" w:start="720"/>
        <w:rPr/>
      </w:pPr>
      <w:r>
        <w:rPr>
          <w:rFonts w:eastAsia="Arial" w:cs="Arial"/>
          <w:sz w:val="21"/>
          <w:szCs w:val="21"/>
        </w:rPr>
        <w:t>a. Store all medications securely, with additional controls and accountability for controlled substances consistent with the base manual and applicable law.</w:t>
      </w:r>
    </w:p>
    <w:p>
      <w:pPr>
        <w:pStyle w:val="Normal"/>
        <w:tabs>
          <w:tab w:val="left" w:pos="720" w:leader="none"/>
        </w:tabs>
        <w:spacing w:lineRule="exact" w:line="264" w:before="0" w:after="80"/>
        <w:ind w:hanging="360" w:start="720"/>
        <w:rPr/>
      </w:pPr>
      <w:r>
        <w:rPr>
          <w:rFonts w:eastAsia="Arial" w:cs="Arial"/>
          <w:sz w:val="21"/>
          <w:szCs w:val="21"/>
        </w:rPr>
        <w:t>b. Maintain records that account for receipt, administration, waste, and disposition of controlled substances.</w:t>
      </w:r>
    </w:p>
    <w:p>
      <w:pPr>
        <w:pStyle w:val="Normal"/>
        <w:tabs>
          <w:tab w:val="left" w:pos="720" w:leader="none"/>
        </w:tabs>
        <w:spacing w:lineRule="exact" w:line="264" w:before="0" w:after="80"/>
        <w:ind w:hanging="360" w:start="720"/>
        <w:rPr/>
      </w:pPr>
      <w:r>
        <w:rPr>
          <w:rFonts w:eastAsia="Arial" w:cs="Arial"/>
          <w:sz w:val="21"/>
          <w:szCs w:val="21"/>
        </w:rPr>
        <w:t>c. Conduct and document routine medication counts and reconcile discrepancies promptly.</w:t>
      </w:r>
    </w:p>
    <w:p>
      <w:pPr>
        <w:pStyle w:val="Normal"/>
        <w:pBdr>
          <w:bottom w:val="single" w:sz="4" w:space="1" w:color="2E5E45"/>
        </w:pBdr>
        <w:spacing w:before="160" w:after="80"/>
        <w:rPr/>
      </w:pPr>
      <w:r>
        <w:rPr>
          <w:rFonts w:eastAsia="Arial" w:cs="Arial"/>
          <w:b/>
          <w:bCs/>
          <w:color w:val="1A4731"/>
          <w:sz w:val="20"/>
          <w:szCs w:val="20"/>
        </w:rPr>
        <w:t>PROCEDURE — ADMINISTRATION &amp; SELF-ADMINISTRATION</w:t>
      </w:r>
    </w:p>
    <w:p>
      <w:pPr>
        <w:pStyle w:val="Normal"/>
        <w:tabs>
          <w:tab w:val="left" w:pos="720" w:leader="none"/>
        </w:tabs>
        <w:spacing w:lineRule="exact" w:line="264" w:before="0" w:after="80"/>
        <w:ind w:hanging="360" w:start="720"/>
        <w:rPr/>
      </w:pPr>
      <w:r>
        <w:rPr>
          <w:rFonts w:eastAsia="Arial" w:cs="Arial"/>
          <w:sz w:val="21"/>
          <w:szCs w:val="21"/>
        </w:rPr>
        <w:t>d. Administer or supervise self-administration of medications only through personnel acting within scope, following the order and the base manual’s administration standards.</w:t>
      </w:r>
    </w:p>
    <w:p>
      <w:pPr>
        <w:pStyle w:val="Normal"/>
        <w:tabs>
          <w:tab w:val="left" w:pos="720" w:leader="none"/>
        </w:tabs>
        <w:spacing w:lineRule="exact" w:line="264" w:before="0" w:after="80"/>
        <w:ind w:hanging="360" w:start="720"/>
        <w:rPr/>
      </w:pPr>
      <w:r>
        <w:rPr>
          <w:rFonts w:eastAsia="Arial" w:cs="Arial"/>
          <w:sz w:val="21"/>
          <w:szCs w:val="21"/>
        </w:rPr>
        <w:t>e. Document each medication administered or self-administered, including refusals and omissions, in the medication administration record.</w:t>
      </w:r>
    </w:p>
    <w:p>
      <w:pPr>
        <w:pStyle w:val="Normal"/>
        <w:tabs>
          <w:tab w:val="left" w:pos="720" w:leader="none"/>
        </w:tabs>
        <w:spacing w:lineRule="exact" w:line="264" w:before="0" w:after="80"/>
        <w:ind w:hanging="360" w:start="720"/>
        <w:rPr/>
      </w:pPr>
      <w:r>
        <w:rPr>
          <w:rFonts w:eastAsia="Arial" w:cs="Arial"/>
          <w:sz w:val="21"/>
          <w:szCs w:val="21"/>
        </w:rPr>
        <w:t>f. Reconcile medications at admission, at significant transitions, and at discharge, and address discrepancies.</w:t>
      </w:r>
    </w:p>
    <w:p>
      <w:pPr>
        <w:pStyle w:val="Normal"/>
        <w:pBdr>
          <w:bottom w:val="single" w:sz="4" w:space="1" w:color="2E5E45"/>
        </w:pBdr>
        <w:spacing w:before="160" w:after="80"/>
        <w:rPr/>
      </w:pPr>
      <w:r>
        <w:rPr>
          <w:rFonts w:eastAsia="Arial" w:cs="Arial"/>
          <w:b/>
          <w:bCs/>
          <w:color w:val="1A4731"/>
          <w:sz w:val="20"/>
          <w:szCs w:val="20"/>
        </w:rPr>
        <w:t>PROCEDURE — ERRORS &amp; ADVERSE EVENTS</w:t>
      </w:r>
    </w:p>
    <w:p>
      <w:pPr>
        <w:pStyle w:val="Normal"/>
        <w:tabs>
          <w:tab w:val="left" w:pos="720" w:leader="none"/>
        </w:tabs>
        <w:spacing w:lineRule="exact" w:line="264" w:before="0" w:after="80"/>
        <w:ind w:hanging="360" w:start="720"/>
        <w:rPr/>
      </w:pPr>
      <w:r>
        <w:rPr>
          <w:rFonts w:eastAsia="Arial" w:cs="Arial"/>
          <w:sz w:val="21"/>
          <w:szCs w:val="21"/>
        </w:rPr>
        <w:t>g. Report and review medication errors and adverse drug events through the base manual’s incident and quality processes.</w:t>
      </w:r>
    </w:p>
    <w:p>
      <w:pPr>
        <w:pStyle w:val="Normal"/>
        <w:tabs>
          <w:tab w:val="left" w:pos="720" w:leader="none"/>
        </w:tabs>
        <w:spacing w:lineRule="exact" w:line="264" w:before="0" w:after="80"/>
        <w:ind w:hanging="360" w:start="720"/>
        <w:rPr/>
      </w:pPr>
      <w:r>
        <w:rPr>
          <w:rFonts w:eastAsia="Arial" w:cs="Arial"/>
          <w:sz w:val="21"/>
          <w:szCs w:val="21"/>
        </w:rPr>
        <w:t>h. Take corrective action and monitor for recurring patterns.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Administration Record (MAR)</w:t>
      </w:r>
    </w:p>
    <w:p>
      <w:pPr>
        <w:pStyle w:val="ListParagraph"/>
        <w:numPr>
          <w:ilvl w:val="0"/>
          <w:numId w:val="1"/>
        </w:numPr>
        <w:spacing w:lineRule="exact" w:line="264" w:before="0" w:after="60"/>
        <w:rPr/>
      </w:pPr>
      <w:r>
        <w:rPr>
          <w:rFonts w:eastAsia="Arial" w:cs="Arial"/>
          <w:sz w:val="21"/>
          <w:szCs w:val="21"/>
        </w:rPr>
        <w:t>Controlled-Substance Count &amp; Disposition Log</w:t>
      </w:r>
    </w:p>
    <w:p>
      <w:pPr>
        <w:pStyle w:val="ListParagraph"/>
        <w:numPr>
          <w:ilvl w:val="0"/>
          <w:numId w:val="1"/>
        </w:numPr>
        <w:spacing w:lineRule="exact" w:line="264" w:before="0" w:after="60"/>
        <w:rPr/>
      </w:pPr>
      <w:r>
        <w:rPr>
          <w:rFonts w:eastAsia="Arial" w:cs="Arial"/>
          <w:sz w:val="21"/>
          <w:szCs w:val="21"/>
        </w:rPr>
        <w:t>Medication Reconciliation Record</w:t>
      </w:r>
    </w:p>
    <w:p>
      <w:pPr>
        <w:pStyle w:val="ListParagraph"/>
        <w:numPr>
          <w:ilvl w:val="0"/>
          <w:numId w:val="1"/>
        </w:numPr>
        <w:spacing w:lineRule="exact" w:line="264" w:before="0" w:after="60"/>
        <w:rPr/>
      </w:pPr>
      <w:r>
        <w:rPr>
          <w:rFonts w:eastAsia="Arial" w:cs="Arial"/>
          <w:sz w:val="21"/>
          <w:szCs w:val="21"/>
        </w:rPr>
        <w:t>Medication Error / Adverse Event Report (from base manual)</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RES-6  Health Monitoring, Nursing &amp; Access to Medical Care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RES-6  Health Monitoring, Nursing &amp; Access to Medical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Residential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5; Ch. 2 (clinical services,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health status of individuals in residential care is monitored and that they have timely access to medical and nursing care appropriate to their needs.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health monitoring and access to medical and nursing services for all individuals in residential and withdrawal management care.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residential program screens for and monitors physical health needs relevant to safe participation in treatment, maintains the level of nursing or medical involvement appropriate to its services and population, and ensures timely access to medical care — routine, urgent, and emergency — when needs arise. Staff are trained to recognize signs of medical distress and to activate the appropriate response.</w:t>
      </w:r>
    </w:p>
    <w:p>
      <w:pPr>
        <w:pStyle w:val="Normal"/>
        <w:spacing w:lineRule="exact" w:line="276" w:before="0" w:after="120"/>
        <w:rPr/>
      </w:pPr>
      <w:r>
        <w:rPr>
          <w:rFonts w:eastAsia="Arial" w:cs="Arial"/>
          <w:sz w:val="21"/>
          <w:szCs w:val="21"/>
        </w:rPr>
        <w:t>Health information is documented in the individual record and used to coordinate care, consistent with confidentiality requirements including 42 CFR Part 2 where applicable.</w:t>
      </w:r>
    </w:p>
    <w:p>
      <w:pPr>
        <w:pStyle w:val="Normal"/>
        <w:pBdr>
          <w:bottom w:val="single" w:sz="4" w:space="1" w:color="2E5E45"/>
        </w:pBdr>
        <w:spacing w:before="160" w:after="80"/>
        <w:rPr/>
      </w:pPr>
      <w:r>
        <w:rPr>
          <w:rFonts w:eastAsia="Arial" w:cs="Arial"/>
          <w:b/>
          <w:bCs/>
          <w:color w:val="1A4731"/>
          <w:sz w:val="20"/>
          <w:szCs w:val="20"/>
        </w:rPr>
        <w:t>PROCEDURE — SCREENING &amp; MONITORING</w:t>
      </w:r>
    </w:p>
    <w:p>
      <w:pPr>
        <w:pStyle w:val="Normal"/>
        <w:tabs>
          <w:tab w:val="left" w:pos="720" w:leader="none"/>
        </w:tabs>
        <w:spacing w:lineRule="exact" w:line="264" w:before="0" w:after="80"/>
        <w:ind w:hanging="360" w:start="720"/>
        <w:rPr/>
      </w:pPr>
      <w:r>
        <w:rPr>
          <w:rFonts w:eastAsia="Arial" w:cs="Arial"/>
          <w:sz w:val="21"/>
          <w:szCs w:val="21"/>
        </w:rPr>
        <w:t>a. Screen for physical health needs and risks on admission and monitor health status on a schedule appropriate to acuity and to withdrawal management where applicable.</w:t>
      </w:r>
    </w:p>
    <w:p>
      <w:pPr>
        <w:pStyle w:val="Normal"/>
        <w:tabs>
          <w:tab w:val="left" w:pos="720" w:leader="none"/>
        </w:tabs>
        <w:spacing w:lineRule="exact" w:line="264" w:before="0" w:after="80"/>
        <w:ind w:hanging="360" w:start="720"/>
        <w:rPr/>
      </w:pPr>
      <w:r>
        <w:rPr>
          <w:rFonts w:eastAsia="Arial" w:cs="Arial"/>
          <w:sz w:val="21"/>
          <w:szCs w:val="21"/>
        </w:rPr>
        <w:t>b. Document health observations, vital signs where indicated, and changes in condition, and notify the responsible clinician/prescriber of significant changes.</w:t>
      </w:r>
    </w:p>
    <w:p>
      <w:pPr>
        <w:pStyle w:val="Normal"/>
        <w:tabs>
          <w:tab w:val="left" w:pos="720" w:leader="none"/>
        </w:tabs>
        <w:spacing w:lineRule="exact" w:line="264" w:before="0" w:after="80"/>
        <w:ind w:hanging="360" w:start="720"/>
        <w:rPr/>
      </w:pPr>
      <w:r>
        <w:rPr>
          <w:rFonts w:eastAsia="Arial" w:cs="Arial"/>
          <w:sz w:val="21"/>
          <w:szCs w:val="21"/>
        </w:rPr>
        <w:t>c. Support chronic-condition management and coordination with the individual’s medical providers, with consent.</w:t>
      </w:r>
    </w:p>
    <w:p>
      <w:pPr>
        <w:pStyle w:val="Normal"/>
        <w:pBdr>
          <w:bottom w:val="single" w:sz="4" w:space="1" w:color="2E5E45"/>
        </w:pBdr>
        <w:spacing w:before="160" w:after="80"/>
        <w:rPr/>
      </w:pPr>
      <w:r>
        <w:rPr>
          <w:rFonts w:eastAsia="Arial" w:cs="Arial"/>
          <w:b/>
          <w:bCs/>
          <w:color w:val="1A4731"/>
          <w:sz w:val="20"/>
          <w:szCs w:val="20"/>
        </w:rPr>
        <w:t>PROCEDURE — ACCESS TO CARE &amp; EMERGENCIES</w:t>
      </w:r>
    </w:p>
    <w:p>
      <w:pPr>
        <w:pStyle w:val="Normal"/>
        <w:tabs>
          <w:tab w:val="left" w:pos="720" w:leader="none"/>
        </w:tabs>
        <w:spacing w:lineRule="exact" w:line="264" w:before="0" w:after="80"/>
        <w:ind w:hanging="360" w:start="720"/>
        <w:rPr/>
      </w:pPr>
      <w:r>
        <w:rPr>
          <w:rFonts w:eastAsia="Arial" w:cs="Arial"/>
          <w:sz w:val="21"/>
          <w:szCs w:val="21"/>
        </w:rPr>
        <w:t>d. Maintain arrangements for timely access to routine and urgent medical and nursing care appropriate to the program’s scope.</w:t>
      </w:r>
    </w:p>
    <w:p>
      <w:pPr>
        <w:pStyle w:val="Normal"/>
        <w:tabs>
          <w:tab w:val="left" w:pos="720" w:leader="none"/>
        </w:tabs>
        <w:spacing w:lineRule="exact" w:line="264" w:before="0" w:after="80"/>
        <w:ind w:hanging="360" w:start="720"/>
        <w:rPr/>
      </w:pPr>
      <w:r>
        <w:rPr>
          <w:rFonts w:eastAsia="Arial" w:cs="Arial"/>
          <w:sz w:val="21"/>
          <w:szCs w:val="21"/>
        </w:rPr>
        <w:t>e. Train staff to recognize medical emergencies and to activate emergency medical services immediately when indicated.</w:t>
      </w:r>
    </w:p>
    <w:p>
      <w:pPr>
        <w:pStyle w:val="Normal"/>
        <w:tabs>
          <w:tab w:val="left" w:pos="720" w:leader="none"/>
        </w:tabs>
        <w:spacing w:lineRule="exact" w:line="264" w:before="0" w:after="80"/>
        <w:ind w:hanging="360" w:start="720"/>
        <w:rPr/>
      </w:pPr>
      <w:r>
        <w:rPr>
          <w:rFonts w:eastAsia="Arial" w:cs="Arial"/>
          <w:sz w:val="21"/>
          <w:szCs w:val="21"/>
        </w:rPr>
        <w:t>f. Document medical events, referrals, and follow-up, and coordinate returns to the program after acute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Health Screening &amp; Monitoring Record</w:t>
      </w:r>
    </w:p>
    <w:p>
      <w:pPr>
        <w:pStyle w:val="ListParagraph"/>
        <w:numPr>
          <w:ilvl w:val="0"/>
          <w:numId w:val="1"/>
        </w:numPr>
        <w:spacing w:lineRule="exact" w:line="264" w:before="0" w:after="60"/>
        <w:rPr/>
      </w:pPr>
      <w:r>
        <w:rPr>
          <w:rFonts w:eastAsia="Arial" w:cs="Arial"/>
          <w:sz w:val="21"/>
          <w:szCs w:val="21"/>
        </w:rPr>
        <w:t>Nursing / Medical Consultation Log</w:t>
      </w:r>
    </w:p>
    <w:p>
      <w:pPr>
        <w:pStyle w:val="ListParagraph"/>
        <w:numPr>
          <w:ilvl w:val="0"/>
          <w:numId w:val="1"/>
        </w:numPr>
        <w:spacing w:lineRule="exact" w:line="264" w:before="0" w:after="60"/>
        <w:rPr/>
      </w:pPr>
      <w:r>
        <w:rPr>
          <w:rFonts w:eastAsia="Arial" w:cs="Arial"/>
          <w:sz w:val="21"/>
          <w:szCs w:val="21"/>
        </w:rPr>
        <w:t>Medical Referral &amp; Follow-Up Record</w:t>
      </w:r>
    </w:p>
    <w:p>
      <w:pPr>
        <w:pStyle w:val="ListParagraph"/>
        <w:numPr>
          <w:ilvl w:val="0"/>
          <w:numId w:val="1"/>
        </w:numPr>
        <w:spacing w:lineRule="exact" w:line="264" w:before="0" w:after="60"/>
        <w:rPr/>
      </w:pPr>
      <w:r>
        <w:rPr>
          <w:rFonts w:eastAsia="Arial" w:cs="Arial"/>
          <w:sz w:val="21"/>
          <w:szCs w:val="21"/>
        </w:rPr>
        <w:t>Emergency Medical Response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RES-7  Physical Environment, Safety &amp; Overnight Operations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RES-7  Physical Environment, Safety &amp; Overnight Operations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Residential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5 (physical environment); Ch. 2 (safety, emergency preparedness)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residential living environment is safe, clean, and suitable for 24-hour care, and that overnight operations protect individuals’ safety.</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residential physical plant, its safety systems, and all overnight operations, and builds on the base manual’s safety and emergency-preparedness policies.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residential setting is maintained as a safe, clean, and functional living environment appropriate to the individuals served, with working safety systems, secure medication and hazardous-material storage, and reasonable privacy. Overnight operations maintain awake staffing, required checks, and the ability to respond to emergencies at any hour.</w:t>
      </w:r>
    </w:p>
    <w:p>
      <w:pPr>
        <w:pStyle w:val="Normal"/>
        <w:spacing w:lineRule="exact" w:line="276" w:before="0" w:after="120"/>
        <w:rPr/>
      </w:pPr>
      <w:r>
        <w:rPr>
          <w:rFonts w:eastAsia="Arial" w:cs="Arial"/>
          <w:sz w:val="21"/>
          <w:szCs w:val="21"/>
        </w:rPr>
        <w:t>The program conducts environmental safety rounds, maintains and drills its emergency procedures, and addresses hazards promptly.</w:t>
      </w:r>
    </w:p>
    <w:p>
      <w:pPr>
        <w:pStyle w:val="Normal"/>
        <w:pBdr>
          <w:bottom w:val="single" w:sz="4" w:space="1" w:color="2E5E45"/>
        </w:pBdr>
        <w:spacing w:before="160" w:after="80"/>
        <w:rPr/>
      </w:pPr>
      <w:r>
        <w:rPr>
          <w:rFonts w:eastAsia="Arial" w:cs="Arial"/>
          <w:b/>
          <w:bCs/>
          <w:color w:val="1A4731"/>
          <w:sz w:val="20"/>
          <w:szCs w:val="20"/>
        </w:rPr>
        <w:t>PROCEDURE — ENVIRONMENT &amp; SAFETY SYSTEMS</w:t>
      </w:r>
    </w:p>
    <w:p>
      <w:pPr>
        <w:pStyle w:val="Normal"/>
        <w:tabs>
          <w:tab w:val="left" w:pos="720" w:leader="none"/>
        </w:tabs>
        <w:spacing w:lineRule="exact" w:line="264" w:before="0" w:after="80"/>
        <w:ind w:hanging="360" w:start="720"/>
        <w:rPr/>
      </w:pPr>
      <w:r>
        <w:rPr>
          <w:rFonts w:eastAsia="Arial" w:cs="Arial"/>
          <w:sz w:val="21"/>
          <w:szCs w:val="21"/>
        </w:rPr>
        <w:t>a. Maintain the physical environment (living, sleeping, bathing, dining, and program spaces) in safe, clean, working condition.</w:t>
      </w:r>
    </w:p>
    <w:p>
      <w:pPr>
        <w:pStyle w:val="Normal"/>
        <w:tabs>
          <w:tab w:val="left" w:pos="720" w:leader="none"/>
        </w:tabs>
        <w:spacing w:lineRule="exact" w:line="264" w:before="0" w:after="80"/>
        <w:ind w:hanging="360" w:start="720"/>
        <w:rPr/>
      </w:pPr>
      <w:r>
        <w:rPr>
          <w:rFonts w:eastAsia="Arial" w:cs="Arial"/>
          <w:sz w:val="21"/>
          <w:szCs w:val="21"/>
        </w:rPr>
        <w:t>b. Maintain working fire-safety and emergency systems, secure storage for medications and hazardous materials, and reasonable privacy for individuals.</w:t>
      </w:r>
    </w:p>
    <w:p>
      <w:pPr>
        <w:pStyle w:val="Normal"/>
        <w:tabs>
          <w:tab w:val="left" w:pos="720" w:leader="none"/>
        </w:tabs>
        <w:spacing w:lineRule="exact" w:line="264" w:before="0" w:after="80"/>
        <w:ind w:hanging="360" w:start="720"/>
        <w:rPr/>
      </w:pPr>
      <w:r>
        <w:rPr>
          <w:rFonts w:eastAsia="Arial" w:cs="Arial"/>
          <w:sz w:val="21"/>
          <w:szCs w:val="21"/>
        </w:rPr>
        <w:t>c. Conduct and document routine environmental safety rounds and correct hazards promptly.</w:t>
      </w:r>
    </w:p>
    <w:p>
      <w:pPr>
        <w:pStyle w:val="Normal"/>
        <w:pBdr>
          <w:bottom w:val="single" w:sz="4" w:space="1" w:color="2E5E45"/>
        </w:pBdr>
        <w:spacing w:before="160" w:after="80"/>
        <w:rPr/>
      </w:pPr>
      <w:r>
        <w:rPr>
          <w:rFonts w:eastAsia="Arial" w:cs="Arial"/>
          <w:b/>
          <w:bCs/>
          <w:color w:val="1A4731"/>
          <w:sz w:val="20"/>
          <w:szCs w:val="20"/>
        </w:rPr>
        <w:t>PROCEDURE — OVERNIGHT OPERATIONS</w:t>
      </w:r>
    </w:p>
    <w:p>
      <w:pPr>
        <w:pStyle w:val="Normal"/>
        <w:tabs>
          <w:tab w:val="left" w:pos="720" w:leader="none"/>
        </w:tabs>
        <w:spacing w:lineRule="exact" w:line="264" w:before="0" w:after="80"/>
        <w:ind w:hanging="360" w:start="720"/>
        <w:rPr/>
      </w:pPr>
      <w:r>
        <w:rPr>
          <w:rFonts w:eastAsia="Arial" w:cs="Arial"/>
          <w:sz w:val="21"/>
          <w:szCs w:val="21"/>
        </w:rPr>
        <w:t>d. Maintain awake overnight staffing able to conduct required safety checks and respond to emergencies.</w:t>
      </w:r>
    </w:p>
    <w:p>
      <w:pPr>
        <w:pStyle w:val="Normal"/>
        <w:tabs>
          <w:tab w:val="left" w:pos="720" w:leader="none"/>
        </w:tabs>
        <w:spacing w:lineRule="exact" w:line="264" w:before="0" w:after="80"/>
        <w:ind w:hanging="360" w:start="720"/>
        <w:rPr/>
      </w:pPr>
      <w:r>
        <w:rPr>
          <w:rFonts w:eastAsia="Arial" w:cs="Arial"/>
          <w:sz w:val="21"/>
          <w:szCs w:val="21"/>
        </w:rPr>
        <w:t>e. Conduct and document overnight safety checks at the frequency appropriate to individual acuity and program requirements.</w:t>
      </w:r>
    </w:p>
    <w:p>
      <w:pPr>
        <w:pStyle w:val="Normal"/>
        <w:tabs>
          <w:tab w:val="left" w:pos="720" w:leader="none"/>
        </w:tabs>
        <w:spacing w:lineRule="exact" w:line="264" w:before="0" w:after="80"/>
        <w:ind w:hanging="360" w:start="720"/>
        <w:rPr/>
      </w:pPr>
      <w:r>
        <w:rPr>
          <w:rFonts w:eastAsia="Arial" w:cs="Arial"/>
          <w:sz w:val="21"/>
          <w:szCs w:val="21"/>
        </w:rPr>
        <w:t>f. Maintain overnight communication, on-call access, and a clear emergency-response pathway.</w:t>
      </w:r>
    </w:p>
    <w:p>
      <w:pPr>
        <w:pStyle w:val="Normal"/>
        <w:pBdr>
          <w:bottom w:val="single" w:sz="4" w:space="1" w:color="2E5E45"/>
        </w:pBdr>
        <w:spacing w:before="160" w:after="80"/>
        <w:rPr/>
      </w:pPr>
      <w:r>
        <w:rPr>
          <w:rFonts w:eastAsia="Arial" w:cs="Arial"/>
          <w:b/>
          <w:bCs/>
          <w:color w:val="1A4731"/>
          <w:sz w:val="20"/>
          <w:szCs w:val="20"/>
        </w:rPr>
        <w:t>PROCEDURE — EMERGENCY PREPAREDNESS</w:t>
      </w:r>
    </w:p>
    <w:p>
      <w:pPr>
        <w:pStyle w:val="Normal"/>
        <w:tabs>
          <w:tab w:val="left" w:pos="720" w:leader="none"/>
        </w:tabs>
        <w:spacing w:lineRule="exact" w:line="264" w:before="0" w:after="80"/>
        <w:ind w:hanging="360" w:start="720"/>
        <w:rPr/>
      </w:pPr>
      <w:r>
        <w:rPr>
          <w:rFonts w:eastAsia="Arial" w:cs="Arial"/>
          <w:sz w:val="21"/>
          <w:szCs w:val="21"/>
        </w:rPr>
        <w:t>g. Maintain and drill emergency procedures (fire, medical, behavioral, severe weather, evacuation, and shelter-in-place) consistent with the base manual’s emergency-preparedness and continuity policies.</w:t>
      </w:r>
    </w:p>
    <w:p>
      <w:pPr>
        <w:pStyle w:val="Normal"/>
        <w:tabs>
          <w:tab w:val="left" w:pos="720" w:leader="none"/>
        </w:tabs>
        <w:spacing w:lineRule="exact" w:line="264" w:before="0" w:after="80"/>
        <w:ind w:hanging="360" w:start="720"/>
        <w:rPr/>
      </w:pPr>
      <w:r>
        <w:rPr>
          <w:rFonts w:eastAsia="Arial" w:cs="Arial"/>
          <w:sz w:val="21"/>
          <w:szCs w:val="21"/>
        </w:rPr>
        <w:t>h. Document drills and after-action review, and update procedures based on lessons learned.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Environmental Safety Rounds Checklist</w:t>
      </w:r>
    </w:p>
    <w:p>
      <w:pPr>
        <w:pStyle w:val="ListParagraph"/>
        <w:numPr>
          <w:ilvl w:val="0"/>
          <w:numId w:val="1"/>
        </w:numPr>
        <w:spacing w:lineRule="exact" w:line="264" w:before="0" w:after="60"/>
        <w:rPr/>
      </w:pPr>
      <w:r>
        <w:rPr>
          <w:rFonts w:eastAsia="Arial" w:cs="Arial"/>
          <w:sz w:val="21"/>
          <w:szCs w:val="21"/>
        </w:rPr>
        <w:t>Overnight Safety-Check Log</w:t>
      </w:r>
    </w:p>
    <w:p>
      <w:pPr>
        <w:pStyle w:val="ListParagraph"/>
        <w:numPr>
          <w:ilvl w:val="0"/>
          <w:numId w:val="1"/>
        </w:numPr>
        <w:spacing w:lineRule="exact" w:line="264" w:before="0" w:after="60"/>
        <w:rPr/>
      </w:pPr>
      <w:r>
        <w:rPr>
          <w:rFonts w:eastAsia="Arial" w:cs="Arial"/>
          <w:sz w:val="21"/>
          <w:szCs w:val="21"/>
        </w:rPr>
        <w:t>Emergency Drill &amp; After-Action Record (from base manual)</w:t>
      </w:r>
    </w:p>
    <w:p>
      <w:pPr>
        <w:pStyle w:val="ListParagraph"/>
        <w:numPr>
          <w:ilvl w:val="0"/>
          <w:numId w:val="1"/>
        </w:numPr>
        <w:spacing w:lineRule="exact" w:line="264" w:before="0" w:after="60"/>
        <w:rPr/>
      </w:pPr>
      <w:r>
        <w:rPr>
          <w:rFonts w:eastAsia="Arial" w:cs="Arial"/>
          <w:sz w:val="21"/>
          <w:szCs w:val="21"/>
        </w:rPr>
        <w:t>Maintenance / Hazard Correction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RES-8  Daily Structure, Programming &amp; Therapeutic Milieu</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RES-8  Daily Structure, Programming &amp; Therapeutic Milieu</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Residential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5 (programming); Ch. 2 (service planning, trauma-informed care)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residential care provides a structured, therapeutic daily program aligned with each individual’s service plan.</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daily schedule, clinical programming, and therapeutic milieu of the residential program.</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residential program provides a structured daily schedule of clinical and rehabilitative programming — which may include individual, group, and family services, skill-building, peer support, and recovery activities — delivered by qualified personnel and matched to each individual’s service plan and level of care. The milieu is trauma-informed, culturally responsive, and organized to promote safety, dignity, and engagement.</w:t>
      </w:r>
    </w:p>
    <w:p>
      <w:pPr>
        <w:pStyle w:val="Normal"/>
        <w:spacing w:lineRule="exact" w:line="276" w:before="0" w:after="120"/>
        <w:rPr/>
      </w:pPr>
      <w:r>
        <w:rPr>
          <w:rFonts w:eastAsia="Arial" w:cs="Arial"/>
          <w:sz w:val="21"/>
          <w:szCs w:val="21"/>
        </w:rPr>
        <w:t>Programming is documented, participation is recorded, and the schedule is adjusted to individual clinical need.</w:t>
      </w:r>
    </w:p>
    <w:p>
      <w:pPr>
        <w:pStyle w:val="Normal"/>
        <w:pBdr>
          <w:bottom w:val="single" w:sz="4" w:space="1" w:color="2E5E45"/>
        </w:pBdr>
        <w:spacing w:before="160" w:after="80"/>
        <w:rPr/>
      </w:pPr>
      <w:r>
        <w:rPr>
          <w:rFonts w:eastAsia="Arial" w:cs="Arial"/>
          <w:b/>
          <w:bCs/>
          <w:color w:val="1A4731"/>
          <w:sz w:val="20"/>
          <w:szCs w:val="20"/>
        </w:rPr>
        <w:t>PROCEDURE — PROGRAM STRUCTURE</w:t>
      </w:r>
    </w:p>
    <w:p>
      <w:pPr>
        <w:pStyle w:val="Normal"/>
        <w:tabs>
          <w:tab w:val="left" w:pos="720" w:leader="none"/>
        </w:tabs>
        <w:spacing w:lineRule="exact" w:line="264" w:before="0" w:after="80"/>
        <w:ind w:hanging="360" w:start="720"/>
        <w:rPr/>
      </w:pPr>
      <w:r>
        <w:rPr>
          <w:rFonts w:eastAsia="Arial" w:cs="Arial"/>
          <w:sz w:val="21"/>
          <w:szCs w:val="21"/>
        </w:rPr>
        <w:t>a. Maintain a written daily and weekly program schedule appropriate to the population and level of care.</w:t>
      </w:r>
    </w:p>
    <w:p>
      <w:pPr>
        <w:pStyle w:val="Normal"/>
        <w:tabs>
          <w:tab w:val="left" w:pos="720" w:leader="none"/>
        </w:tabs>
        <w:spacing w:lineRule="exact" w:line="264" w:before="0" w:after="80"/>
        <w:ind w:hanging="360" w:start="720"/>
        <w:rPr/>
      </w:pPr>
      <w:r>
        <w:rPr>
          <w:rFonts w:eastAsia="Arial" w:cs="Arial"/>
          <w:sz w:val="21"/>
          <w:szCs w:val="21"/>
        </w:rPr>
        <w:t>b. Deliver programming through qualified, in-scope personnel, aligned to each individual’s service plan.</w:t>
      </w:r>
    </w:p>
    <w:p>
      <w:pPr>
        <w:pStyle w:val="Normal"/>
        <w:tabs>
          <w:tab w:val="left" w:pos="720" w:leader="none"/>
        </w:tabs>
        <w:spacing w:lineRule="exact" w:line="264" w:before="0" w:after="80"/>
        <w:ind w:hanging="360" w:start="720"/>
        <w:rPr/>
      </w:pPr>
      <w:r>
        <w:rPr>
          <w:rFonts w:eastAsia="Arial" w:cs="Arial"/>
          <w:sz w:val="21"/>
          <w:szCs w:val="21"/>
        </w:rPr>
        <w:t>c. Document participation and clinical response, and adjust the individual’s program as needed.</w:t>
      </w:r>
    </w:p>
    <w:p>
      <w:pPr>
        <w:pStyle w:val="Normal"/>
        <w:pBdr>
          <w:bottom w:val="single" w:sz="4" w:space="1" w:color="2E5E45"/>
        </w:pBdr>
        <w:spacing w:before="160" w:after="80"/>
        <w:rPr/>
      </w:pPr>
      <w:r>
        <w:rPr>
          <w:rFonts w:eastAsia="Arial" w:cs="Arial"/>
          <w:b/>
          <w:bCs/>
          <w:color w:val="1A4731"/>
          <w:sz w:val="20"/>
          <w:szCs w:val="20"/>
        </w:rPr>
        <w:t>PROCEDURE — THERAPEUTIC MILIEU</w:t>
      </w:r>
    </w:p>
    <w:p>
      <w:pPr>
        <w:pStyle w:val="Normal"/>
        <w:tabs>
          <w:tab w:val="left" w:pos="720" w:leader="none"/>
        </w:tabs>
        <w:spacing w:lineRule="exact" w:line="264" w:before="0" w:after="80"/>
        <w:ind w:hanging="360" w:start="720"/>
        <w:rPr/>
      </w:pPr>
      <w:r>
        <w:rPr>
          <w:rFonts w:eastAsia="Arial" w:cs="Arial"/>
          <w:sz w:val="21"/>
          <w:szCs w:val="21"/>
        </w:rPr>
        <w:t>d. Maintain expectations and routines that promote a safe, respectful, trauma-informed environment.</w:t>
      </w:r>
    </w:p>
    <w:p>
      <w:pPr>
        <w:pStyle w:val="Normal"/>
        <w:tabs>
          <w:tab w:val="left" w:pos="720" w:leader="none"/>
        </w:tabs>
        <w:spacing w:lineRule="exact" w:line="264" w:before="0" w:after="80"/>
        <w:ind w:hanging="360" w:start="720"/>
        <w:rPr/>
      </w:pPr>
      <w:r>
        <w:rPr>
          <w:rFonts w:eastAsia="Arial" w:cs="Arial"/>
          <w:sz w:val="21"/>
          <w:szCs w:val="21"/>
        </w:rPr>
        <w:t>e. Use least-restrictive approaches to support behavior and manage conflict, consistent with the base manual’s rights and restraint policies.</w:t>
      </w:r>
    </w:p>
    <w:p>
      <w:pPr>
        <w:pStyle w:val="Normal"/>
        <w:tabs>
          <w:tab w:val="left" w:pos="720" w:leader="none"/>
        </w:tabs>
        <w:spacing w:lineRule="exact" w:line="264" w:before="0" w:after="80"/>
        <w:ind w:hanging="360" w:start="720"/>
        <w:rPr/>
      </w:pPr>
      <w:r>
        <w:rPr>
          <w:rFonts w:eastAsia="Arial" w:cs="Arial"/>
          <w:sz w:val="21"/>
          <w:szCs w:val="21"/>
        </w:rPr>
        <w:t>f. Gather and use individual feedback to improve the milieu.</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Daily / Weekly Program Schedule</w:t>
      </w:r>
    </w:p>
    <w:p>
      <w:pPr>
        <w:pStyle w:val="ListParagraph"/>
        <w:numPr>
          <w:ilvl w:val="0"/>
          <w:numId w:val="1"/>
        </w:numPr>
        <w:spacing w:lineRule="exact" w:line="264" w:before="0" w:after="60"/>
        <w:rPr/>
      </w:pPr>
      <w:r>
        <w:rPr>
          <w:rFonts w:eastAsia="Arial" w:cs="Arial"/>
          <w:sz w:val="21"/>
          <w:szCs w:val="21"/>
        </w:rPr>
        <w:t>Programming Participation Record</w:t>
      </w:r>
    </w:p>
    <w:p>
      <w:pPr>
        <w:pStyle w:val="ListParagraph"/>
        <w:numPr>
          <w:ilvl w:val="0"/>
          <w:numId w:val="1"/>
        </w:numPr>
        <w:spacing w:lineRule="exact" w:line="264" w:before="0" w:after="60"/>
        <w:rPr/>
      </w:pPr>
      <w:r>
        <w:rPr>
          <w:rFonts w:eastAsia="Arial" w:cs="Arial"/>
          <w:sz w:val="21"/>
          <w:szCs w:val="21"/>
        </w:rPr>
        <w:t>Milieu Expectations &amp; Community Guidelines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RES-9  Visitation, Communication &amp; Community Access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RES-9  Visitation, Communication &amp; Community Access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Residential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5; Ch. 2 (individual rights, least-restrictive)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individuals’ rights to communication, visitation, and appropriate community access while maintaining safety and the therapeutic environment.</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visitation, telephone and electronic communication, mail, and community access for individuals in residential care.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Individuals in residential care retain their rights to communicate with family, supports, legal representatives, and advocates, and to reasonable visitation and community access, consistent with the base manual’s rights and least-restrictive policies. Any limitation is individualized, clinically justified, documented, time-limited, and reviewed — never used as punishment or for staff convenience — and the individual is informed of the reason and of how to have it reviewed.</w:t>
      </w:r>
    </w:p>
    <w:p>
      <w:pPr>
        <w:pStyle w:val="Normal"/>
        <w:spacing w:lineRule="exact" w:line="276" w:before="0" w:after="120"/>
        <w:rPr/>
      </w:pPr>
      <w:r>
        <w:rPr>
          <w:rFonts w:eastAsia="Arial" w:cs="Arial"/>
          <w:sz w:val="21"/>
          <w:szCs w:val="21"/>
        </w:rPr>
        <w:t>Communication with legal representatives, advocates, licensing and protection authorities, and similar contacts is not restricted.</w:t>
      </w:r>
    </w:p>
    <w:p>
      <w:pPr>
        <w:pStyle w:val="Normal"/>
        <w:pBdr>
          <w:bottom w:val="single" w:sz="4" w:space="1" w:color="2E5E45"/>
        </w:pBdr>
        <w:spacing w:before="160" w:after="80"/>
        <w:rPr/>
      </w:pPr>
      <w:r>
        <w:rPr>
          <w:rFonts w:eastAsia="Arial" w:cs="Arial"/>
          <w:b/>
          <w:bCs/>
          <w:color w:val="1A4731"/>
          <w:sz w:val="20"/>
          <w:szCs w:val="20"/>
        </w:rPr>
        <w:t>PROCEDURE — COMMUNICATION &amp; VISITATION</w:t>
      </w:r>
    </w:p>
    <w:p>
      <w:pPr>
        <w:pStyle w:val="Normal"/>
        <w:tabs>
          <w:tab w:val="left" w:pos="720" w:leader="none"/>
        </w:tabs>
        <w:spacing w:lineRule="exact" w:line="264" w:before="0" w:after="80"/>
        <w:ind w:hanging="360" w:start="720"/>
        <w:rPr/>
      </w:pPr>
      <w:r>
        <w:rPr>
          <w:rFonts w:eastAsia="Arial" w:cs="Arial"/>
          <w:sz w:val="21"/>
          <w:szCs w:val="21"/>
        </w:rPr>
        <w:t>a. Inform individuals of visitation, communication, and community-access options and any general program parameters on admission.</w:t>
      </w:r>
    </w:p>
    <w:p>
      <w:pPr>
        <w:pStyle w:val="Normal"/>
        <w:tabs>
          <w:tab w:val="left" w:pos="720" w:leader="none"/>
        </w:tabs>
        <w:spacing w:lineRule="exact" w:line="264" w:before="0" w:after="80"/>
        <w:ind w:hanging="360" w:start="720"/>
        <w:rPr/>
      </w:pPr>
      <w:r>
        <w:rPr>
          <w:rFonts w:eastAsia="Arial" w:cs="Arial"/>
          <w:sz w:val="21"/>
          <w:szCs w:val="21"/>
        </w:rPr>
        <w:t>b. Support reasonable access to telephone/electronic communication, mail, and visitation in a manner that protects privacy and the rights of others.</w:t>
      </w:r>
    </w:p>
    <w:p>
      <w:pPr>
        <w:pStyle w:val="Normal"/>
        <w:tabs>
          <w:tab w:val="left" w:pos="720" w:leader="none"/>
        </w:tabs>
        <w:spacing w:lineRule="exact" w:line="264" w:before="0" w:after="80"/>
        <w:ind w:hanging="360" w:start="720"/>
        <w:rPr/>
      </w:pPr>
      <w:r>
        <w:rPr>
          <w:rFonts w:eastAsia="Arial" w:cs="Arial"/>
          <w:sz w:val="21"/>
          <w:szCs w:val="21"/>
        </w:rPr>
        <w:t>c. Protect unrestricted communication with legal representatives, advocates, and oversight authorities.</w:t>
      </w:r>
    </w:p>
    <w:p>
      <w:pPr>
        <w:pStyle w:val="Normal"/>
        <w:pBdr>
          <w:bottom w:val="single" w:sz="4" w:space="1" w:color="2E5E45"/>
        </w:pBdr>
        <w:spacing w:before="160" w:after="80"/>
        <w:rPr/>
      </w:pPr>
      <w:r>
        <w:rPr>
          <w:rFonts w:eastAsia="Arial" w:cs="Arial"/>
          <w:b/>
          <w:bCs/>
          <w:color w:val="1A4731"/>
          <w:sz w:val="20"/>
          <w:szCs w:val="20"/>
        </w:rPr>
        <w:t>PROCEDURE — INDIVIDUALIZED RESTRICTIONS</w:t>
      </w:r>
    </w:p>
    <w:p>
      <w:pPr>
        <w:pStyle w:val="Normal"/>
        <w:tabs>
          <w:tab w:val="left" w:pos="720" w:leader="none"/>
        </w:tabs>
        <w:spacing w:lineRule="exact" w:line="264" w:before="0" w:after="80"/>
        <w:ind w:hanging="360" w:start="720"/>
        <w:rPr/>
      </w:pPr>
      <w:r>
        <w:rPr>
          <w:rFonts w:eastAsia="Arial" w:cs="Arial"/>
          <w:sz w:val="21"/>
          <w:szCs w:val="21"/>
        </w:rPr>
        <w:t>d. Impose any restriction only on an individualized, documented clinical basis, making it least-restrictive and time-limited.</w:t>
      </w:r>
    </w:p>
    <w:p>
      <w:pPr>
        <w:pStyle w:val="Normal"/>
        <w:tabs>
          <w:tab w:val="left" w:pos="720" w:leader="none"/>
        </w:tabs>
        <w:spacing w:lineRule="exact" w:line="264" w:before="0" w:after="80"/>
        <w:ind w:hanging="360" w:start="720"/>
        <w:rPr/>
      </w:pPr>
      <w:r>
        <w:rPr>
          <w:rFonts w:eastAsia="Arial" w:cs="Arial"/>
          <w:sz w:val="21"/>
          <w:szCs w:val="21"/>
        </w:rPr>
        <w:t>e. Inform the individual of the reason, duration, and review process, and document accordingly.</w:t>
      </w:r>
    </w:p>
    <w:p>
      <w:pPr>
        <w:pStyle w:val="Normal"/>
        <w:tabs>
          <w:tab w:val="left" w:pos="720" w:leader="none"/>
        </w:tabs>
        <w:spacing w:lineRule="exact" w:line="264" w:before="0" w:after="80"/>
        <w:ind w:hanging="360" w:start="720"/>
        <w:rPr/>
      </w:pPr>
      <w:r>
        <w:rPr>
          <w:rFonts w:eastAsia="Arial" w:cs="Arial"/>
          <w:sz w:val="21"/>
          <w:szCs w:val="21"/>
        </w:rPr>
        <w:t>f. Review restrictions at defined intervals and remove them as soon as they are no longer clinically justified.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Visitation &amp; Communication Guidelines</w:t>
      </w:r>
    </w:p>
    <w:p>
      <w:pPr>
        <w:pStyle w:val="ListParagraph"/>
        <w:numPr>
          <w:ilvl w:val="0"/>
          <w:numId w:val="1"/>
        </w:numPr>
        <w:spacing w:lineRule="exact" w:line="264" w:before="0" w:after="60"/>
        <w:rPr/>
      </w:pPr>
      <w:r>
        <w:rPr>
          <w:rFonts w:eastAsia="Arial" w:cs="Arial"/>
          <w:sz w:val="21"/>
          <w:szCs w:val="21"/>
        </w:rPr>
        <w:t>Individualized Restriction &amp; Review Record</w:t>
      </w:r>
    </w:p>
    <w:p>
      <w:pPr>
        <w:pStyle w:val="ListParagraph"/>
        <w:numPr>
          <w:ilvl w:val="0"/>
          <w:numId w:val="1"/>
        </w:numPr>
        <w:spacing w:lineRule="exact" w:line="264" w:before="0" w:after="60"/>
        <w:rPr/>
      </w:pPr>
      <w:r>
        <w:rPr>
          <w:rFonts w:eastAsia="Arial" w:cs="Arial"/>
          <w:sz w:val="21"/>
          <w:szCs w:val="21"/>
        </w:rPr>
        <w:t>Community-Access / Pass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RES-10  Resident Belongings, Searches &amp; Contraband</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RES-10  Resident Belongings, Searches &amp; Contraband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Residential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5; Ch. 2 (individual rights,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individuals’ personal property while maintaining a safe environment through reasonable, rights-respecting handling of belongings, searches, and contraband.</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intake, storage, and return of personal belongings and to any search or contraband procedures in the residential setting.</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Contraband — items that are prohibited in the residential setting or that pose a safety risk, as defined in the program’s written guidelines.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Individuals may keep personal belongings consistent with safety and program guidelines, and the program safeguards property placed in its care. Any search of a person, belongings, or living area is conducted only on a reasonable, documented safety basis, in the least-intrusive manner necessary, with respect for dignity and privacy, and consistent with individual rights. Contraband is handled and documented under written procedures. Searches and belonging restrictions are never used as punishment.</w:t>
      </w:r>
    </w:p>
    <w:p>
      <w:pPr>
        <w:pStyle w:val="Normal"/>
        <w:spacing w:lineRule="exact" w:line="276" w:before="0" w:after="120"/>
        <w:rPr/>
      </w:pPr>
      <w:r>
        <w:rPr>
          <w:rFonts w:eastAsia="Arial" w:cs="Arial"/>
          <w:sz w:val="21"/>
          <w:szCs w:val="21"/>
        </w:rPr>
        <w:t>Individuals are informed on admission of what may be kept, how property is stored, and the circumstances and manner of any search.</w:t>
      </w:r>
    </w:p>
    <w:p>
      <w:pPr>
        <w:pStyle w:val="Normal"/>
        <w:pBdr>
          <w:bottom w:val="single" w:sz="4" w:space="1" w:color="2E5E45"/>
        </w:pBdr>
        <w:spacing w:before="160" w:after="80"/>
        <w:rPr/>
      </w:pPr>
      <w:r>
        <w:rPr>
          <w:rFonts w:eastAsia="Arial" w:cs="Arial"/>
          <w:b/>
          <w:bCs/>
          <w:color w:val="1A4731"/>
          <w:sz w:val="20"/>
          <w:szCs w:val="20"/>
        </w:rPr>
        <w:t>PROCEDURE — BELONGINGS</w:t>
      </w:r>
    </w:p>
    <w:p>
      <w:pPr>
        <w:pStyle w:val="Normal"/>
        <w:tabs>
          <w:tab w:val="left" w:pos="720" w:leader="none"/>
        </w:tabs>
        <w:spacing w:lineRule="exact" w:line="264" w:before="0" w:after="80"/>
        <w:ind w:hanging="360" w:start="720"/>
        <w:rPr/>
      </w:pPr>
      <w:r>
        <w:rPr>
          <w:rFonts w:eastAsia="Arial" w:cs="Arial"/>
          <w:sz w:val="21"/>
          <w:szCs w:val="21"/>
        </w:rPr>
        <w:t>a. Inventory and securely store belongings that are kept in the program’s care, and document their return at discharge.</w:t>
      </w:r>
    </w:p>
    <w:p>
      <w:pPr>
        <w:pStyle w:val="Normal"/>
        <w:tabs>
          <w:tab w:val="left" w:pos="720" w:leader="none"/>
        </w:tabs>
        <w:spacing w:lineRule="exact" w:line="264" w:before="0" w:after="80"/>
        <w:ind w:hanging="360" w:start="720"/>
        <w:rPr/>
      </w:pPr>
      <w:r>
        <w:rPr>
          <w:rFonts w:eastAsia="Arial" w:cs="Arial"/>
          <w:sz w:val="21"/>
          <w:szCs w:val="21"/>
        </w:rPr>
        <w:t>b. Inform individuals of allowable items and the reasons any items are restricted.</w:t>
      </w:r>
    </w:p>
    <w:p>
      <w:pPr>
        <w:pStyle w:val="Normal"/>
        <w:tabs>
          <w:tab w:val="left" w:pos="720" w:leader="none"/>
        </w:tabs>
        <w:spacing w:lineRule="exact" w:line="264" w:before="0" w:after="80"/>
        <w:ind w:hanging="360" w:start="720"/>
        <w:rPr/>
      </w:pPr>
      <w:r>
        <w:rPr>
          <w:rFonts w:eastAsia="Arial" w:cs="Arial"/>
          <w:sz w:val="21"/>
          <w:szCs w:val="21"/>
        </w:rPr>
        <w:t>c. Protect against loss or damage of property in the program’s care and address reported loss.</w:t>
      </w:r>
    </w:p>
    <w:p>
      <w:pPr>
        <w:pStyle w:val="Normal"/>
        <w:pBdr>
          <w:bottom w:val="single" w:sz="4" w:space="1" w:color="2E5E45"/>
        </w:pBdr>
        <w:spacing w:before="160" w:after="80"/>
        <w:rPr/>
      </w:pPr>
      <w:r>
        <w:rPr>
          <w:rFonts w:eastAsia="Arial" w:cs="Arial"/>
          <w:b/>
          <w:bCs/>
          <w:color w:val="1A4731"/>
          <w:sz w:val="20"/>
          <w:szCs w:val="20"/>
        </w:rPr>
        <w:t>PROCEDURE — SEARCHES &amp; CONTRABAND</w:t>
      </w:r>
    </w:p>
    <w:p>
      <w:pPr>
        <w:pStyle w:val="Normal"/>
        <w:tabs>
          <w:tab w:val="left" w:pos="720" w:leader="none"/>
        </w:tabs>
        <w:spacing w:lineRule="exact" w:line="264" w:before="0" w:after="80"/>
        <w:ind w:hanging="360" w:start="720"/>
        <w:rPr/>
      </w:pPr>
      <w:r>
        <w:rPr>
          <w:rFonts w:eastAsia="Arial" w:cs="Arial"/>
          <w:sz w:val="21"/>
          <w:szCs w:val="21"/>
        </w:rPr>
        <w:t>d. Conduct any search only on a reasonable, documented safety basis, in the least-intrusive manner, respecting dignity and privacy.</w:t>
      </w:r>
    </w:p>
    <w:p>
      <w:pPr>
        <w:pStyle w:val="Normal"/>
        <w:tabs>
          <w:tab w:val="left" w:pos="720" w:leader="none"/>
        </w:tabs>
        <w:spacing w:lineRule="exact" w:line="264" w:before="0" w:after="80"/>
        <w:ind w:hanging="360" w:start="720"/>
        <w:rPr/>
      </w:pPr>
      <w:r>
        <w:rPr>
          <w:rFonts w:eastAsia="Arial" w:cs="Arial"/>
          <w:sz w:val="21"/>
          <w:szCs w:val="21"/>
        </w:rPr>
        <w:t>e. Document the basis, scope, personnel, and outcome of any search.</w:t>
      </w:r>
    </w:p>
    <w:p>
      <w:pPr>
        <w:pStyle w:val="Normal"/>
        <w:tabs>
          <w:tab w:val="left" w:pos="720" w:leader="none"/>
        </w:tabs>
        <w:spacing w:lineRule="exact" w:line="264" w:before="0" w:after="80"/>
        <w:ind w:hanging="360" w:start="720"/>
        <w:rPr/>
      </w:pPr>
      <w:r>
        <w:rPr>
          <w:rFonts w:eastAsia="Arial" w:cs="Arial"/>
          <w:sz w:val="21"/>
          <w:szCs w:val="21"/>
        </w:rPr>
        <w:t>f. Handle, store, and dispose of contraband under written procedures, and involve law enforcement where required.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Personal Belongings Inventory &amp; Return Record</w:t>
      </w:r>
    </w:p>
    <w:p>
      <w:pPr>
        <w:pStyle w:val="ListParagraph"/>
        <w:numPr>
          <w:ilvl w:val="0"/>
          <w:numId w:val="1"/>
        </w:numPr>
        <w:spacing w:lineRule="exact" w:line="264" w:before="0" w:after="60"/>
        <w:rPr/>
      </w:pPr>
      <w:r>
        <w:rPr>
          <w:rFonts w:eastAsia="Arial" w:cs="Arial"/>
          <w:sz w:val="21"/>
          <w:szCs w:val="21"/>
        </w:rPr>
        <w:t>Allowable Items &amp; Contraband Guidelines</w:t>
      </w:r>
    </w:p>
    <w:p>
      <w:pPr>
        <w:pStyle w:val="ListParagraph"/>
        <w:numPr>
          <w:ilvl w:val="0"/>
          <w:numId w:val="1"/>
        </w:numPr>
        <w:spacing w:lineRule="exact" w:line="264" w:before="0" w:after="60"/>
        <w:rPr/>
      </w:pPr>
      <w:r>
        <w:rPr>
          <w:rFonts w:eastAsia="Arial" w:cs="Arial"/>
          <w:sz w:val="21"/>
          <w:szCs w:val="21"/>
        </w:rPr>
        <w:t>Search &amp; Contraband Documentation Form</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RES-11  Nutrition &amp; Food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RES-11  Nutrition &amp; Food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Residential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5; Ch. 2 (safety, infection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individuals in 24-hour residential care receive adequate, safe nutrition that accommodates dietary needs.</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the provision, preparation, and service of food in the residential setting.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residential program provides regular, nutritionally adequate meals and reasonable access to food consistent with a 24-hour living environment, and accommodates documented dietary needs, allergies, and preferences, including medical, religious, and cultural needs. Food is prepared, stored, and served under safe and sanitary conditions consistent with the base manual’s safety and infection-control policies and applicable food-safety requirements.</w:t>
      </w:r>
    </w:p>
    <w:p>
      <w:pPr>
        <w:pStyle w:val="Normal"/>
        <w:spacing w:lineRule="exact" w:line="276" w:before="0" w:after="120"/>
        <w:rPr/>
      </w:pPr>
      <w:r>
        <w:rPr>
          <w:rFonts w:eastAsia="Arial" w:cs="Arial"/>
          <w:sz w:val="21"/>
          <w:szCs w:val="21"/>
        </w:rPr>
        <w:t>Dietary accommodations are documented in the individual record and communicated to staff who prepare or serve food.</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Provide regular meals and reasonable food access appropriate to the program and population.</w:t>
      </w:r>
    </w:p>
    <w:p>
      <w:pPr>
        <w:pStyle w:val="Normal"/>
        <w:tabs>
          <w:tab w:val="left" w:pos="720" w:leader="none"/>
        </w:tabs>
        <w:spacing w:lineRule="exact" w:line="264" w:before="0" w:after="80"/>
        <w:ind w:hanging="360" w:start="720"/>
        <w:rPr/>
      </w:pPr>
      <w:r>
        <w:rPr>
          <w:rFonts w:eastAsia="Arial" w:cs="Arial"/>
          <w:sz w:val="21"/>
          <w:szCs w:val="21"/>
        </w:rPr>
        <w:t>b. Identify and document dietary needs, allergies, and preferences on admission and accommodate them; communicate allergies clearly to food-service staff.</w:t>
      </w:r>
    </w:p>
    <w:p>
      <w:pPr>
        <w:pStyle w:val="Normal"/>
        <w:tabs>
          <w:tab w:val="left" w:pos="720" w:leader="none"/>
        </w:tabs>
        <w:spacing w:lineRule="exact" w:line="264" w:before="0" w:after="80"/>
        <w:ind w:hanging="360" w:start="720"/>
        <w:rPr/>
      </w:pPr>
      <w:r>
        <w:rPr>
          <w:rFonts w:eastAsia="Arial" w:cs="Arial"/>
          <w:sz w:val="21"/>
          <w:szCs w:val="21"/>
        </w:rPr>
        <w:t>c. Prepare, store, and handle food under safe and sanitary conditions consistent with applicable food-safety requirements.</w:t>
      </w:r>
    </w:p>
    <w:p>
      <w:pPr>
        <w:pStyle w:val="Normal"/>
        <w:tabs>
          <w:tab w:val="left" w:pos="720" w:leader="none"/>
        </w:tabs>
        <w:spacing w:lineRule="exact" w:line="264" w:before="0" w:after="80"/>
        <w:ind w:hanging="360" w:start="720"/>
        <w:rPr/>
      </w:pPr>
      <w:r>
        <w:rPr>
          <w:rFonts w:eastAsia="Arial" w:cs="Arial"/>
          <w:sz w:val="21"/>
          <w:szCs w:val="21"/>
        </w:rPr>
        <w:t>d. Address individual concerns about food and adjust accommodations as needs change.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Dietary Needs &amp; Allergy Record</w:t>
      </w:r>
    </w:p>
    <w:p>
      <w:pPr>
        <w:pStyle w:val="ListParagraph"/>
        <w:numPr>
          <w:ilvl w:val="0"/>
          <w:numId w:val="1"/>
        </w:numPr>
        <w:spacing w:lineRule="exact" w:line="264" w:before="0" w:after="60"/>
        <w:rPr/>
      </w:pPr>
      <w:r>
        <w:rPr>
          <w:rFonts w:eastAsia="Arial" w:cs="Arial"/>
          <w:sz w:val="21"/>
          <w:szCs w:val="21"/>
        </w:rPr>
        <w:t>Meal / Menu Plan</w:t>
      </w:r>
    </w:p>
    <w:p>
      <w:pPr>
        <w:pStyle w:val="ListParagraph"/>
        <w:numPr>
          <w:ilvl w:val="0"/>
          <w:numId w:val="1"/>
        </w:numPr>
        <w:spacing w:lineRule="exact" w:line="264" w:before="0" w:after="60"/>
        <w:rPr/>
      </w:pPr>
      <w:r>
        <w:rPr>
          <w:rFonts w:eastAsia="Arial" w:cs="Arial"/>
          <w:sz w:val="21"/>
          <w:szCs w:val="21"/>
        </w:rPr>
        <w:t>Food-Safety &amp; Sanitation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RES-12  Discharge, Transfer &amp; Continuing Care from Residential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RES-12  Discharge, Transfer &amp; Continuing Care from Residential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Residential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2 CCR 502-1, Ch. 5; Ch. 2 (discharge/transition, continuity)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safe, planned discharges and transfers from residential care with continuity to the next level of care.</w:t>
      </w:r>
    </w:p>
    <w:p>
      <w:pPr>
        <w:pStyle w:val="Normal"/>
        <w:pBdr>
          <w:bottom w:val="single" w:sz="4" w:space="1" w:color="2E5E45"/>
        </w:pBdr>
        <w:spacing w:before="160" w:after="80"/>
        <w:rPr/>
      </w:pPr>
      <w:r>
        <w:rPr>
          <w:rFonts w:eastAsia="Arial" w:cs="Arial"/>
          <w:b/>
          <w:bCs/>
          <w:color w:val="1A4731"/>
          <w:sz w:val="20"/>
          <w:szCs w:val="20"/>
        </w:rPr>
        <w:t>SCOPE</w:t>
      </w:r>
    </w:p>
    <w:p>
      <w:pPr>
        <w:pStyle w:val="Normal"/>
        <w:spacing w:lineRule="exact" w:line="276" w:before="0" w:after="120"/>
        <w:rPr/>
      </w:pPr>
      <w:r>
        <w:rPr>
          <w:rFonts w:eastAsia="Arial" w:cs="Arial"/>
          <w:sz w:val="21"/>
          <w:szCs w:val="21"/>
        </w:rPr>
        <w:t>This policy applies to all planned discharges, transfers, and against-advice or administrative departures from residential and withdrawal management services.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Discharge and transition planning begins at admission and continues throughout the stay. Individuals are stepped down or transferred when a lower or different level of care can safely meet their needs, with a documented discharge plan, appropriate referrals and warm hand-offs, medication reconciliation, and a crisis/safety plan. The program manages against-medical-advice and administrative discharges in a way that protects safety and rights and, where appropriate, offers continued engagement.</w:t>
      </w:r>
    </w:p>
    <w:p>
      <w:pPr>
        <w:pStyle w:val="Normal"/>
        <w:spacing w:lineRule="exact" w:line="276" w:before="0" w:after="120"/>
        <w:rPr/>
      </w:pPr>
      <w:r>
        <w:rPr>
          <w:rFonts w:eastAsia="Arial" w:cs="Arial"/>
          <w:sz w:val="21"/>
          <w:szCs w:val="21"/>
        </w:rPr>
        <w:t>Disclosures at transition follow confidentiality requirements, including 42 CFR Part 2 for substance use records.</w:t>
      </w:r>
    </w:p>
    <w:p>
      <w:pPr>
        <w:pStyle w:val="Normal"/>
        <w:pBdr>
          <w:bottom w:val="single" w:sz="4" w:space="1" w:color="2E5E45"/>
        </w:pBdr>
        <w:spacing w:before="160" w:after="80"/>
        <w:rPr/>
      </w:pPr>
      <w:r>
        <w:rPr>
          <w:rFonts w:eastAsia="Arial" w:cs="Arial"/>
          <w:b/>
          <w:bCs/>
          <w:color w:val="1A4731"/>
          <w:sz w:val="20"/>
          <w:szCs w:val="20"/>
        </w:rPr>
        <w:t>PROCEDURE — PLANNED DISCHARGE &amp; TRANSFER</w:t>
      </w:r>
    </w:p>
    <w:p>
      <w:pPr>
        <w:pStyle w:val="Normal"/>
        <w:tabs>
          <w:tab w:val="left" w:pos="720" w:leader="none"/>
        </w:tabs>
        <w:spacing w:lineRule="exact" w:line="264" w:before="0" w:after="80"/>
        <w:ind w:hanging="360" w:start="720"/>
        <w:rPr/>
      </w:pPr>
      <w:r>
        <w:rPr>
          <w:rFonts w:eastAsia="Arial" w:cs="Arial"/>
          <w:sz w:val="21"/>
          <w:szCs w:val="21"/>
        </w:rPr>
        <w:t>a. Develop and update a discharge plan throughout the stay, addressing the next level of care, referrals, medications, supports, and follow-up.</w:t>
      </w:r>
    </w:p>
    <w:p>
      <w:pPr>
        <w:pStyle w:val="Normal"/>
        <w:tabs>
          <w:tab w:val="left" w:pos="720" w:leader="none"/>
        </w:tabs>
        <w:spacing w:lineRule="exact" w:line="264" w:before="0" w:after="80"/>
        <w:ind w:hanging="360" w:start="720"/>
        <w:rPr/>
      </w:pPr>
      <w:r>
        <w:rPr>
          <w:rFonts w:eastAsia="Arial" w:cs="Arial"/>
          <w:sz w:val="21"/>
          <w:szCs w:val="21"/>
        </w:rPr>
        <w:t>b. Complete medication reconciliation at discharge and provide the individual with the information they need to continue care.</w:t>
      </w:r>
    </w:p>
    <w:p>
      <w:pPr>
        <w:pStyle w:val="Normal"/>
        <w:tabs>
          <w:tab w:val="left" w:pos="720" w:leader="none"/>
        </w:tabs>
        <w:spacing w:lineRule="exact" w:line="264" w:before="0" w:after="80"/>
        <w:ind w:hanging="360" w:start="720"/>
        <w:rPr/>
      </w:pPr>
      <w:r>
        <w:rPr>
          <w:rFonts w:eastAsia="Arial" w:cs="Arial"/>
          <w:sz w:val="21"/>
          <w:szCs w:val="21"/>
        </w:rPr>
        <w:t>c. Coordinate warm hand-offs and, with consent, share necessary information with continuing providers under applicable confidentiality rules.</w:t>
      </w:r>
    </w:p>
    <w:p>
      <w:pPr>
        <w:pStyle w:val="Normal"/>
        <w:tabs>
          <w:tab w:val="left" w:pos="720" w:leader="none"/>
        </w:tabs>
        <w:spacing w:lineRule="exact" w:line="264" w:before="0" w:after="80"/>
        <w:ind w:hanging="360" w:start="720"/>
        <w:rPr/>
      </w:pPr>
      <w:r>
        <w:rPr>
          <w:rFonts w:eastAsia="Arial" w:cs="Arial"/>
          <w:sz w:val="21"/>
          <w:szCs w:val="21"/>
        </w:rPr>
        <w:t>d. Provide or update a crisis/safety plan and confirm the individual knows how to access crisis services (including 988 and Colorado Crisis Services).</w:t>
      </w:r>
    </w:p>
    <w:p>
      <w:pPr>
        <w:pStyle w:val="Normal"/>
        <w:pBdr>
          <w:bottom w:val="single" w:sz="4" w:space="1" w:color="2E5E45"/>
        </w:pBdr>
        <w:spacing w:before="160" w:after="80"/>
        <w:rPr/>
      </w:pPr>
      <w:r>
        <w:rPr>
          <w:rFonts w:eastAsia="Arial" w:cs="Arial"/>
          <w:b/>
          <w:bCs/>
          <w:color w:val="1A4731"/>
          <w:sz w:val="20"/>
          <w:szCs w:val="20"/>
        </w:rPr>
        <w:t>PROCEDURE — AMA &amp; ADMINISTRATIVE DISCHARGE</w:t>
      </w:r>
    </w:p>
    <w:p>
      <w:pPr>
        <w:pStyle w:val="Normal"/>
        <w:tabs>
          <w:tab w:val="left" w:pos="720" w:leader="none"/>
        </w:tabs>
        <w:spacing w:lineRule="exact" w:line="264" w:before="0" w:after="80"/>
        <w:ind w:hanging="360" w:start="720"/>
        <w:rPr/>
      </w:pPr>
      <w:r>
        <w:rPr>
          <w:rFonts w:eastAsia="Arial" w:cs="Arial"/>
          <w:sz w:val="21"/>
          <w:szCs w:val="21"/>
        </w:rPr>
        <w:t>e. For departures against advice, document the discussion of risks and alternatives and offer continued engagement and crisis resources.</w:t>
      </w:r>
    </w:p>
    <w:p>
      <w:pPr>
        <w:pStyle w:val="Normal"/>
        <w:tabs>
          <w:tab w:val="left" w:pos="720" w:leader="none"/>
        </w:tabs>
        <w:spacing w:lineRule="exact" w:line="264" w:before="0" w:after="80"/>
        <w:ind w:hanging="360" w:start="720"/>
        <w:rPr/>
      </w:pPr>
      <w:r>
        <w:rPr>
          <w:rFonts w:eastAsia="Arial" w:cs="Arial"/>
          <w:sz w:val="21"/>
          <w:szCs w:val="21"/>
        </w:rPr>
        <w:t>f. Conduct administrative discharges only under defined criteria that protect safety and rights, with documentation and, where indicated, assistance with linkage to other care.</w:t>
      </w:r>
    </w:p>
    <w:p>
      <w:pPr>
        <w:pStyle w:val="Normal"/>
        <w:tabs>
          <w:tab w:val="left" w:pos="720" w:leader="none"/>
        </w:tabs>
        <w:spacing w:lineRule="exact" w:line="264" w:before="0" w:after="80"/>
        <w:ind w:hanging="360" w:start="720"/>
        <w:rPr/>
      </w:pPr>
      <w:r>
        <w:rPr>
          <w:rFonts w:eastAsia="Arial" w:cs="Arial"/>
          <w:sz w:val="21"/>
          <w:szCs w:val="21"/>
        </w:rPr>
        <w:t>g. Notify supports and other providers as consent and safety require.</w:t>
      </w:r>
    </w:p>
    <w:p>
      <w:pPr>
        <w:pStyle w:val="Normal"/>
        <w:pBdr>
          <w:bottom w:val="single" w:sz="4" w:space="1" w:color="2E5E45"/>
        </w:pBdr>
        <w:spacing w:before="160" w:after="80"/>
        <w:rPr/>
      </w:pPr>
      <w:r>
        <w:rPr>
          <w:rFonts w:eastAsia="Arial" w:cs="Arial"/>
          <w:b/>
          <w:bCs/>
          <w:color w:val="1A4731"/>
          <w:sz w:val="20"/>
          <w:szCs w:val="20"/>
        </w:rPr>
        <w:t>DOCUMENTATION &amp; OVERSIGHT</w:t>
      </w:r>
    </w:p>
    <w:p>
      <w:pPr>
        <w:pStyle w:val="Normal"/>
        <w:spacing w:lineRule="exact" w:line="276" w:before="0" w:after="120"/>
        <w:rPr/>
      </w:pPr>
      <w:r>
        <w:rPr>
          <w:rFonts w:eastAsia="Arial" w:cs="Arial"/>
          <w:sz w:val="21"/>
          <w:szCs w:val="21"/>
        </w:rPr>
        <w:t>Discharge plans, reconciliations, referrals, and transitions are documented in the individual record. The quality program monitors discharge outcomes, readmissions, and against-advice departures.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Discharge / Transition Plan</w:t>
      </w:r>
    </w:p>
    <w:p>
      <w:pPr>
        <w:pStyle w:val="ListParagraph"/>
        <w:numPr>
          <w:ilvl w:val="0"/>
          <w:numId w:val="1"/>
        </w:numPr>
        <w:spacing w:lineRule="exact" w:line="264" w:before="0" w:after="60"/>
        <w:rPr/>
      </w:pPr>
      <w:r>
        <w:rPr>
          <w:rFonts w:eastAsia="Arial" w:cs="Arial"/>
          <w:sz w:val="21"/>
          <w:szCs w:val="21"/>
        </w:rPr>
        <w:t>Discharge Medication Reconciliation</w:t>
      </w:r>
    </w:p>
    <w:p>
      <w:pPr>
        <w:pStyle w:val="ListParagraph"/>
        <w:numPr>
          <w:ilvl w:val="0"/>
          <w:numId w:val="1"/>
        </w:numPr>
        <w:spacing w:lineRule="exact" w:line="264" w:before="0" w:after="60"/>
        <w:rPr/>
      </w:pPr>
      <w:r>
        <w:rPr>
          <w:rFonts w:eastAsia="Arial" w:cs="Arial"/>
          <w:sz w:val="21"/>
          <w:szCs w:val="21"/>
        </w:rPr>
        <w:t>Referral &amp; Warm Hand-Off Record</w:t>
      </w:r>
    </w:p>
    <w:p>
      <w:pPr>
        <w:pStyle w:val="ListParagraph"/>
        <w:numPr>
          <w:ilvl w:val="0"/>
          <w:numId w:val="1"/>
        </w:numPr>
        <w:spacing w:lineRule="exact" w:line="264" w:before="0" w:after="60"/>
        <w:rPr/>
      </w:pPr>
      <w:r>
        <w:rPr>
          <w:rFonts w:eastAsia="Arial" w:cs="Arial"/>
          <w:sz w:val="21"/>
          <w:szCs w:val="21"/>
        </w:rPr>
        <w:t>AMA / Administrative Discharge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 Using This Add-On</w:t>
      </w:r>
    </w:p>
    <w:p>
      <w:pPr>
        <w:pStyle w:val="Normal"/>
        <w:spacing w:lineRule="exact" w:line="276" w:before="0" w:after="120"/>
        <w:rPr/>
      </w:pPr>
      <w:r>
        <w:rPr>
          <w:rFonts w:eastAsia="Arial" w:cs="Arial"/>
          <w:sz w:val="21"/>
          <w:szCs w:val="21"/>
        </w:rPr>
        <w:t>This add-on supplements the CO BHE Base Manual for organizations holding a residential and/or Level 3 withdrawal management endorsement. Adopt the base manual first, then incorporate these policies. Where a topic appears in both, apply both and follow the more specific requirement.</w:t>
      </w:r>
    </w:p>
    <w:p>
      <w:pPr>
        <w:pStyle w:val="Normal"/>
        <w:spacing w:lineRule="exact" w:line="276" w:before="0" w:after="120"/>
        <w:rPr/>
      </w:pPr>
      <w:r>
        <w:rPr>
          <w:rFonts w:eastAsia="Arial" w:cs="Arial"/>
          <w:sz w:val="21"/>
          <w:szCs w:val="21"/>
        </w:rPr>
        <w:t>Confirm the current version of 2 CCR 502-1, Chapter 5 before adopting, and confirm the placement-criteria requirement that applies to your program — Colorado is aligning level-of-care determinations with the ASAM Criteria, 4th Edition, with an alignment date of July 1, 2027. Have qualified Colorado counsel or a compliance professional review the combined manual against your license and endorsements.</w:t>
      </w:r>
    </w:p>
    <w:p>
      <w:pPr>
        <w:pStyle w:val="Normal"/>
        <w:spacing w:lineRule="exact" w:line="276" w:before="0" w:after="120"/>
        <w:rPr/>
      </w:pPr>
      <w:r>
        <w:rPr>
          <w:rFonts w:eastAsia="Arial" w:cs="Arial"/>
          <w:sz w:val="21"/>
          <w:szCs w:val="21"/>
        </w:rPr>
        <w:t>Additional residential forms referenced here — Residential Service Description &amp; Program Statement, Shift Staffing Plan &amp; Coverage Schedule, Shift Handoff Log, On-Call &amp; Emergency Contact Roster, Level-of-Care / Placement-Criteria Determination, Residential Admission Checklist &amp; Consents, Continued-Stay Review, Medication Reconciliation, Staffing &amp; Acuity records, Withdrawal-Risk Assessment, Withdrawal Monitoring Flowsheet, Withdrawal-Management Medication Record, Escalation / Transfer Protocol, Medication Administration Record, Controlled-Substance Count Log, Health Screening &amp; Monitoring, Nursing / Medical Consultation Log, Medical Referral &amp; Follow-Up, Environmental Safety Rounds, Overnight Safety-Check Log, Daily / Weekly Program Schedule, Programming Participation, Visitation &amp; Communication Guidelines, Individualized Restriction &amp; Review, Personal Belongings Inventory, Search &amp; Contraband Documentation, Dietary Needs &amp; Allergy Record, Meal / Menu Plan, Discharge / Transition Plan, and AMA / Administrative Discharge Documentation — supplement the base manual’s Required Forms Checklist.</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CO BHE — Residential &amp; Withdrawal Mgmt Add-On</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CO BHE — Residential &amp; Withdrawal Mgmt Add-On</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2026-07-02T02:46:08Z</dcterms:created>
  <dc:creator>PolicyReady.org</dc:creator>
  <dc:description/>
  <dc:language>en-US</dc:language>
  <cp:lastModifiedBy>Un-named</cp:lastModifiedBy>
  <dcterms:modified xsi:type="dcterms:W3CDTF">2026-07-02T02:46:08Z</dcterms:modified>
  <cp:revision>1</cp:revision>
  <dc:subject/>
  <dc:title>Colorado BHE — Residential &amp; Level 3 Withdrawal Management Endorsement Add-On</dc:title>
</cp:coreProperties>
</file>