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COLORADO</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Behavioral Health Entity (BHE) — Base Manual</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[BHE License / Endorsement Number(s)]</w:t>
      </w:r>
    </w:p>
    <w:p>
      <w:pPr>
        <w:pStyle w:val="Normal"/>
        <w:spacing w:before="1600" w:after="0"/>
        <w:jc w:val="center"/>
        <w:rPr/>
      </w:pPr>
      <w:r>
        <w:rPr>
          <w:rFonts w:eastAsia="Arial" w:cs="Arial"/>
          <w:color w:val="666666"/>
          <w:sz w:val="18"/>
          <w:szCs w:val="18"/>
        </w:rPr>
        <w:t>Aligned to 2 CCR 502-1, Chapter 2 (General BHE Licensing Standards)</w:t>
      </w:r>
    </w:p>
    <w:p>
      <w:pPr>
        <w:pStyle w:val="Normal"/>
        <w:spacing w:before="60" w:after="0"/>
        <w:jc w:val="center"/>
        <w:rPr/>
      </w:pPr>
      <w:r>
        <w:rPr>
          <w:rFonts w:eastAsia="Arial" w:cs="Arial"/>
          <w:color w:val="666666"/>
          <w:sz w:val="18"/>
          <w:szCs w:val="18"/>
        </w:rPr>
        <w:t>Colorado Behavioral Health Administration (BHA)</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Colorado Behavioral Health Entity (BHE). It is built to the general BHE licensing standards in the Behavioral Health Administration (BHA) Provider Rules at 2 CCR 502-1, Chapter 2 — the requirements every licensed BHE must meet regardless of the specific services it delivers — and it is organized to also support alignment with nationally recognized accreditation frameworks.</w:t>
      </w:r>
    </w:p>
    <w:p>
      <w:pPr>
        <w:pStyle w:val="Normal"/>
        <w:spacing w:lineRule="exact" w:line="276" w:before="0" w:after="120"/>
        <w:rPr/>
      </w:pPr>
      <w:r>
        <w:rPr>
          <w:rFonts w:eastAsia="Arial" w:cs="Arial"/>
          <w:sz w:val="21"/>
          <w:szCs w:val="21"/>
        </w:rPr>
        <w:t>This is the base manual. Colorado licenses a BHE as a single license with one or more endorsements, and each endorsement carries its own service-specific rules. The requirements that apply to a particular service — outpatient and high-intensity outpatient (Chapter 4), residential and withdrawal management (Chapter 5), and emergency and crisis services (Chapter 6) — are provided as separate endorsement add-on modules that supplement this base. Adopt this base manual, then add the module for each endorsement your BHE holds. Where the base and an add-on address the same topic, apply both, and follow the more specific requirement.</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administrator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organization’s information, and review each policy against your actual operations and your BHA license and endorsements before adopting.</w:t>
      </w:r>
    </w:p>
    <w:p>
      <w:pPr>
        <w:pStyle w:val="Normal"/>
        <w:spacing w:lineRule="exact" w:line="276" w:before="0" w:after="120"/>
        <w:rPr/>
      </w:pPr>
      <w:r>
        <w:rPr>
          <w:rFonts w:eastAsia="Arial" w:cs="Arial"/>
          <w:sz w:val="21"/>
          <w:szCs w:val="21"/>
        </w:rPr>
        <w:t>A note on confidentiality. Behavioral health records are protected by HIPAA (45 CFR Parts 160 and 164) and, for substance use disorder treatment records, by the stricter federal rule at 42 CFR Part 2, as well as Colorado law. This manual is built with both in mind; the confidentiality, release-of-information, and records policies in Section E should be read closely and together.</w:t>
      </w:r>
    </w:p>
    <w:p>
      <w:pPr>
        <w:pStyle w:val="Normal"/>
        <w:spacing w:lineRule="exact" w:line="276" w:before="0" w:after="120"/>
        <w:rPr/>
      </w:pPr>
      <w:r>
        <w:rPr>
          <w:rFonts w:eastAsia="Arial" w:cs="Arial"/>
          <w:sz w:val="21"/>
          <w:szCs w:val="21"/>
        </w:rPr>
        <w:t>A note on the regulatory transition. Colorado is phasing out its legacy behavioral health licenses (substance use disorder treatment licenses, community mental health center and clinic designations) and consolidating them into the BHE license under the BHA. During the transition, 2 CCR 502-1 contains both structures; this manual is built to the current BHE framework. In addition, the BHA is aligning the residential and withdrawal-management rules to the ASAM 4th Edition with an effective date of July 1, 2027 (which chiefly affects the Residential &amp; Withdrawal Management add-on), and Colorado’s behavioral health utilization-review requirements under HB25-1002 take effect January 1, 2026. Confirm the current version of the rules before adopting.</w:t>
      </w:r>
    </w:p>
    <w:p>
      <w:pPr>
        <w:pStyle w:val="Normal"/>
        <w:spacing w:lineRule="exact" w:line="276" w:before="0" w:after="120"/>
        <w:rPr/>
      </w:pPr>
      <w:r>
        <w:rPr>
          <w:rFonts w:eastAsia="Arial" w:cs="Arial"/>
          <w:sz w:val="21"/>
          <w:szCs w:val="21"/>
        </w:rPr>
        <w:t>How to use it well. This template is intended to be adopted as the organization’s own manual after customization. It is written broadly enough to fit organizations of different sizes and service mixes; delete or adapt any provision that does not fit your operations, and add any provision your license, payers, or accreditor requires. Keep the manual under version control and review it on the cycle described in the document-control policy.</w:t>
      </w:r>
    </w:p>
    <w:p>
      <w:pPr>
        <w:pStyle w:val="Normal"/>
        <w:spacing w:lineRule="exact" w:line="276" w:before="0" w:after="120"/>
        <w:rPr/>
      </w:pPr>
      <w:r>
        <w:rPr>
          <w:rFonts w:eastAsia="Arial" w:cs="Arial"/>
          <w:sz w:val="21"/>
          <w:szCs w:val="21"/>
        </w:rPr>
        <w:t>This manual is a template and is not legal advice. Behavioral health licensing is detailed and changes frequently; the organization should have qualified Colorado counsel or a compliance professional review this manual against the current rules and the organization’s license before adoption.</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Governance &amp; Licensing</w:t>
      </w:r>
    </w:p>
    <w:p>
      <w:pPr>
        <w:pStyle w:val="Normal"/>
        <w:spacing w:lineRule="exact" w:line="288" w:before="0" w:after="240"/>
        <w:rPr/>
      </w:pPr>
      <w:r>
        <w:rPr>
          <w:rFonts w:eastAsia="Arial" w:cs="Arial"/>
          <w:color w:val="444444"/>
          <w:sz w:val="22"/>
          <w:szCs w:val="22"/>
        </w:rPr>
        <w:t>This section establishes how the Behavioral Health Entity is governed and stays compliant — its governing authority and oversight, its BHE license and endorsements, policy and document control, its compliance program and code of conduct, data reporting and the OwnPath directory, financial management, risk management, and contracted and coordinated services.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Body &amp;amp; Administrative Oversight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BHE Licensing, Endorsements &amp; Regulatory Compliance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Policy &amp; Procedure Management and Document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Compliance Program &amp; Code of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Data Reporting, Provider Directory &amp; Records to the BHA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Financial Management &amp; Fiscal Integrity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1.06  Risk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1.07  Contracted &amp; Coordinated Services</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Body &amp; Administrative Oversight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Body &amp; Administrative Oversight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(governance; administration); Title 27, Art. 50, C.R.S.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Behavioral Health Entity (BHE) so that services are delivered safely, lawfully, ethically, and consistent with the BHA Provider Rules at 2 CCR 502-1. This policy defines who holds ultimate authority for the organization, how that authority is delegated to operational leadership, and how the governing body exercises ongoing oversight of quality, compliance, and finances.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authority, the director/administrator, and all leadership personnel of the BHE, and it governs every service and location operated under the BHE license.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Governing Authority — the individual, board, or entity that holds final legal and fiduciary responsibility for the BHE.</w:t>
      </w:r>
    </w:p>
    <w:p>
      <w:pPr>
        <w:pStyle w:val="Normal"/>
        <w:spacing w:lineRule="exact" w:line="276" w:before="0" w:after="120"/>
        <w:rPr/>
      </w:pPr>
      <w:r>
        <w:rPr>
          <w:rFonts w:eastAsia="Arial" w:cs="Arial"/>
          <w:sz w:val="21"/>
          <w:szCs w:val="21"/>
        </w:rPr>
        <w:t>Director / Administrator — the qualified individual to whom the governing authority delegates responsibility for day-to-day operations and compliance.</w:t>
      </w:r>
    </w:p>
    <w:p>
      <w:pPr>
        <w:pStyle w:val="Normal"/>
        <w:spacing w:lineRule="exact" w:line="276" w:before="0" w:after="120"/>
        <w:rPr/>
      </w:pPr>
      <w:r>
        <w:rPr>
          <w:rFonts w:eastAsia="Arial" w:cs="Arial"/>
          <w:sz w:val="21"/>
          <w:szCs w:val="21"/>
        </w:rPr>
        <w:t>Delegation of Authority — a written description of which decisions rest with the governing authority and which are delegated to operational leadership.</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has an identified governing authority that holds ultimate responsibility for the organization’s operations, compliance, financial integrity, and the quality and safety of services. The governing authority establishes the organization’s mission, approves major policies, appoints a qualified director/administrator, and monitors organizational performance.</w:t>
      </w:r>
    </w:p>
    <w:p>
      <w:pPr>
        <w:pStyle w:val="Normal"/>
        <w:spacing w:lineRule="exact" w:line="276" w:before="0" w:after="120"/>
        <w:rPr/>
      </w:pPr>
      <w:r>
        <w:rPr>
          <w:rFonts w:eastAsia="Arial" w:cs="Arial"/>
          <w:sz w:val="21"/>
          <w:szCs w:val="21"/>
        </w:rPr>
        <w:t>The governing authority ensures the organization operates only within the scope of its BHE license and endorsements, maintains required registrations and insurance, and complies with applicable federal and state law. The governing authority meets on a regular schedule, documents its decisions, and reviews compliance, quality, risk, and financial information at defined intervals.</w:t>
      </w:r>
    </w:p>
    <w:p>
      <w:pPr>
        <w:pStyle w:val="Normal"/>
        <w:spacing w:lineRule="exact" w:line="276" w:before="0" w:after="120"/>
        <w:rPr/>
      </w:pPr>
      <w:r>
        <w:rPr>
          <w:rFonts w:eastAsia="Arial" w:cs="Arial"/>
          <w:sz w:val="21"/>
          <w:szCs w:val="21"/>
        </w:rPr>
        <w:t>Lines of authority, responsibility, and accountability are defined in writing so that every member of the workforce understands who they report to and who is responsible for each function.</w:t>
      </w:r>
    </w:p>
    <w:p>
      <w:pPr>
        <w:pStyle w:val="Normal"/>
        <w:pBdr>
          <w:bottom w:val="single" w:sz="4" w:space="1" w:color="2E5E45"/>
        </w:pBdr>
        <w:spacing w:before="160" w:after="80"/>
        <w:rPr/>
      </w:pPr>
      <w:r>
        <w:rPr>
          <w:rFonts w:eastAsia="Arial" w:cs="Arial"/>
          <w:b/>
          <w:bCs/>
          <w:color w:val="1A4731"/>
          <w:sz w:val="20"/>
          <w:szCs w:val="20"/>
        </w:rPr>
        <w:t>PROCEDURE — GOVERNANCE STRUCTURE &amp; DELEGATION</w:t>
      </w:r>
    </w:p>
    <w:p>
      <w:pPr>
        <w:pStyle w:val="Normal"/>
        <w:tabs>
          <w:tab w:val="left" w:pos="720" w:leader="none"/>
        </w:tabs>
        <w:spacing w:lineRule="exact" w:line="264" w:before="0" w:after="80"/>
        <w:ind w:hanging="360" w:start="720"/>
        <w:rPr/>
      </w:pPr>
      <w:r>
        <w:rPr>
          <w:rFonts w:eastAsia="Arial" w:cs="Arial"/>
          <w:sz w:val="21"/>
          <w:szCs w:val="21"/>
        </w:rPr>
        <w:t>a. Maintain a written description of the governance structure, an organizational chart, and the roles and responsibilities of the governing authority, the director/administrator, and key leadership positions.</w:t>
      </w:r>
    </w:p>
    <w:p>
      <w:pPr>
        <w:pStyle w:val="Normal"/>
        <w:tabs>
          <w:tab w:val="left" w:pos="720" w:leader="none"/>
        </w:tabs>
        <w:spacing w:lineRule="exact" w:line="264" w:before="0" w:after="80"/>
        <w:ind w:hanging="360" w:start="720"/>
        <w:rPr/>
      </w:pPr>
      <w:r>
        <w:rPr>
          <w:rFonts w:eastAsia="Arial" w:cs="Arial"/>
          <w:sz w:val="21"/>
          <w:szCs w:val="21"/>
        </w:rPr>
        <w:t>b. Document the delegation of authority from the governing authority to the director/administrator, including any limits on delegated authority.</w:t>
      </w:r>
    </w:p>
    <w:p>
      <w:pPr>
        <w:pStyle w:val="Normal"/>
        <w:tabs>
          <w:tab w:val="left" w:pos="720" w:leader="none"/>
        </w:tabs>
        <w:spacing w:lineRule="exact" w:line="264" w:before="0" w:after="80"/>
        <w:ind w:hanging="360" w:start="720"/>
        <w:rPr/>
      </w:pPr>
      <w:r>
        <w:rPr>
          <w:rFonts w:eastAsia="Arial" w:cs="Arial"/>
          <w:sz w:val="21"/>
          <w:szCs w:val="21"/>
        </w:rPr>
        <w:t>c. Appoint a qualified director/administrator and define the qualifications, duties, and reporting relationship for the position; ensure a plan exists for coverage during the director’s absence.</w:t>
      </w:r>
    </w:p>
    <w:p>
      <w:pPr>
        <w:pStyle w:val="Normal"/>
        <w:tabs>
          <w:tab w:val="left" w:pos="720" w:leader="none"/>
        </w:tabs>
        <w:spacing w:lineRule="exact" w:line="264" w:before="0" w:after="80"/>
        <w:ind w:hanging="360" w:start="720"/>
        <w:rPr/>
      </w:pPr>
      <w:r>
        <w:rPr>
          <w:rFonts w:eastAsia="Arial" w:cs="Arial"/>
          <w:sz w:val="21"/>
          <w:szCs w:val="21"/>
        </w:rPr>
        <w:t>d. Review and update the governance description upon any material change in ownership, structure, leadership, or license.</w:t>
      </w:r>
    </w:p>
    <w:p>
      <w:pPr>
        <w:pStyle w:val="Normal"/>
        <w:pBdr>
          <w:bottom w:val="single" w:sz="4" w:space="1" w:color="2E5E45"/>
        </w:pBdr>
        <w:spacing w:before="160" w:after="80"/>
        <w:rPr/>
      </w:pPr>
      <w:r>
        <w:rPr>
          <w:rFonts w:eastAsia="Arial" w:cs="Arial"/>
          <w:b/>
          <w:bCs/>
          <w:color w:val="1A4731"/>
          <w:sz w:val="20"/>
          <w:szCs w:val="20"/>
        </w:rPr>
        <w:t>PROCEDURE — ONGOING OVERSIGHT</w:t>
      </w:r>
    </w:p>
    <w:p>
      <w:pPr>
        <w:pStyle w:val="Normal"/>
        <w:tabs>
          <w:tab w:val="left" w:pos="720" w:leader="none"/>
        </w:tabs>
        <w:spacing w:lineRule="exact" w:line="264" w:before="0" w:after="80"/>
        <w:ind w:hanging="360" w:start="720"/>
        <w:rPr/>
      </w:pPr>
      <w:r>
        <w:rPr>
          <w:rFonts w:eastAsia="Arial" w:cs="Arial"/>
          <w:sz w:val="21"/>
          <w:szCs w:val="21"/>
        </w:rPr>
        <w:t>e. Establish a regular meeting schedule for the governing authority and keep minutes documenting decisions and oversight.</w:t>
      </w:r>
    </w:p>
    <w:p>
      <w:pPr>
        <w:pStyle w:val="Normal"/>
        <w:tabs>
          <w:tab w:val="left" w:pos="720" w:leader="none"/>
        </w:tabs>
        <w:spacing w:lineRule="exact" w:line="264" w:before="0" w:after="80"/>
        <w:ind w:hanging="360" w:start="720"/>
        <w:rPr/>
      </w:pPr>
      <w:r>
        <w:rPr>
          <w:rFonts w:eastAsia="Arial" w:cs="Arial"/>
          <w:sz w:val="21"/>
          <w:szCs w:val="21"/>
        </w:rPr>
        <w:t>f. Review, at defined intervals, quality and performance improvement data, critical incidents and trends, grievances, compliance reports, risk-management information, and financial performance.</w:t>
      </w:r>
    </w:p>
    <w:p>
      <w:pPr>
        <w:pStyle w:val="Normal"/>
        <w:tabs>
          <w:tab w:val="left" w:pos="720" w:leader="none"/>
        </w:tabs>
        <w:spacing w:lineRule="exact" w:line="264" w:before="0" w:after="80"/>
        <w:ind w:hanging="360" w:start="720"/>
        <w:rPr/>
      </w:pPr>
      <w:r>
        <w:rPr>
          <w:rFonts w:eastAsia="Arial" w:cs="Arial"/>
          <w:sz w:val="21"/>
          <w:szCs w:val="21"/>
        </w:rPr>
        <w:t>g. Ensure that identified problems are assigned to responsible individuals, that corrective actions are implemented, and that follow-up confirms the actions were effective.</w:t>
      </w:r>
    </w:p>
    <w:p>
      <w:pPr>
        <w:pStyle w:val="Normal"/>
        <w:tabs>
          <w:tab w:val="left" w:pos="720" w:leader="none"/>
        </w:tabs>
        <w:spacing w:lineRule="exact" w:line="264" w:before="0" w:after="80"/>
        <w:ind w:hanging="360" w:start="720"/>
        <w:rPr/>
      </w:pPr>
      <w:r>
        <w:rPr>
          <w:rFonts w:eastAsia="Arial" w:cs="Arial"/>
          <w:sz w:val="21"/>
          <w:szCs w:val="21"/>
        </w:rPr>
        <w:t>h. Maintain organizing documents (articles, bylaws or equivalent), current registrations to do business in Colorado, and current professional liability insurance; notify the BHA of changes in coverage, ownership, or control as required.</w:t>
      </w:r>
    </w:p>
    <w:p>
      <w:pPr>
        <w:pStyle w:val="Normal"/>
        <w:pBdr>
          <w:bottom w:val="single" w:sz="4" w:space="1" w:color="2E5E45"/>
        </w:pBdr>
        <w:spacing w:before="160" w:after="80"/>
        <w:rPr/>
      </w:pPr>
      <w:r>
        <w:rPr>
          <w:rFonts w:eastAsia="Arial" w:cs="Arial"/>
          <w:b/>
          <w:bCs/>
          <w:color w:val="1A4731"/>
          <w:sz w:val="20"/>
          <w:szCs w:val="20"/>
        </w:rPr>
        <w:t>PROCEDURE — SCOPE OF OPERATIONS</w:t>
      </w:r>
    </w:p>
    <w:p>
      <w:pPr>
        <w:pStyle w:val="Normal"/>
        <w:tabs>
          <w:tab w:val="left" w:pos="720" w:leader="none"/>
        </w:tabs>
        <w:spacing w:lineRule="exact" w:line="264" w:before="0" w:after="80"/>
        <w:ind w:hanging="360" w:start="720"/>
        <w:rPr/>
      </w:pPr>
      <w:r>
        <w:rPr>
          <w:rFonts w:eastAsia="Arial" w:cs="Arial"/>
          <w:sz w:val="21"/>
          <w:szCs w:val="21"/>
        </w:rPr>
        <w:t>i. Operate only within the services authorized by the BHE license and its endorsements; do not deliver a service that requires an endorsement the BHE does not hold.</w:t>
      </w:r>
    </w:p>
    <w:p>
      <w:pPr>
        <w:pStyle w:val="Normal"/>
        <w:tabs>
          <w:tab w:val="left" w:pos="720" w:leader="none"/>
        </w:tabs>
        <w:spacing w:lineRule="exact" w:line="264" w:before="0" w:after="80"/>
        <w:ind w:hanging="360" w:start="720"/>
        <w:rPr/>
      </w:pPr>
      <w:r>
        <w:rPr>
          <w:rFonts w:eastAsia="Arial" w:cs="Arial"/>
          <w:sz w:val="21"/>
          <w:szCs w:val="21"/>
        </w:rPr>
        <w:t>j. Adopt and maintain the endorsement-specific policies for each endorsement held, in addition to this base manual.</w:t>
      </w:r>
    </w:p>
    <w:p>
      <w:pPr>
        <w:pStyle w:val="Normal"/>
        <w:tabs>
          <w:tab w:val="left" w:pos="720" w:leader="none"/>
        </w:tabs>
        <w:spacing w:lineRule="exact" w:line="264" w:before="0" w:after="80"/>
        <w:ind w:hanging="360" w:start="720"/>
        <w:rPr/>
      </w:pPr>
      <w:r>
        <w:rPr>
          <w:rFonts w:eastAsia="Arial" w:cs="Arial"/>
          <w:sz w:val="21"/>
          <w:szCs w:val="21"/>
        </w:rPr>
        <w:t>k. Review this governance and oversight policy at least every three years and upon any material organizational change.</w:t>
      </w:r>
    </w:p>
    <w:p>
      <w:pPr>
        <w:pStyle w:val="Normal"/>
        <w:pBdr>
          <w:bottom w:val="single" w:sz="4" w:space="1" w:color="2E5E45"/>
        </w:pBdr>
        <w:spacing w:before="160" w:after="80"/>
        <w:rPr/>
      </w:pPr>
      <w:r>
        <w:rPr>
          <w:rFonts w:eastAsia="Arial" w:cs="Arial"/>
          <w:b/>
          <w:bCs/>
          <w:color w:val="1A4731"/>
          <w:sz w:val="20"/>
          <w:szCs w:val="20"/>
        </w:rPr>
        <w:t>DOCUMENTATION</w:t>
      </w:r>
    </w:p>
    <w:p>
      <w:pPr>
        <w:pStyle w:val="Normal"/>
        <w:spacing w:lineRule="exact" w:line="276" w:before="0" w:after="120"/>
        <w:rPr/>
      </w:pPr>
      <w:r>
        <w:rPr>
          <w:rFonts w:eastAsia="Arial" w:cs="Arial"/>
          <w:sz w:val="21"/>
          <w:szCs w:val="21"/>
        </w:rPr>
        <w:t>Retain the governance description, organizational chart, delegation of authority, governing-authority minutes, oversight reports, insurance and registration records, and license/endorsement documentation for the period required by the rules.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Governance Structure &amp; Authority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Delegation of Authority Record</w:t>
      </w:r>
    </w:p>
    <w:p>
      <w:pPr>
        <w:pStyle w:val="ListParagraph"/>
        <w:numPr>
          <w:ilvl w:val="0"/>
          <w:numId w:val="1"/>
        </w:numPr>
        <w:spacing w:lineRule="exact" w:line="264" w:before="0" w:after="60"/>
        <w:rPr/>
      </w:pPr>
      <w:r>
        <w:rPr>
          <w:rFonts w:eastAsia="Arial" w:cs="Arial"/>
          <w:sz w:val="21"/>
          <w:szCs w:val="21"/>
        </w:rPr>
        <w:t>Governing Authority Meeting Minutes Template</w:t>
      </w:r>
    </w:p>
    <w:p>
      <w:pPr>
        <w:pStyle w:val="ListParagraph"/>
        <w:numPr>
          <w:ilvl w:val="0"/>
          <w:numId w:val="1"/>
        </w:numPr>
        <w:spacing w:lineRule="exact" w:line="264" w:before="0" w:after="60"/>
        <w:rPr/>
      </w:pPr>
      <w:r>
        <w:rPr>
          <w:rFonts w:eastAsia="Arial" w:cs="Arial"/>
          <w:sz w:val="21"/>
          <w:szCs w:val="21"/>
        </w:rPr>
        <w:t>Governing Authority Oversight Log</w:t>
      </w:r>
    </w:p>
    <w:p>
      <w:pPr>
        <w:pStyle w:val="ListParagraph"/>
        <w:numPr>
          <w:ilvl w:val="0"/>
          <w:numId w:val="1"/>
        </w:numPr>
        <w:spacing w:lineRule="exact" w:line="264" w:before="0" w:after="60"/>
        <w:rPr/>
      </w:pPr>
      <w:r>
        <w:rPr>
          <w:rFonts w:eastAsia="Arial" w:cs="Arial"/>
          <w:sz w:val="21"/>
          <w:szCs w:val="21"/>
        </w:rPr>
        <w:t>Insurance &amp; Licensure Tracking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BHE Licensing, Endorsements &amp; Regulatory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BHE Licensing, Endorsements &amp; Regulatory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endorsement definition (2 CCR 502-1, Ch. 1); Title 27, Art. 50, C.R.S.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BHE obtains and maintains the correct license and endorsements, complies with BHA requirements and applicable law, cooperates fully with oversight, and responds effectively to any deficiency or complaint.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services and locations operated under the BHE license and to all personnel responsible for licensing, reporting, and regulatory compliance.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Behavioral Health Entity (BHE) — a facility or provider organization licensed by the BHA to provide community-based behavioral health services.</w:t>
      </w:r>
    </w:p>
    <w:p>
      <w:pPr>
        <w:pStyle w:val="Normal"/>
        <w:spacing w:lineRule="exact" w:line="276" w:before="0" w:after="120"/>
        <w:rPr/>
      </w:pPr>
      <w:r>
        <w:rPr>
          <w:rFonts w:eastAsia="Arial" w:cs="Arial"/>
          <w:sz w:val="21"/>
          <w:szCs w:val="21"/>
        </w:rPr>
        <w:t>Endorsement — BHA approval for an agency to provide a specific service; the BHE must comply with the base standards plus the rules for each endorsement it holds.</w:t>
      </w:r>
    </w:p>
    <w:p>
      <w:pPr>
        <w:pStyle w:val="Normal"/>
        <w:spacing w:lineRule="exact" w:line="276" w:before="0" w:after="120"/>
        <w:rPr/>
      </w:pPr>
      <w:r>
        <w:rPr>
          <w:rFonts w:eastAsia="Arial" w:cs="Arial"/>
          <w:sz w:val="21"/>
          <w:szCs w:val="21"/>
        </w:rPr>
        <w:t>Statement of Deficiencies — a written finding by the BHA that the BHE is out of compliance with one or more requirements.</w:t>
      </w:r>
    </w:p>
    <w:p>
      <w:pPr>
        <w:pStyle w:val="Normal"/>
        <w:spacing w:lineRule="exact" w:line="276" w:before="0" w:after="120"/>
        <w:rPr/>
      </w:pPr>
      <w:r>
        <w:rPr>
          <w:rFonts w:eastAsia="Arial" w:cs="Arial"/>
          <w:sz w:val="21"/>
          <w:szCs w:val="21"/>
        </w:rPr>
        <w:t>Plan of Correction — the BHE’s written response describing how it will correct cited deficiencies and prevent recurrence.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holds a current BHE license with the endorsements appropriate to the services it provides, makes its license available as required, and complies with the BHA Provider Rules, applicable statutes, and the terms of its license.</w:t>
      </w:r>
    </w:p>
    <w:p>
      <w:pPr>
        <w:pStyle w:val="Normal"/>
        <w:spacing w:lineRule="exact" w:line="276" w:before="0" w:after="120"/>
        <w:rPr/>
      </w:pPr>
      <w:r>
        <w:rPr>
          <w:rFonts w:eastAsia="Arial" w:cs="Arial"/>
          <w:sz w:val="21"/>
          <w:szCs w:val="21"/>
        </w:rPr>
        <w:t>The BHE participates in BHA inspections and reviews, submits required reports and notifications within required timeframes, and maintains an organized system for tracking licensing obligations, renewals, and required submissions. The BHE responds promptly and completely to any statement of deficiencies with a plan of correction, implements the corrections, and monitors to prevent recurrence.</w:t>
      </w:r>
    </w:p>
    <w:p>
      <w:pPr>
        <w:pStyle w:val="Normal"/>
        <w:pBdr>
          <w:bottom w:val="single" w:sz="4" w:space="1" w:color="2E5E45"/>
        </w:pBdr>
        <w:spacing w:before="160" w:after="80"/>
        <w:rPr/>
      </w:pPr>
      <w:r>
        <w:rPr>
          <w:rFonts w:eastAsia="Arial" w:cs="Arial"/>
          <w:b/>
          <w:bCs/>
          <w:color w:val="1A4731"/>
          <w:sz w:val="20"/>
          <w:szCs w:val="20"/>
        </w:rPr>
        <w:t>PROCEDURE — MAINTAINING LICENSURE</w:t>
      </w:r>
    </w:p>
    <w:p>
      <w:pPr>
        <w:pStyle w:val="Normal"/>
        <w:tabs>
          <w:tab w:val="left" w:pos="720" w:leader="none"/>
        </w:tabs>
        <w:spacing w:lineRule="exact" w:line="264" w:before="0" w:after="80"/>
        <w:ind w:hanging="360" w:start="720"/>
        <w:rPr/>
      </w:pPr>
      <w:r>
        <w:rPr>
          <w:rFonts w:eastAsia="Arial" w:cs="Arial"/>
          <w:sz w:val="21"/>
          <w:szCs w:val="21"/>
        </w:rPr>
        <w:t>a. Maintain the BHE license and each endorsement in good standing, track renewal dates, complete renewals on time, and pay applicable fees.</w:t>
      </w:r>
    </w:p>
    <w:p>
      <w:pPr>
        <w:pStyle w:val="Normal"/>
        <w:tabs>
          <w:tab w:val="left" w:pos="720" w:leader="none"/>
        </w:tabs>
        <w:spacing w:lineRule="exact" w:line="264" w:before="0" w:after="80"/>
        <w:ind w:hanging="360" w:start="720"/>
        <w:rPr/>
      </w:pPr>
      <w:r>
        <w:rPr>
          <w:rFonts w:eastAsia="Arial" w:cs="Arial"/>
          <w:sz w:val="21"/>
          <w:szCs w:val="21"/>
        </w:rPr>
        <w:t>b. Before adding, expanding, relocating, or changing a service, obtain the corresponding endorsement or approval and adopt the endorsement-specific policies.</w:t>
      </w:r>
    </w:p>
    <w:p>
      <w:pPr>
        <w:pStyle w:val="Normal"/>
        <w:tabs>
          <w:tab w:val="left" w:pos="720" w:leader="none"/>
        </w:tabs>
        <w:spacing w:lineRule="exact" w:line="264" w:before="0" w:after="80"/>
        <w:ind w:hanging="360" w:start="720"/>
        <w:rPr/>
      </w:pPr>
      <w:r>
        <w:rPr>
          <w:rFonts w:eastAsia="Arial" w:cs="Arial"/>
          <w:sz w:val="21"/>
          <w:szCs w:val="21"/>
        </w:rPr>
        <w:t>c. Report to the BHA the events the rules require — for example, changes in ownership or control, location, name, key personnel, or significant operational changes — within required timeframes.</w:t>
      </w:r>
    </w:p>
    <w:p>
      <w:pPr>
        <w:pStyle w:val="Normal"/>
        <w:tabs>
          <w:tab w:val="left" w:pos="720" w:leader="none"/>
        </w:tabs>
        <w:spacing w:lineRule="exact" w:line="264" w:before="0" w:after="80"/>
        <w:ind w:hanging="360" w:start="720"/>
        <w:rPr/>
      </w:pPr>
      <w:r>
        <w:rPr>
          <w:rFonts w:eastAsia="Arial" w:cs="Arial"/>
          <w:sz w:val="21"/>
          <w:szCs w:val="21"/>
        </w:rPr>
        <w:t>d. Maintain a central register of licenses, endorsements, approvals, and required submissions.</w:t>
      </w:r>
    </w:p>
    <w:p>
      <w:pPr>
        <w:pStyle w:val="Normal"/>
        <w:pBdr>
          <w:bottom w:val="single" w:sz="4" w:space="1" w:color="2E5E45"/>
        </w:pBdr>
        <w:spacing w:before="160" w:after="80"/>
        <w:rPr/>
      </w:pPr>
      <w:r>
        <w:rPr>
          <w:rFonts w:eastAsia="Arial" w:cs="Arial"/>
          <w:b/>
          <w:bCs/>
          <w:color w:val="1A4731"/>
          <w:sz w:val="20"/>
          <w:szCs w:val="20"/>
        </w:rPr>
        <w:t>PROCEDURE — INSPECTIONS, COMPLAINTS &amp; CORRECTIVE ACTION</w:t>
      </w:r>
    </w:p>
    <w:p>
      <w:pPr>
        <w:pStyle w:val="Normal"/>
        <w:tabs>
          <w:tab w:val="left" w:pos="720" w:leader="none"/>
        </w:tabs>
        <w:spacing w:lineRule="exact" w:line="264" w:before="0" w:after="80"/>
        <w:ind w:hanging="360" w:start="720"/>
        <w:rPr/>
      </w:pPr>
      <w:r>
        <w:rPr>
          <w:rFonts w:eastAsia="Arial" w:cs="Arial"/>
          <w:sz w:val="21"/>
          <w:szCs w:val="21"/>
        </w:rPr>
        <w:t>e. Cooperate fully with BHA inspections, complaint investigations, and reviews, and make records, locations, and personnel available as required.</w:t>
      </w:r>
    </w:p>
    <w:p>
      <w:pPr>
        <w:pStyle w:val="Normal"/>
        <w:tabs>
          <w:tab w:val="left" w:pos="720" w:leader="none"/>
        </w:tabs>
        <w:spacing w:lineRule="exact" w:line="264" w:before="0" w:after="80"/>
        <w:ind w:hanging="360" w:start="720"/>
        <w:rPr/>
      </w:pPr>
      <w:r>
        <w:rPr>
          <w:rFonts w:eastAsia="Arial" w:cs="Arial"/>
          <w:sz w:val="21"/>
          <w:szCs w:val="21"/>
        </w:rPr>
        <w:t>f. Upon receiving a statement of deficiencies, analyze the root cause of each finding and prepare a plan of correction within the required timeframe.</w:t>
      </w:r>
    </w:p>
    <w:p>
      <w:pPr>
        <w:pStyle w:val="Normal"/>
        <w:tabs>
          <w:tab w:val="left" w:pos="720" w:leader="none"/>
        </w:tabs>
        <w:spacing w:lineRule="exact" w:line="264" w:before="0" w:after="80"/>
        <w:ind w:hanging="360" w:start="720"/>
        <w:rPr/>
      </w:pPr>
      <w:r>
        <w:rPr>
          <w:rFonts w:eastAsia="Arial" w:cs="Arial"/>
          <w:sz w:val="21"/>
          <w:szCs w:val="21"/>
        </w:rPr>
        <w:t>g. Implement corrective actions, assign responsibility and deadlines, and verify through follow-up that the corrections are effective and sustained.</w:t>
      </w:r>
    </w:p>
    <w:p>
      <w:pPr>
        <w:pStyle w:val="Normal"/>
        <w:tabs>
          <w:tab w:val="left" w:pos="720" w:leader="none"/>
        </w:tabs>
        <w:spacing w:lineRule="exact" w:line="264" w:before="0" w:after="80"/>
        <w:ind w:hanging="360" w:start="720"/>
        <w:rPr/>
      </w:pPr>
      <w:r>
        <w:rPr>
          <w:rFonts w:eastAsia="Arial" w:cs="Arial"/>
          <w:sz w:val="21"/>
          <w:szCs w:val="21"/>
        </w:rPr>
        <w:t>h. Maintain copies of licenses, endorsements, inspection reports, complaint findings, plans of correction, and evidence of completion.</w:t>
      </w:r>
    </w:p>
    <w:p>
      <w:pPr>
        <w:pStyle w:val="Normal"/>
        <w:pBdr>
          <w:bottom w:val="single" w:sz="4" w:space="1" w:color="2E5E45"/>
        </w:pBdr>
        <w:spacing w:before="160" w:after="80"/>
        <w:rPr/>
      </w:pPr>
      <w:r>
        <w:rPr>
          <w:rFonts w:eastAsia="Arial" w:cs="Arial"/>
          <w:b/>
          <w:bCs/>
          <w:color w:val="1A4731"/>
          <w:sz w:val="20"/>
          <w:szCs w:val="20"/>
        </w:rPr>
        <w:t>DOCUMENTATION</w:t>
      </w:r>
    </w:p>
    <w:p>
      <w:pPr>
        <w:pStyle w:val="Normal"/>
        <w:spacing w:lineRule="exact" w:line="276" w:before="0" w:after="120"/>
        <w:rPr/>
      </w:pPr>
      <w:r>
        <w:rPr>
          <w:rFonts w:eastAsia="Arial" w:cs="Arial"/>
          <w:sz w:val="21"/>
          <w:szCs w:val="21"/>
        </w:rPr>
        <w:t>Retain licensing and endorsement records, BHA correspondence and notifications, inspection and complaint findings, and plans of correction with evidence of completion for the required period.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&amp; Endorsement Register</w:t>
      </w:r>
    </w:p>
    <w:p>
      <w:pPr>
        <w:pStyle w:val="ListParagraph"/>
        <w:numPr>
          <w:ilvl w:val="0"/>
          <w:numId w:val="1"/>
        </w:numPr>
        <w:spacing w:lineRule="exact" w:line="264" w:before="0" w:after="60"/>
        <w:rPr/>
      </w:pPr>
      <w:r>
        <w:rPr>
          <w:rFonts w:eastAsia="Arial" w:cs="Arial"/>
          <w:sz w:val="21"/>
          <w:szCs w:val="21"/>
        </w:rPr>
        <w:t>Regulatory Submission &amp; Renewal Calendar</w:t>
      </w:r>
    </w:p>
    <w:p>
      <w:pPr>
        <w:pStyle w:val="ListParagraph"/>
        <w:numPr>
          <w:ilvl w:val="0"/>
          <w:numId w:val="1"/>
        </w:numPr>
        <w:spacing w:lineRule="exact" w:line="264" w:before="0" w:after="60"/>
        <w:rPr/>
      </w:pPr>
      <w:r>
        <w:rPr>
          <w:rFonts w:eastAsia="Arial" w:cs="Arial"/>
          <w:sz w:val="21"/>
          <w:szCs w:val="21"/>
        </w:rPr>
        <w:t>BHA Notification / Reporting Log</w:t>
      </w:r>
    </w:p>
    <w:p>
      <w:pPr>
        <w:pStyle w:val="ListParagraph"/>
        <w:numPr>
          <w:ilvl w:val="0"/>
          <w:numId w:val="1"/>
        </w:numPr>
        <w:spacing w:lineRule="exact" w:line="264" w:before="0" w:after="60"/>
        <w:rPr/>
      </w:pPr>
      <w:r>
        <w:rPr>
          <w:rFonts w:eastAsia="Arial" w:cs="Arial"/>
          <w:sz w:val="21"/>
          <w:szCs w:val="21"/>
        </w:rPr>
        <w:t>Plan of Correction Template</w:t>
      </w:r>
    </w:p>
    <w:p>
      <w:pPr>
        <w:pStyle w:val="ListParagraph"/>
        <w:numPr>
          <w:ilvl w:val="0"/>
          <w:numId w:val="1"/>
        </w:numPr>
        <w:spacing w:lineRule="exact" w:line="264" w:before="0" w:after="60"/>
        <w:rPr/>
      </w:pPr>
      <w:r>
        <w:rPr>
          <w:rFonts w:eastAsia="Arial" w:cs="Arial"/>
          <w:sz w:val="21"/>
          <w:szCs w:val="21"/>
        </w:rPr>
        <w:t>Corrective Action Tracking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Policy &amp; Procedure Management and Document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Policy &amp; Procedure Management and Document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(required policies and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BHE maintains a complete, current, and accessible set of written policies and procedures, controls versions and approvals, and reviews policies on a defined cycle and whenever rules or operations change.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written policies, procedures, and controlled documents used by the BHE, and to all personnel who draft, approve, distribute, or follow them.</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Controlled Document — a policy, procedure, or form whose version, approval, and distribution are formally managed.</w:t>
      </w:r>
    </w:p>
    <w:p>
      <w:pPr>
        <w:pStyle w:val="Normal"/>
        <w:spacing w:lineRule="exact" w:line="276" w:before="0" w:after="120"/>
        <w:rPr/>
      </w:pPr>
      <w:r>
        <w:rPr>
          <w:rFonts w:eastAsia="Arial" w:cs="Arial"/>
          <w:sz w:val="21"/>
          <w:szCs w:val="21"/>
        </w:rPr>
        <w:t>Version Control — the practice of uniquely identifying each version of a document and preserving superseded versions.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maintains the written policies and procedures required by the BHA Provider Rules and by its accreditor and payers, makes current versions accessible to personnel, reviews them at least every three years and when rules or operations change, and documents review and approval. Superseded versions are retained as required for reference and audit.</w:t>
      </w:r>
    </w:p>
    <w:p>
      <w:pPr>
        <w:pStyle w:val="Normal"/>
        <w:pBdr>
          <w:bottom w:val="single" w:sz="4" w:space="1" w:color="2E5E45"/>
        </w:pBdr>
        <w:spacing w:before="160" w:after="80"/>
        <w:rPr/>
      </w:pPr>
      <w:r>
        <w:rPr>
          <w:rFonts w:eastAsia="Arial" w:cs="Arial"/>
          <w:b/>
          <w:bCs/>
          <w:color w:val="1A4731"/>
          <w:sz w:val="20"/>
          <w:szCs w:val="20"/>
        </w:rPr>
        <w:t>PROCEDURE — DEVELOPMENT &amp; APPROVAL</w:t>
      </w:r>
    </w:p>
    <w:p>
      <w:pPr>
        <w:pStyle w:val="Normal"/>
        <w:tabs>
          <w:tab w:val="left" w:pos="720" w:leader="none"/>
        </w:tabs>
        <w:spacing w:lineRule="exact" w:line="264" w:before="0" w:after="80"/>
        <w:ind w:hanging="360" w:start="720"/>
        <w:rPr/>
      </w:pPr>
      <w:r>
        <w:rPr>
          <w:rFonts w:eastAsia="Arial" w:cs="Arial"/>
          <w:sz w:val="21"/>
          <w:szCs w:val="21"/>
        </w:rPr>
        <w:t>a. Draft or revise policies using a consistent format and route them for review by subject-matter staff and, where required, the governing authority or director/administrator.</w:t>
      </w:r>
    </w:p>
    <w:p>
      <w:pPr>
        <w:pStyle w:val="Normal"/>
        <w:tabs>
          <w:tab w:val="left" w:pos="720" w:leader="none"/>
        </w:tabs>
        <w:spacing w:lineRule="exact" w:line="264" w:before="0" w:after="80"/>
        <w:ind w:hanging="360" w:start="720"/>
        <w:rPr/>
      </w:pPr>
      <w:r>
        <w:rPr>
          <w:rFonts w:eastAsia="Arial" w:cs="Arial"/>
          <w:sz w:val="21"/>
          <w:szCs w:val="21"/>
        </w:rPr>
        <w:t>b. Record the approval, effective date, and approver for each policy, and assign a version identifier.</w:t>
      </w:r>
    </w:p>
    <w:p>
      <w:pPr>
        <w:pStyle w:val="Normal"/>
        <w:tabs>
          <w:tab w:val="left" w:pos="720" w:leader="none"/>
        </w:tabs>
        <w:spacing w:lineRule="exact" w:line="264" w:before="0" w:after="80"/>
        <w:ind w:hanging="360" w:start="720"/>
        <w:rPr/>
      </w:pPr>
      <w:r>
        <w:rPr>
          <w:rFonts w:eastAsia="Arial" w:cs="Arial"/>
          <w:sz w:val="21"/>
          <w:szCs w:val="21"/>
        </w:rPr>
        <w:t>c. Communicate new or materially changed policies to affected personnel and confirm they can access the current version.</w:t>
      </w:r>
    </w:p>
    <w:p>
      <w:pPr>
        <w:pStyle w:val="Normal"/>
        <w:pBdr>
          <w:bottom w:val="single" w:sz="4" w:space="1" w:color="2E5E45"/>
        </w:pBdr>
        <w:spacing w:before="160" w:after="80"/>
        <w:rPr/>
      </w:pPr>
      <w:r>
        <w:rPr>
          <w:rFonts w:eastAsia="Arial" w:cs="Arial"/>
          <w:b/>
          <w:bCs/>
          <w:color w:val="1A4731"/>
          <w:sz w:val="20"/>
          <w:szCs w:val="20"/>
        </w:rPr>
        <w:t>PROCEDURE — REVIEW CYCLE &amp; RETENTION</w:t>
      </w:r>
    </w:p>
    <w:p>
      <w:pPr>
        <w:pStyle w:val="Normal"/>
        <w:tabs>
          <w:tab w:val="left" w:pos="720" w:leader="none"/>
        </w:tabs>
        <w:spacing w:lineRule="exact" w:line="264" w:before="0" w:after="80"/>
        <w:ind w:hanging="360" w:start="720"/>
        <w:rPr/>
      </w:pPr>
      <w:r>
        <w:rPr>
          <w:rFonts w:eastAsia="Arial" w:cs="Arial"/>
          <w:sz w:val="21"/>
          <w:szCs w:val="21"/>
        </w:rPr>
        <w:t>d. Maintain a master index of required policies and the date each was last reviewed and approved.</w:t>
      </w:r>
    </w:p>
    <w:p>
      <w:pPr>
        <w:pStyle w:val="Normal"/>
        <w:tabs>
          <w:tab w:val="left" w:pos="720" w:leader="none"/>
        </w:tabs>
        <w:spacing w:lineRule="exact" w:line="264" w:before="0" w:after="80"/>
        <w:ind w:hanging="360" w:start="720"/>
        <w:rPr/>
      </w:pPr>
      <w:r>
        <w:rPr>
          <w:rFonts w:eastAsia="Arial" w:cs="Arial"/>
          <w:sz w:val="21"/>
          <w:szCs w:val="21"/>
        </w:rPr>
        <w:t>e. Review policies at least every three years, and sooner when a rule change, incident, audit finding, or operational change warrants it.</w:t>
      </w:r>
    </w:p>
    <w:p>
      <w:pPr>
        <w:pStyle w:val="Normal"/>
        <w:tabs>
          <w:tab w:val="left" w:pos="720" w:leader="none"/>
        </w:tabs>
        <w:spacing w:lineRule="exact" w:line="264" w:before="0" w:after="80"/>
        <w:ind w:hanging="360" w:start="720"/>
        <w:rPr/>
      </w:pPr>
      <w:r>
        <w:rPr>
          <w:rFonts w:eastAsia="Arial" w:cs="Arial"/>
          <w:sz w:val="21"/>
          <w:szCs w:val="21"/>
        </w:rPr>
        <w:t>f. Retain superseded versions for the required period and record the reason and date of each change in the policy’s document history.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Policy Master Index &amp; Review Schedule</w:t>
      </w:r>
    </w:p>
    <w:p>
      <w:pPr>
        <w:pStyle w:val="ListParagraph"/>
        <w:numPr>
          <w:ilvl w:val="0"/>
          <w:numId w:val="1"/>
        </w:numPr>
        <w:spacing w:lineRule="exact" w:line="264" w:before="0" w:after="60"/>
        <w:rPr/>
      </w:pPr>
      <w:r>
        <w:rPr>
          <w:rFonts w:eastAsia="Arial" w:cs="Arial"/>
          <w:sz w:val="21"/>
          <w:szCs w:val="21"/>
        </w:rPr>
        <w:t>Policy Approval &amp; Revision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Compliance Program &amp; Code of Conduct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Compliance Program &amp; Code of Conduct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federal fraud, waste &amp; abuse authorities; payer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an organization-wide compliance program and code of conduct that promotes lawful, ethical operations; prevents, detects, and corrects fraud, waste, abuse, and other violations; and provides a safe way for personnel to report concerns.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personnel, contractors, volunteers, students, and members of the governing authority.</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Compliance Program — the organized set of policies, oversight, training, monitoring, and response activities designed to ensure the organization follows applicable law and standards.</w:t>
      </w:r>
    </w:p>
    <w:p>
      <w:pPr>
        <w:pStyle w:val="Normal"/>
        <w:spacing w:lineRule="exact" w:line="276" w:before="0" w:after="120"/>
        <w:rPr/>
      </w:pPr>
      <w:r>
        <w:rPr>
          <w:rFonts w:eastAsia="Arial" w:cs="Arial"/>
          <w:sz w:val="21"/>
          <w:szCs w:val="21"/>
        </w:rPr>
        <w:t>Code of Conduct — the organization’s statement of ethical expectations for all members of the workforce.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maintains a compliance program overseen by a designated compliance contact and adopts a code of conduct that all members of the workforce must follow. The program addresses accurate documentation and billing, conflicts of interest, boundaries, non-retaliation for good-faith reporting, and cooperation with investigations.</w:t>
      </w:r>
    </w:p>
    <w:p>
      <w:pPr>
        <w:pStyle w:val="Normal"/>
        <w:spacing w:lineRule="exact" w:line="276" w:before="0" w:after="120"/>
        <w:rPr/>
      </w:pPr>
      <w:r>
        <w:rPr>
          <w:rFonts w:eastAsia="Arial" w:cs="Arial"/>
          <w:sz w:val="21"/>
          <w:szCs w:val="21"/>
        </w:rPr>
        <w:t>Personnel are expected and, where applicable, required to report suspected violations of law, rule, or policy. The BHE does not retaliate against anyone who reports a concern in good faith, and it investigates reports and takes corrective action as warranted.</w:t>
      </w:r>
    </w:p>
    <w:p>
      <w:pPr>
        <w:pStyle w:val="Normal"/>
        <w:pBdr>
          <w:bottom w:val="single" w:sz="4" w:space="1" w:color="2E5E45"/>
        </w:pBdr>
        <w:spacing w:before="160" w:after="80"/>
        <w:rPr/>
      </w:pPr>
      <w:r>
        <w:rPr>
          <w:rFonts w:eastAsia="Arial" w:cs="Arial"/>
          <w:b/>
          <w:bCs/>
          <w:color w:val="1A4731"/>
          <w:sz w:val="20"/>
          <w:szCs w:val="20"/>
        </w:rPr>
        <w:t>PROCEDURE — PROGRAM OPERATION</w:t>
      </w:r>
    </w:p>
    <w:p>
      <w:pPr>
        <w:pStyle w:val="Normal"/>
        <w:tabs>
          <w:tab w:val="left" w:pos="720" w:leader="none"/>
        </w:tabs>
        <w:spacing w:lineRule="exact" w:line="264" w:before="0" w:after="80"/>
        <w:ind w:hanging="360" w:start="720"/>
        <w:rPr/>
      </w:pPr>
      <w:r>
        <w:rPr>
          <w:rFonts w:eastAsia="Arial" w:cs="Arial"/>
          <w:sz w:val="21"/>
          <w:szCs w:val="21"/>
        </w:rPr>
        <w:t>a. Designate a compliance contact responsible for the program and reporting to the governing authority.</w:t>
      </w:r>
    </w:p>
    <w:p>
      <w:pPr>
        <w:pStyle w:val="Normal"/>
        <w:tabs>
          <w:tab w:val="left" w:pos="720" w:leader="none"/>
        </w:tabs>
        <w:spacing w:lineRule="exact" w:line="264" w:before="0" w:after="80"/>
        <w:ind w:hanging="360" w:start="720"/>
        <w:rPr/>
      </w:pPr>
      <w:r>
        <w:rPr>
          <w:rFonts w:eastAsia="Arial" w:cs="Arial"/>
          <w:sz w:val="21"/>
          <w:szCs w:val="21"/>
        </w:rPr>
        <w:t>b. Distribute the code of conduct at hire and periodically, and obtain acknowledgment.</w:t>
      </w:r>
    </w:p>
    <w:p>
      <w:pPr>
        <w:pStyle w:val="Normal"/>
        <w:tabs>
          <w:tab w:val="left" w:pos="720" w:leader="none"/>
        </w:tabs>
        <w:spacing w:lineRule="exact" w:line="264" w:before="0" w:after="80"/>
        <w:ind w:hanging="360" w:start="720"/>
        <w:rPr/>
      </w:pPr>
      <w:r>
        <w:rPr>
          <w:rFonts w:eastAsia="Arial" w:cs="Arial"/>
          <w:sz w:val="21"/>
          <w:szCs w:val="21"/>
        </w:rPr>
        <w:t>c. Provide a confidential mechanism for reporting concerns, including anonymously where feasible, and publicize it.</w:t>
      </w:r>
    </w:p>
    <w:p>
      <w:pPr>
        <w:pStyle w:val="Normal"/>
        <w:tabs>
          <w:tab w:val="left" w:pos="720" w:leader="none"/>
        </w:tabs>
        <w:spacing w:lineRule="exact" w:line="264" w:before="0" w:after="80"/>
        <w:ind w:hanging="360" w:start="720"/>
        <w:rPr/>
      </w:pPr>
      <w:r>
        <w:rPr>
          <w:rFonts w:eastAsia="Arial" w:cs="Arial"/>
          <w:sz w:val="21"/>
          <w:szCs w:val="21"/>
        </w:rPr>
        <w:t>d. Monitor high-risk areas (for example, documentation and billing accuracy), audit periodically, and correct issues found.</w:t>
      </w:r>
    </w:p>
    <w:p>
      <w:pPr>
        <w:pStyle w:val="Normal"/>
        <w:pBdr>
          <w:bottom w:val="single" w:sz="4" w:space="1" w:color="2E5E45"/>
        </w:pBdr>
        <w:spacing w:before="160" w:after="80"/>
        <w:rPr/>
      </w:pPr>
      <w:r>
        <w:rPr>
          <w:rFonts w:eastAsia="Arial" w:cs="Arial"/>
          <w:b/>
          <w:bCs/>
          <w:color w:val="1A4731"/>
          <w:sz w:val="20"/>
          <w:szCs w:val="20"/>
        </w:rPr>
        <w:t>PROCEDURE — REPORTING &amp; RESPONSE</w:t>
      </w:r>
    </w:p>
    <w:p>
      <w:pPr>
        <w:pStyle w:val="Normal"/>
        <w:tabs>
          <w:tab w:val="left" w:pos="720" w:leader="none"/>
        </w:tabs>
        <w:spacing w:lineRule="exact" w:line="264" w:before="0" w:after="80"/>
        <w:ind w:hanging="360" w:start="720"/>
        <w:rPr/>
      </w:pPr>
      <w:r>
        <w:rPr>
          <w:rFonts w:eastAsia="Arial" w:cs="Arial"/>
          <w:sz w:val="21"/>
          <w:szCs w:val="21"/>
        </w:rPr>
        <w:t>e. Receive and log reported concerns, protect reporter confidentiality to the extent possible, and prohibit retaliation.</w:t>
      </w:r>
    </w:p>
    <w:p>
      <w:pPr>
        <w:pStyle w:val="Normal"/>
        <w:tabs>
          <w:tab w:val="left" w:pos="720" w:leader="none"/>
        </w:tabs>
        <w:spacing w:lineRule="exact" w:line="264" w:before="0" w:after="80"/>
        <w:ind w:hanging="360" w:start="720"/>
        <w:rPr/>
      </w:pPr>
      <w:r>
        <w:rPr>
          <w:rFonts w:eastAsia="Arial" w:cs="Arial"/>
          <w:sz w:val="21"/>
          <w:szCs w:val="21"/>
        </w:rPr>
        <w:t>f. Investigate reports promptly, document findings, and implement corrective and, where required, disclosure or repayment actions.</w:t>
      </w:r>
    </w:p>
    <w:p>
      <w:pPr>
        <w:pStyle w:val="Normal"/>
        <w:tabs>
          <w:tab w:val="left" w:pos="720" w:leader="none"/>
        </w:tabs>
        <w:spacing w:lineRule="exact" w:line="264" w:before="0" w:after="80"/>
        <w:ind w:hanging="360" w:start="720"/>
        <w:rPr/>
      </w:pPr>
      <w:r>
        <w:rPr>
          <w:rFonts w:eastAsia="Arial" w:cs="Arial"/>
          <w:sz w:val="21"/>
          <w:szCs w:val="21"/>
        </w:rPr>
        <w:t>g. Report to the governing authority on compliance activity, trends, and corrective actions at defined intervals.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Code of Conduct &amp; Acknowledgment</w:t>
      </w:r>
    </w:p>
    <w:p>
      <w:pPr>
        <w:pStyle w:val="ListParagraph"/>
        <w:numPr>
          <w:ilvl w:val="0"/>
          <w:numId w:val="1"/>
        </w:numPr>
        <w:spacing w:lineRule="exact" w:line="264" w:before="0" w:after="60"/>
        <w:rPr/>
      </w:pPr>
      <w:r>
        <w:rPr>
          <w:rFonts w:eastAsia="Arial" w:cs="Arial"/>
          <w:sz w:val="21"/>
          <w:szCs w:val="21"/>
        </w:rPr>
        <w:t>Compliance Concern Report &amp; Log</w:t>
      </w:r>
    </w:p>
    <w:p>
      <w:pPr>
        <w:pStyle w:val="ListParagraph"/>
        <w:numPr>
          <w:ilvl w:val="0"/>
          <w:numId w:val="1"/>
        </w:numPr>
        <w:spacing w:lineRule="exact" w:line="264" w:before="0" w:after="60"/>
        <w:rPr/>
      </w:pPr>
      <w:r>
        <w:rPr>
          <w:rFonts w:eastAsia="Arial" w:cs="Arial"/>
          <w:sz w:val="21"/>
          <w:szCs w:val="21"/>
        </w:rPr>
        <w:t>Conflict of Interest Disclosure</w:t>
      </w:r>
    </w:p>
    <w:p>
      <w:pPr>
        <w:pStyle w:val="ListParagraph"/>
        <w:numPr>
          <w:ilvl w:val="0"/>
          <w:numId w:val="1"/>
        </w:numPr>
        <w:spacing w:lineRule="exact" w:line="264" w:before="0" w:after="60"/>
        <w:rPr/>
      </w:pPr>
      <w:r>
        <w:rPr>
          <w:rFonts w:eastAsia="Arial" w:cs="Arial"/>
          <w:sz w:val="21"/>
          <w:szCs w:val="21"/>
        </w:rPr>
        <w:t>Compliance Audit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Data Reporting, Provider Directory &amp; Records to the BHA</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Data Reporting, Provider Directory &amp; Records to the BHA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(data submission); BHA data and OwnPath directory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BHE submits required data to the BHA accurately and on time and keeps its public directory information current.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data reporting, encounter/claims submission where applicable, and directory maintenance required by the BHA.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submits the behavioral health data the BHA requires, in the required format and timeframe, protects the confidentiality of the data consistent with HIPAA and 42 CFR Part 2, and keeps its listing in the BHA’s provider directory (OwnPath) accurate, including services offered and contact information.</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all required BHA data submissions and their schedules and assign responsibility for each.</w:t>
      </w:r>
    </w:p>
    <w:p>
      <w:pPr>
        <w:pStyle w:val="Normal"/>
        <w:tabs>
          <w:tab w:val="left" w:pos="720" w:leader="none"/>
        </w:tabs>
        <w:spacing w:lineRule="exact" w:line="264" w:before="0" w:after="80"/>
        <w:ind w:hanging="360" w:start="720"/>
        <w:rPr/>
      </w:pPr>
      <w:r>
        <w:rPr>
          <w:rFonts w:eastAsia="Arial" w:cs="Arial"/>
          <w:sz w:val="21"/>
          <w:szCs w:val="21"/>
        </w:rPr>
        <w:t>b. Establish quality checks so that submitted data is accurate and complete, and correct errors promptly.</w:t>
      </w:r>
    </w:p>
    <w:p>
      <w:pPr>
        <w:pStyle w:val="Normal"/>
        <w:tabs>
          <w:tab w:val="left" w:pos="720" w:leader="none"/>
        </w:tabs>
        <w:spacing w:lineRule="exact" w:line="264" w:before="0" w:after="80"/>
        <w:ind w:hanging="360" w:start="720"/>
        <w:rPr/>
      </w:pPr>
      <w:r>
        <w:rPr>
          <w:rFonts w:eastAsia="Arial" w:cs="Arial"/>
          <w:sz w:val="21"/>
          <w:szCs w:val="21"/>
        </w:rPr>
        <w:t>c. Review and update the organization’s OwnPath directory information whenever services, hours, capacity status, or contact information change.</w:t>
      </w:r>
    </w:p>
    <w:p>
      <w:pPr>
        <w:pStyle w:val="Normal"/>
        <w:tabs>
          <w:tab w:val="left" w:pos="720" w:leader="none"/>
        </w:tabs>
        <w:spacing w:lineRule="exact" w:line="264" w:before="0" w:after="80"/>
        <w:ind w:hanging="360" w:start="720"/>
        <w:rPr/>
      </w:pPr>
      <w:r>
        <w:rPr>
          <w:rFonts w:eastAsia="Arial" w:cs="Arial"/>
          <w:sz w:val="21"/>
          <w:szCs w:val="21"/>
        </w:rPr>
        <w:t>d. Maintain documentation of submissions and directory updates.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BHA Data Submission Schedule &amp; Log</w:t>
      </w:r>
    </w:p>
    <w:p>
      <w:pPr>
        <w:pStyle w:val="ListParagraph"/>
        <w:numPr>
          <w:ilvl w:val="0"/>
          <w:numId w:val="1"/>
        </w:numPr>
        <w:spacing w:lineRule="exact" w:line="264" w:before="0" w:after="60"/>
        <w:rPr/>
      </w:pPr>
      <w:r>
        <w:rPr>
          <w:rFonts w:eastAsia="Arial" w:cs="Arial"/>
          <w:sz w:val="21"/>
          <w:szCs w:val="21"/>
        </w:rPr>
        <w:t>OwnPath Directory Update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Financial Management &amp; Fiscal Integrity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Financial Management &amp; Fiscal Integrity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(fiscal management); payer and grant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BHE manages its finances responsibly, bills accurately, and maintains the fiscal stability needed to deliver services safely and continuously.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budgeting, billing and collections, internal financial controls, and the handling of any individual funds the organization manages.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maintains sound financial management, including budgeting, accurate accounting, internal controls that separate incompatible duties, and accurate billing that reflects services actually provided and documented. The BHE does not submit false or misleading claims. Where the BHE handles funds belonging to individuals served, it safeguards those funds and accounts for them.</w:t>
      </w:r>
    </w:p>
    <w:p>
      <w:pPr>
        <w:pStyle w:val="Normal"/>
        <w:pBdr>
          <w:bottom w:val="single" w:sz="4" w:space="1" w:color="2E5E45"/>
        </w:pBdr>
        <w:spacing w:before="160" w:after="80"/>
        <w:rPr/>
      </w:pPr>
      <w:r>
        <w:rPr>
          <w:rFonts w:eastAsia="Arial" w:cs="Arial"/>
          <w:b/>
          <w:bCs/>
          <w:color w:val="1A4731"/>
          <w:sz w:val="20"/>
          <w:szCs w:val="20"/>
        </w:rPr>
        <w:t>PROCEDURE — FINANCIAL CONTROLS &amp; BILLING</w:t>
      </w:r>
    </w:p>
    <w:p>
      <w:pPr>
        <w:pStyle w:val="Normal"/>
        <w:tabs>
          <w:tab w:val="left" w:pos="720" w:leader="none"/>
        </w:tabs>
        <w:spacing w:lineRule="exact" w:line="264" w:before="0" w:after="80"/>
        <w:ind w:hanging="360" w:start="720"/>
        <w:rPr/>
      </w:pPr>
      <w:r>
        <w:rPr>
          <w:rFonts w:eastAsia="Arial" w:cs="Arial"/>
          <w:sz w:val="21"/>
          <w:szCs w:val="21"/>
        </w:rPr>
        <w:t>a. Maintain a budget and accounting records, and reconcile accounts on a regular schedule.</w:t>
      </w:r>
    </w:p>
    <w:p>
      <w:pPr>
        <w:pStyle w:val="Normal"/>
        <w:tabs>
          <w:tab w:val="left" w:pos="720" w:leader="none"/>
        </w:tabs>
        <w:spacing w:lineRule="exact" w:line="264" w:before="0" w:after="80"/>
        <w:ind w:hanging="360" w:start="720"/>
        <w:rPr/>
      </w:pPr>
      <w:r>
        <w:rPr>
          <w:rFonts w:eastAsia="Arial" w:cs="Arial"/>
          <w:sz w:val="21"/>
          <w:szCs w:val="21"/>
        </w:rPr>
        <w:t>b. Separate incompatible financial duties or, where size prevents this, apply compensating oversight controls.</w:t>
      </w:r>
    </w:p>
    <w:p>
      <w:pPr>
        <w:pStyle w:val="Normal"/>
        <w:tabs>
          <w:tab w:val="left" w:pos="720" w:leader="none"/>
        </w:tabs>
        <w:spacing w:lineRule="exact" w:line="264" w:before="0" w:after="80"/>
        <w:ind w:hanging="360" w:start="720"/>
        <w:rPr/>
      </w:pPr>
      <w:r>
        <w:rPr>
          <w:rFonts w:eastAsia="Arial" w:cs="Arial"/>
          <w:sz w:val="21"/>
          <w:szCs w:val="21"/>
        </w:rPr>
        <w:t>c. Bill only for services provided, documented, and within scope, and correct and refund billing errors as required.</w:t>
      </w:r>
    </w:p>
    <w:p>
      <w:pPr>
        <w:pStyle w:val="Normal"/>
        <w:pBdr>
          <w:bottom w:val="single" w:sz="4" w:space="1" w:color="2E5E45"/>
        </w:pBdr>
        <w:spacing w:before="160" w:after="80"/>
        <w:rPr/>
      </w:pPr>
      <w:r>
        <w:rPr>
          <w:rFonts w:eastAsia="Arial" w:cs="Arial"/>
          <w:b/>
          <w:bCs/>
          <w:color w:val="1A4731"/>
          <w:sz w:val="20"/>
          <w:szCs w:val="20"/>
        </w:rPr>
        <w:t>PROCEDURE — INDIVIDUAL FUNDS</w:t>
      </w:r>
    </w:p>
    <w:p>
      <w:pPr>
        <w:pStyle w:val="Normal"/>
        <w:tabs>
          <w:tab w:val="left" w:pos="720" w:leader="none"/>
        </w:tabs>
        <w:spacing w:lineRule="exact" w:line="264" w:before="0" w:after="80"/>
        <w:ind w:hanging="360" w:start="720"/>
        <w:rPr/>
      </w:pPr>
      <w:r>
        <w:rPr>
          <w:rFonts w:eastAsia="Arial" w:cs="Arial"/>
          <w:sz w:val="21"/>
          <w:szCs w:val="21"/>
        </w:rPr>
        <w:t>d. Where the BHE manages funds for an individual, obtain authorization, keep the funds separate, and maintain an itemized ledger.</w:t>
      </w:r>
    </w:p>
    <w:p>
      <w:pPr>
        <w:pStyle w:val="Normal"/>
        <w:tabs>
          <w:tab w:val="left" w:pos="720" w:leader="none"/>
        </w:tabs>
        <w:spacing w:lineRule="exact" w:line="264" w:before="0" w:after="80"/>
        <w:ind w:hanging="360" w:start="720"/>
        <w:rPr/>
      </w:pPr>
      <w:r>
        <w:rPr>
          <w:rFonts w:eastAsia="Arial" w:cs="Arial"/>
          <w:sz w:val="21"/>
          <w:szCs w:val="21"/>
        </w:rPr>
        <w:t>e. Provide accounting to the individual or representative as required, and reconcile balances at transitions.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Budget &amp; Financial Review Record</w:t>
      </w:r>
    </w:p>
    <w:p>
      <w:pPr>
        <w:pStyle w:val="ListParagraph"/>
        <w:numPr>
          <w:ilvl w:val="0"/>
          <w:numId w:val="1"/>
        </w:numPr>
        <w:spacing w:lineRule="exact" w:line="264" w:before="0" w:after="60"/>
        <w:rPr/>
      </w:pPr>
      <w:r>
        <w:rPr>
          <w:rFonts w:eastAsia="Arial" w:cs="Arial"/>
          <w:sz w:val="21"/>
          <w:szCs w:val="21"/>
        </w:rPr>
        <w:t>Internal Controls Checklist</w:t>
      </w:r>
    </w:p>
    <w:p>
      <w:pPr>
        <w:pStyle w:val="ListParagraph"/>
        <w:numPr>
          <w:ilvl w:val="0"/>
          <w:numId w:val="1"/>
        </w:numPr>
        <w:spacing w:lineRule="exact" w:line="264" w:before="0" w:after="60"/>
        <w:rPr/>
      </w:pPr>
      <w:r>
        <w:rPr>
          <w:rFonts w:eastAsia="Arial" w:cs="Arial"/>
          <w:sz w:val="21"/>
          <w:szCs w:val="21"/>
        </w:rPr>
        <w:t>Individual Funds Authorization &amp;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1.06  Risk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1.06  Risk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quality and safety provisions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identify, evaluate, and reduce risks to individuals served, personnel, visitors, and the organization, and to integrate risk management with the quality and incident-management programs.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clinical, operational, environmental, financial, and reputational risks across all services and locations.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maintains a risk-management function that identifies potential and actual risks, analyzes incidents and near-misses for root causes, implements measures to reduce recurrence, and maintains appropriate insurance. Risk information flows to the governing authority and informs the quality program.</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risks through incident and grievance review, safety inspections, audits, and staff input.</w:t>
      </w:r>
    </w:p>
    <w:p>
      <w:pPr>
        <w:pStyle w:val="Normal"/>
        <w:tabs>
          <w:tab w:val="left" w:pos="720" w:leader="none"/>
        </w:tabs>
        <w:spacing w:lineRule="exact" w:line="264" w:before="0" w:after="80"/>
        <w:ind w:hanging="360" w:start="720"/>
        <w:rPr/>
      </w:pPr>
      <w:r>
        <w:rPr>
          <w:rFonts w:eastAsia="Arial" w:cs="Arial"/>
          <w:sz w:val="21"/>
          <w:szCs w:val="21"/>
        </w:rPr>
        <w:t>b. Analyze significant events and near-misses for root causes and contributing factors.</w:t>
      </w:r>
    </w:p>
    <w:p>
      <w:pPr>
        <w:pStyle w:val="Normal"/>
        <w:tabs>
          <w:tab w:val="left" w:pos="720" w:leader="none"/>
        </w:tabs>
        <w:spacing w:lineRule="exact" w:line="264" w:before="0" w:after="80"/>
        <w:ind w:hanging="360" w:start="720"/>
        <w:rPr/>
      </w:pPr>
      <w:r>
        <w:rPr>
          <w:rFonts w:eastAsia="Arial" w:cs="Arial"/>
          <w:sz w:val="21"/>
          <w:szCs w:val="21"/>
        </w:rPr>
        <w:t>c. Implement and track risk-reduction measures, and evaluate whether they worked.</w:t>
      </w:r>
    </w:p>
    <w:p>
      <w:pPr>
        <w:pStyle w:val="Normal"/>
        <w:tabs>
          <w:tab w:val="left" w:pos="720" w:leader="none"/>
        </w:tabs>
        <w:spacing w:lineRule="exact" w:line="264" w:before="0" w:after="80"/>
        <w:ind w:hanging="360" w:start="720"/>
        <w:rPr/>
      </w:pPr>
      <w:r>
        <w:rPr>
          <w:rFonts w:eastAsia="Arial" w:cs="Arial"/>
          <w:sz w:val="21"/>
          <w:szCs w:val="21"/>
        </w:rPr>
        <w:t>d. Maintain required insurance and report risk trends to the governing authority.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Risk Assessment &amp; Register</w:t>
      </w:r>
    </w:p>
    <w:p>
      <w:pPr>
        <w:pStyle w:val="ListParagraph"/>
        <w:numPr>
          <w:ilvl w:val="0"/>
          <w:numId w:val="1"/>
        </w:numPr>
        <w:spacing w:lineRule="exact" w:line="264" w:before="0" w:after="60"/>
        <w:rPr/>
      </w:pPr>
      <w:r>
        <w:rPr>
          <w:rFonts w:eastAsia="Arial" w:cs="Arial"/>
          <w:sz w:val="21"/>
          <w:szCs w:val="21"/>
        </w:rPr>
        <w:t>Root Cause Analysis Worksheet</w:t>
      </w:r>
    </w:p>
    <w:p>
      <w:pPr>
        <w:pStyle w:val="ListParagraph"/>
        <w:numPr>
          <w:ilvl w:val="0"/>
          <w:numId w:val="1"/>
        </w:numPr>
        <w:spacing w:lineRule="exact" w:line="264" w:before="0" w:after="60"/>
        <w:rPr/>
      </w:pPr>
      <w:r>
        <w:rPr>
          <w:rFonts w:eastAsia="Arial" w:cs="Arial"/>
          <w:sz w:val="21"/>
          <w:szCs w:val="21"/>
        </w:rPr>
        <w:t>Risk-Reduction Action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1.07  Contracted &amp; Coordinated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1.07  Contracted &amp; Coordinated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care coordination provisions; 42 CFR Part 2 (QSO)</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that services the BHE provides through contract or formal agreement meet the same standards as services it provides directly, that provider partners hold appropriate credentials, and that confidentiality is protected across the relationship.</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contractors, subcontractors, business associates, and qualified service organizations that deliver services to or on behalf of the BHE or handle its protected information.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When the BHE provides a service through a contractor or formal agreement, it ensures the provider holds the appropriate license, endorsement, or professional credential in good standing, unless exempt, and that the service meets applicable standards. The BHE remains responsible for oversight, coordination, and the confidentiality of information shared, including under 42 CFR Part 2 where substance use records are involved.</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Before entering a service agreement, verify the partner’s license, endorsement, or professional credentials and define the scope of services.</w:t>
      </w:r>
    </w:p>
    <w:p>
      <w:pPr>
        <w:pStyle w:val="Normal"/>
        <w:tabs>
          <w:tab w:val="left" w:pos="720" w:leader="none"/>
        </w:tabs>
        <w:spacing w:lineRule="exact" w:line="264" w:before="0" w:after="80"/>
        <w:ind w:hanging="360" w:start="720"/>
        <w:rPr/>
      </w:pPr>
      <w:r>
        <w:rPr>
          <w:rFonts w:eastAsia="Arial" w:cs="Arial"/>
          <w:sz w:val="21"/>
          <w:szCs w:val="21"/>
        </w:rPr>
        <w:t>b. Execute a written agreement addressing responsibilities, quality expectations, confidentiality (including business associate and qualified service organization terms as applicable), and coordination.</w:t>
      </w:r>
    </w:p>
    <w:p>
      <w:pPr>
        <w:pStyle w:val="Normal"/>
        <w:tabs>
          <w:tab w:val="left" w:pos="720" w:leader="none"/>
        </w:tabs>
        <w:spacing w:lineRule="exact" w:line="264" w:before="0" w:after="80"/>
        <w:ind w:hanging="360" w:start="720"/>
        <w:rPr/>
      </w:pPr>
      <w:r>
        <w:rPr>
          <w:rFonts w:eastAsia="Arial" w:cs="Arial"/>
          <w:sz w:val="21"/>
          <w:szCs w:val="21"/>
        </w:rPr>
        <w:t>c. Monitor contracted services for quality and compliance, and address problems through the agreement and the quality program.</w:t>
      </w:r>
    </w:p>
    <w:p>
      <w:pPr>
        <w:pStyle w:val="Normal"/>
        <w:tabs>
          <w:tab w:val="left" w:pos="720" w:leader="none"/>
        </w:tabs>
        <w:spacing w:lineRule="exact" w:line="264" w:before="0" w:after="80"/>
        <w:ind w:hanging="360" w:start="720"/>
        <w:rPr/>
      </w:pPr>
      <w:r>
        <w:rPr>
          <w:rFonts w:eastAsia="Arial" w:cs="Arial"/>
          <w:sz w:val="21"/>
          <w:szCs w:val="21"/>
        </w:rPr>
        <w:t>d. Maintain a register of agreements, credential verifications, and oversight documentation.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Contracted Services Register</w:t>
      </w:r>
    </w:p>
    <w:p>
      <w:pPr>
        <w:pStyle w:val="ListParagraph"/>
        <w:numPr>
          <w:ilvl w:val="0"/>
          <w:numId w:val="1"/>
        </w:numPr>
        <w:spacing w:lineRule="exact" w:line="264" w:before="0" w:after="60"/>
        <w:rPr/>
      </w:pPr>
      <w:r>
        <w:rPr>
          <w:rFonts w:eastAsia="Arial" w:cs="Arial"/>
          <w:sz w:val="21"/>
          <w:szCs w:val="21"/>
        </w:rPr>
        <w:t>Business Associate Agreement</w:t>
      </w:r>
    </w:p>
    <w:p>
      <w:pPr>
        <w:pStyle w:val="ListParagraph"/>
        <w:numPr>
          <w:ilvl w:val="0"/>
          <w:numId w:val="1"/>
        </w:numPr>
        <w:spacing w:lineRule="exact" w:line="264" w:before="0" w:after="60"/>
        <w:rPr/>
      </w:pPr>
      <w:r>
        <w:rPr>
          <w:rFonts w:eastAsia="Arial" w:cs="Arial"/>
          <w:sz w:val="21"/>
          <w:szCs w:val="21"/>
        </w:rPr>
        <w:t>Qualified Service Organization Agreement (42 CFR Part 2)</w:t>
      </w:r>
    </w:p>
    <w:p>
      <w:pPr>
        <w:pStyle w:val="ListParagraph"/>
        <w:numPr>
          <w:ilvl w:val="0"/>
          <w:numId w:val="1"/>
        </w:numPr>
        <w:spacing w:lineRule="exact" w:line="264" w:before="0" w:after="60"/>
        <w:rPr/>
      </w:pPr>
      <w:r>
        <w:rPr>
          <w:rFonts w:eastAsia="Arial" w:cs="Arial"/>
          <w:sz w:val="21"/>
          <w:szCs w:val="21"/>
        </w:rPr>
        <w:t>Contractor Credential Verification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Credentialing &amp; Supervision</w:t>
      </w:r>
    </w:p>
    <w:p>
      <w:pPr>
        <w:pStyle w:val="Normal"/>
        <w:spacing w:lineRule="exact" w:line="288" w:before="0" w:after="240"/>
        <w:rPr/>
      </w:pPr>
      <w:r>
        <w:rPr>
          <w:rFonts w:eastAsia="Arial" w:cs="Arial"/>
          <w:color w:val="444444"/>
          <w:sz w:val="22"/>
          <w:szCs w:val="22"/>
        </w:rPr>
        <w:t>This section sets the requirements for who delivers services and how they are prepared and supported — qualifications and credentialing, background checks, fair hiring, clinical supervision, orientation, ongoing training, competency and performance, peer/volunteer/student roles, personnel records and professional boundaries, and staff health and wellbeing.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Qualifications &amp; Credentialing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Criminal Background Checks &amp;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Recruitment, Hiring &amp; Non-Discrimination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Clinical Supervision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Orientation &amp; Onboarding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Ongoing Training &amp; Professional Development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2.06  Competency &amp; Performance Evaluation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2.07  Peer Support, Volunteers, Students &amp; Interns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2.08  Personnel Records, Conduct &amp; Professional Boundaries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2.09  Staff Health &amp; Wellbeing</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Qualifications &amp; Credentialing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Qualifications &amp; Credentialing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(personnel; qualifications; scope of practice); Colorado professional practice acts; DORA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that personnel are qualified, appropriately credentialed, and practice within their scope, so that individuals receive safe, competent behavioral health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employees, contractors, and others who deliver services or supervise those who do, across all services and locations.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Credential — a license, certification, or registration required for a role, issued by the appropriate Colorado board (for example, through the Department of Regulatory Agencies, DORA) or registry.</w:t>
      </w:r>
    </w:p>
    <w:p>
      <w:pPr>
        <w:pStyle w:val="Normal"/>
        <w:spacing w:lineRule="exact" w:line="276" w:before="0" w:after="120"/>
        <w:rPr/>
      </w:pPr>
      <w:r>
        <w:rPr>
          <w:rFonts w:eastAsia="Arial" w:cs="Arial"/>
          <w:sz w:val="21"/>
          <w:szCs w:val="21"/>
        </w:rPr>
        <w:t>Scope of Practice — the services a person is legally authorized and competent to perform based on credential, training, and experience.</w:t>
      </w:r>
    </w:p>
    <w:p>
      <w:pPr>
        <w:pStyle w:val="Normal"/>
        <w:spacing w:lineRule="exact" w:line="276" w:before="0" w:after="120"/>
        <w:rPr/>
      </w:pPr>
      <w:r>
        <w:rPr>
          <w:rFonts w:eastAsia="Arial" w:cs="Arial"/>
          <w:sz w:val="21"/>
          <w:szCs w:val="21"/>
        </w:rPr>
        <w:t>Primary-Source Verification — confirmation of a credential directly from the issuing authority.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employs or contracts personnel who meet the qualifications for their roles. Where a role requires a license, certification, or registration — for example, licensed or certified behavioral health clinicians, physicians, advanced practice providers, nurses, or peer support professionals — the BHE verifies the credential is current and in good standing before the person delivers services and monitors it throughout employment.</w:t>
      </w:r>
    </w:p>
    <w:p>
      <w:pPr>
        <w:pStyle w:val="Normal"/>
        <w:spacing w:lineRule="exact" w:line="276" w:before="0" w:after="120"/>
        <w:rPr/>
      </w:pPr>
      <w:r>
        <w:rPr>
          <w:rFonts w:eastAsia="Arial" w:cs="Arial"/>
          <w:sz w:val="21"/>
          <w:szCs w:val="21"/>
        </w:rPr>
        <w:t>Personnel provide only services within their credential, training, and scope of practice. Assignments match each person’s qualifications and demonstrated competency, and unlicensed or pre-licensure staff work under required supervision and within defined limits.</w:t>
      </w:r>
    </w:p>
    <w:p>
      <w:pPr>
        <w:pStyle w:val="Normal"/>
        <w:pBdr>
          <w:bottom w:val="single" w:sz="4" w:space="1" w:color="2E5E45"/>
        </w:pBdr>
        <w:spacing w:before="160" w:after="80"/>
        <w:rPr/>
      </w:pPr>
      <w:r>
        <w:rPr>
          <w:rFonts w:eastAsia="Arial" w:cs="Arial"/>
          <w:b/>
          <w:bCs/>
          <w:color w:val="1A4731"/>
          <w:sz w:val="20"/>
          <w:szCs w:val="20"/>
        </w:rPr>
        <w:t>PROCEDURE — VERIFICATION AT HIRE</w:t>
      </w:r>
    </w:p>
    <w:p>
      <w:pPr>
        <w:pStyle w:val="Normal"/>
        <w:tabs>
          <w:tab w:val="left" w:pos="720" w:leader="none"/>
        </w:tabs>
        <w:spacing w:lineRule="exact" w:line="264" w:before="0" w:after="80"/>
        <w:ind w:hanging="360" w:start="720"/>
        <w:rPr/>
      </w:pPr>
      <w:r>
        <w:rPr>
          <w:rFonts w:eastAsia="Arial" w:cs="Arial"/>
          <w:sz w:val="21"/>
          <w:szCs w:val="21"/>
        </w:rPr>
        <w:t>a. Before a person delivers services, verify identity, education or experience required for the role, and any required professional license, certification, or registration through primary-source or other acceptable verification.</w:t>
      </w:r>
    </w:p>
    <w:p>
      <w:pPr>
        <w:pStyle w:val="Normal"/>
        <w:tabs>
          <w:tab w:val="left" w:pos="720" w:leader="none"/>
        </w:tabs>
        <w:spacing w:lineRule="exact" w:line="264" w:before="0" w:after="80"/>
        <w:ind w:hanging="360" w:start="720"/>
        <w:rPr/>
      </w:pPr>
      <w:r>
        <w:rPr>
          <w:rFonts w:eastAsia="Arial" w:cs="Arial"/>
          <w:sz w:val="21"/>
          <w:szCs w:val="21"/>
        </w:rPr>
        <w:t>b. Confirm the credential is current and unencumbered through the appropriate Colorado board or registry, and document the verification in the personnel record.</w:t>
      </w:r>
    </w:p>
    <w:p>
      <w:pPr>
        <w:pStyle w:val="Normal"/>
        <w:tabs>
          <w:tab w:val="left" w:pos="720" w:leader="none"/>
        </w:tabs>
        <w:spacing w:lineRule="exact" w:line="264" w:before="0" w:after="80"/>
        <w:ind w:hanging="360" w:start="720"/>
        <w:rPr/>
      </w:pPr>
      <w:r>
        <w:rPr>
          <w:rFonts w:eastAsia="Arial" w:cs="Arial"/>
          <w:sz w:val="21"/>
          <w:szCs w:val="21"/>
        </w:rPr>
        <w:t>c. Define in writing the scope of duties for each role and confirm the assignment matches the person’s credential, training, and competency.</w:t>
      </w:r>
    </w:p>
    <w:p>
      <w:pPr>
        <w:pStyle w:val="Normal"/>
        <w:pBdr>
          <w:bottom w:val="single" w:sz="4" w:space="1" w:color="2E5E45"/>
        </w:pBdr>
        <w:spacing w:before="160" w:after="80"/>
        <w:rPr/>
      </w:pPr>
      <w:r>
        <w:rPr>
          <w:rFonts w:eastAsia="Arial" w:cs="Arial"/>
          <w:b/>
          <w:bCs/>
          <w:color w:val="1A4731"/>
          <w:sz w:val="20"/>
          <w:szCs w:val="20"/>
        </w:rPr>
        <w:t>PROCEDURE — ONGOING MONITORING</w:t>
      </w:r>
    </w:p>
    <w:p>
      <w:pPr>
        <w:pStyle w:val="Normal"/>
        <w:tabs>
          <w:tab w:val="left" w:pos="720" w:leader="none"/>
        </w:tabs>
        <w:spacing w:lineRule="exact" w:line="264" w:before="0" w:after="80"/>
        <w:ind w:hanging="360" w:start="720"/>
        <w:rPr/>
      </w:pPr>
      <w:r>
        <w:rPr>
          <w:rFonts w:eastAsia="Arial" w:cs="Arial"/>
          <w:sz w:val="21"/>
          <w:szCs w:val="21"/>
        </w:rPr>
        <w:t>d. Track credential expiration dates and require renewal before lapse.</w:t>
      </w:r>
    </w:p>
    <w:p>
      <w:pPr>
        <w:pStyle w:val="Normal"/>
        <w:tabs>
          <w:tab w:val="left" w:pos="720" w:leader="none"/>
        </w:tabs>
        <w:spacing w:lineRule="exact" w:line="264" w:before="0" w:after="80"/>
        <w:ind w:hanging="360" w:start="720"/>
        <w:rPr/>
      </w:pPr>
      <w:r>
        <w:rPr>
          <w:rFonts w:eastAsia="Arial" w:cs="Arial"/>
          <w:sz w:val="21"/>
          <w:szCs w:val="21"/>
        </w:rPr>
        <w:t>e. Remove from affected duties any person whose required credential lapses, is restricted, suspended, or revoked, and document the action.</w:t>
      </w:r>
    </w:p>
    <w:p>
      <w:pPr>
        <w:pStyle w:val="Normal"/>
        <w:tabs>
          <w:tab w:val="left" w:pos="720" w:leader="none"/>
        </w:tabs>
        <w:spacing w:lineRule="exact" w:line="264" w:before="0" w:after="80"/>
        <w:ind w:hanging="360" w:start="720"/>
        <w:rPr/>
      </w:pPr>
      <w:r>
        <w:rPr>
          <w:rFonts w:eastAsia="Arial" w:cs="Arial"/>
          <w:sz w:val="21"/>
          <w:szCs w:val="21"/>
        </w:rPr>
        <w:t>f. Require personnel to report promptly any change in the status of a required credential or any disciplinary action, and act on such reports.</w:t>
      </w:r>
    </w:p>
    <w:p>
      <w:pPr>
        <w:pStyle w:val="Normal"/>
        <w:pBdr>
          <w:bottom w:val="single" w:sz="4" w:space="1" w:color="2E5E45"/>
        </w:pBdr>
        <w:spacing w:before="160" w:after="80"/>
        <w:rPr/>
      </w:pPr>
      <w:r>
        <w:rPr>
          <w:rFonts w:eastAsia="Arial" w:cs="Arial"/>
          <w:b/>
          <w:bCs/>
          <w:color w:val="1A4731"/>
          <w:sz w:val="20"/>
          <w:szCs w:val="20"/>
        </w:rPr>
        <w:t>DOCUMENTATION</w:t>
      </w:r>
    </w:p>
    <w:p>
      <w:pPr>
        <w:pStyle w:val="Normal"/>
        <w:spacing w:lineRule="exact" w:line="276" w:before="0" w:after="120"/>
        <w:rPr/>
      </w:pPr>
      <w:r>
        <w:rPr>
          <w:rFonts w:eastAsia="Arial" w:cs="Arial"/>
          <w:sz w:val="21"/>
          <w:szCs w:val="21"/>
        </w:rPr>
        <w:t>Maintain in each personnel record the credential verifications, renewals, position description, scope of practice, and any actions taken on credential status.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Credential Verification &amp; Renewal Log</w:t>
      </w:r>
    </w:p>
    <w:p>
      <w:pPr>
        <w:pStyle w:val="ListParagraph"/>
        <w:numPr>
          <w:ilvl w:val="0"/>
          <w:numId w:val="1"/>
        </w:numPr>
        <w:spacing w:lineRule="exact" w:line="264" w:before="0" w:after="60"/>
        <w:rPr/>
      </w:pPr>
      <w:r>
        <w:rPr>
          <w:rFonts w:eastAsia="Arial" w:cs="Arial"/>
          <w:sz w:val="21"/>
          <w:szCs w:val="21"/>
        </w:rPr>
        <w:t>Position Descriptions &amp; Scope of Practice</w:t>
      </w:r>
    </w:p>
    <w:p>
      <w:pPr>
        <w:pStyle w:val="ListParagraph"/>
        <w:numPr>
          <w:ilvl w:val="0"/>
          <w:numId w:val="1"/>
        </w:numPr>
        <w:spacing w:lineRule="exact" w:line="264" w:before="0" w:after="60"/>
        <w:rPr/>
      </w:pPr>
      <w:r>
        <w:rPr>
          <w:rFonts w:eastAsia="Arial" w:cs="Arial"/>
          <w:sz w:val="21"/>
          <w:szCs w:val="21"/>
        </w:rPr>
        <w:t>Personnel Roster with Credential Status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Criminal Background Checks &amp;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Criminal Background Checks &amp;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(background checks); Colorado Bureau of Investigation; applicable registry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individuals served by ensuring personnel and others with access to individuals are screened as the BHA Provider Rules require, and that results are evaluated consistently and fairly.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employees, contractors, volunteers, students, and others who will have access to individuals served, as required by the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conducts criminal background checks and any other screening required by the BHA rules for personnel and applicable others before they have unsupervised access to individuals served, evaluates results consistent with the rules and the BHE’s written criteria, and documents the process. Clearing required screening is a condition of employment or engagement, and screening is repeated at the intervals the rules require.</w:t>
      </w:r>
    </w:p>
    <w:p>
      <w:pPr>
        <w:pStyle w:val="Normal"/>
        <w:pBdr>
          <w:bottom w:val="single" w:sz="4" w:space="1" w:color="2E5E45"/>
        </w:pBdr>
        <w:spacing w:before="160" w:after="80"/>
        <w:rPr/>
      </w:pPr>
      <w:r>
        <w:rPr>
          <w:rFonts w:eastAsia="Arial" w:cs="Arial"/>
          <w:b/>
          <w:bCs/>
          <w:color w:val="1A4731"/>
          <w:sz w:val="20"/>
          <w:szCs w:val="20"/>
        </w:rPr>
        <w:t>PROCEDURE — CONDUCTING SCREENING</w:t>
      </w:r>
    </w:p>
    <w:p>
      <w:pPr>
        <w:pStyle w:val="Normal"/>
        <w:tabs>
          <w:tab w:val="left" w:pos="720" w:leader="none"/>
        </w:tabs>
        <w:spacing w:lineRule="exact" w:line="264" w:before="0" w:after="80"/>
        <w:ind w:hanging="360" w:start="720"/>
        <w:rPr/>
      </w:pPr>
      <w:r>
        <w:rPr>
          <w:rFonts w:eastAsia="Arial" w:cs="Arial"/>
          <w:sz w:val="21"/>
          <w:szCs w:val="21"/>
        </w:rPr>
        <w:t>a. Initiate the required criminal background check and any required registry checks during onboarding and before unsupervised access, as the rules require.</w:t>
      </w:r>
    </w:p>
    <w:p>
      <w:pPr>
        <w:pStyle w:val="Normal"/>
        <w:tabs>
          <w:tab w:val="left" w:pos="720" w:leader="none"/>
        </w:tabs>
        <w:spacing w:lineRule="exact" w:line="264" w:before="0" w:after="80"/>
        <w:ind w:hanging="360" w:start="720"/>
        <w:rPr/>
      </w:pPr>
      <w:r>
        <w:rPr>
          <w:rFonts w:eastAsia="Arial" w:cs="Arial"/>
          <w:sz w:val="21"/>
          <w:szCs w:val="21"/>
        </w:rPr>
        <w:t>b. Obtain the individual’s authorization and required identifying information, and use the designated screening channels.</w:t>
      </w:r>
    </w:p>
    <w:p>
      <w:pPr>
        <w:pStyle w:val="Normal"/>
        <w:tabs>
          <w:tab w:val="left" w:pos="720" w:leader="none"/>
        </w:tabs>
        <w:spacing w:lineRule="exact" w:line="264" w:before="0" w:after="80"/>
        <w:ind w:hanging="360" w:start="720"/>
        <w:rPr/>
      </w:pPr>
      <w:r>
        <w:rPr>
          <w:rFonts w:eastAsia="Arial" w:cs="Arial"/>
          <w:sz w:val="21"/>
          <w:szCs w:val="21"/>
        </w:rPr>
        <w:t>c. Where the rules permit supervised work pending results, define and document the supervision applied.</w:t>
      </w:r>
    </w:p>
    <w:p>
      <w:pPr>
        <w:pStyle w:val="Normal"/>
        <w:pBdr>
          <w:bottom w:val="single" w:sz="4" w:space="1" w:color="2E5E45"/>
        </w:pBdr>
        <w:spacing w:before="160" w:after="80"/>
        <w:rPr/>
      </w:pPr>
      <w:r>
        <w:rPr>
          <w:rFonts w:eastAsia="Arial" w:cs="Arial"/>
          <w:b/>
          <w:bCs/>
          <w:color w:val="1A4731"/>
          <w:sz w:val="20"/>
          <w:szCs w:val="20"/>
        </w:rPr>
        <w:t>PROCEDURE — EVALUATING RESULTS</w:t>
      </w:r>
    </w:p>
    <w:p>
      <w:pPr>
        <w:pStyle w:val="Normal"/>
        <w:tabs>
          <w:tab w:val="left" w:pos="720" w:leader="none"/>
        </w:tabs>
        <w:spacing w:lineRule="exact" w:line="264" w:before="0" w:after="80"/>
        <w:ind w:hanging="360" w:start="720"/>
        <w:rPr/>
      </w:pPr>
      <w:r>
        <w:rPr>
          <w:rFonts w:eastAsia="Arial" w:cs="Arial"/>
          <w:sz w:val="21"/>
          <w:szCs w:val="21"/>
        </w:rPr>
        <w:t>d. Evaluate results under the standards in the rules and the BHE’s written criteria, applying them consistently.</w:t>
      </w:r>
    </w:p>
    <w:p>
      <w:pPr>
        <w:pStyle w:val="Normal"/>
        <w:tabs>
          <w:tab w:val="left" w:pos="720" w:leader="none"/>
        </w:tabs>
        <w:spacing w:lineRule="exact" w:line="264" w:before="0" w:after="80"/>
        <w:ind w:hanging="360" w:start="720"/>
        <w:rPr/>
      </w:pPr>
      <w:r>
        <w:rPr>
          <w:rFonts w:eastAsia="Arial" w:cs="Arial"/>
          <w:sz w:val="21"/>
          <w:szCs w:val="21"/>
        </w:rPr>
        <w:t>e. Document determinations and any permitted conditions, and give the person any notice the law requires.</w:t>
      </w:r>
    </w:p>
    <w:p>
      <w:pPr>
        <w:pStyle w:val="Normal"/>
        <w:tabs>
          <w:tab w:val="left" w:pos="720" w:leader="none"/>
        </w:tabs>
        <w:spacing w:lineRule="exact" w:line="264" w:before="0" w:after="80"/>
        <w:ind w:hanging="360" w:start="720"/>
        <w:rPr/>
      </w:pPr>
      <w:r>
        <w:rPr>
          <w:rFonts w:eastAsia="Arial" w:cs="Arial"/>
          <w:sz w:val="21"/>
          <w:szCs w:val="21"/>
        </w:rPr>
        <w:t>f. Repeat screening at required intervals and maintain screening records confidentially, separate from general personnel information where appropriate.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Check Authorization &amp; Results Record</w:t>
      </w:r>
    </w:p>
    <w:p>
      <w:pPr>
        <w:pStyle w:val="ListParagraph"/>
        <w:numPr>
          <w:ilvl w:val="0"/>
          <w:numId w:val="1"/>
        </w:numPr>
        <w:spacing w:lineRule="exact" w:line="264" w:before="0" w:after="60"/>
        <w:rPr/>
      </w:pPr>
      <w:r>
        <w:rPr>
          <w:rFonts w:eastAsia="Arial" w:cs="Arial"/>
          <w:sz w:val="21"/>
          <w:szCs w:val="21"/>
        </w:rPr>
        <w:t>Registry Check Record</w:t>
      </w:r>
    </w:p>
    <w:p>
      <w:pPr>
        <w:pStyle w:val="ListParagraph"/>
        <w:numPr>
          <w:ilvl w:val="0"/>
          <w:numId w:val="1"/>
        </w:numPr>
        <w:spacing w:lineRule="exact" w:line="264" w:before="0" w:after="60"/>
        <w:rPr/>
      </w:pPr>
      <w:r>
        <w:rPr>
          <w:rFonts w:eastAsia="Arial" w:cs="Arial"/>
          <w:sz w:val="21"/>
          <w:szCs w:val="21"/>
        </w:rPr>
        <w:t>Screening Determination Form</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Recruitment, Hiring &amp; Non-Discrimination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Recruitment, Hiring &amp; Non-Discrimination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federal &amp; Colorado anti-discrimination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fair, lawful, non-discriminatory recruitment and hiring that selects qualified personnel for each role.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recruitment, selection, and hiring for employed and contracted positions.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recruits and hires without unlawful discrimination, selects candidates based on job-related qualifications, verifies required credentials and screening before independent practice, and documents the hiring decision. Job descriptions define the qualifications, duties, and reporting relationship for each role.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current job descriptions with qualifications and essential functions for each role.</w:t>
      </w:r>
    </w:p>
    <w:p>
      <w:pPr>
        <w:pStyle w:val="Normal"/>
        <w:tabs>
          <w:tab w:val="left" w:pos="720" w:leader="none"/>
        </w:tabs>
        <w:spacing w:lineRule="exact" w:line="264" w:before="0" w:after="80"/>
        <w:ind w:hanging="360" w:start="720"/>
        <w:rPr/>
      </w:pPr>
      <w:r>
        <w:rPr>
          <w:rFonts w:eastAsia="Arial" w:cs="Arial"/>
          <w:sz w:val="21"/>
          <w:szCs w:val="21"/>
        </w:rPr>
        <w:t>b. Recruit and evaluate candidates against job-related criteria and applicable law, and document the basis for selection.</w:t>
      </w:r>
    </w:p>
    <w:p>
      <w:pPr>
        <w:pStyle w:val="Normal"/>
        <w:tabs>
          <w:tab w:val="left" w:pos="720" w:leader="none"/>
        </w:tabs>
        <w:spacing w:lineRule="exact" w:line="264" w:before="0" w:after="80"/>
        <w:ind w:hanging="360" w:start="720"/>
        <w:rPr/>
      </w:pPr>
      <w:r>
        <w:rPr>
          <w:rFonts w:eastAsia="Arial" w:cs="Arial"/>
          <w:sz w:val="21"/>
          <w:szCs w:val="21"/>
        </w:rPr>
        <w:t>c. Complete credential verification, background screening, and reference or employment checks as required before independent practice.</w:t>
      </w:r>
    </w:p>
    <w:p>
      <w:pPr>
        <w:pStyle w:val="Normal"/>
        <w:tabs>
          <w:tab w:val="left" w:pos="720" w:leader="none"/>
        </w:tabs>
        <w:spacing w:lineRule="exact" w:line="264" w:before="0" w:after="80"/>
        <w:ind w:hanging="360" w:start="720"/>
        <w:rPr/>
      </w:pPr>
      <w:r>
        <w:rPr>
          <w:rFonts w:eastAsia="Arial" w:cs="Arial"/>
          <w:sz w:val="21"/>
          <w:szCs w:val="21"/>
        </w:rPr>
        <w:t>d. Provide required notices and reasonable accommodations consistent with law.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Job Description Template</w:t>
      </w:r>
    </w:p>
    <w:p>
      <w:pPr>
        <w:pStyle w:val="ListParagraph"/>
        <w:numPr>
          <w:ilvl w:val="0"/>
          <w:numId w:val="1"/>
        </w:numPr>
        <w:spacing w:lineRule="exact" w:line="264" w:before="0" w:after="60"/>
        <w:rPr/>
      </w:pPr>
      <w:r>
        <w:rPr>
          <w:rFonts w:eastAsia="Arial" w:cs="Arial"/>
          <w:sz w:val="21"/>
          <w:szCs w:val="21"/>
        </w:rPr>
        <w:t>Candidate Evaluation &amp; Selection Record</w:t>
      </w:r>
    </w:p>
    <w:p>
      <w:pPr>
        <w:pStyle w:val="ListParagraph"/>
        <w:numPr>
          <w:ilvl w:val="0"/>
          <w:numId w:val="1"/>
        </w:numPr>
        <w:spacing w:lineRule="exact" w:line="264" w:before="0" w:after="60"/>
        <w:rPr/>
      </w:pPr>
      <w:r>
        <w:rPr>
          <w:rFonts w:eastAsia="Arial" w:cs="Arial"/>
          <w:sz w:val="21"/>
          <w:szCs w:val="21"/>
        </w:rPr>
        <w:t>Reference / Employment Verification Form</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Clinical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(supervision); Colorado professional practice acts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personnel receive clinical supervision appropriate to their role, credential, and the services provided, supporting quality care, safety, and professional development.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personnel who require clinical supervision for their credential or role and to the supervisors who provide it.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Clinical Supervision — a formal relationship in which a qualified supervisor oversees the clinical work of a supervisee to ensure quality and support development.</w:t>
      </w:r>
    </w:p>
    <w:p>
      <w:pPr>
        <w:pStyle w:val="Normal"/>
        <w:spacing w:lineRule="exact" w:line="276" w:before="0" w:after="120"/>
        <w:rPr/>
      </w:pPr>
      <w:r>
        <w:rPr>
          <w:rFonts w:eastAsia="Arial" w:cs="Arial"/>
          <w:sz w:val="21"/>
          <w:szCs w:val="21"/>
        </w:rPr>
        <w:t>Pre-Licensure / Candidate — a person accruing supervised experience toward a Colorado credential.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provides clinical supervision consistent with the BHA rules and Colorado professional practice requirements. Personnel who require supervision receive it from a qualified supervisor at an appropriate frequency and format, and supervision is documented. Supervisors monitor scope of practice, clinical quality, documentation, safety, and adherence to policy, and escalate concerns.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Assign each person who requires supervision to a qualified supervisor and define the frequency, format, and content of supervision.</w:t>
      </w:r>
    </w:p>
    <w:p>
      <w:pPr>
        <w:pStyle w:val="Normal"/>
        <w:tabs>
          <w:tab w:val="left" w:pos="720" w:leader="none"/>
        </w:tabs>
        <w:spacing w:lineRule="exact" w:line="264" w:before="0" w:after="80"/>
        <w:ind w:hanging="360" w:start="720"/>
        <w:rPr/>
      </w:pPr>
      <w:r>
        <w:rPr>
          <w:rFonts w:eastAsia="Arial" w:cs="Arial"/>
          <w:sz w:val="21"/>
          <w:szCs w:val="21"/>
        </w:rPr>
        <w:t>b. Document supervision sessions, including clinical oversight, case review, and any performance or safety concerns and their resolution.</w:t>
      </w:r>
    </w:p>
    <w:p>
      <w:pPr>
        <w:pStyle w:val="Normal"/>
        <w:tabs>
          <w:tab w:val="left" w:pos="720" w:leader="none"/>
        </w:tabs>
        <w:spacing w:lineRule="exact" w:line="264" w:before="0" w:after="80"/>
        <w:ind w:hanging="360" w:start="720"/>
        <w:rPr/>
      </w:pPr>
      <w:r>
        <w:rPr>
          <w:rFonts w:eastAsia="Arial" w:cs="Arial"/>
          <w:sz w:val="21"/>
          <w:szCs w:val="21"/>
        </w:rPr>
        <w:t>c. Ensure supervisors review documentation and practice for quality and scope, and provide feedback and development.</w:t>
      </w:r>
    </w:p>
    <w:p>
      <w:pPr>
        <w:pStyle w:val="Normal"/>
        <w:tabs>
          <w:tab w:val="left" w:pos="720" w:leader="none"/>
        </w:tabs>
        <w:spacing w:lineRule="exact" w:line="264" w:before="0" w:after="80"/>
        <w:ind w:hanging="360" w:start="720"/>
        <w:rPr/>
      </w:pPr>
      <w:r>
        <w:rPr>
          <w:rFonts w:eastAsia="Arial" w:cs="Arial"/>
          <w:sz w:val="21"/>
          <w:szCs w:val="21"/>
        </w:rPr>
        <w:t>d. Track supervised hours where a person is accruing experience toward a credential, and provide required attestations.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Supervision Assignment Record</w:t>
      </w:r>
    </w:p>
    <w:p>
      <w:pPr>
        <w:pStyle w:val="ListParagraph"/>
        <w:numPr>
          <w:ilvl w:val="0"/>
          <w:numId w:val="1"/>
        </w:numPr>
        <w:spacing w:lineRule="exact" w:line="264" w:before="0" w:after="60"/>
        <w:rPr/>
      </w:pPr>
      <w:r>
        <w:rPr>
          <w:rFonts w:eastAsia="Arial" w:cs="Arial"/>
          <w:sz w:val="21"/>
          <w:szCs w:val="21"/>
        </w:rPr>
        <w:t>Clinical Supervision Log</w:t>
      </w:r>
    </w:p>
    <w:p>
      <w:pPr>
        <w:pStyle w:val="ListParagraph"/>
        <w:numPr>
          <w:ilvl w:val="0"/>
          <w:numId w:val="1"/>
        </w:numPr>
        <w:spacing w:lineRule="exact" w:line="264" w:before="0" w:after="60"/>
        <w:rPr/>
      </w:pPr>
      <w:r>
        <w:rPr>
          <w:rFonts w:eastAsia="Arial" w:cs="Arial"/>
          <w:sz w:val="21"/>
          <w:szCs w:val="21"/>
        </w:rPr>
        <w:t>Supervised Experience / Hours Tracking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Orientation &amp; Onboarding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Orientation &amp; Onboarding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(orientation)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new personnel are oriented to their role, the organization, and the policies and safety practices they need before they work independently.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new employees, contractors, volunteers, students, and interns, scaled to their role and access.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provides orientation before or promptly after a person begins, covering the organization’s mission and structure, the person’s duties, and the core policies and safety practices required for the role. Until required orientation is complete, personnel work under supervision consistent with their role.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Deliver orientation covering individual rights, confidentiality (HIPAA and 42 CFR Part 2), mandatory reporting, incident recognition and reporting, safety and emergency procedures, and the policies relevant to the role.</w:t>
      </w:r>
    </w:p>
    <w:p>
      <w:pPr>
        <w:pStyle w:val="Normal"/>
        <w:tabs>
          <w:tab w:val="left" w:pos="720" w:leader="none"/>
        </w:tabs>
        <w:spacing w:lineRule="exact" w:line="264" w:before="0" w:after="80"/>
        <w:ind w:hanging="360" w:start="720"/>
        <w:rPr/>
      </w:pPr>
      <w:r>
        <w:rPr>
          <w:rFonts w:eastAsia="Arial" w:cs="Arial"/>
          <w:sz w:val="21"/>
          <w:szCs w:val="21"/>
        </w:rPr>
        <w:t>b. Verify role-specific competencies required before independent practice.</w:t>
      </w:r>
    </w:p>
    <w:p>
      <w:pPr>
        <w:pStyle w:val="Normal"/>
        <w:tabs>
          <w:tab w:val="left" w:pos="720" w:leader="none"/>
        </w:tabs>
        <w:spacing w:lineRule="exact" w:line="264" w:before="0" w:after="80"/>
        <w:ind w:hanging="360" w:start="720"/>
        <w:rPr/>
      </w:pPr>
      <w:r>
        <w:rPr>
          <w:rFonts w:eastAsia="Arial" w:cs="Arial"/>
          <w:sz w:val="21"/>
          <w:szCs w:val="21"/>
        </w:rPr>
        <w:t>c. Document orientation completion and any items pending, and set timelines for completion.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Onboarding Completion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Ongoing Training &amp; Professional Development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Ongoing Training &amp; Professional Development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(ongoing training); mandatory reporting (Title 19 &amp; Title 27, C.R.S.)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personnel maintain and build the knowledge and skills their roles require through ongoing, documented training.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personnel, with content scaled to role and responsibilities.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provides ongoing training appropriate to each role, including refreshers on required topics and training when policies, rules, or practices change. Training is assigned, tracked, and documented, and completion is verified where it is a condition of a duty.</w:t>
      </w:r>
    </w:p>
    <w:p>
      <w:pPr>
        <w:pStyle w:val="Normal"/>
        <w:pBdr>
          <w:bottom w:val="single" w:sz="4" w:space="1" w:color="2E5E45"/>
        </w:pBdr>
        <w:spacing w:before="160" w:after="80"/>
        <w:rPr/>
      </w:pPr>
      <w:r>
        <w:rPr>
          <w:rFonts w:eastAsia="Arial" w:cs="Arial"/>
          <w:b/>
          <w:bCs/>
          <w:color w:val="1A4731"/>
          <w:sz w:val="20"/>
          <w:szCs w:val="20"/>
        </w:rPr>
        <w:t>PROCEDURE — REQUIRED &amp; ROLE-BASED CONTENT</w:t>
      </w:r>
    </w:p>
    <w:p>
      <w:pPr>
        <w:pStyle w:val="Normal"/>
        <w:spacing w:lineRule="exact" w:line="276" w:before="0" w:after="120"/>
        <w:rPr/>
      </w:pPr>
      <w:r>
        <w:rPr>
          <w:rFonts w:eastAsia="Arial" w:cs="Arial"/>
          <w:sz w:val="21"/>
          <w:szCs w:val="21"/>
        </w:rPr>
        <w:t>Ongoing training addresses, at minimum and as applicable to the role:</w:t>
      </w:r>
    </w:p>
    <w:p>
      <w:pPr>
        <w:pStyle w:val="ListParagraph"/>
        <w:numPr>
          <w:ilvl w:val="0"/>
          <w:numId w:val="1"/>
        </w:numPr>
        <w:spacing w:lineRule="exact" w:line="264" w:before="0" w:after="60"/>
        <w:rPr/>
      </w:pPr>
      <w:r>
        <w:rPr>
          <w:rFonts w:eastAsia="Arial" w:cs="Arial"/>
          <w:sz w:val="21"/>
          <w:szCs w:val="21"/>
        </w:rPr>
        <w:t>Individual rights, confidentiality (HIPAA and 42 CFR Part 2), and culturally and linguistically appropriate services;</w:t>
      </w:r>
    </w:p>
    <w:p>
      <w:pPr>
        <w:pStyle w:val="ListParagraph"/>
        <w:numPr>
          <w:ilvl w:val="0"/>
          <w:numId w:val="1"/>
        </w:numPr>
        <w:spacing w:lineRule="exact" w:line="264" w:before="0" w:after="60"/>
        <w:rPr/>
      </w:pPr>
      <w:r>
        <w:rPr>
          <w:rFonts w:eastAsia="Arial" w:cs="Arial"/>
          <w:sz w:val="21"/>
          <w:szCs w:val="21"/>
        </w:rPr>
        <w:t>Recognizing and reporting suspected abuse, neglect, and exploitation, and mandatory-reporter duties;</w:t>
      </w:r>
    </w:p>
    <w:p>
      <w:pPr>
        <w:pStyle w:val="ListParagraph"/>
        <w:numPr>
          <w:ilvl w:val="0"/>
          <w:numId w:val="1"/>
        </w:numPr>
        <w:spacing w:lineRule="exact" w:line="264" w:before="0" w:after="60"/>
        <w:rPr/>
      </w:pPr>
      <w:r>
        <w:rPr>
          <w:rFonts w:eastAsia="Arial" w:cs="Arial"/>
          <w:sz w:val="21"/>
          <w:szCs w:val="21"/>
        </w:rPr>
        <w:t>Critical incident recognition and reporting;</w:t>
      </w:r>
    </w:p>
    <w:p>
      <w:pPr>
        <w:pStyle w:val="ListParagraph"/>
        <w:numPr>
          <w:ilvl w:val="0"/>
          <w:numId w:val="1"/>
        </w:numPr>
        <w:spacing w:lineRule="exact" w:line="264" w:before="0" w:after="60"/>
        <w:rPr/>
      </w:pPr>
      <w:r>
        <w:rPr>
          <w:rFonts w:eastAsia="Arial" w:cs="Arial"/>
          <w:sz w:val="21"/>
          <w:szCs w:val="21"/>
        </w:rPr>
        <w:t>Suicide-risk awareness, de-escalation, and, where applicable, authorized safety interventions;</w:t>
      </w:r>
    </w:p>
    <w:p>
      <w:pPr>
        <w:pStyle w:val="ListParagraph"/>
        <w:numPr>
          <w:ilvl w:val="0"/>
          <w:numId w:val="1"/>
        </w:numPr>
        <w:spacing w:lineRule="exact" w:line="264" w:before="0" w:after="60"/>
        <w:rPr/>
      </w:pPr>
      <w:r>
        <w:rPr>
          <w:rFonts w:eastAsia="Arial" w:cs="Arial"/>
          <w:sz w:val="21"/>
          <w:szCs w:val="21"/>
        </w:rPr>
        <w:t>Trauma-informed care and, where applicable, co-occurring disorders;</w:t>
      </w:r>
    </w:p>
    <w:p>
      <w:pPr>
        <w:pStyle w:val="ListParagraph"/>
        <w:numPr>
          <w:ilvl w:val="0"/>
          <w:numId w:val="1"/>
        </w:numPr>
        <w:spacing w:lineRule="exact" w:line="264" w:before="0" w:after="60"/>
        <w:rPr/>
      </w:pPr>
      <w:r>
        <w:rPr>
          <w:rFonts w:eastAsia="Arial" w:cs="Arial"/>
          <w:sz w:val="21"/>
          <w:szCs w:val="21"/>
        </w:rPr>
        <w:t>Documentation standards and the policies relevant to the person’s duties.</w:t>
      </w:r>
    </w:p>
    <w:p>
      <w:pPr>
        <w:pStyle w:val="Normal"/>
        <w:pBdr>
          <w:bottom w:val="single" w:sz="4" w:space="1" w:color="2E5E45"/>
        </w:pBdr>
        <w:spacing w:before="160" w:after="80"/>
        <w:rPr/>
      </w:pPr>
      <w:r>
        <w:rPr>
          <w:rFonts w:eastAsia="Arial" w:cs="Arial"/>
          <w:b/>
          <w:bCs/>
          <w:color w:val="1A4731"/>
          <w:sz w:val="20"/>
          <w:szCs w:val="20"/>
        </w:rPr>
        <w:t>PROCEDURE — ASSIGNMENT &amp; TRACKING</w:t>
      </w:r>
    </w:p>
    <w:p>
      <w:pPr>
        <w:pStyle w:val="Normal"/>
        <w:tabs>
          <w:tab w:val="left" w:pos="720" w:leader="none"/>
        </w:tabs>
        <w:spacing w:lineRule="exact" w:line="264" w:before="0" w:after="80"/>
        <w:ind w:hanging="360" w:start="720"/>
        <w:rPr/>
      </w:pPr>
      <w:r>
        <w:rPr>
          <w:rFonts w:eastAsia="Arial" w:cs="Arial"/>
          <w:sz w:val="21"/>
          <w:szCs w:val="21"/>
        </w:rPr>
        <w:t>a. Assign role-based training with due dates and verify completion before independent practice where required.</w:t>
      </w:r>
    </w:p>
    <w:p>
      <w:pPr>
        <w:pStyle w:val="Normal"/>
        <w:tabs>
          <w:tab w:val="left" w:pos="720" w:leader="none"/>
        </w:tabs>
        <w:spacing w:lineRule="exact" w:line="264" w:before="0" w:after="80"/>
        <w:ind w:hanging="360" w:start="720"/>
        <w:rPr/>
      </w:pPr>
      <w:r>
        <w:rPr>
          <w:rFonts w:eastAsia="Arial" w:cs="Arial"/>
          <w:sz w:val="21"/>
          <w:szCs w:val="21"/>
        </w:rPr>
        <w:t>b. Provide refresher and update training on the schedule the rules and best practice require, and when policies change.</w:t>
      </w:r>
    </w:p>
    <w:p>
      <w:pPr>
        <w:pStyle w:val="Normal"/>
        <w:tabs>
          <w:tab w:val="left" w:pos="720" w:leader="none"/>
        </w:tabs>
        <w:spacing w:lineRule="exact" w:line="264" w:before="0" w:after="80"/>
        <w:ind w:hanging="360" w:start="720"/>
        <w:rPr/>
      </w:pPr>
      <w:r>
        <w:rPr>
          <w:rFonts w:eastAsia="Arial" w:cs="Arial"/>
          <w:sz w:val="21"/>
          <w:szCs w:val="21"/>
        </w:rPr>
        <w:t>c. Maintain individual training records and an organization-wide training tracker.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Annual Training Plan &amp; Completion Tracker</w:t>
      </w:r>
    </w:p>
    <w:p>
      <w:pPr>
        <w:pStyle w:val="ListParagraph"/>
        <w:numPr>
          <w:ilvl w:val="0"/>
          <w:numId w:val="1"/>
        </w:numPr>
        <w:spacing w:lineRule="exact" w:line="264" w:before="0" w:after="60"/>
        <w:rPr/>
      </w:pPr>
      <w:r>
        <w:rPr>
          <w:rFonts w:eastAsia="Arial" w:cs="Arial"/>
          <w:sz w:val="21"/>
          <w:szCs w:val="21"/>
        </w:rPr>
        <w:t>Training Attendance &amp; Completion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2.06  Competency &amp; Performance Evaluation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2.06  Competency &amp; Performance Evaluation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(competency; performance)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confirm that personnel are competent to perform their duties and to support performance through regular evaluation and feedback.</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personnel whose roles require demonstrated competency.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assesses competency for role-specific duties before independent practice and periodically thereafter, and it evaluates performance on a regular schedule. Identified gaps are addressed through training, supervision, or corrective action.</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Define the competencies required for each role and assess them through observation, review, or other appropriate methods.</w:t>
      </w:r>
    </w:p>
    <w:p>
      <w:pPr>
        <w:pStyle w:val="Normal"/>
        <w:tabs>
          <w:tab w:val="left" w:pos="720" w:leader="none"/>
        </w:tabs>
        <w:spacing w:lineRule="exact" w:line="264" w:before="0" w:after="80"/>
        <w:ind w:hanging="360" w:start="720"/>
        <w:rPr/>
      </w:pPr>
      <w:r>
        <w:rPr>
          <w:rFonts w:eastAsia="Arial" w:cs="Arial"/>
          <w:sz w:val="21"/>
          <w:szCs w:val="21"/>
        </w:rPr>
        <w:t>b. Conduct performance evaluations on a defined schedule, document strengths and areas for improvement, and set goals.</w:t>
      </w:r>
    </w:p>
    <w:p>
      <w:pPr>
        <w:pStyle w:val="Normal"/>
        <w:tabs>
          <w:tab w:val="left" w:pos="720" w:leader="none"/>
        </w:tabs>
        <w:spacing w:lineRule="exact" w:line="264" w:before="0" w:after="80"/>
        <w:ind w:hanging="360" w:start="720"/>
        <w:rPr/>
      </w:pPr>
      <w:r>
        <w:rPr>
          <w:rFonts w:eastAsia="Arial" w:cs="Arial"/>
          <w:sz w:val="21"/>
          <w:szCs w:val="21"/>
        </w:rPr>
        <w:t>c. Address competency or performance gaps through a documented improvement plan and re-evaluate.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Competency Assessment Record</w:t>
      </w:r>
    </w:p>
    <w:p>
      <w:pPr>
        <w:pStyle w:val="ListParagraph"/>
        <w:numPr>
          <w:ilvl w:val="0"/>
          <w:numId w:val="1"/>
        </w:numPr>
        <w:spacing w:lineRule="exact" w:line="264" w:before="0" w:after="60"/>
        <w:rPr/>
      </w:pPr>
      <w:r>
        <w:rPr>
          <w:rFonts w:eastAsia="Arial" w:cs="Arial"/>
          <w:sz w:val="21"/>
          <w:szCs w:val="21"/>
        </w:rPr>
        <w:t>Performance Evaluation Form</w:t>
      </w:r>
    </w:p>
    <w:p>
      <w:pPr>
        <w:pStyle w:val="ListParagraph"/>
        <w:numPr>
          <w:ilvl w:val="0"/>
          <w:numId w:val="1"/>
        </w:numPr>
        <w:spacing w:lineRule="exact" w:line="264" w:before="0" w:after="60"/>
        <w:rPr/>
      </w:pPr>
      <w:r>
        <w:rPr>
          <w:rFonts w:eastAsia="Arial" w:cs="Arial"/>
          <w:sz w:val="21"/>
          <w:szCs w:val="21"/>
        </w:rPr>
        <w:t>Performance Improvement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2.07  Peer Support, Volunteers, Students &amp; Interns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2.07  Peer Support, Volunteers, Students &amp; Interns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peer support professional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peer support professionals, volunteers, students, and interns are appropriately screened, trained, supervised, and used within defined roles.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peer support professionals and to all volunteers, students, and interns who interact with individuals served or their information.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screens, orients, trains, and supervises peer support professionals, volunteers, students, and interns appropriate to their roles and access, and defines the boundaries of what each may and may not do. Peer support professionals meet applicable qualification and supervision expectations for their role.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Apply background screening and orientation appropriate to the role and access, including confidentiality training.</w:t>
      </w:r>
    </w:p>
    <w:p>
      <w:pPr>
        <w:pStyle w:val="Normal"/>
        <w:tabs>
          <w:tab w:val="left" w:pos="720" w:leader="none"/>
        </w:tabs>
        <w:spacing w:lineRule="exact" w:line="264" w:before="0" w:after="80"/>
        <w:ind w:hanging="360" w:start="720"/>
        <w:rPr/>
      </w:pPr>
      <w:r>
        <w:rPr>
          <w:rFonts w:eastAsia="Arial" w:cs="Arial"/>
          <w:sz w:val="21"/>
          <w:szCs w:val="21"/>
        </w:rPr>
        <w:t>b. Define the scope and limits of the role in writing and ensure appropriate supervision.</w:t>
      </w:r>
    </w:p>
    <w:p>
      <w:pPr>
        <w:pStyle w:val="Normal"/>
        <w:tabs>
          <w:tab w:val="left" w:pos="720" w:leader="none"/>
        </w:tabs>
        <w:spacing w:lineRule="exact" w:line="264" w:before="0" w:after="80"/>
        <w:ind w:hanging="360" w:start="720"/>
        <w:rPr/>
      </w:pPr>
      <w:r>
        <w:rPr>
          <w:rFonts w:eastAsia="Arial" w:cs="Arial"/>
          <w:sz w:val="21"/>
          <w:szCs w:val="21"/>
        </w:rPr>
        <w:t>c. For students and interns, coordinate with the educational program and document the supervised experience.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Volunteer / Student / Intern Agreement &amp; Scope</w:t>
      </w:r>
    </w:p>
    <w:p>
      <w:pPr>
        <w:pStyle w:val="ListParagraph"/>
        <w:numPr>
          <w:ilvl w:val="0"/>
          <w:numId w:val="1"/>
        </w:numPr>
        <w:spacing w:lineRule="exact" w:line="264" w:before="0" w:after="60"/>
        <w:rPr/>
      </w:pPr>
      <w:r>
        <w:rPr>
          <w:rFonts w:eastAsia="Arial" w:cs="Arial"/>
          <w:sz w:val="21"/>
          <w:szCs w:val="21"/>
        </w:rPr>
        <w:t>Peer Support Role Description &amp; Supervision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2.08  Personnel Records, Conduct &amp; Professional Boundaries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2.08  Personnel Records, Conduct &amp; Professional Boundaries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(personnel records; conduct); professional ethics codes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BHE maintains complete, confidential personnel records and that personnel maintain professional conduct and appropriate boundaries with individuals served.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personnel records and to the professional conduct of all members of the workforce.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maintains a personnel record for each staff member containing the documentation the rules require — qualifications and credential verification, background-check results, orientation and training, supervision where applicable, competency and performance, and role assignment — and safeguards these records. Personnel maintain professional boundaries, avoid dual relationships and exploitation, and follow the code of conduct; prohibited conduct is addressed through corrective action.</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Establish and maintain a confidential, secure personnel record for each staff member with the required contents.</w:t>
      </w:r>
    </w:p>
    <w:p>
      <w:pPr>
        <w:pStyle w:val="Normal"/>
        <w:tabs>
          <w:tab w:val="left" w:pos="720" w:leader="none"/>
        </w:tabs>
        <w:spacing w:lineRule="exact" w:line="264" w:before="0" w:after="80"/>
        <w:ind w:hanging="360" w:start="720"/>
        <w:rPr/>
      </w:pPr>
      <w:r>
        <w:rPr>
          <w:rFonts w:eastAsia="Arial" w:cs="Arial"/>
          <w:sz w:val="21"/>
          <w:szCs w:val="21"/>
        </w:rPr>
        <w:t>b. Communicate boundary and conduct expectations and obtain acknowledgment; address violations promptly and document them.</w:t>
      </w:r>
    </w:p>
    <w:p>
      <w:pPr>
        <w:pStyle w:val="Normal"/>
        <w:tabs>
          <w:tab w:val="left" w:pos="720" w:leader="none"/>
        </w:tabs>
        <w:spacing w:lineRule="exact" w:line="264" w:before="0" w:after="80"/>
        <w:ind w:hanging="360" w:start="720"/>
        <w:rPr/>
      </w:pPr>
      <w:r>
        <w:rPr>
          <w:rFonts w:eastAsia="Arial" w:cs="Arial"/>
          <w:sz w:val="21"/>
          <w:szCs w:val="21"/>
        </w:rPr>
        <w:t>c. Retain personnel records for the required period and dispose of them confidentially.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Professional Boundaries Acknowledgment</w:t>
      </w:r>
    </w:p>
    <w:p>
      <w:pPr>
        <w:pStyle w:val="ListParagraph"/>
        <w:numPr>
          <w:ilvl w:val="0"/>
          <w:numId w:val="1"/>
        </w:numPr>
        <w:spacing w:lineRule="exact" w:line="264" w:before="0" w:after="60"/>
        <w:rPr/>
      </w:pPr>
      <w:r>
        <w:rPr>
          <w:rFonts w:eastAsia="Arial" w:cs="Arial"/>
          <w:sz w:val="21"/>
          <w:szCs w:val="21"/>
        </w:rPr>
        <w:t>Corrective Action / Disciplinary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2.09  Staff Health &amp; Wellbeing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2.09  Staff Health &amp; Wellbeing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(staff health where applicable); OSHA where applicable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any staff-health requirements applicable to the BHE’s services and to support workforce wellbeing and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staff-health requirements for the setting and to workplace safety and wellbeing supports.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BHE’s services carry staff-health requirements (for example, in residential or crisis settings), those requirements are met and documented. The BHE promotes workplace safety, addresses occupational exposures, and supports staff wellbeing, recognizing the demands of behavioral health work.</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Complete any staff-health screening applicable to the setting and role and document it.</w:t>
      </w:r>
    </w:p>
    <w:p>
      <w:pPr>
        <w:pStyle w:val="Normal"/>
        <w:tabs>
          <w:tab w:val="left" w:pos="720" w:leader="none"/>
        </w:tabs>
        <w:spacing w:lineRule="exact" w:line="264" w:before="0" w:after="80"/>
        <w:ind w:hanging="360" w:start="720"/>
        <w:rPr/>
      </w:pPr>
      <w:r>
        <w:rPr>
          <w:rFonts w:eastAsia="Arial" w:cs="Arial"/>
          <w:sz w:val="21"/>
          <w:szCs w:val="21"/>
        </w:rPr>
        <w:t>b. Maintain workplace safety practices and respond to occupational exposures or injuries as required.</w:t>
      </w:r>
    </w:p>
    <w:p>
      <w:pPr>
        <w:pStyle w:val="Normal"/>
        <w:tabs>
          <w:tab w:val="left" w:pos="720" w:leader="none"/>
        </w:tabs>
        <w:spacing w:lineRule="exact" w:line="264" w:before="0" w:after="80"/>
        <w:ind w:hanging="360" w:start="720"/>
        <w:rPr/>
      </w:pPr>
      <w:r>
        <w:rPr>
          <w:rFonts w:eastAsia="Arial" w:cs="Arial"/>
          <w:sz w:val="21"/>
          <w:szCs w:val="21"/>
        </w:rPr>
        <w:t>c. Provide or refer to wellbeing supports and address concerns that affect the ability to work safely.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 Health Screening Record (where applicable)</w:t>
      </w:r>
    </w:p>
    <w:p>
      <w:pPr>
        <w:pStyle w:val="ListParagraph"/>
        <w:numPr>
          <w:ilvl w:val="0"/>
          <w:numId w:val="1"/>
        </w:numPr>
        <w:spacing w:lineRule="exact" w:line="264" w:before="0" w:after="60"/>
        <w:rPr/>
      </w:pPr>
      <w:r>
        <w:rPr>
          <w:rFonts w:eastAsia="Arial" w:cs="Arial"/>
          <w:sz w:val="21"/>
          <w:szCs w:val="21"/>
        </w:rPr>
        <w:t>Workplace Injury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Individual Rights</w:t>
      </w:r>
    </w:p>
    <w:p>
      <w:pPr>
        <w:pStyle w:val="Normal"/>
        <w:spacing w:lineRule="exact" w:line="288" w:before="0" w:after="240"/>
        <w:rPr/>
      </w:pPr>
      <w:r>
        <w:rPr>
          <w:rFonts w:eastAsia="Arial" w:cs="Arial"/>
          <w:color w:val="444444"/>
          <w:sz w:val="22"/>
          <w:szCs w:val="22"/>
        </w:rPr>
        <w:t>This section protects the people the BHE serves — their rights and dignity, a retaliation-free grievance process, informed consent, least-restrictive practice and limits on restricting rights, non-discrimination and language access, advance directives, and privacy rights.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Individual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Grievance &amp; Complaint Resolution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Informed Consent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Restrictions &amp; Least-Restrictive Practices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Non-Discrimination, Accessibility &amp; Language Access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3.05  Advance Directives &amp; Behavioral Health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3.06  Privacy Rights &amp; Notice of Privacy Practices</w:t>
      </w:r>
    </w:p>
    <w:p>
      <w:pPr>
        <w:pStyle w:val="Normal"/>
        <w:rPr/>
      </w:pPr>
      <w:r>
        <w:rPr/>
      </w:r>
      <w:r>
        <w:br w:type="page"/>
      </w:r>
    </w:p>
    <w:p>
      <w:pPr>
        <w:pStyle w:val="Heading2"/>
        <w:spacing w:before="0" w:after="120"/>
        <w:rPr/>
      </w:pPr>
      <w:r>
        <w:rPr>
          <w:rFonts w:eastAsia="Arial" w:cs="Arial" w:ascii="Arial" w:hAnsi="Arial"/>
          <w:b/>
          <w:bCs/>
          <w:color w:val="1A4731"/>
          <w:sz w:val="26"/>
          <w:szCs w:val="26"/>
        </w:rPr>
        <w:t>3.00  Individual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Individual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Individual Rights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(individual rights); Title 27, C.R.S.; 42 CFR Part 2 &amp; HIPAA (privacy)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and promote the dignity, autonomy, privacy, and legal rights of every individual receiving services from the BHE, and to ensure individuals know their rights and how to exercise them.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individual receiving services, across all services and settings, and to all personnel.</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Individual — a person receiving or seeking behavioral health services from the BHE.</w:t>
      </w:r>
    </w:p>
    <w:p>
      <w:pPr>
        <w:pStyle w:val="Normal"/>
        <w:spacing w:lineRule="exact" w:line="276" w:before="0" w:after="120"/>
        <w:rPr/>
      </w:pPr>
      <w:r>
        <w:rPr>
          <w:rFonts w:eastAsia="Arial" w:cs="Arial"/>
          <w:sz w:val="21"/>
          <w:szCs w:val="21"/>
        </w:rPr>
        <w:t>Representative — a person legally authorized to make decisions with or for the individual, such as a guardian, agent under a power of attorney, or parent of a minor as applicable.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Each individual receiving services retains all legal rights and is treated with dignity and respect. The BHE provides each individual a written statement of rights in an understandable form and language at the start of services, makes rights available throughout services, and does not retaliate against an individual for exercising a right or filing a grievance.</w:t>
      </w:r>
    </w:p>
    <w:p>
      <w:pPr>
        <w:pStyle w:val="Normal"/>
        <w:spacing w:lineRule="exact" w:line="276" w:before="0" w:after="120"/>
        <w:rPr/>
      </w:pPr>
      <w:r>
        <w:rPr>
          <w:rFonts w:eastAsia="Arial" w:cs="Arial"/>
          <w:sz w:val="21"/>
          <w:szCs w:val="21"/>
        </w:rPr>
        <w:t>Rights include, at minimum: to be treated with dignity and respect and to be free from abuse, neglect, exploitation, coercion, and retaliation; to privacy and confidentiality of records consistent with HIPAA and 42 CFR Part 2; to give or withhold informed consent for services; to participate in service planning and to refuse services to the extent permitted by law; to be free from unnecessary or coercive restrictions and from seclusion or restraint except as narrowly permitted; to receive services free from discrimination; to reasonable accommodation and language access; to access their records as permitted by law; and to voice grievances and be informed of how to do so, including to external oversight bodies.</w:t>
      </w:r>
    </w:p>
    <w:p>
      <w:pPr>
        <w:pStyle w:val="Normal"/>
        <w:pBdr>
          <w:bottom w:val="single" w:sz="4" w:space="1" w:color="2E5E45"/>
        </w:pBdr>
        <w:spacing w:before="160" w:after="80"/>
        <w:rPr/>
      </w:pPr>
      <w:r>
        <w:rPr>
          <w:rFonts w:eastAsia="Arial" w:cs="Arial"/>
          <w:b/>
          <w:bCs/>
          <w:color w:val="1A4731"/>
          <w:sz w:val="20"/>
          <w:szCs w:val="20"/>
        </w:rPr>
        <w:t>PROCEDURE — INFORMING INDIVIDUALS</w:t>
      </w:r>
    </w:p>
    <w:p>
      <w:pPr>
        <w:pStyle w:val="Normal"/>
        <w:tabs>
          <w:tab w:val="left" w:pos="720" w:leader="none"/>
        </w:tabs>
        <w:spacing w:lineRule="exact" w:line="264" w:before="0" w:after="80"/>
        <w:ind w:hanging="360" w:start="720"/>
        <w:rPr/>
      </w:pPr>
      <w:r>
        <w:rPr>
          <w:rFonts w:eastAsia="Arial" w:cs="Arial"/>
          <w:sz w:val="21"/>
          <w:szCs w:val="21"/>
        </w:rPr>
        <w:t>a. Provide the written statement of rights at the start of services, explain it in a manner and language the individual can understand, and document receipt.</w:t>
      </w:r>
    </w:p>
    <w:p>
      <w:pPr>
        <w:pStyle w:val="Normal"/>
        <w:tabs>
          <w:tab w:val="left" w:pos="720" w:leader="none"/>
        </w:tabs>
        <w:spacing w:lineRule="exact" w:line="264" w:before="0" w:after="80"/>
        <w:ind w:hanging="360" w:start="720"/>
        <w:rPr/>
      </w:pPr>
      <w:r>
        <w:rPr>
          <w:rFonts w:eastAsia="Arial" w:cs="Arial"/>
          <w:sz w:val="21"/>
          <w:szCs w:val="21"/>
        </w:rPr>
        <w:t>b. Make rights information continuously available (for example, posted or provided on request) and re-explain it when needed.</w:t>
      </w:r>
    </w:p>
    <w:p>
      <w:pPr>
        <w:pStyle w:val="Normal"/>
        <w:tabs>
          <w:tab w:val="left" w:pos="720" w:leader="none"/>
        </w:tabs>
        <w:spacing w:lineRule="exact" w:line="264" w:before="0" w:after="80"/>
        <w:ind w:hanging="360" w:start="720"/>
        <w:rPr/>
      </w:pPr>
      <w:r>
        <w:rPr>
          <w:rFonts w:eastAsia="Arial" w:cs="Arial"/>
          <w:sz w:val="21"/>
          <w:szCs w:val="21"/>
        </w:rPr>
        <w:t>c. Provide contact information for filing grievances and for external oversight, including the BHA and, where applicable, the ombudsman and protection-and-advocacy resources.</w:t>
      </w:r>
    </w:p>
    <w:p>
      <w:pPr>
        <w:pStyle w:val="Normal"/>
        <w:pBdr>
          <w:bottom w:val="single" w:sz="4" w:space="1" w:color="2E5E45"/>
        </w:pBdr>
        <w:spacing w:before="160" w:after="80"/>
        <w:rPr/>
      </w:pPr>
      <w:r>
        <w:rPr>
          <w:rFonts w:eastAsia="Arial" w:cs="Arial"/>
          <w:b/>
          <w:bCs/>
          <w:color w:val="1A4731"/>
          <w:sz w:val="20"/>
          <w:szCs w:val="20"/>
        </w:rPr>
        <w:t>PROCEDURE — PROTECTING RIGHTS IN PRACTICE</w:t>
      </w:r>
    </w:p>
    <w:p>
      <w:pPr>
        <w:pStyle w:val="Normal"/>
        <w:tabs>
          <w:tab w:val="left" w:pos="720" w:leader="none"/>
        </w:tabs>
        <w:spacing w:lineRule="exact" w:line="264" w:before="0" w:after="80"/>
        <w:ind w:hanging="360" w:start="720"/>
        <w:rPr/>
      </w:pPr>
      <w:r>
        <w:rPr>
          <w:rFonts w:eastAsia="Arial" w:cs="Arial"/>
          <w:sz w:val="21"/>
          <w:szCs w:val="21"/>
        </w:rPr>
        <w:t>d. Accommodate communication needs, including qualified interpretation and materials for individuals with disabilities or limited English proficiency.</w:t>
      </w:r>
    </w:p>
    <w:p>
      <w:pPr>
        <w:pStyle w:val="Normal"/>
        <w:tabs>
          <w:tab w:val="left" w:pos="720" w:leader="none"/>
        </w:tabs>
        <w:spacing w:lineRule="exact" w:line="264" w:before="0" w:after="80"/>
        <w:ind w:hanging="360" w:start="720"/>
        <w:rPr/>
      </w:pPr>
      <w:r>
        <w:rPr>
          <w:rFonts w:eastAsia="Arial" w:cs="Arial"/>
          <w:sz w:val="21"/>
          <w:szCs w:val="21"/>
        </w:rPr>
        <w:t>e. Support individuals’ participation in decisions about their care and honor lawful refusals.</w:t>
      </w:r>
    </w:p>
    <w:p>
      <w:pPr>
        <w:pStyle w:val="Normal"/>
        <w:tabs>
          <w:tab w:val="left" w:pos="720" w:leader="none"/>
        </w:tabs>
        <w:spacing w:lineRule="exact" w:line="264" w:before="0" w:after="80"/>
        <w:ind w:hanging="360" w:start="720"/>
        <w:rPr/>
      </w:pPr>
      <w:r>
        <w:rPr>
          <w:rFonts w:eastAsia="Arial" w:cs="Arial"/>
          <w:sz w:val="21"/>
          <w:szCs w:val="21"/>
        </w:rPr>
        <w:t>f. Take no retaliatory action against an individual who exercises a right, and address any suspected rights violation through the grievance and incident processes.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 Rights Statement &amp; Acknowledgment</w:t>
      </w:r>
    </w:p>
    <w:p>
      <w:pPr>
        <w:pStyle w:val="ListParagraph"/>
        <w:numPr>
          <w:ilvl w:val="0"/>
          <w:numId w:val="1"/>
        </w:numPr>
        <w:spacing w:lineRule="exact" w:line="264" w:before="0" w:after="60"/>
        <w:rPr/>
      </w:pPr>
      <w:r>
        <w:rPr>
          <w:rFonts w:eastAsia="Arial" w:cs="Arial"/>
          <w:sz w:val="21"/>
          <w:szCs w:val="21"/>
        </w:rPr>
        <w:t>Notice of Grievance &amp; Oversight Contacts</w:t>
      </w:r>
    </w:p>
    <w:p>
      <w:pPr>
        <w:pStyle w:val="ListParagraph"/>
        <w:numPr>
          <w:ilvl w:val="0"/>
          <w:numId w:val="1"/>
        </w:numPr>
        <w:spacing w:lineRule="exact" w:line="264" w:before="0" w:after="60"/>
        <w:rPr/>
      </w:pPr>
      <w:r>
        <w:rPr>
          <w:rFonts w:eastAsia="Arial" w:cs="Arial"/>
          <w:sz w:val="21"/>
          <w:szCs w:val="21"/>
        </w:rPr>
        <w:t>Language Access &amp; Communication Needs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Grievance &amp; Complaint Resolution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Grievance &amp; Complaint Resolution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Individual Rights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(grievances); non-retaliation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individuals and their representatives a clear, timely, retaliation-free process for raising and resolving concerns, and to use grievance information to improve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grievances and complaints from individuals served, their representatives, and, where applicable, others acting on their behalf.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maintains a grievance process that lets an individual or representative file a concern without fear of retaliation, provides assistance to file where needed, ensures timely review and response, and informs the individual of the outcome and of the right to escalate to the BHA or other oversight body. Grievances are logged and reviewed for patterns.</w:t>
      </w:r>
    </w:p>
    <w:p>
      <w:pPr>
        <w:pStyle w:val="Normal"/>
        <w:pBdr>
          <w:bottom w:val="single" w:sz="4" w:space="1" w:color="2E5E45"/>
        </w:pBdr>
        <w:spacing w:before="160" w:after="80"/>
        <w:rPr/>
      </w:pPr>
      <w:r>
        <w:rPr>
          <w:rFonts w:eastAsia="Arial" w:cs="Arial"/>
          <w:b/>
          <w:bCs/>
          <w:color w:val="1A4731"/>
          <w:sz w:val="20"/>
          <w:szCs w:val="20"/>
        </w:rPr>
        <w:t>PROCEDURE — FILING &amp; RESPONSE</w:t>
      </w:r>
    </w:p>
    <w:p>
      <w:pPr>
        <w:pStyle w:val="Normal"/>
        <w:tabs>
          <w:tab w:val="left" w:pos="720" w:leader="none"/>
        </w:tabs>
        <w:spacing w:lineRule="exact" w:line="264" w:before="0" w:after="80"/>
        <w:ind w:hanging="360" w:start="720"/>
        <w:rPr/>
      </w:pPr>
      <w:r>
        <w:rPr>
          <w:rFonts w:eastAsia="Arial" w:cs="Arial"/>
          <w:sz w:val="21"/>
          <w:szCs w:val="21"/>
        </w:rPr>
        <w:t>a. Inform individuals at the start of services how to file a grievance, including how to do so anonymously or with assistance.</w:t>
      </w:r>
    </w:p>
    <w:p>
      <w:pPr>
        <w:pStyle w:val="Normal"/>
        <w:tabs>
          <w:tab w:val="left" w:pos="720" w:leader="none"/>
        </w:tabs>
        <w:spacing w:lineRule="exact" w:line="264" w:before="0" w:after="80"/>
        <w:ind w:hanging="360" w:start="720"/>
        <w:rPr/>
      </w:pPr>
      <w:r>
        <w:rPr>
          <w:rFonts w:eastAsia="Arial" w:cs="Arial"/>
          <w:sz w:val="21"/>
          <w:szCs w:val="21"/>
        </w:rPr>
        <w:t>b. Acknowledge grievances promptly and review them within the timeframes the BHE sets consistent with the rules; investigate as needed.</w:t>
      </w:r>
    </w:p>
    <w:p>
      <w:pPr>
        <w:pStyle w:val="Normal"/>
        <w:tabs>
          <w:tab w:val="left" w:pos="720" w:leader="none"/>
        </w:tabs>
        <w:spacing w:lineRule="exact" w:line="264" w:before="0" w:after="80"/>
        <w:ind w:hanging="360" w:start="720"/>
        <w:rPr/>
      </w:pPr>
      <w:r>
        <w:rPr>
          <w:rFonts w:eastAsia="Arial" w:cs="Arial"/>
          <w:sz w:val="21"/>
          <w:szCs w:val="21"/>
        </w:rPr>
        <w:t>c. Respond to the individual with the outcome, in writing where appropriate, and inform them of external escalation options, including the BHA.</w:t>
      </w:r>
    </w:p>
    <w:p>
      <w:pPr>
        <w:pStyle w:val="Normal"/>
        <w:pBdr>
          <w:bottom w:val="single" w:sz="4" w:space="1" w:color="2E5E45"/>
        </w:pBdr>
        <w:spacing w:before="160" w:after="80"/>
        <w:rPr/>
      </w:pPr>
      <w:r>
        <w:rPr>
          <w:rFonts w:eastAsia="Arial" w:cs="Arial"/>
          <w:b/>
          <w:bCs/>
          <w:color w:val="1A4731"/>
          <w:sz w:val="20"/>
          <w:szCs w:val="20"/>
        </w:rPr>
        <w:t>PROCEDURE — TRACKING &amp; IMPROVEMENT</w:t>
      </w:r>
    </w:p>
    <w:p>
      <w:pPr>
        <w:pStyle w:val="Normal"/>
        <w:tabs>
          <w:tab w:val="left" w:pos="720" w:leader="none"/>
        </w:tabs>
        <w:spacing w:lineRule="exact" w:line="264" w:before="0" w:after="80"/>
        <w:ind w:hanging="360" w:start="720"/>
        <w:rPr/>
      </w:pPr>
      <w:r>
        <w:rPr>
          <w:rFonts w:eastAsia="Arial" w:cs="Arial"/>
          <w:sz w:val="21"/>
          <w:szCs w:val="21"/>
        </w:rPr>
        <w:t>d. Log each grievance, its handling, and its resolution.</w:t>
      </w:r>
    </w:p>
    <w:p>
      <w:pPr>
        <w:pStyle w:val="Normal"/>
        <w:tabs>
          <w:tab w:val="left" w:pos="720" w:leader="none"/>
        </w:tabs>
        <w:spacing w:lineRule="exact" w:line="264" w:before="0" w:after="80"/>
        <w:ind w:hanging="360" w:start="720"/>
        <w:rPr/>
      </w:pPr>
      <w:r>
        <w:rPr>
          <w:rFonts w:eastAsia="Arial" w:cs="Arial"/>
          <w:sz w:val="21"/>
          <w:szCs w:val="21"/>
        </w:rPr>
        <w:t>e. Review grievance data through the quality program to identify and correct systemic issues.</w:t>
      </w:r>
    </w:p>
    <w:p>
      <w:pPr>
        <w:pStyle w:val="Normal"/>
        <w:tabs>
          <w:tab w:val="left" w:pos="720" w:leader="none"/>
        </w:tabs>
        <w:spacing w:lineRule="exact" w:line="264" w:before="0" w:after="80"/>
        <w:ind w:hanging="360" w:start="720"/>
        <w:rPr/>
      </w:pPr>
      <w:r>
        <w:rPr>
          <w:rFonts w:eastAsia="Arial" w:cs="Arial"/>
          <w:sz w:val="21"/>
          <w:szCs w:val="21"/>
        </w:rPr>
        <w:t>f. Take no retaliatory action against anyone who files or participates in a grievance, and monitor for retaliation.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Grievance Form</w:t>
      </w:r>
    </w:p>
    <w:p>
      <w:pPr>
        <w:pStyle w:val="ListParagraph"/>
        <w:numPr>
          <w:ilvl w:val="0"/>
          <w:numId w:val="1"/>
        </w:numPr>
        <w:spacing w:lineRule="exact" w:line="264" w:before="0" w:after="60"/>
        <w:rPr/>
      </w:pPr>
      <w:r>
        <w:rPr>
          <w:rFonts w:eastAsia="Arial" w:cs="Arial"/>
          <w:sz w:val="21"/>
          <w:szCs w:val="21"/>
        </w:rPr>
        <w:t>Grievance Log &amp; Resolution Tracker</w:t>
      </w:r>
    </w:p>
    <w:p>
      <w:pPr>
        <w:pStyle w:val="ListParagraph"/>
        <w:numPr>
          <w:ilvl w:val="0"/>
          <w:numId w:val="1"/>
        </w:numPr>
        <w:spacing w:lineRule="exact" w:line="264" w:before="0" w:after="60"/>
        <w:rPr/>
      </w:pPr>
      <w:r>
        <w:rPr>
          <w:rFonts w:eastAsia="Arial" w:cs="Arial"/>
          <w:sz w:val="21"/>
          <w:szCs w:val="21"/>
        </w:rPr>
        <w:t>Grievance Outcome Notice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Informed Consent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Informed Consent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Individual Rights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(informed consent); Title 27, C.R.S.; HIPAA &amp; 42 CFR Part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give informed, voluntary consent for services and disclosures, based on adequate information and free from coercion.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consent for assessment and treatment, for the use of specific interventions or medications where applicable, and for disclosures of information.</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Informed Consent — voluntary agreement given after the individual has been informed of the nature of the service, its risks and benefits, and alternatives, in an understandable way.</w:t>
      </w:r>
    </w:p>
    <w:p>
      <w:pPr>
        <w:pStyle w:val="Normal"/>
        <w:spacing w:lineRule="exact" w:line="276" w:before="0" w:after="120"/>
        <w:rPr/>
      </w:pPr>
      <w:r>
        <w:rPr>
          <w:rFonts w:eastAsia="Arial" w:cs="Arial"/>
          <w:sz w:val="21"/>
          <w:szCs w:val="21"/>
        </w:rPr>
        <w:t>Capacity — the individual’s ability to understand relevant information and appreciate the consequences of a decision; capacity is decision-specific.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obtains informed consent for treatment and for disclosures as required by law, ensuring the individual (or authorized representative) receives adequate information and consents voluntarily. Consent is documented, may be withdrawn, and is obtained again when services change materially. Consent for substance use record disclosures meets the specific requirements of 42 CFR Part 2. Where an individual lacks capacity, the BHE obtains consent from an authorized representative as the law provides.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Explain the proposed service, its risks, benefits, and alternatives, and answer questions in a manner and language the individual can understand.</w:t>
      </w:r>
    </w:p>
    <w:p>
      <w:pPr>
        <w:pStyle w:val="Normal"/>
        <w:tabs>
          <w:tab w:val="left" w:pos="720" w:leader="none"/>
        </w:tabs>
        <w:spacing w:lineRule="exact" w:line="264" w:before="0" w:after="80"/>
        <w:ind w:hanging="360" w:start="720"/>
        <w:rPr/>
      </w:pPr>
      <w:r>
        <w:rPr>
          <w:rFonts w:eastAsia="Arial" w:cs="Arial"/>
          <w:sz w:val="21"/>
          <w:szCs w:val="21"/>
        </w:rPr>
        <w:t>b. Confirm consent is voluntary, document it, and note the individual’s right to withdraw consent at any time.</w:t>
      </w:r>
    </w:p>
    <w:p>
      <w:pPr>
        <w:pStyle w:val="Normal"/>
        <w:tabs>
          <w:tab w:val="left" w:pos="720" w:leader="none"/>
        </w:tabs>
        <w:spacing w:lineRule="exact" w:line="264" w:before="0" w:after="80"/>
        <w:ind w:hanging="360" w:start="720"/>
        <w:rPr/>
      </w:pPr>
      <w:r>
        <w:rPr>
          <w:rFonts w:eastAsia="Arial" w:cs="Arial"/>
          <w:sz w:val="21"/>
          <w:szCs w:val="21"/>
        </w:rPr>
        <w:t>c. Obtain consent from an authorized representative where the individual lacks capacity, and involve the individual to the extent possible.</w:t>
      </w:r>
    </w:p>
    <w:p>
      <w:pPr>
        <w:pStyle w:val="Normal"/>
        <w:tabs>
          <w:tab w:val="left" w:pos="720" w:leader="none"/>
        </w:tabs>
        <w:spacing w:lineRule="exact" w:line="264" w:before="0" w:after="80"/>
        <w:ind w:hanging="360" w:start="720"/>
        <w:rPr/>
      </w:pPr>
      <w:r>
        <w:rPr>
          <w:rFonts w:eastAsia="Arial" w:cs="Arial"/>
          <w:sz w:val="21"/>
          <w:szCs w:val="21"/>
        </w:rPr>
        <w:t>d. Obtain and document specific consent for disclosures, including 42 CFR Part 2 consents where substance use records are involved.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Informed Consent for Services</w:t>
      </w:r>
    </w:p>
    <w:p>
      <w:pPr>
        <w:pStyle w:val="ListParagraph"/>
        <w:numPr>
          <w:ilvl w:val="0"/>
          <w:numId w:val="1"/>
        </w:numPr>
        <w:spacing w:lineRule="exact" w:line="264" w:before="0" w:after="60"/>
        <w:rPr/>
      </w:pPr>
      <w:r>
        <w:rPr>
          <w:rFonts w:eastAsia="Arial" w:cs="Arial"/>
          <w:sz w:val="21"/>
          <w:szCs w:val="21"/>
        </w:rPr>
        <w:t>Consent Withdrawal Record</w:t>
      </w:r>
    </w:p>
    <w:p>
      <w:pPr>
        <w:pStyle w:val="ListParagraph"/>
        <w:numPr>
          <w:ilvl w:val="0"/>
          <w:numId w:val="1"/>
        </w:numPr>
        <w:spacing w:lineRule="exact" w:line="264" w:before="0" w:after="60"/>
        <w:rPr/>
      </w:pPr>
      <w:r>
        <w:rPr>
          <w:rFonts w:eastAsia="Arial" w:cs="Arial"/>
          <w:sz w:val="21"/>
          <w:szCs w:val="21"/>
        </w:rPr>
        <w:t>Authorization for Release of Information (Part 2)</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Restrictions on Rights &amp; Least-Restrictive Practices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Restrictions on Rights &amp; Least-Restrictive Practices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Individual Rights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(least-restrictive practices; rights restrictions)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any restriction of an individual’s rights is lawful, clinically justified, least-restrictive, time-limited, reviewed, and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any limitation on an individual’s rights or freedoms imposed as part of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imposes a limitation on an individual’s rights only when permitted by law and clinically justified, uses the least-restrictive option, makes the restriction time-limited and subject to regular review, and documents the rationale. The individual is informed of the restriction, the reason, and how to challenge it. Rights are restored as soon as the justification no longer applies.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Before restricting any right, confirm legal authority and clinical justification and consider less-restrictive alternatives.</w:t>
      </w:r>
    </w:p>
    <w:p>
      <w:pPr>
        <w:pStyle w:val="Normal"/>
        <w:tabs>
          <w:tab w:val="left" w:pos="720" w:leader="none"/>
        </w:tabs>
        <w:spacing w:lineRule="exact" w:line="264" w:before="0" w:after="80"/>
        <w:ind w:hanging="360" w:start="720"/>
        <w:rPr/>
      </w:pPr>
      <w:r>
        <w:rPr>
          <w:rFonts w:eastAsia="Arial" w:cs="Arial"/>
          <w:sz w:val="21"/>
          <w:szCs w:val="21"/>
        </w:rPr>
        <w:t>b. Impose the least-restrictive measure, document the reason and duration, and set a review interval.</w:t>
      </w:r>
    </w:p>
    <w:p>
      <w:pPr>
        <w:pStyle w:val="Normal"/>
        <w:tabs>
          <w:tab w:val="left" w:pos="720" w:leader="none"/>
        </w:tabs>
        <w:spacing w:lineRule="exact" w:line="264" w:before="0" w:after="80"/>
        <w:ind w:hanging="360" w:start="720"/>
        <w:rPr/>
      </w:pPr>
      <w:r>
        <w:rPr>
          <w:rFonts w:eastAsia="Arial" w:cs="Arial"/>
          <w:sz w:val="21"/>
          <w:szCs w:val="21"/>
        </w:rPr>
        <w:t>c. Inform the individual (and representative, where applicable) of the restriction, the reason, and the right to grieve it.</w:t>
      </w:r>
    </w:p>
    <w:p>
      <w:pPr>
        <w:pStyle w:val="Normal"/>
        <w:tabs>
          <w:tab w:val="left" w:pos="720" w:leader="none"/>
        </w:tabs>
        <w:spacing w:lineRule="exact" w:line="264" w:before="0" w:after="80"/>
        <w:ind w:hanging="360" w:start="720"/>
        <w:rPr/>
      </w:pPr>
      <w:r>
        <w:rPr>
          <w:rFonts w:eastAsia="Arial" w:cs="Arial"/>
          <w:sz w:val="21"/>
          <w:szCs w:val="21"/>
        </w:rPr>
        <w:t>d. Review the restriction at defined intervals and remove it when no longer justified.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Rights Restriction Justification &amp;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Non-Discrimination, Accessibility &amp; Language Access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Non-Discrimination, Accessibility &amp; Language Access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Individual Rights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ADA; Section 504; Title VI (language access)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receive services without unlawful discrimination and with the accommodations and language access they need for effective participation.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access to and delivery of all services and to all communications with individuals served.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does not discriminate against individuals on any basis protected by law, provides reasonable accommodations for individuals with disabilities, ensures effective communication, and provides language access for individuals with limited English proficiency at no cost to the individual.</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accommodation and language needs at intake and throughout services and provide qualified interpretation and accessible or translated materials.</w:t>
      </w:r>
    </w:p>
    <w:p>
      <w:pPr>
        <w:pStyle w:val="Normal"/>
        <w:tabs>
          <w:tab w:val="left" w:pos="720" w:leader="none"/>
        </w:tabs>
        <w:spacing w:lineRule="exact" w:line="264" w:before="0" w:after="80"/>
        <w:ind w:hanging="360" w:start="720"/>
        <w:rPr/>
      </w:pPr>
      <w:r>
        <w:rPr>
          <w:rFonts w:eastAsia="Arial" w:cs="Arial"/>
          <w:sz w:val="21"/>
          <w:szCs w:val="21"/>
        </w:rPr>
        <w:t>b. Provide reasonable modifications to policies and practices where needed for access, absent undue burden or fundamental alteration.</w:t>
      </w:r>
    </w:p>
    <w:p>
      <w:pPr>
        <w:pStyle w:val="Normal"/>
        <w:tabs>
          <w:tab w:val="left" w:pos="720" w:leader="none"/>
        </w:tabs>
        <w:spacing w:lineRule="exact" w:line="264" w:before="0" w:after="80"/>
        <w:ind w:hanging="360" w:start="720"/>
        <w:rPr/>
      </w:pPr>
      <w:r>
        <w:rPr>
          <w:rFonts w:eastAsia="Arial" w:cs="Arial"/>
          <w:sz w:val="21"/>
          <w:szCs w:val="21"/>
        </w:rPr>
        <w:t>c. Train personnel on non-discrimination and effective communication, and address complaints of discrimination through the grievance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Accommodation Request &amp; Determination Record</w:t>
      </w:r>
    </w:p>
    <w:p>
      <w:pPr>
        <w:pStyle w:val="ListParagraph"/>
        <w:numPr>
          <w:ilvl w:val="0"/>
          <w:numId w:val="1"/>
        </w:numPr>
        <w:spacing w:lineRule="exact" w:line="264" w:before="0" w:after="60"/>
        <w:rPr/>
      </w:pPr>
      <w:r>
        <w:rPr>
          <w:rFonts w:eastAsia="Arial" w:cs="Arial"/>
          <w:sz w:val="21"/>
          <w:szCs w:val="21"/>
        </w:rPr>
        <w:t>Interpretation Services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3.05  Advance Directives &amp; Behavioral Health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3.05  Advance Directives &amp; Behavioral Health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Individual Rights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Colorado advance directive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honor individuals’ advance directives and support behavioral health planning that reflects their preferences for future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advance directives and any behavioral health or crisis planning documents an individual has or wishes to create.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informs individuals of their right to formulate advance directives as applicable, asks whether an individual has one, incorporates relevant directives and behavioral health/crisis preferences into planning to the extent permitted by law, and honors them consistent with clinical and legal requirements.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Ask at intake whether the individual has an advance directive or crisis plan and document the response.</w:t>
      </w:r>
    </w:p>
    <w:p>
      <w:pPr>
        <w:pStyle w:val="Normal"/>
        <w:tabs>
          <w:tab w:val="left" w:pos="720" w:leader="none"/>
        </w:tabs>
        <w:spacing w:lineRule="exact" w:line="264" w:before="0" w:after="80"/>
        <w:ind w:hanging="360" w:start="720"/>
        <w:rPr/>
      </w:pPr>
      <w:r>
        <w:rPr>
          <w:rFonts w:eastAsia="Arial" w:cs="Arial"/>
          <w:sz w:val="21"/>
          <w:szCs w:val="21"/>
        </w:rPr>
        <w:t>b. Incorporate relevant preferences into the service and crisis plan to the extent permitted by law.</w:t>
      </w:r>
    </w:p>
    <w:p>
      <w:pPr>
        <w:pStyle w:val="Normal"/>
        <w:tabs>
          <w:tab w:val="left" w:pos="720" w:leader="none"/>
        </w:tabs>
        <w:spacing w:lineRule="exact" w:line="264" w:before="0" w:after="80"/>
        <w:ind w:hanging="360" w:start="720"/>
        <w:rPr/>
      </w:pPr>
      <w:r>
        <w:rPr>
          <w:rFonts w:eastAsia="Arial" w:cs="Arial"/>
          <w:sz w:val="21"/>
          <w:szCs w:val="21"/>
        </w:rPr>
        <w:t>c. Provide information or referral for creating an advance directive on request, and keep any directive in the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Advance Directive / Crisis Preferences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3.06  Privacy Rights &amp; Notice of Privacy Practices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3.06  Privacy Rights &amp; Notice of Privacy Practices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Individual Rights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HIPAA (45 CFR Parts 160 &amp; 164); 42 CFR Part 2; 2 CCR 502-1, Ch.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are informed of their privacy rights and how their information is used and protected, and to support the exercise of those rights.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privacy rights of all individuals served and to the organization’s privacy notice and practices.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provides a Notice of Privacy Practices describing how it uses and discloses protected health information and the individual’s privacy rights, and it supports individuals in exercising rights such as access to and amendment of records and an accounting of certain disclosures, consistent with HIPAA, 42 CFR Part 2, and Colorado law.</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the Notice of Privacy Practices at the start of services and make it available on request, and obtain acknowledgment where required.</w:t>
      </w:r>
    </w:p>
    <w:p>
      <w:pPr>
        <w:pStyle w:val="Normal"/>
        <w:tabs>
          <w:tab w:val="left" w:pos="720" w:leader="none"/>
        </w:tabs>
        <w:spacing w:lineRule="exact" w:line="264" w:before="0" w:after="80"/>
        <w:ind w:hanging="360" w:start="720"/>
        <w:rPr/>
      </w:pPr>
      <w:r>
        <w:rPr>
          <w:rFonts w:eastAsia="Arial" w:cs="Arial"/>
          <w:sz w:val="21"/>
          <w:szCs w:val="21"/>
        </w:rPr>
        <w:t>b. Process requests to access, amend, or restrict information, and requests for an accounting of disclosures, within required timeframes.</w:t>
      </w:r>
    </w:p>
    <w:p>
      <w:pPr>
        <w:pStyle w:val="Normal"/>
        <w:tabs>
          <w:tab w:val="left" w:pos="720" w:leader="none"/>
        </w:tabs>
        <w:spacing w:lineRule="exact" w:line="264" w:before="0" w:after="80"/>
        <w:ind w:hanging="360" w:start="720"/>
        <w:rPr/>
      </w:pPr>
      <w:r>
        <w:rPr>
          <w:rFonts w:eastAsia="Arial" w:cs="Arial"/>
          <w:sz w:val="21"/>
          <w:szCs w:val="21"/>
        </w:rPr>
        <w:t>c. Apply the more protective rule where HIPAA and 42 CFR Part 2 differ, and document how privacy requests are handled.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Notice of Privacy Practices &amp; Acknowledgment</w:t>
      </w:r>
    </w:p>
    <w:p>
      <w:pPr>
        <w:pStyle w:val="ListParagraph"/>
        <w:numPr>
          <w:ilvl w:val="0"/>
          <w:numId w:val="1"/>
        </w:numPr>
        <w:spacing w:lineRule="exact" w:line="264" w:before="0" w:after="60"/>
        <w:rPr/>
      </w:pPr>
      <w:r>
        <w:rPr>
          <w:rFonts w:eastAsia="Arial" w:cs="Arial"/>
          <w:sz w:val="21"/>
          <w:szCs w:val="21"/>
        </w:rPr>
        <w:t>Individual Request for Access / Amendment / Accounting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Clinical Service Delivery</w:t>
      </w:r>
    </w:p>
    <w:p>
      <w:pPr>
        <w:pStyle w:val="Normal"/>
        <w:spacing w:lineRule="exact" w:line="288" w:before="0" w:after="240"/>
        <w:rPr/>
      </w:pPr>
      <w:r>
        <w:rPr>
          <w:rFonts w:eastAsia="Arial" w:cs="Arial"/>
          <w:color w:val="444444"/>
          <w:sz w:val="22"/>
          <w:szCs w:val="22"/>
        </w:rPr>
        <w:t>This section covers the general clinical process every BHE follows regardless of endorsement — access, screening and intake; comprehensive assessment and diagnosis; risk assessment, suicide prevention and safety planning; person-centered service planning; evidence-based and trauma-informed practice; co-occurring disorders and integrated care; care coordination and referral; engagement and continuity; and discharge and transition. Endorsement-specific service standards are in the add-on modules.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Access, Screening &amp; Intake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Comprehensive Assessment &amp; Diagnosis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Risk Assessment, Suicide Prevention &amp; Safety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Person-Centered Service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Evidence-Based &amp; Trauma-Informed Practice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Co-Occurring Disorders &amp; Integrated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4.06  Care Coordination &amp; Referral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4.07  Engagement, Missed Appointments &amp; Continuity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4.08  Discharge, Transfer &amp; Transition of Care</w:t>
      </w:r>
    </w:p>
    <w:p>
      <w:pPr>
        <w:pStyle w:val="Normal"/>
        <w:rPr/>
      </w:pPr>
      <w:r>
        <w:rPr/>
      </w:r>
      <w:r>
        <w:br w:type="page"/>
      </w:r>
    </w:p>
    <w:p>
      <w:pPr>
        <w:pStyle w:val="Heading2"/>
        <w:spacing w:before="0" w:after="120"/>
        <w:rPr/>
      </w:pPr>
      <w:r>
        <w:rPr>
          <w:rFonts w:eastAsia="Arial" w:cs="Arial" w:ascii="Arial" w:hAnsi="Arial"/>
          <w:b/>
          <w:bCs/>
          <w:color w:val="1A4731"/>
          <w:sz w:val="26"/>
          <w:szCs w:val="26"/>
        </w:rPr>
        <w:t>4.00  Access, Screening &amp; Intake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Access, Screening &amp; Intake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(access; screening); endorsement chapters for service-specific criteria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can access services appropriately, are screened for needs, urgency, and risk, and are connected to the right level of care without unnecessary delay.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requests for services and to screening and intake across all services and settings.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Screening — an initial review to determine appropriateness, urgency, and risk and to identify the appropriate level of care.</w:t>
      </w:r>
    </w:p>
    <w:p>
      <w:pPr>
        <w:pStyle w:val="Normal"/>
        <w:spacing w:lineRule="exact" w:line="276" w:before="0" w:after="120"/>
        <w:rPr/>
      </w:pPr>
      <w:r>
        <w:rPr>
          <w:rFonts w:eastAsia="Arial" w:cs="Arial"/>
          <w:sz w:val="21"/>
          <w:szCs w:val="21"/>
        </w:rPr>
        <w:t>Intake — the process of formally beginning services, including consents, rights notification, and initial record creation.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provides clear access to services and screens individuals seeking services to determine appropriateness, urgency, and risk. Emergency or crisis needs are addressed immediately. When a presenting need exceeds the BHE’s scope or capacity, the BHE ensures the individual is referred and, where indicated, has access to interim support until connected to appropriate care, and it obtains any required approvals before referring priority-population individuals as the rules require.</w:t>
      </w:r>
    </w:p>
    <w:p>
      <w:pPr>
        <w:pStyle w:val="Normal"/>
        <w:pBdr>
          <w:bottom w:val="single" w:sz="4" w:space="1" w:color="2E5E45"/>
        </w:pBdr>
        <w:spacing w:before="160" w:after="80"/>
        <w:rPr/>
      </w:pPr>
      <w:r>
        <w:rPr>
          <w:rFonts w:eastAsia="Arial" w:cs="Arial"/>
          <w:b/>
          <w:bCs/>
          <w:color w:val="1A4731"/>
          <w:sz w:val="20"/>
          <w:szCs w:val="20"/>
        </w:rPr>
        <w:t>PROCEDURE — ACCESS &amp; SCREENING</w:t>
      </w:r>
    </w:p>
    <w:p>
      <w:pPr>
        <w:pStyle w:val="Normal"/>
        <w:tabs>
          <w:tab w:val="left" w:pos="720" w:leader="none"/>
        </w:tabs>
        <w:spacing w:lineRule="exact" w:line="264" w:before="0" w:after="80"/>
        <w:ind w:hanging="360" w:start="720"/>
        <w:rPr/>
      </w:pPr>
      <w:r>
        <w:rPr>
          <w:rFonts w:eastAsia="Arial" w:cs="Arial"/>
          <w:sz w:val="21"/>
          <w:szCs w:val="21"/>
        </w:rPr>
        <w:t>a. Provide accessible information on how to request services and respond to requests within timeframes appropriate to urgency.</w:t>
      </w:r>
    </w:p>
    <w:p>
      <w:pPr>
        <w:pStyle w:val="Normal"/>
        <w:tabs>
          <w:tab w:val="left" w:pos="720" w:leader="none"/>
        </w:tabs>
        <w:spacing w:lineRule="exact" w:line="264" w:before="0" w:after="80"/>
        <w:ind w:hanging="360" w:start="720"/>
        <w:rPr/>
      </w:pPr>
      <w:r>
        <w:rPr>
          <w:rFonts w:eastAsia="Arial" w:cs="Arial"/>
          <w:sz w:val="21"/>
          <w:szCs w:val="21"/>
        </w:rPr>
        <w:t>b. Complete an initial screening that identifies presenting needs, safety and risk concerns, and the appropriate level of care, applying endorsement-specific criteria where relevant.</w:t>
      </w:r>
    </w:p>
    <w:p>
      <w:pPr>
        <w:pStyle w:val="Normal"/>
        <w:tabs>
          <w:tab w:val="left" w:pos="720" w:leader="none"/>
        </w:tabs>
        <w:spacing w:lineRule="exact" w:line="264" w:before="0" w:after="80"/>
        <w:ind w:hanging="360" w:start="720"/>
        <w:rPr/>
      </w:pPr>
      <w:r>
        <w:rPr>
          <w:rFonts w:eastAsia="Arial" w:cs="Arial"/>
          <w:sz w:val="21"/>
          <w:szCs w:val="21"/>
        </w:rPr>
        <w:t>c. Take immediate action for any emergency or crisis need and coordinate prompt follow-up.</w:t>
      </w:r>
    </w:p>
    <w:p>
      <w:pPr>
        <w:pStyle w:val="Normal"/>
        <w:pBdr>
          <w:bottom w:val="single" w:sz="4" w:space="1" w:color="2E5E45"/>
        </w:pBdr>
        <w:spacing w:before="160" w:after="80"/>
        <w:rPr/>
      </w:pPr>
      <w:r>
        <w:rPr>
          <w:rFonts w:eastAsia="Arial" w:cs="Arial"/>
          <w:b/>
          <w:bCs/>
          <w:color w:val="1A4731"/>
          <w:sz w:val="20"/>
          <w:szCs w:val="20"/>
        </w:rPr>
        <w:t>PROCEDURE — INTAKE</w:t>
      </w:r>
    </w:p>
    <w:p>
      <w:pPr>
        <w:pStyle w:val="Normal"/>
        <w:tabs>
          <w:tab w:val="left" w:pos="720" w:leader="none"/>
        </w:tabs>
        <w:spacing w:lineRule="exact" w:line="264" w:before="0" w:after="80"/>
        <w:ind w:hanging="360" w:start="720"/>
        <w:rPr/>
      </w:pPr>
      <w:r>
        <w:rPr>
          <w:rFonts w:eastAsia="Arial" w:cs="Arial"/>
          <w:sz w:val="21"/>
          <w:szCs w:val="21"/>
        </w:rPr>
        <w:t>d. Complete intake, including verifying identity, providing rights and privacy notices, and obtaining required consents.</w:t>
      </w:r>
    </w:p>
    <w:p>
      <w:pPr>
        <w:pStyle w:val="Normal"/>
        <w:tabs>
          <w:tab w:val="left" w:pos="720" w:leader="none"/>
        </w:tabs>
        <w:spacing w:lineRule="exact" w:line="264" w:before="0" w:after="80"/>
        <w:ind w:hanging="360" w:start="720"/>
        <w:rPr/>
      </w:pPr>
      <w:r>
        <w:rPr>
          <w:rFonts w:eastAsia="Arial" w:cs="Arial"/>
          <w:sz w:val="21"/>
          <w:szCs w:val="21"/>
        </w:rPr>
        <w:t>e. Document the basis for admission or referral and begin the individual record.</w:t>
      </w:r>
    </w:p>
    <w:p>
      <w:pPr>
        <w:pStyle w:val="Normal"/>
        <w:tabs>
          <w:tab w:val="left" w:pos="720" w:leader="none"/>
        </w:tabs>
        <w:spacing w:lineRule="exact" w:line="264" w:before="0" w:after="80"/>
        <w:ind w:hanging="360" w:start="720"/>
        <w:rPr/>
      </w:pPr>
      <w:r>
        <w:rPr>
          <w:rFonts w:eastAsia="Arial" w:cs="Arial"/>
          <w:sz w:val="21"/>
          <w:szCs w:val="21"/>
        </w:rPr>
        <w:t>f. Where the individual is referred elsewhere, coordinate the referral and, where indicated, interim support.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&amp; Intake Form</w:t>
      </w:r>
    </w:p>
    <w:p>
      <w:pPr>
        <w:pStyle w:val="ListParagraph"/>
        <w:numPr>
          <w:ilvl w:val="0"/>
          <w:numId w:val="1"/>
        </w:numPr>
        <w:spacing w:lineRule="exact" w:line="264" w:before="0" w:after="60"/>
        <w:rPr/>
      </w:pPr>
      <w:r>
        <w:rPr>
          <w:rFonts w:eastAsia="Arial" w:cs="Arial"/>
          <w:sz w:val="21"/>
          <w:szCs w:val="21"/>
        </w:rPr>
        <w:t>Risk Screening Tool</w:t>
      </w:r>
    </w:p>
    <w:p>
      <w:pPr>
        <w:pStyle w:val="ListParagraph"/>
        <w:numPr>
          <w:ilvl w:val="0"/>
          <w:numId w:val="1"/>
        </w:numPr>
        <w:spacing w:lineRule="exact" w:line="264" w:before="0" w:after="60"/>
        <w:rPr/>
      </w:pPr>
      <w:r>
        <w:rPr>
          <w:rFonts w:eastAsia="Arial" w:cs="Arial"/>
          <w:sz w:val="21"/>
          <w:szCs w:val="21"/>
        </w:rPr>
        <w:t>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Comprehensive Assessment &amp; Diagnosis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Comprehensive Assessment &amp; Diagnosis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(assessment); qualified clinician scope; endorsement chapters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individual receives a timely, comprehensive assessment by qualified personnel that informs diagnosis, level of care, and the service plan.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assessment and diagnosis of all individuals receiving services, at admission and on reassessment.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qualified clinician completes an assessment appropriate to the services sought, within required timeframes, addressing behavioral health needs, substance use where relevant, risk, medical and medication information as relevant, strengths, culture, and social factors. Diagnosis is made within scope of practice and documented, and the assessment is updated as the individual’s condition or level of care changes.</w:t>
      </w:r>
    </w:p>
    <w:p>
      <w:pPr>
        <w:pStyle w:val="Normal"/>
        <w:pBdr>
          <w:bottom w:val="single" w:sz="4" w:space="1" w:color="2E5E45"/>
        </w:pBdr>
        <w:spacing w:before="160" w:after="80"/>
        <w:rPr/>
      </w:pPr>
      <w:r>
        <w:rPr>
          <w:rFonts w:eastAsia="Arial" w:cs="Arial"/>
          <w:b/>
          <w:bCs/>
          <w:color w:val="1A4731"/>
          <w:sz w:val="20"/>
          <w:szCs w:val="20"/>
        </w:rPr>
        <w:t>PROCEDURE — CONDUCTING THE ASSESSMENT</w:t>
      </w:r>
    </w:p>
    <w:p>
      <w:pPr>
        <w:pStyle w:val="Normal"/>
        <w:tabs>
          <w:tab w:val="left" w:pos="720" w:leader="none"/>
        </w:tabs>
        <w:spacing w:lineRule="exact" w:line="264" w:before="0" w:after="80"/>
        <w:ind w:hanging="360" w:start="720"/>
        <w:rPr/>
      </w:pPr>
      <w:r>
        <w:rPr>
          <w:rFonts w:eastAsia="Arial" w:cs="Arial"/>
          <w:sz w:val="21"/>
          <w:szCs w:val="21"/>
        </w:rPr>
        <w:t>a. Assign assessment to personnel qualified and within scope for the service and setting.</w:t>
      </w:r>
    </w:p>
    <w:p>
      <w:pPr>
        <w:pStyle w:val="Normal"/>
        <w:tabs>
          <w:tab w:val="left" w:pos="720" w:leader="none"/>
        </w:tabs>
        <w:spacing w:lineRule="exact" w:line="264" w:before="0" w:after="80"/>
        <w:ind w:hanging="360" w:start="720"/>
        <w:rPr/>
      </w:pPr>
      <w:r>
        <w:rPr>
          <w:rFonts w:eastAsia="Arial" w:cs="Arial"/>
          <w:sz w:val="21"/>
          <w:szCs w:val="21"/>
        </w:rPr>
        <w:t>b. Complete a comprehensive assessment covering presenting concerns; behavioral health and substance use history; risk (including suicide and safety risk); medical, medication, and physical-health information as relevant; strengths and protective factors; and social, cultural, and environmental factors.</w:t>
      </w:r>
    </w:p>
    <w:p>
      <w:pPr>
        <w:pStyle w:val="Normal"/>
        <w:tabs>
          <w:tab w:val="left" w:pos="720" w:leader="none"/>
        </w:tabs>
        <w:spacing w:lineRule="exact" w:line="264" w:before="0" w:after="80"/>
        <w:ind w:hanging="360" w:start="720"/>
        <w:rPr/>
      </w:pPr>
      <w:r>
        <w:rPr>
          <w:rFonts w:eastAsia="Arial" w:cs="Arial"/>
          <w:sz w:val="21"/>
          <w:szCs w:val="21"/>
        </w:rPr>
        <w:t>c. Document diagnosis and clinical impressions within scope of practice.</w:t>
      </w:r>
    </w:p>
    <w:p>
      <w:pPr>
        <w:pStyle w:val="Normal"/>
        <w:pBdr>
          <w:bottom w:val="single" w:sz="4" w:space="1" w:color="2E5E45"/>
        </w:pBdr>
        <w:spacing w:before="160" w:after="80"/>
        <w:rPr/>
      </w:pPr>
      <w:r>
        <w:rPr>
          <w:rFonts w:eastAsia="Arial" w:cs="Arial"/>
          <w:b/>
          <w:bCs/>
          <w:color w:val="1A4731"/>
          <w:sz w:val="20"/>
          <w:szCs w:val="20"/>
        </w:rPr>
        <w:t>PROCEDURE — REASSESSMENT</w:t>
      </w:r>
    </w:p>
    <w:p>
      <w:pPr>
        <w:pStyle w:val="Normal"/>
        <w:tabs>
          <w:tab w:val="left" w:pos="720" w:leader="none"/>
        </w:tabs>
        <w:spacing w:lineRule="exact" w:line="264" w:before="0" w:after="80"/>
        <w:ind w:hanging="360" w:start="720"/>
        <w:rPr/>
      </w:pPr>
      <w:r>
        <w:rPr>
          <w:rFonts w:eastAsia="Arial" w:cs="Arial"/>
          <w:sz w:val="21"/>
          <w:szCs w:val="21"/>
        </w:rPr>
        <w:t>d. Use the assessment to determine level of care and drive the service plan.</w:t>
      </w:r>
    </w:p>
    <w:p>
      <w:pPr>
        <w:pStyle w:val="Normal"/>
        <w:tabs>
          <w:tab w:val="left" w:pos="720" w:leader="none"/>
        </w:tabs>
        <w:spacing w:lineRule="exact" w:line="264" w:before="0" w:after="80"/>
        <w:ind w:hanging="360" w:start="720"/>
        <w:rPr/>
      </w:pPr>
      <w:r>
        <w:rPr>
          <w:rFonts w:eastAsia="Arial" w:cs="Arial"/>
          <w:sz w:val="21"/>
          <w:szCs w:val="21"/>
        </w:rPr>
        <w:t>e. Reassess at required intervals and when the individual’s condition, needs, or level of care changes, and update the diagnosis and plan accordingly.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Comprehensive Behavioral Health Assessment</w:t>
      </w:r>
    </w:p>
    <w:p>
      <w:pPr>
        <w:pStyle w:val="ListParagraph"/>
        <w:numPr>
          <w:ilvl w:val="0"/>
          <w:numId w:val="1"/>
        </w:numPr>
        <w:spacing w:lineRule="exact" w:line="264" w:before="0" w:after="60"/>
        <w:rPr/>
      </w:pPr>
      <w:r>
        <w:rPr>
          <w:rFonts w:eastAsia="Arial" w:cs="Arial"/>
          <w:sz w:val="21"/>
          <w:szCs w:val="21"/>
        </w:rPr>
        <w:t>Reassessment / Update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Risk Assessment, Suicide Prevention &amp; Safety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Risk Assessment, Suicide Prevention &amp; Safety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(risk; safety); recognized suicide-prevention practice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identify and respond to risk of suicide, self-harm, or harm to others, and to support safety through assessment, planning, and follow-up.</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risk assessment and safety planning at intake, during services, and at transitions of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assesses risk of suicide, self-harm, and harm to others at appropriate points using a recognized approach, responds to identified risk with timely clinical action, develops collaborative safety plans, and coordinates higher levels of care or emergency response when needed. Personnel are trained to recognize and respond to risk.</w:t>
      </w:r>
    </w:p>
    <w:p>
      <w:pPr>
        <w:pStyle w:val="Normal"/>
        <w:pBdr>
          <w:bottom w:val="single" w:sz="4" w:space="1" w:color="2E5E45"/>
        </w:pBdr>
        <w:spacing w:before="160" w:after="80"/>
        <w:rPr/>
      </w:pPr>
      <w:r>
        <w:rPr>
          <w:rFonts w:eastAsia="Arial" w:cs="Arial"/>
          <w:b/>
          <w:bCs/>
          <w:color w:val="1A4731"/>
          <w:sz w:val="20"/>
          <w:szCs w:val="20"/>
        </w:rPr>
        <w:t>PROCEDURE — ASSESSMENT &amp; RESPONSE</w:t>
      </w:r>
    </w:p>
    <w:p>
      <w:pPr>
        <w:pStyle w:val="Normal"/>
        <w:tabs>
          <w:tab w:val="left" w:pos="720" w:leader="none"/>
        </w:tabs>
        <w:spacing w:lineRule="exact" w:line="264" w:before="0" w:after="80"/>
        <w:ind w:hanging="360" w:start="720"/>
        <w:rPr/>
      </w:pPr>
      <w:r>
        <w:rPr>
          <w:rFonts w:eastAsia="Arial" w:cs="Arial"/>
          <w:sz w:val="21"/>
          <w:szCs w:val="21"/>
        </w:rPr>
        <w:t>a. Assess risk at intake, when clinical presentation indicates, and at transitions, using a recognized method and clinical judgment.</w:t>
      </w:r>
    </w:p>
    <w:p>
      <w:pPr>
        <w:pStyle w:val="Normal"/>
        <w:tabs>
          <w:tab w:val="left" w:pos="720" w:leader="none"/>
        </w:tabs>
        <w:spacing w:lineRule="exact" w:line="264" w:before="0" w:after="80"/>
        <w:ind w:hanging="360" w:start="720"/>
        <w:rPr/>
      </w:pPr>
      <w:r>
        <w:rPr>
          <w:rFonts w:eastAsia="Arial" w:cs="Arial"/>
          <w:sz w:val="21"/>
          <w:szCs w:val="21"/>
        </w:rPr>
        <w:t>b. Respond to elevated risk with timely intervention, increased support, and, where indicated, referral to crisis or emergency services.</w:t>
      </w:r>
    </w:p>
    <w:p>
      <w:pPr>
        <w:pStyle w:val="Normal"/>
        <w:tabs>
          <w:tab w:val="left" w:pos="720" w:leader="none"/>
        </w:tabs>
        <w:spacing w:lineRule="exact" w:line="264" w:before="0" w:after="80"/>
        <w:ind w:hanging="360" w:start="720"/>
        <w:rPr/>
      </w:pPr>
      <w:r>
        <w:rPr>
          <w:rFonts w:eastAsia="Arial" w:cs="Arial"/>
          <w:sz w:val="21"/>
          <w:szCs w:val="21"/>
        </w:rPr>
        <w:t>c. Reduce access to means where appropriate and clinically indicated, working collaboratively with the individual and supports.</w:t>
      </w:r>
    </w:p>
    <w:p>
      <w:pPr>
        <w:pStyle w:val="Normal"/>
        <w:pBdr>
          <w:bottom w:val="single" w:sz="4" w:space="1" w:color="2E5E45"/>
        </w:pBdr>
        <w:spacing w:before="160" w:after="80"/>
        <w:rPr/>
      </w:pPr>
      <w:r>
        <w:rPr>
          <w:rFonts w:eastAsia="Arial" w:cs="Arial"/>
          <w:b/>
          <w:bCs/>
          <w:color w:val="1A4731"/>
          <w:sz w:val="20"/>
          <w:szCs w:val="20"/>
        </w:rPr>
        <w:t>PROCEDURE — SAFETY PLANNING &amp; FOLLOW-UP</w:t>
      </w:r>
    </w:p>
    <w:p>
      <w:pPr>
        <w:pStyle w:val="Normal"/>
        <w:tabs>
          <w:tab w:val="left" w:pos="720" w:leader="none"/>
        </w:tabs>
        <w:spacing w:lineRule="exact" w:line="264" w:before="0" w:after="80"/>
        <w:ind w:hanging="360" w:start="720"/>
        <w:rPr/>
      </w:pPr>
      <w:r>
        <w:rPr>
          <w:rFonts w:eastAsia="Arial" w:cs="Arial"/>
          <w:sz w:val="21"/>
          <w:szCs w:val="21"/>
        </w:rPr>
        <w:t>d. Develop a collaborative safety plan with the individual that identifies warning signs, coping strategies, supports, and crisis contacts, including 988 and Colorado Crisis Services.</w:t>
      </w:r>
    </w:p>
    <w:p>
      <w:pPr>
        <w:pStyle w:val="Normal"/>
        <w:tabs>
          <w:tab w:val="left" w:pos="720" w:leader="none"/>
        </w:tabs>
        <w:spacing w:lineRule="exact" w:line="264" w:before="0" w:after="80"/>
        <w:ind w:hanging="360" w:start="720"/>
        <w:rPr/>
      </w:pPr>
      <w:r>
        <w:rPr>
          <w:rFonts w:eastAsia="Arial" w:cs="Arial"/>
          <w:sz w:val="21"/>
          <w:szCs w:val="21"/>
        </w:rPr>
        <w:t>e. Document risk assessments, interventions, and safety plans, and follow up on elevated-risk situations.</w:t>
      </w:r>
    </w:p>
    <w:p>
      <w:pPr>
        <w:pStyle w:val="Normal"/>
        <w:tabs>
          <w:tab w:val="left" w:pos="720" w:leader="none"/>
        </w:tabs>
        <w:spacing w:lineRule="exact" w:line="264" w:before="0" w:after="80"/>
        <w:ind w:hanging="360" w:start="720"/>
        <w:rPr/>
      </w:pPr>
      <w:r>
        <w:rPr>
          <w:rFonts w:eastAsia="Arial" w:cs="Arial"/>
          <w:sz w:val="21"/>
          <w:szCs w:val="21"/>
        </w:rPr>
        <w:t>f. Coordinate with other providers and supports, with consent, to maintain safety.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Risk Assessment Tool</w:t>
      </w:r>
    </w:p>
    <w:p>
      <w:pPr>
        <w:pStyle w:val="ListParagraph"/>
        <w:numPr>
          <w:ilvl w:val="0"/>
          <w:numId w:val="1"/>
        </w:numPr>
        <w:spacing w:lineRule="exact" w:line="264" w:before="0" w:after="60"/>
        <w:rPr/>
      </w:pPr>
      <w:r>
        <w:rPr>
          <w:rFonts w:eastAsia="Arial" w:cs="Arial"/>
          <w:sz w:val="21"/>
          <w:szCs w:val="21"/>
        </w:rPr>
        <w:t>Collaborative Safety Plan</w:t>
      </w:r>
    </w:p>
    <w:p>
      <w:pPr>
        <w:pStyle w:val="ListParagraph"/>
        <w:numPr>
          <w:ilvl w:val="0"/>
          <w:numId w:val="1"/>
        </w:numPr>
        <w:spacing w:lineRule="exact" w:line="264" w:before="0" w:after="60"/>
        <w:rPr/>
      </w:pPr>
      <w:r>
        <w:rPr>
          <w:rFonts w:eastAsia="Arial" w:cs="Arial"/>
          <w:sz w:val="21"/>
          <w:szCs w:val="21"/>
        </w:rPr>
        <w:t>Risk Follow-Up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Person-Centered Service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Person-Centered Service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(service/treatment planning); individual participation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individual has an individualized, person-centered service plan developed with the individual and reviewed and updated over time.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service planning for all individuals receiving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develops an individualized service plan based on the assessment, in partnership with the individual (and, with consent, family or supports), with measurable goals, the services to be provided, and the personnel responsible. The plan reflects the individual’s goals, preferences, strengths, and culture; includes safety and crisis planning where indicated; and is reviewed and updated at required intervals and when needs change.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Develop the service plan with the individual’s participation, documenting goals, objectives, services, providers, and timeframes.</w:t>
      </w:r>
    </w:p>
    <w:p>
      <w:pPr>
        <w:pStyle w:val="Normal"/>
        <w:tabs>
          <w:tab w:val="left" w:pos="720" w:leader="none"/>
        </w:tabs>
        <w:spacing w:lineRule="exact" w:line="264" w:before="0" w:after="80"/>
        <w:ind w:hanging="360" w:start="720"/>
        <w:rPr/>
      </w:pPr>
      <w:r>
        <w:rPr>
          <w:rFonts w:eastAsia="Arial" w:cs="Arial"/>
          <w:sz w:val="21"/>
          <w:szCs w:val="21"/>
        </w:rPr>
        <w:t>b. Include safety/crisis planning where indicated and coordinate with other providers involved in the individual’s care.</w:t>
      </w:r>
    </w:p>
    <w:p>
      <w:pPr>
        <w:pStyle w:val="Normal"/>
        <w:tabs>
          <w:tab w:val="left" w:pos="720" w:leader="none"/>
        </w:tabs>
        <w:spacing w:lineRule="exact" w:line="264" w:before="0" w:after="80"/>
        <w:ind w:hanging="360" w:start="720"/>
        <w:rPr/>
      </w:pPr>
      <w:r>
        <w:rPr>
          <w:rFonts w:eastAsia="Arial" w:cs="Arial"/>
          <w:sz w:val="21"/>
          <w:szCs w:val="21"/>
        </w:rPr>
        <w:t>c. Review and update the plan at required intervals and upon significant change, and document the individual’s involvement and agreement.</w:t>
      </w:r>
    </w:p>
    <w:p>
      <w:pPr>
        <w:pStyle w:val="Normal"/>
        <w:tabs>
          <w:tab w:val="left" w:pos="720" w:leader="none"/>
        </w:tabs>
        <w:spacing w:lineRule="exact" w:line="264" w:before="0" w:after="80"/>
        <w:ind w:hanging="360" w:start="720"/>
        <w:rPr/>
      </w:pPr>
      <w:r>
        <w:rPr>
          <w:rFonts w:eastAsia="Arial" w:cs="Arial"/>
          <w:sz w:val="21"/>
          <w:szCs w:val="21"/>
        </w:rPr>
        <w:t>d. Apply any endorsement-specific service-planning requirements for the services provided.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Individualized Service Plan</w:t>
      </w:r>
    </w:p>
    <w:p>
      <w:pPr>
        <w:pStyle w:val="ListParagraph"/>
        <w:numPr>
          <w:ilvl w:val="0"/>
          <w:numId w:val="1"/>
        </w:numPr>
        <w:spacing w:lineRule="exact" w:line="264" w:before="0" w:after="60"/>
        <w:rPr/>
      </w:pPr>
      <w:r>
        <w:rPr>
          <w:rFonts w:eastAsia="Arial" w:cs="Arial"/>
          <w:sz w:val="21"/>
          <w:szCs w:val="21"/>
        </w:rPr>
        <w:t>Service Plan Review &amp; Update Record</w:t>
      </w:r>
    </w:p>
    <w:p>
      <w:pPr>
        <w:pStyle w:val="ListParagraph"/>
        <w:numPr>
          <w:ilvl w:val="0"/>
          <w:numId w:val="1"/>
        </w:numPr>
        <w:spacing w:lineRule="exact" w:line="264" w:before="0" w:after="60"/>
        <w:rPr/>
      </w:pPr>
      <w:r>
        <w:rPr>
          <w:rFonts w:eastAsia="Arial" w:cs="Arial"/>
          <w:sz w:val="21"/>
          <w:szCs w:val="21"/>
        </w:rPr>
        <w:t>Crisis / Safety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Evidence-Based &amp; Trauma-Informed Practice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Evidence-Based &amp; Trauma-Informed Practice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(service delivery); recognized clinical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reflect current, evidence-based, and trauma-informed practice appropriate to the population served.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selection and delivery of clinical interventions across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delivers services using approaches supported by evidence and appropriate to the individual and population, and it operates in a trauma-informed manner that recognizes the prevalence and impact of trauma, promotes safety and trust, and avoids re-traumatization. Personnel are trained accordingly, and practice is monitored through supervision and quality review.</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Select interventions appropriate to the individual’s needs, preferences, and the evidence base, within personnel scope and competency.</w:t>
      </w:r>
    </w:p>
    <w:p>
      <w:pPr>
        <w:pStyle w:val="Normal"/>
        <w:tabs>
          <w:tab w:val="left" w:pos="720" w:leader="none"/>
        </w:tabs>
        <w:spacing w:lineRule="exact" w:line="264" w:before="0" w:after="80"/>
        <w:ind w:hanging="360" w:start="720"/>
        <w:rPr/>
      </w:pPr>
      <w:r>
        <w:rPr>
          <w:rFonts w:eastAsia="Arial" w:cs="Arial"/>
          <w:sz w:val="21"/>
          <w:szCs w:val="21"/>
        </w:rPr>
        <w:t>b. Apply trauma-informed principles in the environment, interactions, and service delivery.</w:t>
      </w:r>
    </w:p>
    <w:p>
      <w:pPr>
        <w:pStyle w:val="Normal"/>
        <w:tabs>
          <w:tab w:val="left" w:pos="720" w:leader="none"/>
        </w:tabs>
        <w:spacing w:lineRule="exact" w:line="264" w:before="0" w:after="80"/>
        <w:ind w:hanging="360" w:start="720"/>
        <w:rPr/>
      </w:pPr>
      <w:r>
        <w:rPr>
          <w:rFonts w:eastAsia="Arial" w:cs="Arial"/>
          <w:sz w:val="21"/>
          <w:szCs w:val="21"/>
        </w:rPr>
        <w:t>c. Monitor fidelity and outcomes through supervision and the quality program and adjust practice as indicated.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Practice / Modeling Reference</w:t>
      </w:r>
    </w:p>
    <w:p>
      <w:pPr>
        <w:pStyle w:val="ListParagraph"/>
        <w:numPr>
          <w:ilvl w:val="0"/>
          <w:numId w:val="1"/>
        </w:numPr>
        <w:spacing w:lineRule="exact" w:line="264" w:before="0" w:after="60"/>
        <w:rPr/>
      </w:pPr>
      <w:r>
        <w:rPr>
          <w:rFonts w:eastAsia="Arial" w:cs="Arial"/>
          <w:sz w:val="21"/>
          <w:szCs w:val="21"/>
        </w:rPr>
        <w:t>Trauma-Informed Care Self-Assessment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Co-Occurring Disorders &amp; Integrated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Co-Occurring Disorders &amp; Integrated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(integrated care; co-occurring capability)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with co-occurring mental health and substance use conditions, and co-occurring physical health needs, receive integrated, coordinated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identification and treatment of co-occurring conditions and to integration with physical health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screens for and addresses co-occurring mental health and substance use conditions in an integrated way appropriate to its services and scope, and it coordinates with physical health providers to support whole-person care, respecting confidentiality requirements including 42 CFR Part 2.</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Screen for co-occurring conditions during assessment and address them in the integrated service plan, or refer where beyond scope.</w:t>
      </w:r>
    </w:p>
    <w:p>
      <w:pPr>
        <w:pStyle w:val="Normal"/>
        <w:tabs>
          <w:tab w:val="left" w:pos="720" w:leader="none"/>
        </w:tabs>
        <w:spacing w:lineRule="exact" w:line="264" w:before="0" w:after="80"/>
        <w:ind w:hanging="360" w:start="720"/>
        <w:rPr/>
      </w:pPr>
      <w:r>
        <w:rPr>
          <w:rFonts w:eastAsia="Arial" w:cs="Arial"/>
          <w:sz w:val="21"/>
          <w:szCs w:val="21"/>
        </w:rPr>
        <w:t>b. Coordinate with physical health and other providers, with consent, to support integrated care.</w:t>
      </w:r>
    </w:p>
    <w:p>
      <w:pPr>
        <w:pStyle w:val="Normal"/>
        <w:tabs>
          <w:tab w:val="left" w:pos="720" w:leader="none"/>
        </w:tabs>
        <w:spacing w:lineRule="exact" w:line="264" w:before="0" w:after="80"/>
        <w:ind w:hanging="360" w:start="720"/>
        <w:rPr/>
      </w:pPr>
      <w:r>
        <w:rPr>
          <w:rFonts w:eastAsia="Arial" w:cs="Arial"/>
          <w:sz w:val="21"/>
          <w:szCs w:val="21"/>
        </w:rPr>
        <w:t>c. Document co-occurring needs and the integrated approach, and monitor outcomes.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Co-Occurring Screening Record</w:t>
      </w:r>
    </w:p>
    <w:p>
      <w:pPr>
        <w:pStyle w:val="ListParagraph"/>
        <w:numPr>
          <w:ilvl w:val="0"/>
          <w:numId w:val="1"/>
        </w:numPr>
        <w:spacing w:lineRule="exact" w:line="264" w:before="0" w:after="60"/>
        <w:rPr/>
      </w:pPr>
      <w:r>
        <w:rPr>
          <w:rFonts w:eastAsia="Arial" w:cs="Arial"/>
          <w:sz w:val="21"/>
          <w:szCs w:val="21"/>
        </w:rPr>
        <w:t>Integrated Care Coordination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4.06  Care Coordination &amp; Referral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4.06  Care Coordination &amp; Referral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(coordination; referral); 42 CFR Part 2 &amp;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coordinate each individual’s care across providers and to make and track effective referrals.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coordination with other providers and supports and to referrals the BHE makes or receives.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coordinates services with other providers involved in an individual’s care, with the individual’s consent, and makes referrals when needs exceed its scope or when additional services would benefit the individual. Coordination and referral respect confidentiality requirements, including 42 CFR Part 2, and are documented and followed up.</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other providers and supports involved in the individual’s care and obtain consents needed to coordinate.</w:t>
      </w:r>
    </w:p>
    <w:p>
      <w:pPr>
        <w:pStyle w:val="Normal"/>
        <w:tabs>
          <w:tab w:val="left" w:pos="720" w:leader="none"/>
        </w:tabs>
        <w:spacing w:lineRule="exact" w:line="264" w:before="0" w:after="80"/>
        <w:ind w:hanging="360" w:start="720"/>
        <w:rPr/>
      </w:pPr>
      <w:r>
        <w:rPr>
          <w:rFonts w:eastAsia="Arial" w:cs="Arial"/>
          <w:sz w:val="21"/>
          <w:szCs w:val="21"/>
        </w:rPr>
        <w:t>b. Make referrals to appropriate providers, share information only as authorized, and support warm hand-offs where possible.</w:t>
      </w:r>
    </w:p>
    <w:p>
      <w:pPr>
        <w:pStyle w:val="Normal"/>
        <w:tabs>
          <w:tab w:val="left" w:pos="720" w:leader="none"/>
        </w:tabs>
        <w:spacing w:lineRule="exact" w:line="264" w:before="0" w:after="80"/>
        <w:ind w:hanging="360" w:start="720"/>
        <w:rPr/>
      </w:pPr>
      <w:r>
        <w:rPr>
          <w:rFonts w:eastAsia="Arial" w:cs="Arial"/>
          <w:sz w:val="21"/>
          <w:szCs w:val="21"/>
        </w:rPr>
        <w:t>c. Track referral outcomes and follow up to confirm the individual connected to the referred service.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Care Coordination Note</w:t>
      </w:r>
    </w:p>
    <w:p>
      <w:pPr>
        <w:pStyle w:val="ListParagraph"/>
        <w:numPr>
          <w:ilvl w:val="0"/>
          <w:numId w:val="1"/>
        </w:numPr>
        <w:spacing w:lineRule="exact" w:line="264" w:before="0" w:after="60"/>
        <w:rPr/>
      </w:pPr>
      <w:r>
        <w:rPr>
          <w:rFonts w:eastAsia="Arial" w:cs="Arial"/>
          <w:sz w:val="21"/>
          <w:szCs w:val="21"/>
        </w:rPr>
        <w:t>Referral &amp; Follow-Up Tracking Record</w:t>
      </w:r>
    </w:p>
    <w:p>
      <w:pPr>
        <w:pStyle w:val="ListParagraph"/>
        <w:numPr>
          <w:ilvl w:val="0"/>
          <w:numId w:val="1"/>
        </w:numPr>
        <w:spacing w:lineRule="exact" w:line="264" w:before="0" w:after="60"/>
        <w:rPr/>
      </w:pPr>
      <w:r>
        <w:rPr>
          <w:rFonts w:eastAsia="Arial" w:cs="Arial"/>
          <w:sz w:val="21"/>
          <w:szCs w:val="21"/>
        </w:rPr>
        <w:t>Consent to Coordinate Care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4.07  Engagement, Missed Appointments &amp; Continuity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4.07  Engagement, Missed Appointments &amp; Continuity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(engagement; continuity)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support ongoing engagement in services, respond appropriately to missed appointments, and maintain continuity of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engagement and retention efforts and to responses to missed or canceled appointments.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promotes engagement and retention in services, responds to missed appointments in a way that considers the individual’s risk and needs (including outreach and follow-up for higher-risk individuals), and maintains continuity of care, avoiding abrupt or unsafe interruptions in services.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Use engagement strategies appropriate to the population and remove barriers to participation where feasible.</w:t>
      </w:r>
    </w:p>
    <w:p>
      <w:pPr>
        <w:pStyle w:val="Normal"/>
        <w:tabs>
          <w:tab w:val="left" w:pos="720" w:leader="none"/>
        </w:tabs>
        <w:spacing w:lineRule="exact" w:line="264" w:before="0" w:after="80"/>
        <w:ind w:hanging="360" w:start="720"/>
        <w:rPr/>
      </w:pPr>
      <w:r>
        <w:rPr>
          <w:rFonts w:eastAsia="Arial" w:cs="Arial"/>
          <w:sz w:val="21"/>
          <w:szCs w:val="21"/>
        </w:rPr>
        <w:t>b. Follow up on missed appointments based on the individual’s risk and needs, with outreach for higher-risk individuals.</w:t>
      </w:r>
    </w:p>
    <w:p>
      <w:pPr>
        <w:pStyle w:val="Normal"/>
        <w:tabs>
          <w:tab w:val="left" w:pos="720" w:leader="none"/>
        </w:tabs>
        <w:spacing w:lineRule="exact" w:line="264" w:before="0" w:after="80"/>
        <w:ind w:hanging="360" w:start="720"/>
        <w:rPr/>
      </w:pPr>
      <w:r>
        <w:rPr>
          <w:rFonts w:eastAsia="Arial" w:cs="Arial"/>
          <w:sz w:val="21"/>
          <w:szCs w:val="21"/>
        </w:rPr>
        <w:t>c. Document engagement efforts and continuity actions, and address disengagement through the service plan.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Missed Appointment / Outreach Log</w:t>
      </w:r>
    </w:p>
    <w:p>
      <w:pPr>
        <w:pStyle w:val="ListParagraph"/>
        <w:numPr>
          <w:ilvl w:val="0"/>
          <w:numId w:val="1"/>
        </w:numPr>
        <w:spacing w:lineRule="exact" w:line="264" w:before="0" w:after="60"/>
        <w:rPr/>
      </w:pPr>
      <w:r>
        <w:rPr>
          <w:rFonts w:eastAsia="Arial" w:cs="Arial"/>
          <w:sz w:val="21"/>
          <w:szCs w:val="21"/>
        </w:rPr>
        <w:t>Engagement &amp; Continuity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4.08  Discharge, Transfer &amp; Transition of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4.08  Discharge, Transfer &amp; Transition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(discharge and continuity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safe, planned transitions when an individual is discharged or transferred, with appropriate continuity of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discharges, transfers, and transitions of care, whether planned, individual-initiated, or administrative.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plans for discharge or transfer beginning at intake, engages the individual in transition planning, provides appropriate referrals, follow-up recommendations, and any crisis or safety instructions, and coordinates continuity of care, including for individuals whose needs exceed the BHE’s scope. Discharge is handled to avoid abandonment and to support the individual’s ongoing safety.</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Begin discharge planning early and update it as the individual progresses; involve the individual and, with consent, supports.</w:t>
      </w:r>
    </w:p>
    <w:p>
      <w:pPr>
        <w:pStyle w:val="Normal"/>
        <w:tabs>
          <w:tab w:val="left" w:pos="720" w:leader="none"/>
        </w:tabs>
        <w:spacing w:lineRule="exact" w:line="264" w:before="0" w:after="80"/>
        <w:ind w:hanging="360" w:start="720"/>
        <w:rPr/>
      </w:pPr>
      <w:r>
        <w:rPr>
          <w:rFonts w:eastAsia="Arial" w:cs="Arial"/>
          <w:sz w:val="21"/>
          <w:szCs w:val="21"/>
        </w:rPr>
        <w:t>b. At discharge or transfer, provide a summary, follow-up and referral information, medication information as applicable, and crisis/safety instructions, and coordinate with receiving providers as consent permits.</w:t>
      </w:r>
    </w:p>
    <w:p>
      <w:pPr>
        <w:pStyle w:val="Normal"/>
        <w:tabs>
          <w:tab w:val="left" w:pos="720" w:leader="none"/>
        </w:tabs>
        <w:spacing w:lineRule="exact" w:line="264" w:before="0" w:after="80"/>
        <w:ind w:hanging="360" w:start="720"/>
        <w:rPr/>
      </w:pPr>
      <w:r>
        <w:rPr>
          <w:rFonts w:eastAsia="Arial" w:cs="Arial"/>
          <w:sz w:val="21"/>
          <w:szCs w:val="21"/>
        </w:rPr>
        <w:t>c. For an individual whose needs exceed the BHE’s scope or capacity, ensure access to interim support until connected to appropriate care, and obtain any required approvals for priority-population referrals.</w:t>
      </w:r>
    </w:p>
    <w:p>
      <w:pPr>
        <w:pStyle w:val="Normal"/>
        <w:tabs>
          <w:tab w:val="left" w:pos="720" w:leader="none"/>
        </w:tabs>
        <w:spacing w:lineRule="exact" w:line="264" w:before="0" w:after="80"/>
        <w:ind w:hanging="360" w:start="720"/>
        <w:rPr/>
      </w:pPr>
      <w:r>
        <w:rPr>
          <w:rFonts w:eastAsia="Arial" w:cs="Arial"/>
          <w:sz w:val="21"/>
          <w:szCs w:val="21"/>
        </w:rPr>
        <w:t>d. Document the discharge or transfer, the individual’s status, and the continuity-of-care arrangements.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 Transition Plan &amp; Summary</w:t>
      </w:r>
    </w:p>
    <w:p>
      <w:pPr>
        <w:pStyle w:val="ListParagraph"/>
        <w:numPr>
          <w:ilvl w:val="0"/>
          <w:numId w:val="1"/>
        </w:numPr>
        <w:spacing w:lineRule="exact" w:line="264" w:before="0" w:after="60"/>
        <w:rPr/>
      </w:pPr>
      <w:r>
        <w:rPr>
          <w:rFonts w:eastAsia="Arial" w:cs="Arial"/>
          <w:sz w:val="21"/>
          <w:szCs w:val="21"/>
        </w:rPr>
        <w:t>Referral &amp; Follow-Up Record</w:t>
      </w:r>
    </w:p>
    <w:p>
      <w:pPr>
        <w:pStyle w:val="ListParagraph"/>
        <w:numPr>
          <w:ilvl w:val="0"/>
          <w:numId w:val="1"/>
        </w:numPr>
        <w:spacing w:lineRule="exact" w:line="264" w:before="0" w:after="60"/>
        <w:rPr/>
      </w:pPr>
      <w:r>
        <w:rPr>
          <w:rFonts w:eastAsia="Arial" w:cs="Arial"/>
          <w:sz w:val="21"/>
          <w:szCs w:val="21"/>
        </w:rPr>
        <w:t>Continuity of Care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Records, Confidentiality &amp; Medication</w:t>
      </w:r>
    </w:p>
    <w:p>
      <w:pPr>
        <w:pStyle w:val="Normal"/>
        <w:spacing w:lineRule="exact" w:line="288" w:before="0" w:after="240"/>
        <w:rPr/>
      </w:pPr>
      <w:r>
        <w:rPr>
          <w:rFonts w:eastAsia="Arial" w:cs="Arial"/>
          <w:color w:val="444444"/>
          <w:sz w:val="22"/>
          <w:szCs w:val="22"/>
        </w:rPr>
        <w:t>This section governs information and medication — clinical records and documentation, the central confidentiality rules under HIPAA and 42 CFR Part 2, release of information and consent management, electronic records and information security, records retention and destruction, medication management and controlled substances, and medication reconciliation and error management.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Clinical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Confidentiality — HIPAA &amp; 42 CFR Part 2</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Release of Information &amp; Consent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Electronic Records &amp; Information Security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Records Retention, Access &amp; Destruction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5.05  Medication Management &amp; Controlled Substances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5.06  Medication Reconciliation &amp; Error Management</w:t>
      </w:r>
    </w:p>
    <w:p>
      <w:pPr>
        <w:pStyle w:val="Normal"/>
        <w:rPr/>
      </w:pPr>
      <w:r>
        <w:rPr/>
      </w:r>
      <w:r>
        <w:br w:type="page"/>
      </w:r>
    </w:p>
    <w:p>
      <w:pPr>
        <w:pStyle w:val="Heading2"/>
        <w:spacing w:before="0" w:after="120"/>
        <w:rPr/>
      </w:pPr>
      <w:r>
        <w:rPr>
          <w:rFonts w:eastAsia="Arial" w:cs="Arial" w:ascii="Arial" w:hAnsi="Arial"/>
          <w:b/>
          <w:bCs/>
          <w:color w:val="1A4731"/>
          <w:sz w:val="26"/>
          <w:szCs w:val="26"/>
        </w:rPr>
        <w:t>5.00  Clinical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Clinical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&amp; Information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(clinical records;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BHE maintains accurate, complete, timely, and secure clinical records that document the full course of services for each individual.</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clinical records and documentation, in any format, for all individuals served.</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Clinical Record — the collection of documentation about an individual’s services, including screening, assessment, diagnosis, planning, service notes, coordination, and discharge.</w:t>
      </w:r>
    </w:p>
    <w:p>
      <w:pPr>
        <w:pStyle w:val="Normal"/>
        <w:spacing w:lineRule="exact" w:line="276" w:before="0" w:after="120"/>
        <w:rPr/>
      </w:pPr>
      <w:r>
        <w:rPr>
          <w:rFonts w:eastAsia="Arial" w:cs="Arial"/>
          <w:sz w:val="21"/>
          <w:szCs w:val="21"/>
        </w:rPr>
        <w:t>Timely Documentation — documentation completed within the timeframe set by policy and applicable requirements after the service is provided.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maintains an individual clinical record that documents screening, assessment, diagnosis, service planning, services provided, coordination, and discharge, consistent with the BHA rules. Records are legible, accurate, timely, attributable to the author and their credential, and secured. Entries are dated and, where corrected, corrected in a way that preserves the original entry.</w:t>
      </w:r>
    </w:p>
    <w:p>
      <w:pPr>
        <w:pStyle w:val="Normal"/>
        <w:pBdr>
          <w:bottom w:val="single" w:sz="4" w:space="1" w:color="2E5E45"/>
        </w:pBdr>
        <w:spacing w:before="160" w:after="80"/>
        <w:rPr/>
      </w:pPr>
      <w:r>
        <w:rPr>
          <w:rFonts w:eastAsia="Arial" w:cs="Arial"/>
          <w:b/>
          <w:bCs/>
          <w:color w:val="1A4731"/>
          <w:sz w:val="20"/>
          <w:szCs w:val="20"/>
        </w:rPr>
        <w:t>PROCEDURE — DOCUMENTATION STANDARDS</w:t>
      </w:r>
    </w:p>
    <w:p>
      <w:pPr>
        <w:pStyle w:val="Normal"/>
        <w:tabs>
          <w:tab w:val="left" w:pos="720" w:leader="none"/>
        </w:tabs>
        <w:spacing w:lineRule="exact" w:line="264" w:before="0" w:after="80"/>
        <w:ind w:hanging="360" w:start="720"/>
        <w:rPr/>
      </w:pPr>
      <w:r>
        <w:rPr>
          <w:rFonts w:eastAsia="Arial" w:cs="Arial"/>
          <w:sz w:val="21"/>
          <w:szCs w:val="21"/>
        </w:rPr>
        <w:t>a. Document each service in the individual record in a timely manner, including the date, service provided, and the identity and credential of the person providing it.</w:t>
      </w:r>
    </w:p>
    <w:p>
      <w:pPr>
        <w:pStyle w:val="Normal"/>
        <w:tabs>
          <w:tab w:val="left" w:pos="720" w:leader="none"/>
        </w:tabs>
        <w:spacing w:lineRule="exact" w:line="264" w:before="0" w:after="80"/>
        <w:ind w:hanging="360" w:start="720"/>
        <w:rPr/>
      </w:pPr>
      <w:r>
        <w:rPr>
          <w:rFonts w:eastAsia="Arial" w:cs="Arial"/>
          <w:sz w:val="21"/>
          <w:szCs w:val="21"/>
        </w:rPr>
        <w:t>b. Ensure entries are accurate, legible, and complete, and reflect the individual’s status, the service, and the response.</w:t>
      </w:r>
    </w:p>
    <w:p>
      <w:pPr>
        <w:pStyle w:val="Normal"/>
        <w:tabs>
          <w:tab w:val="left" w:pos="720" w:leader="none"/>
        </w:tabs>
        <w:spacing w:lineRule="exact" w:line="264" w:before="0" w:after="80"/>
        <w:ind w:hanging="360" w:start="720"/>
        <w:rPr/>
      </w:pPr>
      <w:r>
        <w:rPr>
          <w:rFonts w:eastAsia="Arial" w:cs="Arial"/>
          <w:sz w:val="21"/>
          <w:szCs w:val="21"/>
        </w:rPr>
        <w:t>c. Correct records using an auditable method that preserves the original entry and identifies who made the correction and when.</w:t>
      </w:r>
    </w:p>
    <w:p>
      <w:pPr>
        <w:pStyle w:val="Normal"/>
        <w:pBdr>
          <w:bottom w:val="single" w:sz="4" w:space="1" w:color="2E5E45"/>
        </w:pBdr>
        <w:spacing w:before="160" w:after="80"/>
        <w:rPr/>
      </w:pPr>
      <w:r>
        <w:rPr>
          <w:rFonts w:eastAsia="Arial" w:cs="Arial"/>
          <w:b/>
          <w:bCs/>
          <w:color w:val="1A4731"/>
          <w:sz w:val="20"/>
          <w:szCs w:val="20"/>
        </w:rPr>
        <w:t>PROCEDURE — RECORD INTEGRITY &amp; ACCESS</w:t>
      </w:r>
    </w:p>
    <w:p>
      <w:pPr>
        <w:pStyle w:val="Normal"/>
        <w:tabs>
          <w:tab w:val="left" w:pos="720" w:leader="none"/>
        </w:tabs>
        <w:spacing w:lineRule="exact" w:line="264" w:before="0" w:after="80"/>
        <w:ind w:hanging="360" w:start="720"/>
        <w:rPr/>
      </w:pPr>
      <w:r>
        <w:rPr>
          <w:rFonts w:eastAsia="Arial" w:cs="Arial"/>
          <w:sz w:val="21"/>
          <w:szCs w:val="21"/>
        </w:rPr>
        <w:t>d. Maintain records securely and control access on a need-to-know basis.</w:t>
      </w:r>
    </w:p>
    <w:p>
      <w:pPr>
        <w:pStyle w:val="Normal"/>
        <w:tabs>
          <w:tab w:val="left" w:pos="720" w:leader="none"/>
        </w:tabs>
        <w:spacing w:lineRule="exact" w:line="264" w:before="0" w:after="80"/>
        <w:ind w:hanging="360" w:start="720"/>
        <w:rPr/>
      </w:pPr>
      <w:r>
        <w:rPr>
          <w:rFonts w:eastAsia="Arial" w:cs="Arial"/>
          <w:sz w:val="21"/>
          <w:szCs w:val="21"/>
        </w:rPr>
        <w:t>e. Protect electronic records with appropriate safeguards and reliable backups.</w:t>
      </w:r>
    </w:p>
    <w:p>
      <w:pPr>
        <w:pStyle w:val="Normal"/>
        <w:tabs>
          <w:tab w:val="left" w:pos="720" w:leader="none"/>
        </w:tabs>
        <w:spacing w:lineRule="exact" w:line="264" w:before="0" w:after="80"/>
        <w:ind w:hanging="360" w:start="720"/>
        <w:rPr/>
      </w:pPr>
      <w:r>
        <w:rPr>
          <w:rFonts w:eastAsia="Arial" w:cs="Arial"/>
          <w:sz w:val="21"/>
          <w:szCs w:val="21"/>
        </w:rPr>
        <w:t>f. Ensure records are available for continuity of care, oversight, and audit as permitted by law.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Record Content Checklist</w:t>
      </w:r>
    </w:p>
    <w:p>
      <w:pPr>
        <w:pStyle w:val="ListParagraph"/>
        <w:numPr>
          <w:ilvl w:val="0"/>
          <w:numId w:val="1"/>
        </w:numPr>
        <w:spacing w:lineRule="exact" w:line="264" w:before="0" w:after="60"/>
        <w:rPr/>
      </w:pPr>
      <w:r>
        <w:rPr>
          <w:rFonts w:eastAsia="Arial" w:cs="Arial"/>
          <w:sz w:val="21"/>
          <w:szCs w:val="21"/>
        </w:rPr>
        <w:t>Documentation Standards Reference</w:t>
      </w:r>
    </w:p>
    <w:p>
      <w:pPr>
        <w:pStyle w:val="ListParagraph"/>
        <w:numPr>
          <w:ilvl w:val="0"/>
          <w:numId w:val="1"/>
        </w:numPr>
        <w:spacing w:lineRule="exact" w:line="264" w:before="0" w:after="60"/>
        <w:rPr/>
      </w:pPr>
      <w:r>
        <w:rPr>
          <w:rFonts w:eastAsia="Arial" w:cs="Arial"/>
          <w:sz w:val="21"/>
          <w:szCs w:val="21"/>
        </w:rPr>
        <w:t>Record Correction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Confidentiality — HIPAA &amp; 42 CFR Part 2</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Confidentiality — HIPAA &amp; 42 CFR Part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&amp; Information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HIPAA (45 CFR Parts 160 &amp; 164); 42 CFR Part 2 (SUD records); Colorado confidentiality law; 2 CCR 502-1, Ch.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individuals’ behavioral health information under HIPAA, the stricter federal substance use disorder rule at 42 CFR Part 2, and Colorado law, and to ensure disclosures occur only as permitted.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protected health information the BHE creates, receives, maintains, or transmits, and to all personnel and business partners with access to it.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Protected Health Information (PHI) — individually identifiable health information protected under HIPAA.</w:t>
      </w:r>
    </w:p>
    <w:p>
      <w:pPr>
        <w:pStyle w:val="Normal"/>
        <w:spacing w:lineRule="exact" w:line="276" w:before="0" w:after="120"/>
        <w:rPr/>
      </w:pPr>
      <w:r>
        <w:rPr>
          <w:rFonts w:eastAsia="Arial" w:cs="Arial"/>
          <w:sz w:val="21"/>
          <w:szCs w:val="21"/>
        </w:rPr>
        <w:t>42 CFR Part 2 — the federal regulation giving heightened protection to records of individuals treated for substance use disorders by a Part 2 program, generally requiring specific written consent for disclosure and limiting re-disclosure.</w:t>
      </w:r>
    </w:p>
    <w:p>
      <w:pPr>
        <w:pStyle w:val="Normal"/>
        <w:spacing w:lineRule="exact" w:line="276" w:before="0" w:after="120"/>
        <w:rPr/>
      </w:pPr>
      <w:r>
        <w:rPr>
          <w:rFonts w:eastAsia="Arial" w:cs="Arial"/>
          <w:sz w:val="21"/>
          <w:szCs w:val="21"/>
        </w:rPr>
        <w:t>Part 2 Program — a person or entity that holds itself out as providing, and provides, substance use disorder diagnosis, treatment, or referral for treatment, subject to 42 CFR Part 2.</w:t>
      </w:r>
    </w:p>
    <w:p>
      <w:pPr>
        <w:pStyle w:val="Normal"/>
        <w:spacing w:lineRule="exact" w:line="276" w:before="0" w:after="120"/>
        <w:rPr/>
      </w:pPr>
      <w:r>
        <w:rPr>
          <w:rFonts w:eastAsia="Arial" w:cs="Arial"/>
          <w:sz w:val="21"/>
          <w:szCs w:val="21"/>
        </w:rPr>
        <w:t>Qualified Service Organization (QSO) — an entity that provides services to a Part 2 program and agrees to protect Part 2 information under a QSO agreement.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protects the privacy and security of individuals’ information and discloses it only as permitted by law. Where the BHE (or part of it) is a Part 2 program, substance use disorder records receive the heightened protection of 42 CFR Part 2, including specific written consent requirements, limits on re-disclosure, and the required prohibition-on-re-disclosure notice.</w:t>
      </w:r>
    </w:p>
    <w:p>
      <w:pPr>
        <w:pStyle w:val="Normal"/>
        <w:spacing w:lineRule="exact" w:line="276" w:before="0" w:after="120"/>
        <w:rPr/>
      </w:pPr>
      <w:r>
        <w:rPr>
          <w:rFonts w:eastAsia="Arial" w:cs="Arial"/>
          <w:sz w:val="21"/>
          <w:szCs w:val="21"/>
        </w:rPr>
        <w:t>Where HIPAA and 42 CFR Part 2 differ, the more protective rule applies. The BHE trains personnel on both frameworks, uses appropriate agreements with partners, and responds to privacy and security incidents as the law requires.</w:t>
      </w:r>
    </w:p>
    <w:p>
      <w:pPr>
        <w:pStyle w:val="Normal"/>
        <w:pBdr>
          <w:bottom w:val="single" w:sz="4" w:space="1" w:color="2E5E45"/>
        </w:pBdr>
        <w:spacing w:before="160" w:after="80"/>
        <w:rPr/>
      </w:pPr>
      <w:r>
        <w:rPr>
          <w:rFonts w:eastAsia="Arial" w:cs="Arial"/>
          <w:b/>
          <w:bCs/>
          <w:color w:val="1A4731"/>
          <w:sz w:val="20"/>
          <w:szCs w:val="20"/>
        </w:rPr>
        <w:t>PROCEDURE — DISCLOSURES &amp; CONSENT</w:t>
      </w:r>
    </w:p>
    <w:p>
      <w:pPr>
        <w:pStyle w:val="Normal"/>
        <w:tabs>
          <w:tab w:val="left" w:pos="720" w:leader="none"/>
        </w:tabs>
        <w:spacing w:lineRule="exact" w:line="264" w:before="0" w:after="80"/>
        <w:ind w:hanging="360" w:start="720"/>
        <w:rPr/>
      </w:pPr>
      <w:r>
        <w:rPr>
          <w:rFonts w:eastAsia="Arial" w:cs="Arial"/>
          <w:sz w:val="21"/>
          <w:szCs w:val="21"/>
        </w:rPr>
        <w:t>a. Obtain valid, specific written consent before disclosing Part 2 substance use records, meeting the content requirements of the rule.</w:t>
      </w:r>
    </w:p>
    <w:p>
      <w:pPr>
        <w:pStyle w:val="Normal"/>
        <w:tabs>
          <w:tab w:val="left" w:pos="720" w:leader="none"/>
        </w:tabs>
        <w:spacing w:lineRule="exact" w:line="264" w:before="0" w:after="80"/>
        <w:ind w:hanging="360" w:start="720"/>
        <w:rPr/>
      </w:pPr>
      <w:r>
        <w:rPr>
          <w:rFonts w:eastAsia="Arial" w:cs="Arial"/>
          <w:sz w:val="21"/>
          <w:szCs w:val="21"/>
        </w:rPr>
        <w:t>b. Use disclosures otherwise permitted (for example, medical emergencies, or as otherwise authorized) strictly within the rule’s limits, and document them.</w:t>
      </w:r>
    </w:p>
    <w:p>
      <w:pPr>
        <w:pStyle w:val="Normal"/>
        <w:tabs>
          <w:tab w:val="left" w:pos="720" w:leader="none"/>
        </w:tabs>
        <w:spacing w:lineRule="exact" w:line="264" w:before="0" w:after="80"/>
        <w:ind w:hanging="360" w:start="720"/>
        <w:rPr/>
      </w:pPr>
      <w:r>
        <w:rPr>
          <w:rFonts w:eastAsia="Arial" w:cs="Arial"/>
          <w:sz w:val="21"/>
          <w:szCs w:val="21"/>
        </w:rPr>
        <w:t>c. Include the required notice prohibiting re-disclosure when releasing Part 2 information, and use QSO or business associate agreements as appropriate.</w:t>
      </w:r>
    </w:p>
    <w:p>
      <w:pPr>
        <w:pStyle w:val="Normal"/>
        <w:pBdr>
          <w:bottom w:val="single" w:sz="4" w:space="1" w:color="2E5E45"/>
        </w:pBdr>
        <w:spacing w:before="160" w:after="80"/>
        <w:rPr/>
      </w:pPr>
      <w:r>
        <w:rPr>
          <w:rFonts w:eastAsia="Arial" w:cs="Arial"/>
          <w:b/>
          <w:bCs/>
          <w:color w:val="1A4731"/>
          <w:sz w:val="20"/>
          <w:szCs w:val="20"/>
        </w:rPr>
        <w:t>PROCEDURE — SAFEGUARDS, BREACH &amp; TRAINING</w:t>
      </w:r>
    </w:p>
    <w:p>
      <w:pPr>
        <w:pStyle w:val="Normal"/>
        <w:tabs>
          <w:tab w:val="left" w:pos="720" w:leader="none"/>
        </w:tabs>
        <w:spacing w:lineRule="exact" w:line="264" w:before="0" w:after="80"/>
        <w:ind w:hanging="360" w:start="720"/>
        <w:rPr/>
      </w:pPr>
      <w:r>
        <w:rPr>
          <w:rFonts w:eastAsia="Arial" w:cs="Arial"/>
          <w:sz w:val="21"/>
          <w:szCs w:val="21"/>
        </w:rPr>
        <w:t>d. Apply HIPAA privacy and security safeguards to all PHI, provide the Notice of Privacy Practices, and honor individual rights of access and amendment as applicable.</w:t>
      </w:r>
    </w:p>
    <w:p>
      <w:pPr>
        <w:pStyle w:val="Normal"/>
        <w:tabs>
          <w:tab w:val="left" w:pos="720" w:leader="none"/>
        </w:tabs>
        <w:spacing w:lineRule="exact" w:line="264" w:before="0" w:after="80"/>
        <w:ind w:hanging="360" w:start="720"/>
        <w:rPr/>
      </w:pPr>
      <w:r>
        <w:rPr>
          <w:rFonts w:eastAsia="Arial" w:cs="Arial"/>
          <w:sz w:val="21"/>
          <w:szCs w:val="21"/>
        </w:rPr>
        <w:t>e. Identify, assess, mitigate, and report privacy or security breaches as HIPAA and applicable law require, and document the response.</w:t>
      </w:r>
    </w:p>
    <w:p>
      <w:pPr>
        <w:pStyle w:val="Normal"/>
        <w:tabs>
          <w:tab w:val="left" w:pos="720" w:leader="none"/>
        </w:tabs>
        <w:spacing w:lineRule="exact" w:line="264" w:before="0" w:after="80"/>
        <w:ind w:hanging="360" w:start="720"/>
        <w:rPr/>
      </w:pPr>
      <w:r>
        <w:rPr>
          <w:rFonts w:eastAsia="Arial" w:cs="Arial"/>
          <w:sz w:val="21"/>
          <w:szCs w:val="21"/>
        </w:rPr>
        <w:t>f. Train personnel on confidentiality, HIPAA, and 42 CFR Part 2 at hire and periodically, and address violations.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Part 2 Consent for Disclosure (with re-disclosure notice)</w:t>
      </w:r>
    </w:p>
    <w:p>
      <w:pPr>
        <w:pStyle w:val="ListParagraph"/>
        <w:numPr>
          <w:ilvl w:val="0"/>
          <w:numId w:val="1"/>
        </w:numPr>
        <w:spacing w:lineRule="exact" w:line="264" w:before="0" w:after="60"/>
        <w:rPr/>
      </w:pPr>
      <w:r>
        <w:rPr>
          <w:rFonts w:eastAsia="Arial" w:cs="Arial"/>
          <w:sz w:val="21"/>
          <w:szCs w:val="21"/>
        </w:rPr>
        <w:t>Business Associate / QSO Agreement</w:t>
      </w:r>
    </w:p>
    <w:p>
      <w:pPr>
        <w:pStyle w:val="ListParagraph"/>
        <w:numPr>
          <w:ilvl w:val="0"/>
          <w:numId w:val="1"/>
        </w:numPr>
        <w:spacing w:lineRule="exact" w:line="264" w:before="0" w:after="60"/>
        <w:rPr/>
      </w:pPr>
      <w:r>
        <w:rPr>
          <w:rFonts w:eastAsia="Arial" w:cs="Arial"/>
          <w:sz w:val="21"/>
          <w:szCs w:val="21"/>
        </w:rPr>
        <w:t>Breach Assessment &amp; Notification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Release of Information &amp; Consent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Release of Information &amp; Consent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&amp; Information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HIPAA; 42 CFR Part 2; 2 CCR 502-1, Ch.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manage releases of information and the consents that authorize them so that disclosures are valid, tracked, and revocable.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releases of information about individuals served and to the consents and authorizations that support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discloses information only under a valid authorization or a permitted exception, verifies that each authorization meets applicable requirements (including the specific requirements of 42 CFR Part 2 for substance use records), honors revocations, and maintains a record of disclosures as required.</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Verify that each authorization is valid and, for Part 2 records, meets the rule’s specific content requirements before disclosing.</w:t>
      </w:r>
    </w:p>
    <w:p>
      <w:pPr>
        <w:pStyle w:val="Normal"/>
        <w:tabs>
          <w:tab w:val="left" w:pos="720" w:leader="none"/>
        </w:tabs>
        <w:spacing w:lineRule="exact" w:line="264" w:before="0" w:after="80"/>
        <w:ind w:hanging="360" w:start="720"/>
        <w:rPr/>
      </w:pPr>
      <w:r>
        <w:rPr>
          <w:rFonts w:eastAsia="Arial" w:cs="Arial"/>
          <w:sz w:val="21"/>
          <w:szCs w:val="21"/>
        </w:rPr>
        <w:t>b. Disclose only the information authorized or permitted, and attach the required re-disclosure notice for Part 2 information.</w:t>
      </w:r>
    </w:p>
    <w:p>
      <w:pPr>
        <w:pStyle w:val="Normal"/>
        <w:tabs>
          <w:tab w:val="left" w:pos="720" w:leader="none"/>
        </w:tabs>
        <w:spacing w:lineRule="exact" w:line="264" w:before="0" w:after="80"/>
        <w:ind w:hanging="360" w:start="720"/>
        <w:rPr/>
      </w:pPr>
      <w:r>
        <w:rPr>
          <w:rFonts w:eastAsia="Arial" w:cs="Arial"/>
          <w:sz w:val="21"/>
          <w:szCs w:val="21"/>
        </w:rPr>
        <w:t>c. Honor revocations of consent going forward, and maintain a disclosure log and copies of authorizations.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Consent Revocation Record</w:t>
      </w:r>
    </w:p>
    <w:p>
      <w:pPr>
        <w:pStyle w:val="ListParagraph"/>
        <w:numPr>
          <w:ilvl w:val="0"/>
          <w:numId w:val="1"/>
        </w:numPr>
        <w:spacing w:lineRule="exact" w:line="264" w:before="0" w:after="60"/>
        <w:rPr/>
      </w:pPr>
      <w:r>
        <w:rPr>
          <w:rFonts w:eastAsia="Arial" w:cs="Arial"/>
          <w:sz w:val="21"/>
          <w:szCs w:val="21"/>
        </w:rPr>
        <w:t>Disclosure Accounting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Electronic Records &amp; Information Security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Electronic Records &amp; Information Security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&amp; Information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HIPAA Security Rule (45 CFR Part 164, Subpart C); 2 CCR 502-1, Ch.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electronic protected health information through administrative, physical, and technical safeguards.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electronic systems, devices, and media that create, store, or transmit protected information.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implements safeguards for electronic protected health information consistent with the HIPAA Security Rule, including access controls, unique user identification, audit controls, encryption where appropriate, secure transmission, backup and recovery, and device and media controls, and it conducts a security risk analysis and addresses identified risks.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Control access to systems by role, assign unique user credentials, and log and review access as appropriate.</w:t>
      </w:r>
    </w:p>
    <w:p>
      <w:pPr>
        <w:pStyle w:val="Normal"/>
        <w:tabs>
          <w:tab w:val="left" w:pos="720" w:leader="none"/>
        </w:tabs>
        <w:spacing w:lineRule="exact" w:line="264" w:before="0" w:after="80"/>
        <w:ind w:hanging="360" w:start="720"/>
        <w:rPr/>
      </w:pPr>
      <w:r>
        <w:rPr>
          <w:rFonts w:eastAsia="Arial" w:cs="Arial"/>
          <w:sz w:val="21"/>
          <w:szCs w:val="21"/>
        </w:rPr>
        <w:t>b. Protect data in transit and at rest with appropriate measures, and maintain backups and a recovery plan.</w:t>
      </w:r>
    </w:p>
    <w:p>
      <w:pPr>
        <w:pStyle w:val="Normal"/>
        <w:tabs>
          <w:tab w:val="left" w:pos="720" w:leader="none"/>
        </w:tabs>
        <w:spacing w:lineRule="exact" w:line="264" w:before="0" w:after="80"/>
        <w:ind w:hanging="360" w:start="720"/>
        <w:rPr/>
      </w:pPr>
      <w:r>
        <w:rPr>
          <w:rFonts w:eastAsia="Arial" w:cs="Arial"/>
          <w:sz w:val="21"/>
          <w:szCs w:val="21"/>
        </w:rPr>
        <w:t>c. Conduct a periodic security risk analysis, remediate risks, and manage device and media use and disposal securely.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Security Risk Analysis &amp; Remediation Record</w:t>
      </w:r>
    </w:p>
    <w:p>
      <w:pPr>
        <w:pStyle w:val="ListParagraph"/>
        <w:numPr>
          <w:ilvl w:val="0"/>
          <w:numId w:val="1"/>
        </w:numPr>
        <w:spacing w:lineRule="exact" w:line="264" w:before="0" w:after="60"/>
        <w:rPr/>
      </w:pPr>
      <w:r>
        <w:rPr>
          <w:rFonts w:eastAsia="Arial" w:cs="Arial"/>
          <w:sz w:val="21"/>
          <w:szCs w:val="21"/>
        </w:rPr>
        <w:t>System Access Control Log</w:t>
      </w:r>
    </w:p>
    <w:p>
      <w:pPr>
        <w:pStyle w:val="ListParagraph"/>
        <w:numPr>
          <w:ilvl w:val="0"/>
          <w:numId w:val="1"/>
        </w:numPr>
        <w:spacing w:lineRule="exact" w:line="264" w:before="0" w:after="60"/>
        <w:rPr/>
      </w:pPr>
      <w:r>
        <w:rPr>
          <w:rFonts w:eastAsia="Arial" w:cs="Arial"/>
          <w:sz w:val="21"/>
          <w:szCs w:val="21"/>
        </w:rPr>
        <w:t>Device &amp; Media Inventory / Disposal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Records Retention, Access &amp; Destruction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Records Retention, Access &amp; Destruction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&amp; Information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(retention); HIPAA; 42 CFR Part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retain records for the required period, provide lawful access, and destroy records securely when retention ends.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retention, access, and destruction of clinical, personnel, and business records.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retains records for the period the rules and applicable law require, provides individuals access to their records as permitted by law, ensures continuity of records if the organization closes or transfers ownership, and destroys records in a manner that protects confidentiality, including for substance use records under 42 CFR Part 2.</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retention schedule identifying retention periods for each record type.</w:t>
      </w:r>
    </w:p>
    <w:p>
      <w:pPr>
        <w:pStyle w:val="Normal"/>
        <w:tabs>
          <w:tab w:val="left" w:pos="720" w:leader="none"/>
        </w:tabs>
        <w:spacing w:lineRule="exact" w:line="264" w:before="0" w:after="80"/>
        <w:ind w:hanging="360" w:start="720"/>
        <w:rPr/>
      </w:pPr>
      <w:r>
        <w:rPr>
          <w:rFonts w:eastAsia="Arial" w:cs="Arial"/>
          <w:sz w:val="21"/>
          <w:szCs w:val="21"/>
        </w:rPr>
        <w:t>b. Provide individuals access to their records as permitted by law and within required timeframes.</w:t>
      </w:r>
    </w:p>
    <w:p>
      <w:pPr>
        <w:pStyle w:val="Normal"/>
        <w:tabs>
          <w:tab w:val="left" w:pos="720" w:leader="none"/>
        </w:tabs>
        <w:spacing w:lineRule="exact" w:line="264" w:before="0" w:after="80"/>
        <w:ind w:hanging="360" w:start="720"/>
        <w:rPr/>
      </w:pPr>
      <w:r>
        <w:rPr>
          <w:rFonts w:eastAsia="Arial" w:cs="Arial"/>
          <w:sz w:val="21"/>
          <w:szCs w:val="21"/>
        </w:rPr>
        <w:t>c. Plan for the secure transfer or storage of records if the organization closes, and destroy records securely at end of retention with a record of destruction.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Records Access Request &amp; Response Log</w:t>
      </w:r>
    </w:p>
    <w:p>
      <w:pPr>
        <w:pStyle w:val="ListParagraph"/>
        <w:numPr>
          <w:ilvl w:val="0"/>
          <w:numId w:val="1"/>
        </w:numPr>
        <w:spacing w:lineRule="exact" w:line="264" w:before="0" w:after="60"/>
        <w:rPr/>
      </w:pPr>
      <w:r>
        <w:rPr>
          <w:rFonts w:eastAsia="Arial" w:cs="Arial"/>
          <w:sz w:val="21"/>
          <w:szCs w:val="21"/>
        </w:rPr>
        <w:t>Certificate of Destruction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5.05  Medication Management &amp; Controlled Substances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5.05  Medication Management &amp; Controlled Substances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Controlled Substance License where applicable; DEA/Colorado pharmacy &amp; prescribing law; nurse/prescriber scope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that any medication-related services are provided safely, within scope, and in compliance with applicable state and federal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BHE prescribes, administers, dispenses, stores, or assists with medications, and to controlled substances handled by the BHE.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BHE prescribes, administers, dispenses, or stores medications, it does so only through appropriately licensed personnel acting within their scope and in compliance with applicable law, including controlled-substance requirements. Where a Controlled Substance License is required for the service, the BHE holds and maintains it. Medication services are documented in the individual record. Endorsement-specific medication requirements (for example, in residential or withdrawal-management settings, or medication-assisted treatment) are addressed in the applicable add-on module.</w:t>
      </w:r>
    </w:p>
    <w:p>
      <w:pPr>
        <w:pStyle w:val="Normal"/>
        <w:pBdr>
          <w:bottom w:val="single" w:sz="4" w:space="1" w:color="2E5E45"/>
        </w:pBdr>
        <w:spacing w:before="160" w:after="80"/>
        <w:rPr/>
      </w:pPr>
      <w:r>
        <w:rPr>
          <w:rFonts w:eastAsia="Arial" w:cs="Arial"/>
          <w:b/>
          <w:bCs/>
          <w:color w:val="1A4731"/>
          <w:sz w:val="20"/>
          <w:szCs w:val="20"/>
        </w:rPr>
        <w:t>PROCEDURE — PRESCRIBING &amp; ADMINISTRATION</w:t>
      </w:r>
    </w:p>
    <w:p>
      <w:pPr>
        <w:pStyle w:val="Normal"/>
        <w:tabs>
          <w:tab w:val="left" w:pos="720" w:leader="none"/>
        </w:tabs>
        <w:spacing w:lineRule="exact" w:line="264" w:before="0" w:after="80"/>
        <w:ind w:hanging="360" w:start="720"/>
        <w:rPr/>
      </w:pPr>
      <w:r>
        <w:rPr>
          <w:rFonts w:eastAsia="Arial" w:cs="Arial"/>
          <w:sz w:val="21"/>
          <w:szCs w:val="21"/>
        </w:rPr>
        <w:t>a. Ensure prescribing, administering, and dispensing are performed only by personnel licensed and within scope.</w:t>
      </w:r>
    </w:p>
    <w:p>
      <w:pPr>
        <w:pStyle w:val="Normal"/>
        <w:tabs>
          <w:tab w:val="left" w:pos="720" w:leader="none"/>
        </w:tabs>
        <w:spacing w:lineRule="exact" w:line="264" w:before="0" w:after="80"/>
        <w:ind w:hanging="360" w:start="720"/>
        <w:rPr/>
      </w:pPr>
      <w:r>
        <w:rPr>
          <w:rFonts w:eastAsia="Arial" w:cs="Arial"/>
          <w:sz w:val="21"/>
          <w:szCs w:val="21"/>
        </w:rPr>
        <w:t>b. Handle controlled substances under applicable DEA and Colorado requirements, including secure storage and accurate accounting.</w:t>
      </w:r>
    </w:p>
    <w:p>
      <w:pPr>
        <w:pStyle w:val="Normal"/>
        <w:tabs>
          <w:tab w:val="left" w:pos="720" w:leader="none"/>
        </w:tabs>
        <w:spacing w:lineRule="exact" w:line="264" w:before="0" w:after="80"/>
        <w:ind w:hanging="360" w:start="720"/>
        <w:rPr/>
      </w:pPr>
      <w:r>
        <w:rPr>
          <w:rFonts w:eastAsia="Arial" w:cs="Arial"/>
          <w:sz w:val="21"/>
          <w:szCs w:val="21"/>
        </w:rPr>
        <w:t>c. Document medication orders and administration in the individual record.</w:t>
      </w:r>
    </w:p>
    <w:p>
      <w:pPr>
        <w:pStyle w:val="Normal"/>
        <w:pBdr>
          <w:bottom w:val="single" w:sz="4" w:space="1" w:color="2E5E45"/>
        </w:pBdr>
        <w:spacing w:before="160" w:after="80"/>
        <w:rPr/>
      </w:pPr>
      <w:r>
        <w:rPr>
          <w:rFonts w:eastAsia="Arial" w:cs="Arial"/>
          <w:b/>
          <w:bCs/>
          <w:color w:val="1A4731"/>
          <w:sz w:val="20"/>
          <w:szCs w:val="20"/>
        </w:rPr>
        <w:t>PROCEDURE — STORAGE, DISPOSAL &amp; OVERSIGHT</w:t>
      </w:r>
    </w:p>
    <w:p>
      <w:pPr>
        <w:pStyle w:val="Normal"/>
        <w:tabs>
          <w:tab w:val="left" w:pos="720" w:leader="none"/>
        </w:tabs>
        <w:spacing w:lineRule="exact" w:line="264" w:before="0" w:after="80"/>
        <w:ind w:hanging="360" w:start="720"/>
        <w:rPr/>
      </w:pPr>
      <w:r>
        <w:rPr>
          <w:rFonts w:eastAsia="Arial" w:cs="Arial"/>
          <w:sz w:val="21"/>
          <w:szCs w:val="21"/>
        </w:rPr>
        <w:t>d. Store medications securely and dispose of them safely and lawfully.</w:t>
      </w:r>
    </w:p>
    <w:p>
      <w:pPr>
        <w:pStyle w:val="Normal"/>
        <w:tabs>
          <w:tab w:val="left" w:pos="720" w:leader="none"/>
        </w:tabs>
        <w:spacing w:lineRule="exact" w:line="264" w:before="0" w:after="80"/>
        <w:ind w:hanging="360" w:start="720"/>
        <w:rPr/>
      </w:pPr>
      <w:r>
        <w:rPr>
          <w:rFonts w:eastAsia="Arial" w:cs="Arial"/>
          <w:sz w:val="21"/>
          <w:szCs w:val="21"/>
        </w:rPr>
        <w:t>e. Reconcile controlled-substance counts as applicable and investigate discrepancies.</w:t>
      </w:r>
    </w:p>
    <w:p>
      <w:pPr>
        <w:pStyle w:val="Normal"/>
        <w:tabs>
          <w:tab w:val="left" w:pos="720" w:leader="none"/>
        </w:tabs>
        <w:spacing w:lineRule="exact" w:line="264" w:before="0" w:after="80"/>
        <w:ind w:hanging="360" w:start="720"/>
        <w:rPr/>
      </w:pPr>
      <w:r>
        <w:rPr>
          <w:rFonts w:eastAsia="Arial" w:cs="Arial"/>
          <w:sz w:val="21"/>
          <w:szCs w:val="21"/>
        </w:rPr>
        <w:t>f. Review medication practices and errors through the quality and incident processes.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(where applicable)</w:t>
      </w:r>
    </w:p>
    <w:p>
      <w:pPr>
        <w:pStyle w:val="ListParagraph"/>
        <w:numPr>
          <w:ilvl w:val="0"/>
          <w:numId w:val="1"/>
        </w:numPr>
        <w:spacing w:lineRule="exact" w:line="264" w:before="0" w:after="60"/>
        <w:rPr/>
      </w:pPr>
      <w:r>
        <w:rPr>
          <w:rFonts w:eastAsia="Arial" w:cs="Arial"/>
          <w:sz w:val="21"/>
          <w:szCs w:val="21"/>
        </w:rPr>
        <w:t>Controlled Substance Inventory &amp; Reconciliation Log</w:t>
      </w:r>
    </w:p>
    <w:p>
      <w:pPr>
        <w:pStyle w:val="ListParagraph"/>
        <w:numPr>
          <w:ilvl w:val="0"/>
          <w:numId w:val="1"/>
        </w:numPr>
        <w:spacing w:lineRule="exact" w:line="264" w:before="0" w:after="60"/>
        <w:rPr/>
      </w:pPr>
      <w:r>
        <w:rPr>
          <w:rFonts w:eastAsia="Arial" w:cs="Arial"/>
          <w:sz w:val="21"/>
          <w:szCs w:val="21"/>
        </w:rPr>
        <w:t>Medication Storage &amp; Disposal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5.06  Medication Reconciliation &amp; Error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5.06  Medication Reconciliation &amp; Error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recognized medication-safety practice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medication errors and adverse events through reconciliation at transitions and structured error management.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BHE manages or administers medications, at admission, transfer, and discharge, and to any medication error or adverse drug event.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BHE manages medications, it reconciles medications at transitions of care to identify and resolve discrepancies, and it identifies, responds to, reports, and reviews medication errors and adverse drug events to prevent recurrence.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Reconcile medications at admission, transfer, and discharge, comparing current and prior medications and resolving discrepancies with the prescriber.</w:t>
      </w:r>
    </w:p>
    <w:p>
      <w:pPr>
        <w:pStyle w:val="Normal"/>
        <w:tabs>
          <w:tab w:val="left" w:pos="720" w:leader="none"/>
        </w:tabs>
        <w:spacing w:lineRule="exact" w:line="264" w:before="0" w:after="80"/>
        <w:ind w:hanging="360" w:start="720"/>
        <w:rPr/>
      </w:pPr>
      <w:r>
        <w:rPr>
          <w:rFonts w:eastAsia="Arial" w:cs="Arial"/>
          <w:sz w:val="21"/>
          <w:szCs w:val="21"/>
        </w:rPr>
        <w:t>b. Respond to a medication error by ensuring the individual’s safety and notifying the prescriber and required parties.</w:t>
      </w:r>
    </w:p>
    <w:p>
      <w:pPr>
        <w:pStyle w:val="Normal"/>
        <w:tabs>
          <w:tab w:val="left" w:pos="720" w:leader="none"/>
        </w:tabs>
        <w:spacing w:lineRule="exact" w:line="264" w:before="0" w:after="80"/>
        <w:ind w:hanging="360" w:start="720"/>
        <w:rPr/>
      </w:pPr>
      <w:r>
        <w:rPr>
          <w:rFonts w:eastAsia="Arial" w:cs="Arial"/>
          <w:sz w:val="21"/>
          <w:szCs w:val="21"/>
        </w:rPr>
        <w:t>c. Report and review errors and adverse drug events through the incident and quality processes and implement improvements.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Medication Error / Adverse Drug Event Report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Safety, Incidents &amp; Quality</w:t>
      </w:r>
    </w:p>
    <w:p>
      <w:pPr>
        <w:pStyle w:val="Normal"/>
        <w:spacing w:lineRule="exact" w:line="288" w:before="0" w:after="240"/>
        <w:rPr/>
      </w:pPr>
      <w:r>
        <w:rPr>
          <w:rFonts w:eastAsia="Arial" w:cs="Arial"/>
          <w:color w:val="444444"/>
          <w:sz w:val="22"/>
          <w:szCs w:val="22"/>
        </w:rPr>
        <w:t>This section keeps services safe and accountable — critical incident reporting; limits on seclusion, restraint and physical management; abuse/neglect/exploitation prevention and mandatory reporting; safety and physical environment; emergency preparedness and continuity of operations; infection prevention and control; quality assurance and performance improvement; utilization review and medical necessity; culturally and linguistically appropriate services; and telehealth.</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Critical Incident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Seclusion, Restraint &amp; Physical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Abuse, Neglect &amp; Exploitation — Prevention &amp; Mandatory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Safety &amp; Physical Environment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Emergency Preparedness &amp; Continuity of Operations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Infection Prevention &amp;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6.06  Quality Assurance &amp; Performance Improvement (QAPI)</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6.07  Utilization Review &amp; Medical Necessity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6.08  Culturally &amp; Linguistically Appropriate Services (CLAS)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6.09  Telehealth Services</w:t>
      </w:r>
    </w:p>
    <w:p>
      <w:pPr>
        <w:pStyle w:val="Normal"/>
        <w:rPr/>
      </w:pPr>
      <w:r>
        <w:rPr/>
      </w:r>
      <w:r>
        <w:br w:type="page"/>
      </w:r>
    </w:p>
    <w:p>
      <w:pPr>
        <w:pStyle w:val="Heading2"/>
        <w:spacing w:before="0" w:after="120"/>
        <w:rPr/>
      </w:pPr>
      <w:r>
        <w:rPr>
          <w:rFonts w:eastAsia="Arial" w:cs="Arial" w:ascii="Arial" w:hAnsi="Arial"/>
          <w:b/>
          <w:bCs/>
          <w:color w:val="1A4731"/>
          <w:sz w:val="26"/>
          <w:szCs w:val="26"/>
        </w:rPr>
        <w:t>6.00  Critical Incident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Critical Incident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&amp; Compliance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(critical incidents); BHA reporting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critical incidents are recognized, responded to, reported to the BHA and other authorities as required, and reviewed to prevent recurrence.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critical incidents involving individuals served, personnel, or operations, across all services and settings.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Critical Incident — a significant event or condition that jeopardizes the health, safety, or welfare of an individual served or of personnel, as defined in the BHA rules (for example, death, serious injury, allegation of abuse or neglect, elopement, medication error with harm, or other serious events).</w:t>
      </w:r>
    </w:p>
    <w:p>
      <w:pPr>
        <w:pStyle w:val="Normal"/>
        <w:spacing w:lineRule="exact" w:line="276" w:before="0" w:after="120"/>
        <w:rPr/>
      </w:pPr>
      <w:r>
        <w:rPr>
          <w:rFonts w:eastAsia="Arial" w:cs="Arial"/>
          <w:sz w:val="21"/>
          <w:szCs w:val="21"/>
        </w:rPr>
        <w:t>Near-Miss — an event that could have caused harm but did not, useful for prevention.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identifies critical incidents, ensures immediate safety and appropriate clinical response, reports to the BHA (and other authorities where required) within required timeframes, documents the incident factually, and reviews it through the quality and risk programs to identify and implement improvements.</w:t>
      </w:r>
    </w:p>
    <w:p>
      <w:pPr>
        <w:pStyle w:val="Normal"/>
        <w:pBdr>
          <w:bottom w:val="single" w:sz="4" w:space="1" w:color="2E5E45"/>
        </w:pBdr>
        <w:spacing w:before="160" w:after="80"/>
        <w:rPr/>
      </w:pPr>
      <w:r>
        <w:rPr>
          <w:rFonts w:eastAsia="Arial" w:cs="Arial"/>
          <w:b/>
          <w:bCs/>
          <w:color w:val="1A4731"/>
          <w:sz w:val="20"/>
          <w:szCs w:val="20"/>
        </w:rPr>
        <w:t>PROCEDURE — IMMEDIATE RESPONSE &amp; REPORTING</w:t>
      </w:r>
    </w:p>
    <w:p>
      <w:pPr>
        <w:pStyle w:val="Normal"/>
        <w:tabs>
          <w:tab w:val="left" w:pos="720" w:leader="none"/>
        </w:tabs>
        <w:spacing w:lineRule="exact" w:line="264" w:before="0" w:after="80"/>
        <w:ind w:hanging="360" w:start="720"/>
        <w:rPr/>
      </w:pPr>
      <w:r>
        <w:rPr>
          <w:rFonts w:eastAsia="Arial" w:cs="Arial"/>
          <w:sz w:val="21"/>
          <w:szCs w:val="21"/>
        </w:rPr>
        <w:t>a. Ensure the immediate safety of individuals and personnel and provide any needed clinical or emergency response.</w:t>
      </w:r>
    </w:p>
    <w:p>
      <w:pPr>
        <w:pStyle w:val="Normal"/>
        <w:tabs>
          <w:tab w:val="left" w:pos="720" w:leader="none"/>
        </w:tabs>
        <w:spacing w:lineRule="exact" w:line="264" w:before="0" w:after="80"/>
        <w:ind w:hanging="360" w:start="720"/>
        <w:rPr/>
      </w:pPr>
      <w:r>
        <w:rPr>
          <w:rFonts w:eastAsia="Arial" w:cs="Arial"/>
          <w:sz w:val="21"/>
          <w:szCs w:val="21"/>
        </w:rPr>
        <w:t>b. Report the critical incident to the BHA within the required timeframe and to other authorities (for example, law enforcement, public health, or protective services) where required.</w:t>
      </w:r>
    </w:p>
    <w:p>
      <w:pPr>
        <w:pStyle w:val="Normal"/>
        <w:tabs>
          <w:tab w:val="left" w:pos="720" w:leader="none"/>
        </w:tabs>
        <w:spacing w:lineRule="exact" w:line="264" w:before="0" w:after="80"/>
        <w:ind w:hanging="360" w:start="720"/>
        <w:rPr/>
      </w:pPr>
      <w:r>
        <w:rPr>
          <w:rFonts w:eastAsia="Arial" w:cs="Arial"/>
          <w:sz w:val="21"/>
          <w:szCs w:val="21"/>
        </w:rPr>
        <w:t>c. Notify the director/administrator and, as appropriate, the individual’s representative.</w:t>
      </w:r>
    </w:p>
    <w:p>
      <w:pPr>
        <w:pStyle w:val="Normal"/>
        <w:pBdr>
          <w:bottom w:val="single" w:sz="4" w:space="1" w:color="2E5E45"/>
        </w:pBdr>
        <w:spacing w:before="160" w:after="80"/>
        <w:rPr/>
      </w:pPr>
      <w:r>
        <w:rPr>
          <w:rFonts w:eastAsia="Arial" w:cs="Arial"/>
          <w:b/>
          <w:bCs/>
          <w:color w:val="1A4731"/>
          <w:sz w:val="20"/>
          <w:szCs w:val="20"/>
        </w:rPr>
        <w:t>PROCEDURE — DOCUMENTATION &amp; REVIEW</w:t>
      </w:r>
    </w:p>
    <w:p>
      <w:pPr>
        <w:pStyle w:val="Normal"/>
        <w:tabs>
          <w:tab w:val="left" w:pos="720" w:leader="none"/>
        </w:tabs>
        <w:spacing w:lineRule="exact" w:line="264" w:before="0" w:after="80"/>
        <w:ind w:hanging="360" w:start="720"/>
        <w:rPr/>
      </w:pPr>
      <w:r>
        <w:rPr>
          <w:rFonts w:eastAsia="Arial" w:cs="Arial"/>
          <w:sz w:val="21"/>
          <w:szCs w:val="21"/>
        </w:rPr>
        <w:t>d. Document the incident factually, including what occurred, who was involved, actions taken, and notifications made.</w:t>
      </w:r>
    </w:p>
    <w:p>
      <w:pPr>
        <w:pStyle w:val="Normal"/>
        <w:tabs>
          <w:tab w:val="left" w:pos="720" w:leader="none"/>
        </w:tabs>
        <w:spacing w:lineRule="exact" w:line="264" w:before="0" w:after="80"/>
        <w:ind w:hanging="360" w:start="720"/>
        <w:rPr/>
      </w:pPr>
      <w:r>
        <w:rPr>
          <w:rFonts w:eastAsia="Arial" w:cs="Arial"/>
          <w:sz w:val="21"/>
          <w:szCs w:val="21"/>
        </w:rPr>
        <w:t>e. Review incidents and near-misses for root causes and patterns through the quality and risk programs.</w:t>
      </w:r>
    </w:p>
    <w:p>
      <w:pPr>
        <w:pStyle w:val="Normal"/>
        <w:tabs>
          <w:tab w:val="left" w:pos="720" w:leader="none"/>
        </w:tabs>
        <w:spacing w:lineRule="exact" w:line="264" w:before="0" w:after="80"/>
        <w:ind w:hanging="360" w:start="720"/>
        <w:rPr/>
      </w:pPr>
      <w:r>
        <w:rPr>
          <w:rFonts w:eastAsia="Arial" w:cs="Arial"/>
          <w:sz w:val="21"/>
          <w:szCs w:val="21"/>
        </w:rPr>
        <w:t>f. Implement corrective actions, assign responsibility and timelines, and verify effectiveness.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Critical Incident Report</w:t>
      </w:r>
    </w:p>
    <w:p>
      <w:pPr>
        <w:pStyle w:val="ListParagraph"/>
        <w:numPr>
          <w:ilvl w:val="0"/>
          <w:numId w:val="1"/>
        </w:numPr>
        <w:spacing w:lineRule="exact" w:line="264" w:before="0" w:after="60"/>
        <w:rPr/>
      </w:pPr>
      <w:r>
        <w:rPr>
          <w:rFonts w:eastAsia="Arial" w:cs="Arial"/>
          <w:sz w:val="21"/>
          <w:szCs w:val="21"/>
        </w:rPr>
        <w:t>Incident Review &amp; Root Cause Analysis</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Seclusion, Restraint &amp; Physical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Seclusion, Restraint &amp; Physical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&amp; Compliance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(seclusion/restraint/physical management limits); least-restrictive practice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individuals from inappropriate use of seclusion, restraint, or physical management and to ensure any permitted use is safe, lawful, and least-restrictive.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any use of seclusion, restraint, or physical management in any BHE service, and to the training of personnel in de-escalation and any permitted intervention.</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Seclusion — the involuntary confinement of a person alone in a room or area from which they are physically prevented from leaving.</w:t>
      </w:r>
    </w:p>
    <w:p>
      <w:pPr>
        <w:pStyle w:val="Normal"/>
        <w:spacing w:lineRule="exact" w:line="276" w:before="0" w:after="120"/>
        <w:rPr/>
      </w:pPr>
      <w:r>
        <w:rPr>
          <w:rFonts w:eastAsia="Arial" w:cs="Arial"/>
          <w:sz w:val="21"/>
          <w:szCs w:val="21"/>
        </w:rPr>
        <w:t>Restraint — a manual method, physical or mechanical device, or medication used to restrict freedom of movement or normal access to one’s body, as defined by applicable rule.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does not use seclusion, restraint, or physical management for discipline, coercion, retaliation, or staff convenience. Many BHE services do not permit these interventions at all. Where the BHE’s services and endorsements permit any such intervention, it is used only to protect safety when less-restrictive measures are insufficient, for the shortest time necessary, by trained personnel, with monitoring, documentation, notification, and post-event review as the rules require. Endorsement-specific rules govern where applicable.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Use de-escalation and least-restrictive alternatives first; resort to any permitted intervention only when necessary to prevent imminent harm.</w:t>
      </w:r>
    </w:p>
    <w:p>
      <w:pPr>
        <w:pStyle w:val="Normal"/>
        <w:tabs>
          <w:tab w:val="left" w:pos="720" w:leader="none"/>
        </w:tabs>
        <w:spacing w:lineRule="exact" w:line="264" w:before="0" w:after="80"/>
        <w:ind w:hanging="360" w:start="720"/>
        <w:rPr/>
      </w:pPr>
      <w:r>
        <w:rPr>
          <w:rFonts w:eastAsia="Arial" w:cs="Arial"/>
          <w:sz w:val="21"/>
          <w:szCs w:val="21"/>
        </w:rPr>
        <w:t>b. Ensure only trained personnel apply a permitted intervention, monitor the individual continuously, and end it as soon as safety allows.</w:t>
      </w:r>
    </w:p>
    <w:p>
      <w:pPr>
        <w:pStyle w:val="Normal"/>
        <w:tabs>
          <w:tab w:val="left" w:pos="720" w:leader="none"/>
        </w:tabs>
        <w:spacing w:lineRule="exact" w:line="264" w:before="0" w:after="80"/>
        <w:ind w:hanging="360" w:start="720"/>
        <w:rPr/>
      </w:pPr>
      <w:r>
        <w:rPr>
          <w:rFonts w:eastAsia="Arial" w:cs="Arial"/>
          <w:sz w:val="21"/>
          <w:szCs w:val="21"/>
        </w:rPr>
        <w:t>c. Document the event, notify as required, and conduct a post-event review; report as a critical incident where required.</w:t>
      </w:r>
    </w:p>
    <w:p>
      <w:pPr>
        <w:pStyle w:val="Normal"/>
        <w:tabs>
          <w:tab w:val="left" w:pos="720" w:leader="none"/>
        </w:tabs>
        <w:spacing w:lineRule="exact" w:line="264" w:before="0" w:after="80"/>
        <w:ind w:hanging="360" w:start="720"/>
        <w:rPr/>
      </w:pPr>
      <w:r>
        <w:rPr>
          <w:rFonts w:eastAsia="Arial" w:cs="Arial"/>
          <w:sz w:val="21"/>
          <w:szCs w:val="21"/>
        </w:rPr>
        <w:t>d. Train personnel in de-escalation and, where applicable, safe intervention, and follow endorsement-specific requirements for any setting where such interventions are authorized.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De-escalation &amp; Safety Intervention Record</w:t>
      </w:r>
    </w:p>
    <w:p>
      <w:pPr>
        <w:pStyle w:val="ListParagraph"/>
        <w:numPr>
          <w:ilvl w:val="0"/>
          <w:numId w:val="1"/>
        </w:numPr>
        <w:spacing w:lineRule="exact" w:line="264" w:before="0" w:after="60"/>
        <w:rPr/>
      </w:pPr>
      <w:r>
        <w:rPr>
          <w:rFonts w:eastAsia="Arial" w:cs="Arial"/>
          <w:sz w:val="21"/>
          <w:szCs w:val="21"/>
        </w:rPr>
        <w:t>Post-Event Review Form</w:t>
      </w:r>
    </w:p>
    <w:p>
      <w:pPr>
        <w:pStyle w:val="ListParagraph"/>
        <w:numPr>
          <w:ilvl w:val="0"/>
          <w:numId w:val="1"/>
        </w:numPr>
        <w:spacing w:lineRule="exact" w:line="264" w:before="0" w:after="60"/>
        <w:rPr/>
      </w:pPr>
      <w:r>
        <w:rPr>
          <w:rFonts w:eastAsia="Arial" w:cs="Arial"/>
          <w:sz w:val="21"/>
          <w:szCs w:val="21"/>
        </w:rPr>
        <w:t>Intervention Training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Abuse, Neglect &amp; Exploitation — Prevention &amp; Mandatory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Abuse, Neglect &amp; Exploitation — Prevention &amp; Mandatory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&amp; Compliance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Colorado mandatory reporting (at-risk adults, C.R.S. 26-3.1; child abuse, C.R.S. 19-3-304); 2 CCR 502-1, Ch.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abuse, neglect, and exploitation of individuals served and to ensure personnel meet their mandatory-reporting obligations under Colorado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personnel and to the protection of all individuals served, including at-risk adults and children.</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Abuse / Neglect / Exploitation — harm or risk of harm to an individual as defined under applicable Colorado law for at-risk adults and for children.</w:t>
      </w:r>
    </w:p>
    <w:p>
      <w:pPr>
        <w:pStyle w:val="Normal"/>
        <w:spacing w:lineRule="exact" w:line="276" w:before="0" w:after="120"/>
        <w:rPr/>
      </w:pPr>
      <w:r>
        <w:rPr>
          <w:rFonts w:eastAsia="Arial" w:cs="Arial"/>
          <w:sz w:val="21"/>
          <w:szCs w:val="21"/>
        </w:rPr>
        <w:t>Mandatory Reporter — a person required by Colorado law to report suspected abuse, neglect, or exploitation.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prohibits abuse, neglect, and exploitation of individuals served, screens and trains personnel to prevent it, and ensures mandatory reporters meet their legal duty to report suspected abuse, neglect, or exploitation of an at-risk adult or a child to the appropriate authorities. This is an individual legal duty and is not satisfied only by informing a supervisor. The BHE does not retaliate against anyone who reports in good faith.</w:t>
      </w:r>
    </w:p>
    <w:p>
      <w:pPr>
        <w:pStyle w:val="Normal"/>
        <w:pBdr>
          <w:bottom w:val="single" w:sz="4" w:space="1" w:color="2E5E45"/>
        </w:pBdr>
        <w:spacing w:before="160" w:after="80"/>
        <w:rPr/>
      </w:pPr>
      <w:r>
        <w:rPr>
          <w:rFonts w:eastAsia="Arial" w:cs="Arial"/>
          <w:b/>
          <w:bCs/>
          <w:color w:val="1A4731"/>
          <w:sz w:val="20"/>
          <w:szCs w:val="20"/>
        </w:rPr>
        <w:t>PROCEDURE — PREVENTION</w:t>
      </w:r>
    </w:p>
    <w:p>
      <w:pPr>
        <w:pStyle w:val="Normal"/>
        <w:tabs>
          <w:tab w:val="left" w:pos="720" w:leader="none"/>
        </w:tabs>
        <w:spacing w:lineRule="exact" w:line="264" w:before="0" w:after="80"/>
        <w:ind w:hanging="360" w:start="720"/>
        <w:rPr/>
      </w:pPr>
      <w:r>
        <w:rPr>
          <w:rFonts w:eastAsia="Arial" w:cs="Arial"/>
          <w:sz w:val="21"/>
          <w:szCs w:val="21"/>
        </w:rPr>
        <w:t>a. Screen personnel, train them to recognize and prevent abuse, neglect, and exploitation, and set clear conduct and boundary expectations.</w:t>
      </w:r>
    </w:p>
    <w:p>
      <w:pPr>
        <w:pStyle w:val="Normal"/>
        <w:tabs>
          <w:tab w:val="left" w:pos="720" w:leader="none"/>
        </w:tabs>
        <w:spacing w:lineRule="exact" w:line="264" w:before="0" w:after="80"/>
        <w:ind w:hanging="360" w:start="720"/>
        <w:rPr/>
      </w:pPr>
      <w:r>
        <w:rPr>
          <w:rFonts w:eastAsia="Arial" w:cs="Arial"/>
          <w:sz w:val="21"/>
          <w:szCs w:val="21"/>
        </w:rPr>
        <w:t>b. Maintain an environment and supervision practices that reduce risk, and encourage reporting of concerns.</w:t>
      </w:r>
    </w:p>
    <w:p>
      <w:pPr>
        <w:pStyle w:val="Normal"/>
        <w:pBdr>
          <w:bottom w:val="single" w:sz="4" w:space="1" w:color="2E5E45"/>
        </w:pBdr>
        <w:spacing w:before="160" w:after="80"/>
        <w:rPr/>
      </w:pPr>
      <w:r>
        <w:rPr>
          <w:rFonts w:eastAsia="Arial" w:cs="Arial"/>
          <w:b/>
          <w:bCs/>
          <w:color w:val="1A4731"/>
          <w:sz w:val="20"/>
          <w:szCs w:val="20"/>
        </w:rPr>
        <w:t>PROCEDURE — RESPONSE &amp; REPORTING</w:t>
      </w:r>
    </w:p>
    <w:p>
      <w:pPr>
        <w:pStyle w:val="Normal"/>
        <w:tabs>
          <w:tab w:val="left" w:pos="720" w:leader="none"/>
        </w:tabs>
        <w:spacing w:lineRule="exact" w:line="264" w:before="0" w:after="80"/>
        <w:ind w:hanging="360" w:start="720"/>
        <w:rPr/>
      </w:pPr>
      <w:r>
        <w:rPr>
          <w:rFonts w:eastAsia="Arial" w:cs="Arial"/>
          <w:sz w:val="21"/>
          <w:szCs w:val="21"/>
        </w:rPr>
        <w:t>c. Ensure the immediate safety of any individual who may have been harmed.</w:t>
      </w:r>
    </w:p>
    <w:p>
      <w:pPr>
        <w:pStyle w:val="Normal"/>
        <w:tabs>
          <w:tab w:val="left" w:pos="720" w:leader="none"/>
        </w:tabs>
        <w:spacing w:lineRule="exact" w:line="264" w:before="0" w:after="80"/>
        <w:ind w:hanging="360" w:start="720"/>
        <w:rPr/>
      </w:pPr>
      <w:r>
        <w:rPr>
          <w:rFonts w:eastAsia="Arial" w:cs="Arial"/>
          <w:sz w:val="21"/>
          <w:szCs w:val="21"/>
        </w:rPr>
        <w:t>d. Make required reports to the appropriate authorities (for example, law enforcement, county human/social services, or Adult Protective Services) within the timeframes the law requires, and notify the administrator.</w:t>
      </w:r>
    </w:p>
    <w:p>
      <w:pPr>
        <w:pStyle w:val="Normal"/>
        <w:tabs>
          <w:tab w:val="left" w:pos="720" w:leader="none"/>
        </w:tabs>
        <w:spacing w:lineRule="exact" w:line="264" w:before="0" w:after="80"/>
        <w:ind w:hanging="360" w:start="720"/>
        <w:rPr/>
      </w:pPr>
      <w:r>
        <w:rPr>
          <w:rFonts w:eastAsia="Arial" w:cs="Arial"/>
          <w:sz w:val="21"/>
          <w:szCs w:val="21"/>
        </w:rPr>
        <w:t>e. Report to the BHA as a critical incident where required, cooperate with investigations, and document the concern and reports made.</w:t>
      </w:r>
    </w:p>
    <w:p>
      <w:pPr>
        <w:pStyle w:val="Normal"/>
        <w:tabs>
          <w:tab w:val="left" w:pos="720" w:leader="none"/>
        </w:tabs>
        <w:spacing w:lineRule="exact" w:line="264" w:before="0" w:after="80"/>
        <w:ind w:hanging="360" w:start="720"/>
        <w:rPr/>
      </w:pPr>
      <w:r>
        <w:rPr>
          <w:rFonts w:eastAsia="Arial" w:cs="Arial"/>
          <w:sz w:val="21"/>
          <w:szCs w:val="21"/>
        </w:rPr>
        <w:t>f. Take no retaliatory action against a good-faith reporter.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Mandatory Reporting Contact List</w:t>
      </w:r>
    </w:p>
    <w:p>
      <w:pPr>
        <w:pStyle w:val="ListParagraph"/>
        <w:numPr>
          <w:ilvl w:val="0"/>
          <w:numId w:val="1"/>
        </w:numPr>
        <w:spacing w:lineRule="exact" w:line="264" w:before="0" w:after="60"/>
        <w:rPr/>
      </w:pPr>
      <w:r>
        <w:rPr>
          <w:rFonts w:eastAsia="Arial" w:cs="Arial"/>
          <w:sz w:val="21"/>
          <w:szCs w:val="21"/>
        </w:rPr>
        <w:t>Prevention Training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Safety &amp; Physical Environment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Safety &amp; Physical Environment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&amp; Compliance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(safety; physical environment); applicable building &amp; fire codes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functional physical environment for individuals served, personnel, and visitors.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locations the BHE operates, appropriate to the services provided there.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maintains a safe, clean, and functional physical environment appropriate to its services, with safety equipment, environmental hazard controls, and routine inspection. Settings that carry additional physical-plant or life-safety requirements (for example, residential or crisis settings) meet the endorsement-specific requirements in the applicable add-on module.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the physical environment, safety equipment, and hazard controls appropriate to the services and setting.</w:t>
      </w:r>
    </w:p>
    <w:p>
      <w:pPr>
        <w:pStyle w:val="Normal"/>
        <w:tabs>
          <w:tab w:val="left" w:pos="720" w:leader="none"/>
        </w:tabs>
        <w:spacing w:lineRule="exact" w:line="264" w:before="0" w:after="80"/>
        <w:ind w:hanging="360" w:start="720"/>
        <w:rPr/>
      </w:pPr>
      <w:r>
        <w:rPr>
          <w:rFonts w:eastAsia="Arial" w:cs="Arial"/>
          <w:sz w:val="21"/>
          <w:szCs w:val="21"/>
        </w:rPr>
        <w:t>b. Conduct routine safety inspections, correct hazards promptly, and document inspections and corrections.</w:t>
      </w:r>
    </w:p>
    <w:p>
      <w:pPr>
        <w:pStyle w:val="Normal"/>
        <w:tabs>
          <w:tab w:val="left" w:pos="720" w:leader="none"/>
        </w:tabs>
        <w:spacing w:lineRule="exact" w:line="264" w:before="0" w:after="80"/>
        <w:ind w:hanging="360" w:start="720"/>
        <w:rPr/>
      </w:pPr>
      <w:r>
        <w:rPr>
          <w:rFonts w:eastAsia="Arial" w:cs="Arial"/>
          <w:sz w:val="21"/>
          <w:szCs w:val="21"/>
        </w:rPr>
        <w:t>c. Apply endorsement-specific environmental and life-safety requirements where applicable.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Safety Inspection Checklist</w:t>
      </w:r>
    </w:p>
    <w:p>
      <w:pPr>
        <w:pStyle w:val="ListParagraph"/>
        <w:numPr>
          <w:ilvl w:val="0"/>
          <w:numId w:val="1"/>
        </w:numPr>
        <w:spacing w:lineRule="exact" w:line="264" w:before="0" w:after="60"/>
        <w:rPr/>
      </w:pPr>
      <w:r>
        <w:rPr>
          <w:rFonts w:eastAsia="Arial" w:cs="Arial"/>
          <w:sz w:val="21"/>
          <w:szCs w:val="21"/>
        </w:rPr>
        <w:t>Hazard / Maintenance Correction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Emergency Preparedness &amp; Continuity of Operations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Emergency Preparedness &amp; Continuity of Operations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&amp; Compliance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(emergency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for, respond to, and recover from emergencies and to maintain continuity of essential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locations and services and to all personnel.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maintains a written emergency preparedness plan addressing fire, severe weather, medical emergencies, loss of utilities, security threats, and other hazards relevant to its setting; trains personnel; conducts periodic drills; and maintains a continuity-of-operations approach to protect individuals’ access to essential care during and after an emergency.</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and update the emergency preparedness plan and ensure personnel are trained on their roles.</w:t>
      </w:r>
    </w:p>
    <w:p>
      <w:pPr>
        <w:pStyle w:val="Normal"/>
        <w:tabs>
          <w:tab w:val="left" w:pos="720" w:leader="none"/>
        </w:tabs>
        <w:spacing w:lineRule="exact" w:line="264" w:before="0" w:after="80"/>
        <w:ind w:hanging="360" w:start="720"/>
        <w:rPr/>
      </w:pPr>
      <w:r>
        <w:rPr>
          <w:rFonts w:eastAsia="Arial" w:cs="Arial"/>
          <w:sz w:val="21"/>
          <w:szCs w:val="21"/>
        </w:rPr>
        <w:t>b. Conduct periodic drills across relevant scenarios and, in 24-hour settings, across shifts, and document them.</w:t>
      </w:r>
    </w:p>
    <w:p>
      <w:pPr>
        <w:pStyle w:val="Normal"/>
        <w:tabs>
          <w:tab w:val="left" w:pos="720" w:leader="none"/>
        </w:tabs>
        <w:spacing w:lineRule="exact" w:line="264" w:before="0" w:after="80"/>
        <w:ind w:hanging="360" w:start="720"/>
        <w:rPr/>
      </w:pPr>
      <w:r>
        <w:rPr>
          <w:rFonts w:eastAsia="Arial" w:cs="Arial"/>
          <w:sz w:val="21"/>
          <w:szCs w:val="21"/>
        </w:rPr>
        <w:t>c. Respond to emergencies per the plan, ensure individuals’ safety and continuity of essential services, and review the response for improvement.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Plan</w:t>
      </w:r>
    </w:p>
    <w:p>
      <w:pPr>
        <w:pStyle w:val="ListParagraph"/>
        <w:numPr>
          <w:ilvl w:val="0"/>
          <w:numId w:val="1"/>
        </w:numPr>
        <w:spacing w:lineRule="exact" w:line="264" w:before="0" w:after="60"/>
        <w:rPr/>
      </w:pPr>
      <w:r>
        <w:rPr>
          <w:rFonts w:eastAsia="Arial" w:cs="Arial"/>
          <w:sz w:val="21"/>
          <w:szCs w:val="21"/>
        </w:rPr>
        <w:t>Drill Record &amp; After-Action Review</w:t>
      </w:r>
    </w:p>
    <w:p>
      <w:pPr>
        <w:pStyle w:val="ListParagraph"/>
        <w:numPr>
          <w:ilvl w:val="0"/>
          <w:numId w:val="1"/>
        </w:numPr>
        <w:spacing w:lineRule="exact" w:line="264" w:before="0" w:after="60"/>
        <w:rPr/>
      </w:pPr>
      <w:r>
        <w:rPr>
          <w:rFonts w:eastAsia="Arial" w:cs="Arial"/>
          <w:sz w:val="21"/>
          <w:szCs w:val="21"/>
        </w:rPr>
        <w:t>Continuity of Operations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Infection Prevention &amp;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Infection Prevention &amp;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&amp; Compliance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public health &amp; CDC guidance; OSHA where applicable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of infection to individuals served and personnel appropriate to the BHE’s services and setting.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infection-prevention practices across services, with heightened application in residential and other close-contact settings.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follows infection-prevention practices appropriate to its services, including hand hygiene, cleaning and disinfection, safe handling of potentially infectious materials, and response to communicable-disease concerns, consistent with public health guidance and applicable requirements.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hand-hygiene, cleaning, and disinfection practices and supplies appropriate to the setting.</w:t>
      </w:r>
    </w:p>
    <w:p>
      <w:pPr>
        <w:pStyle w:val="Normal"/>
        <w:tabs>
          <w:tab w:val="left" w:pos="720" w:leader="none"/>
        </w:tabs>
        <w:spacing w:lineRule="exact" w:line="264" w:before="0" w:after="80"/>
        <w:ind w:hanging="360" w:start="720"/>
        <w:rPr/>
      </w:pPr>
      <w:r>
        <w:rPr>
          <w:rFonts w:eastAsia="Arial" w:cs="Arial"/>
          <w:sz w:val="21"/>
          <w:szCs w:val="21"/>
        </w:rPr>
        <w:t>b. Handle potentially infectious materials safely and provide personal protective equipment where indicated.</w:t>
      </w:r>
    </w:p>
    <w:p>
      <w:pPr>
        <w:pStyle w:val="Normal"/>
        <w:tabs>
          <w:tab w:val="left" w:pos="720" w:leader="none"/>
        </w:tabs>
        <w:spacing w:lineRule="exact" w:line="264" w:before="0" w:after="80"/>
        <w:ind w:hanging="360" w:start="720"/>
        <w:rPr/>
      </w:pPr>
      <w:r>
        <w:rPr>
          <w:rFonts w:eastAsia="Arial" w:cs="Arial"/>
          <w:sz w:val="21"/>
          <w:szCs w:val="21"/>
        </w:rPr>
        <w:t>c. Respond to communicable-disease concerns, report to public health where required, and document infection-control activities.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Prevention Practices Reference</w:t>
      </w:r>
    </w:p>
    <w:p>
      <w:pPr>
        <w:pStyle w:val="ListParagraph"/>
        <w:numPr>
          <w:ilvl w:val="0"/>
          <w:numId w:val="1"/>
        </w:numPr>
        <w:spacing w:lineRule="exact" w:line="264" w:before="0" w:after="60"/>
        <w:rPr/>
      </w:pPr>
      <w:r>
        <w:rPr>
          <w:rFonts w:eastAsia="Arial" w:cs="Arial"/>
          <w:sz w:val="21"/>
          <w:szCs w:val="21"/>
        </w:rPr>
        <w:t>Cleaning &amp; Disinfection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6.06  Quality Assurance &amp; Performance Improvement (QAPI)</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6.06  Quality Assurance &amp; Performance Improvement (QAPI)</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(quality management / performance improvement)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data-driven quality program that monitors, evaluates, and improves the safety and effectiveness of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quality and performance improvement across all services and to all personnel.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maintains a quality assurance and performance improvement program that reviews incidents, grievances, outcomes, access, and compliance; identifies opportunities for improvement; implements changes; and evaluates their effect. The governing authority receives and acts on quality information, and improvement is continuous.</w:t>
      </w:r>
    </w:p>
    <w:p>
      <w:pPr>
        <w:pStyle w:val="Normal"/>
        <w:pBdr>
          <w:bottom w:val="single" w:sz="4" w:space="1" w:color="2E5E45"/>
        </w:pBdr>
        <w:spacing w:before="160" w:after="80"/>
        <w:rPr/>
      </w:pPr>
      <w:r>
        <w:rPr>
          <w:rFonts w:eastAsia="Arial" w:cs="Arial"/>
          <w:b/>
          <w:bCs/>
          <w:color w:val="1A4731"/>
          <w:sz w:val="20"/>
          <w:szCs w:val="20"/>
        </w:rPr>
        <w:t>PROCEDURE — MONITORING &amp; IMPROVEMENT</w:t>
      </w:r>
    </w:p>
    <w:p>
      <w:pPr>
        <w:pStyle w:val="Normal"/>
        <w:tabs>
          <w:tab w:val="left" w:pos="720" w:leader="none"/>
        </w:tabs>
        <w:spacing w:lineRule="exact" w:line="264" w:before="0" w:after="80"/>
        <w:ind w:hanging="360" w:start="720"/>
        <w:rPr/>
      </w:pPr>
      <w:r>
        <w:rPr>
          <w:rFonts w:eastAsia="Arial" w:cs="Arial"/>
          <w:sz w:val="21"/>
          <w:szCs w:val="21"/>
        </w:rPr>
        <w:t>a. Collect and review quality data, including critical incidents and near-misses, grievances, safety events, access, and service outcomes.</w:t>
      </w:r>
    </w:p>
    <w:p>
      <w:pPr>
        <w:pStyle w:val="Normal"/>
        <w:tabs>
          <w:tab w:val="left" w:pos="720" w:leader="none"/>
        </w:tabs>
        <w:spacing w:lineRule="exact" w:line="264" w:before="0" w:after="80"/>
        <w:ind w:hanging="360" w:start="720"/>
        <w:rPr/>
      </w:pPr>
      <w:r>
        <w:rPr>
          <w:rFonts w:eastAsia="Arial" w:cs="Arial"/>
          <w:sz w:val="21"/>
          <w:szCs w:val="21"/>
        </w:rPr>
        <w:t>b. Identify improvement priorities, implement corrective and preventive actions, and assign responsibility and timelines.</w:t>
      </w:r>
    </w:p>
    <w:p>
      <w:pPr>
        <w:pStyle w:val="Normal"/>
        <w:tabs>
          <w:tab w:val="left" w:pos="720" w:leader="none"/>
        </w:tabs>
        <w:spacing w:lineRule="exact" w:line="264" w:before="0" w:after="80"/>
        <w:ind w:hanging="360" w:start="720"/>
        <w:rPr/>
      </w:pPr>
      <w:r>
        <w:rPr>
          <w:rFonts w:eastAsia="Arial" w:cs="Arial"/>
          <w:sz w:val="21"/>
          <w:szCs w:val="21"/>
        </w:rPr>
        <w:t>c. Evaluate whether changes achieved the intended effect and sustain or adjust them.</w:t>
      </w:r>
    </w:p>
    <w:p>
      <w:pPr>
        <w:pStyle w:val="Normal"/>
        <w:pBdr>
          <w:bottom w:val="single" w:sz="4" w:space="1" w:color="2E5E45"/>
        </w:pBdr>
        <w:spacing w:before="160" w:after="80"/>
        <w:rPr/>
      </w:pPr>
      <w:r>
        <w:rPr>
          <w:rFonts w:eastAsia="Arial" w:cs="Arial"/>
          <w:b/>
          <w:bCs/>
          <w:color w:val="1A4731"/>
          <w:sz w:val="20"/>
          <w:szCs w:val="20"/>
        </w:rPr>
        <w:t>PROCEDURE — GOVERNANCE &amp; DOCUMENTATION</w:t>
      </w:r>
    </w:p>
    <w:p>
      <w:pPr>
        <w:pStyle w:val="Normal"/>
        <w:tabs>
          <w:tab w:val="left" w:pos="720" w:leader="none"/>
        </w:tabs>
        <w:spacing w:lineRule="exact" w:line="264" w:before="0" w:after="80"/>
        <w:ind w:hanging="360" w:start="720"/>
        <w:rPr/>
      </w:pPr>
      <w:r>
        <w:rPr>
          <w:rFonts w:eastAsia="Arial" w:cs="Arial"/>
          <w:sz w:val="21"/>
          <w:szCs w:val="21"/>
        </w:rPr>
        <w:t>d. Report quality findings and improvement activity to the governing authority at defined intervals.</w:t>
      </w:r>
    </w:p>
    <w:p>
      <w:pPr>
        <w:pStyle w:val="Normal"/>
        <w:tabs>
          <w:tab w:val="left" w:pos="720" w:leader="none"/>
        </w:tabs>
        <w:spacing w:lineRule="exact" w:line="264" w:before="0" w:after="80"/>
        <w:ind w:hanging="360" w:start="720"/>
        <w:rPr/>
      </w:pPr>
      <w:r>
        <w:rPr>
          <w:rFonts w:eastAsia="Arial" w:cs="Arial"/>
          <w:sz w:val="21"/>
          <w:szCs w:val="21"/>
        </w:rPr>
        <w:t>e. Document quality activities, decisions, and outcomes, and retain the records for the required period.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 Performance Improvement Plan</w:t>
      </w:r>
    </w:p>
    <w:p>
      <w:pPr>
        <w:pStyle w:val="ListParagraph"/>
        <w:numPr>
          <w:ilvl w:val="0"/>
          <w:numId w:val="1"/>
        </w:numPr>
        <w:spacing w:lineRule="exact" w:line="264" w:before="0" w:after="60"/>
        <w:rPr/>
      </w:pPr>
      <w:r>
        <w:rPr>
          <w:rFonts w:eastAsia="Arial" w:cs="Arial"/>
          <w:sz w:val="21"/>
          <w:szCs w:val="21"/>
        </w:rPr>
        <w:t>QAPI Meeting Minutes &amp; Action Log</w:t>
      </w:r>
    </w:p>
    <w:p>
      <w:pPr>
        <w:pStyle w:val="ListParagraph"/>
        <w:numPr>
          <w:ilvl w:val="0"/>
          <w:numId w:val="1"/>
        </w:numPr>
        <w:spacing w:lineRule="exact" w:line="264" w:before="0" w:after="60"/>
        <w:rPr/>
      </w:pPr>
      <w:r>
        <w:rPr>
          <w:rFonts w:eastAsia="Arial" w:cs="Arial"/>
          <w:sz w:val="21"/>
          <w:szCs w:val="21"/>
        </w:rPr>
        <w:t>Outcome &amp; Access Measures Dashboard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6.07  Utilization Review &amp; Medical Necessity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6.07  Utilization Review &amp; Medical Necessity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HB25-1002 (utilization review, eff. Jan. 1, 2026); payer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clinically appropriate and to manage utilization review consistent with applicable Colorado requirements and payer rules.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determinations of clinical appropriateness and level of care and to interactions with utilization-review and payer processes.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bases services on clinical need and the individual’s assessment, documents medical necessity and level-of-care decisions, and participates in utilization-review processes consistent with applicable Colorado law (including the behavioral health utilization-review requirements effective January 1, 2026 under HB25-1002) and payer requirements, while keeping clinical decision-making centered on the individual’s needs.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Document the clinical basis for services and level of care in the assessment and service plan.</w:t>
      </w:r>
    </w:p>
    <w:p>
      <w:pPr>
        <w:pStyle w:val="Normal"/>
        <w:tabs>
          <w:tab w:val="left" w:pos="720" w:leader="none"/>
        </w:tabs>
        <w:spacing w:lineRule="exact" w:line="264" w:before="0" w:after="80"/>
        <w:ind w:hanging="360" w:start="720"/>
        <w:rPr/>
      </w:pPr>
      <w:r>
        <w:rPr>
          <w:rFonts w:eastAsia="Arial" w:cs="Arial"/>
          <w:sz w:val="21"/>
          <w:szCs w:val="21"/>
        </w:rPr>
        <w:t>b. Manage authorizations, continued-stay reviews, and appeals consistent with applicable requirements and timeframes.</w:t>
      </w:r>
    </w:p>
    <w:p>
      <w:pPr>
        <w:pStyle w:val="Normal"/>
        <w:tabs>
          <w:tab w:val="left" w:pos="720" w:leader="none"/>
        </w:tabs>
        <w:spacing w:lineRule="exact" w:line="264" w:before="0" w:after="80"/>
        <w:ind w:hanging="360" w:start="720"/>
        <w:rPr/>
      </w:pPr>
      <w:r>
        <w:rPr>
          <w:rFonts w:eastAsia="Arial" w:cs="Arial"/>
          <w:sz w:val="21"/>
          <w:szCs w:val="21"/>
        </w:rPr>
        <w:t>c. Monitor utilization-review outcomes through the quality program and address barriers to appropriate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Medical Necessity / Level-of-Care Documentation</w:t>
      </w:r>
    </w:p>
    <w:p>
      <w:pPr>
        <w:pStyle w:val="ListParagraph"/>
        <w:numPr>
          <w:ilvl w:val="0"/>
          <w:numId w:val="1"/>
        </w:numPr>
        <w:spacing w:lineRule="exact" w:line="264" w:before="0" w:after="60"/>
        <w:rPr/>
      </w:pPr>
      <w:r>
        <w:rPr>
          <w:rFonts w:eastAsia="Arial" w:cs="Arial"/>
          <w:sz w:val="21"/>
          <w:szCs w:val="21"/>
        </w:rPr>
        <w:t>Authorization &amp; Appeal Tracking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6.08  Culturally &amp; Linguistically Appropriate Services (CLAS)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6.08  Culturally &amp; Linguistically Appropriate Services (CLAS)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(culturally and linguistically appropriate services); Title VI</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respectful of and responsive to individuals’ cultural backgrounds, languages, and communication needs.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service delivery, communications, and materials for all individuals served.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provides culturally and linguistically appropriate services, including language access for individuals with limited English proficiency and effective communication for individuals with disabilities, and trains personnel to deliver services respectfully and responsively. The BHE monitors access and outcomes across populations and addresses disparities.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individuals’ language and communication needs and provide qualified interpretation and translated or accessible materials as needed.</w:t>
      </w:r>
    </w:p>
    <w:p>
      <w:pPr>
        <w:pStyle w:val="Normal"/>
        <w:tabs>
          <w:tab w:val="left" w:pos="720" w:leader="none"/>
        </w:tabs>
        <w:spacing w:lineRule="exact" w:line="264" w:before="0" w:after="80"/>
        <w:ind w:hanging="360" w:start="720"/>
        <w:rPr/>
      </w:pPr>
      <w:r>
        <w:rPr>
          <w:rFonts w:eastAsia="Arial" w:cs="Arial"/>
          <w:sz w:val="21"/>
          <w:szCs w:val="21"/>
        </w:rPr>
        <w:t>b. Train personnel on cultural responsiveness and non-discrimination.</w:t>
      </w:r>
    </w:p>
    <w:p>
      <w:pPr>
        <w:pStyle w:val="Normal"/>
        <w:tabs>
          <w:tab w:val="left" w:pos="720" w:leader="none"/>
        </w:tabs>
        <w:spacing w:lineRule="exact" w:line="264" w:before="0" w:after="80"/>
        <w:ind w:hanging="360" w:start="720"/>
        <w:rPr/>
      </w:pPr>
      <w:r>
        <w:rPr>
          <w:rFonts w:eastAsia="Arial" w:cs="Arial"/>
          <w:sz w:val="21"/>
          <w:szCs w:val="21"/>
        </w:rPr>
        <w:t>c. Monitor access, experience, and outcomes across populations through the quality program and act on disparities.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Language Access &amp; Communication Needs Record</w:t>
      </w:r>
    </w:p>
    <w:p>
      <w:pPr>
        <w:pStyle w:val="ListParagraph"/>
        <w:numPr>
          <w:ilvl w:val="0"/>
          <w:numId w:val="1"/>
        </w:numPr>
        <w:spacing w:lineRule="exact" w:line="264" w:before="0" w:after="60"/>
        <w:rPr/>
      </w:pPr>
      <w:r>
        <w:rPr>
          <w:rFonts w:eastAsia="Arial" w:cs="Arial"/>
          <w:sz w:val="21"/>
          <w:szCs w:val="21"/>
        </w:rPr>
        <w:t>Interpretation Services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6.09  Telehealth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6.09  Telehealth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2 (telehealth); Colorado telehealth law; HIPAA &amp; 42 CFR Part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telehealth services are delivered safely, privately, and within scope, consistent with applicable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BHE delivers services by telehealth.</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BHE delivers services by telehealth, it uses appropriate, secure technology; verifies identity and, where clinically relevant, location; obtains informed consent for telehealth; protects confidentiality under HIPAA and 42 CFR Part 2; ensures clinicians practice within scope; and maintains protocols for emergencies that arise during a telehealth encounter.</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Use technology that reasonably safeguards privacy and security, and obtain and document informed consent for telehealth.</w:t>
      </w:r>
    </w:p>
    <w:p>
      <w:pPr>
        <w:pStyle w:val="Normal"/>
        <w:tabs>
          <w:tab w:val="left" w:pos="720" w:leader="none"/>
        </w:tabs>
        <w:spacing w:lineRule="exact" w:line="264" w:before="0" w:after="80"/>
        <w:ind w:hanging="360" w:start="720"/>
        <w:rPr/>
      </w:pPr>
      <w:r>
        <w:rPr>
          <w:rFonts w:eastAsia="Arial" w:cs="Arial"/>
          <w:sz w:val="21"/>
          <w:szCs w:val="21"/>
        </w:rPr>
        <w:t>b. Verify the individual’s identity and, where clinically relevant, location, and establish how to reach emergency help if a crisis occurs during a session.</w:t>
      </w:r>
    </w:p>
    <w:p>
      <w:pPr>
        <w:pStyle w:val="Normal"/>
        <w:tabs>
          <w:tab w:val="left" w:pos="720" w:leader="none"/>
        </w:tabs>
        <w:spacing w:lineRule="exact" w:line="264" w:before="0" w:after="80"/>
        <w:ind w:hanging="360" w:start="720"/>
        <w:rPr/>
      </w:pPr>
      <w:r>
        <w:rPr>
          <w:rFonts w:eastAsia="Arial" w:cs="Arial"/>
          <w:sz w:val="21"/>
          <w:szCs w:val="21"/>
        </w:rPr>
        <w:t>c. Document telehealth services as for in-person services, and monitor telehealth quality and access through the quality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Telehealth Informed Consent</w:t>
      </w:r>
    </w:p>
    <w:p>
      <w:pPr>
        <w:pStyle w:val="ListParagraph"/>
        <w:numPr>
          <w:ilvl w:val="0"/>
          <w:numId w:val="1"/>
        </w:numPr>
        <w:spacing w:lineRule="exact" w:line="264" w:before="0" w:after="60"/>
        <w:rPr/>
      </w:pPr>
      <w:r>
        <w:rPr>
          <w:rFonts w:eastAsia="Arial" w:cs="Arial"/>
          <w:sz w:val="21"/>
          <w:szCs w:val="21"/>
        </w:rPr>
        <w:t>Telehealth Encounter Documentation Standard</w:t>
      </w:r>
    </w:p>
    <w:p>
      <w:pPr>
        <w:pStyle w:val="ListParagraph"/>
        <w:numPr>
          <w:ilvl w:val="0"/>
          <w:numId w:val="1"/>
        </w:numPr>
        <w:spacing w:lineRule="exact" w:line="264" w:before="0" w:after="60"/>
        <w:rPr/>
      </w:pPr>
      <w:r>
        <w:rPr>
          <w:rFonts w:eastAsia="Arial" w:cs="Arial"/>
          <w:sz w:val="21"/>
          <w:szCs w:val="21"/>
        </w:rPr>
        <w:t>Telehealth Emergency Protocol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base manual — a required-forms checklist, a directory of Colorado behavioral health agencies and resources, guidance on customizing the manual and adding endorsement modules, and an individual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Colorado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Individual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base manual, grouped by section. The BHE should maintain a current copy of each and customize as needed. Endorsement add-on modules reference additional service-specific forms that extend this checklist.</w:t>
      </w:r>
    </w:p>
    <w:p>
      <w:pPr>
        <w:pStyle w:val="Normal"/>
        <w:spacing w:before="140" w:after="40"/>
        <w:rPr/>
      </w:pPr>
      <w:r>
        <w:rPr>
          <w:rFonts w:eastAsia="Arial" w:cs="Arial"/>
          <w:b/>
          <w:bCs/>
          <w:color w:val="333333"/>
          <w:sz w:val="21"/>
          <w:szCs w:val="21"/>
        </w:rPr>
        <w:t>Section A — Governance &amp; Licensing</w:t>
      </w:r>
    </w:p>
    <w:p>
      <w:pPr>
        <w:pStyle w:val="ListParagraph"/>
        <w:numPr>
          <w:ilvl w:val="0"/>
          <w:numId w:val="1"/>
        </w:numPr>
        <w:spacing w:lineRule="exact" w:line="264" w:before="0" w:after="60"/>
        <w:rPr/>
      </w:pPr>
      <w:r>
        <w:rPr>
          <w:rFonts w:eastAsia="Arial" w:cs="Arial"/>
          <w:sz w:val="21"/>
          <w:szCs w:val="21"/>
        </w:rPr>
        <w:t>Governance Structure &amp; Authority Description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Delegation of Authority Record</w:t>
      </w:r>
    </w:p>
    <w:p>
      <w:pPr>
        <w:pStyle w:val="ListParagraph"/>
        <w:numPr>
          <w:ilvl w:val="0"/>
          <w:numId w:val="1"/>
        </w:numPr>
        <w:spacing w:lineRule="exact" w:line="264" w:before="0" w:after="60"/>
        <w:rPr/>
      </w:pPr>
      <w:r>
        <w:rPr>
          <w:rFonts w:eastAsia="Arial" w:cs="Arial"/>
          <w:sz w:val="21"/>
          <w:szCs w:val="21"/>
        </w:rPr>
        <w:t>Governing Authority Meeting Minutes Template</w:t>
      </w:r>
    </w:p>
    <w:p>
      <w:pPr>
        <w:pStyle w:val="ListParagraph"/>
        <w:numPr>
          <w:ilvl w:val="0"/>
          <w:numId w:val="1"/>
        </w:numPr>
        <w:spacing w:lineRule="exact" w:line="264" w:before="0" w:after="60"/>
        <w:rPr/>
      </w:pPr>
      <w:r>
        <w:rPr>
          <w:rFonts w:eastAsia="Arial" w:cs="Arial"/>
          <w:sz w:val="21"/>
          <w:szCs w:val="21"/>
        </w:rPr>
        <w:t>Governing Authority Oversight Log</w:t>
      </w:r>
    </w:p>
    <w:p>
      <w:pPr>
        <w:pStyle w:val="ListParagraph"/>
        <w:numPr>
          <w:ilvl w:val="0"/>
          <w:numId w:val="1"/>
        </w:numPr>
        <w:spacing w:lineRule="exact" w:line="264" w:before="0" w:after="60"/>
        <w:rPr/>
      </w:pPr>
      <w:r>
        <w:rPr>
          <w:rFonts w:eastAsia="Arial" w:cs="Arial"/>
          <w:sz w:val="21"/>
          <w:szCs w:val="21"/>
        </w:rPr>
        <w:t>Insurance &amp; Licensure Tracking Record</w:t>
      </w:r>
    </w:p>
    <w:p>
      <w:pPr>
        <w:pStyle w:val="ListParagraph"/>
        <w:numPr>
          <w:ilvl w:val="0"/>
          <w:numId w:val="1"/>
        </w:numPr>
        <w:spacing w:lineRule="exact" w:line="264" w:before="0" w:after="60"/>
        <w:rPr/>
      </w:pPr>
      <w:r>
        <w:rPr>
          <w:rFonts w:eastAsia="Arial" w:cs="Arial"/>
          <w:sz w:val="21"/>
          <w:szCs w:val="21"/>
        </w:rPr>
        <w:t>License &amp; Endorsement Register</w:t>
      </w:r>
    </w:p>
    <w:p>
      <w:pPr>
        <w:pStyle w:val="ListParagraph"/>
        <w:numPr>
          <w:ilvl w:val="0"/>
          <w:numId w:val="1"/>
        </w:numPr>
        <w:spacing w:lineRule="exact" w:line="264" w:before="0" w:after="60"/>
        <w:rPr/>
      </w:pPr>
      <w:r>
        <w:rPr>
          <w:rFonts w:eastAsia="Arial" w:cs="Arial"/>
          <w:sz w:val="21"/>
          <w:szCs w:val="21"/>
        </w:rPr>
        <w:t>Regulatory Submission &amp; Renewal Calendar</w:t>
      </w:r>
    </w:p>
    <w:p>
      <w:pPr>
        <w:pStyle w:val="ListParagraph"/>
        <w:numPr>
          <w:ilvl w:val="0"/>
          <w:numId w:val="1"/>
        </w:numPr>
        <w:spacing w:lineRule="exact" w:line="264" w:before="0" w:after="60"/>
        <w:rPr/>
      </w:pPr>
      <w:r>
        <w:rPr>
          <w:rFonts w:eastAsia="Arial" w:cs="Arial"/>
          <w:sz w:val="21"/>
          <w:szCs w:val="21"/>
        </w:rPr>
        <w:t>BHA Notification / Reporting Log</w:t>
      </w:r>
    </w:p>
    <w:p>
      <w:pPr>
        <w:pStyle w:val="ListParagraph"/>
        <w:numPr>
          <w:ilvl w:val="0"/>
          <w:numId w:val="1"/>
        </w:numPr>
        <w:spacing w:lineRule="exact" w:line="264" w:before="0" w:after="60"/>
        <w:rPr/>
      </w:pPr>
      <w:r>
        <w:rPr>
          <w:rFonts w:eastAsia="Arial" w:cs="Arial"/>
          <w:sz w:val="21"/>
          <w:szCs w:val="21"/>
        </w:rPr>
        <w:t>Plan of Correction Template</w:t>
      </w:r>
    </w:p>
    <w:p>
      <w:pPr>
        <w:pStyle w:val="ListParagraph"/>
        <w:numPr>
          <w:ilvl w:val="0"/>
          <w:numId w:val="1"/>
        </w:numPr>
        <w:spacing w:lineRule="exact" w:line="264" w:before="0" w:after="60"/>
        <w:rPr/>
      </w:pPr>
      <w:r>
        <w:rPr>
          <w:rFonts w:eastAsia="Arial" w:cs="Arial"/>
          <w:sz w:val="21"/>
          <w:szCs w:val="21"/>
        </w:rPr>
        <w:t>Policy Master Index &amp; Review Schedule</w:t>
      </w:r>
    </w:p>
    <w:p>
      <w:pPr>
        <w:pStyle w:val="ListParagraph"/>
        <w:numPr>
          <w:ilvl w:val="0"/>
          <w:numId w:val="1"/>
        </w:numPr>
        <w:spacing w:lineRule="exact" w:line="264" w:before="0" w:after="60"/>
        <w:rPr/>
      </w:pPr>
      <w:r>
        <w:rPr>
          <w:rFonts w:eastAsia="Arial" w:cs="Arial"/>
          <w:sz w:val="21"/>
          <w:szCs w:val="21"/>
        </w:rPr>
        <w:t>Policy Approval &amp; Revision Record</w:t>
      </w:r>
    </w:p>
    <w:p>
      <w:pPr>
        <w:pStyle w:val="ListParagraph"/>
        <w:numPr>
          <w:ilvl w:val="0"/>
          <w:numId w:val="1"/>
        </w:numPr>
        <w:spacing w:lineRule="exact" w:line="264" w:before="0" w:after="60"/>
        <w:rPr/>
      </w:pPr>
      <w:r>
        <w:rPr>
          <w:rFonts w:eastAsia="Arial" w:cs="Arial"/>
          <w:sz w:val="21"/>
          <w:szCs w:val="21"/>
        </w:rPr>
        <w:t>Code of Conduct &amp; Acknowledgment</w:t>
      </w:r>
    </w:p>
    <w:p>
      <w:pPr>
        <w:pStyle w:val="ListParagraph"/>
        <w:numPr>
          <w:ilvl w:val="0"/>
          <w:numId w:val="1"/>
        </w:numPr>
        <w:spacing w:lineRule="exact" w:line="264" w:before="0" w:after="60"/>
        <w:rPr/>
      </w:pPr>
      <w:r>
        <w:rPr>
          <w:rFonts w:eastAsia="Arial" w:cs="Arial"/>
          <w:sz w:val="21"/>
          <w:szCs w:val="21"/>
        </w:rPr>
        <w:t>Compliance Concern Report &amp; Log</w:t>
      </w:r>
    </w:p>
    <w:p>
      <w:pPr>
        <w:pStyle w:val="ListParagraph"/>
        <w:numPr>
          <w:ilvl w:val="0"/>
          <w:numId w:val="1"/>
        </w:numPr>
        <w:spacing w:lineRule="exact" w:line="264" w:before="0" w:after="60"/>
        <w:rPr/>
      </w:pPr>
      <w:r>
        <w:rPr>
          <w:rFonts w:eastAsia="Arial" w:cs="Arial"/>
          <w:sz w:val="21"/>
          <w:szCs w:val="21"/>
        </w:rPr>
        <w:t>Conflict of Interest Disclosure</w:t>
      </w:r>
    </w:p>
    <w:p>
      <w:pPr>
        <w:pStyle w:val="ListParagraph"/>
        <w:numPr>
          <w:ilvl w:val="0"/>
          <w:numId w:val="1"/>
        </w:numPr>
        <w:spacing w:lineRule="exact" w:line="264" w:before="0" w:after="60"/>
        <w:rPr/>
      </w:pPr>
      <w:r>
        <w:rPr>
          <w:rFonts w:eastAsia="Arial" w:cs="Arial"/>
          <w:sz w:val="21"/>
          <w:szCs w:val="21"/>
        </w:rPr>
        <w:t>BHA Data Submission Schedule &amp; Log</w:t>
      </w:r>
    </w:p>
    <w:p>
      <w:pPr>
        <w:pStyle w:val="ListParagraph"/>
        <w:numPr>
          <w:ilvl w:val="0"/>
          <w:numId w:val="1"/>
        </w:numPr>
        <w:spacing w:lineRule="exact" w:line="264" w:before="0" w:after="60"/>
        <w:rPr/>
      </w:pPr>
      <w:r>
        <w:rPr>
          <w:rFonts w:eastAsia="Arial" w:cs="Arial"/>
          <w:sz w:val="21"/>
          <w:szCs w:val="21"/>
        </w:rPr>
        <w:t>OwnPath Directory Update Record</w:t>
      </w:r>
    </w:p>
    <w:p>
      <w:pPr>
        <w:pStyle w:val="ListParagraph"/>
        <w:numPr>
          <w:ilvl w:val="0"/>
          <w:numId w:val="1"/>
        </w:numPr>
        <w:spacing w:lineRule="exact" w:line="264" w:before="0" w:after="60"/>
        <w:rPr/>
      </w:pPr>
      <w:r>
        <w:rPr>
          <w:rFonts w:eastAsia="Arial" w:cs="Arial"/>
          <w:sz w:val="21"/>
          <w:szCs w:val="21"/>
        </w:rPr>
        <w:t>Budget &amp; Financial Review Record</w:t>
      </w:r>
    </w:p>
    <w:p>
      <w:pPr>
        <w:pStyle w:val="ListParagraph"/>
        <w:numPr>
          <w:ilvl w:val="0"/>
          <w:numId w:val="1"/>
        </w:numPr>
        <w:spacing w:lineRule="exact" w:line="264" w:before="0" w:after="60"/>
        <w:rPr/>
      </w:pPr>
      <w:r>
        <w:rPr>
          <w:rFonts w:eastAsia="Arial" w:cs="Arial"/>
          <w:sz w:val="21"/>
          <w:szCs w:val="21"/>
        </w:rPr>
        <w:t>Internal Controls Checklist</w:t>
      </w:r>
    </w:p>
    <w:p>
      <w:pPr>
        <w:pStyle w:val="ListParagraph"/>
        <w:numPr>
          <w:ilvl w:val="0"/>
          <w:numId w:val="1"/>
        </w:numPr>
        <w:spacing w:lineRule="exact" w:line="264" w:before="0" w:after="60"/>
        <w:rPr/>
      </w:pPr>
      <w:r>
        <w:rPr>
          <w:rFonts w:eastAsia="Arial" w:cs="Arial"/>
          <w:sz w:val="21"/>
          <w:szCs w:val="21"/>
        </w:rPr>
        <w:t>Individual Funds Authorization &amp; Ledger</w:t>
      </w:r>
    </w:p>
    <w:p>
      <w:pPr>
        <w:pStyle w:val="ListParagraph"/>
        <w:numPr>
          <w:ilvl w:val="0"/>
          <w:numId w:val="1"/>
        </w:numPr>
        <w:spacing w:lineRule="exact" w:line="264" w:before="0" w:after="60"/>
        <w:rPr/>
      </w:pPr>
      <w:r>
        <w:rPr>
          <w:rFonts w:eastAsia="Arial" w:cs="Arial"/>
          <w:sz w:val="21"/>
          <w:szCs w:val="21"/>
        </w:rPr>
        <w:t>Risk Assessment &amp; Register</w:t>
      </w:r>
    </w:p>
    <w:p>
      <w:pPr>
        <w:pStyle w:val="ListParagraph"/>
        <w:numPr>
          <w:ilvl w:val="0"/>
          <w:numId w:val="1"/>
        </w:numPr>
        <w:spacing w:lineRule="exact" w:line="264" w:before="0" w:after="60"/>
        <w:rPr/>
      </w:pPr>
      <w:r>
        <w:rPr>
          <w:rFonts w:eastAsia="Arial" w:cs="Arial"/>
          <w:sz w:val="21"/>
          <w:szCs w:val="21"/>
        </w:rPr>
        <w:t>Root Cause Analysis Worksheet</w:t>
      </w:r>
    </w:p>
    <w:p>
      <w:pPr>
        <w:pStyle w:val="ListParagraph"/>
        <w:numPr>
          <w:ilvl w:val="0"/>
          <w:numId w:val="1"/>
        </w:numPr>
        <w:spacing w:lineRule="exact" w:line="264" w:before="0" w:after="60"/>
        <w:rPr/>
      </w:pPr>
      <w:r>
        <w:rPr>
          <w:rFonts w:eastAsia="Arial" w:cs="Arial"/>
          <w:sz w:val="21"/>
          <w:szCs w:val="21"/>
        </w:rPr>
        <w:t>Contracted Services Register</w:t>
      </w:r>
    </w:p>
    <w:p>
      <w:pPr>
        <w:pStyle w:val="ListParagraph"/>
        <w:numPr>
          <w:ilvl w:val="0"/>
          <w:numId w:val="1"/>
        </w:numPr>
        <w:spacing w:lineRule="exact" w:line="264" w:before="0" w:after="60"/>
        <w:rPr/>
      </w:pPr>
      <w:r>
        <w:rPr>
          <w:rFonts w:eastAsia="Arial" w:cs="Arial"/>
          <w:sz w:val="21"/>
          <w:szCs w:val="21"/>
        </w:rPr>
        <w:t>Business Associate Agreement</w:t>
      </w:r>
    </w:p>
    <w:p>
      <w:pPr>
        <w:pStyle w:val="ListParagraph"/>
        <w:numPr>
          <w:ilvl w:val="0"/>
          <w:numId w:val="1"/>
        </w:numPr>
        <w:spacing w:lineRule="exact" w:line="264" w:before="0" w:after="60"/>
        <w:rPr/>
      </w:pPr>
      <w:r>
        <w:rPr>
          <w:rFonts w:eastAsia="Arial" w:cs="Arial"/>
          <w:sz w:val="21"/>
          <w:szCs w:val="21"/>
        </w:rPr>
        <w:t>Qualified Service Organization Agreement (42 CFR Part 2)</w:t>
      </w:r>
    </w:p>
    <w:p>
      <w:pPr>
        <w:pStyle w:val="Normal"/>
        <w:spacing w:before="140" w:after="40"/>
        <w:rPr/>
      </w:pPr>
      <w:r>
        <w:rPr>
          <w:rFonts w:eastAsia="Arial" w:cs="Arial"/>
          <w:b/>
          <w:bCs/>
          <w:color w:val="333333"/>
          <w:sz w:val="21"/>
          <w:szCs w:val="21"/>
        </w:rPr>
        <w:t>Section B — Personnel, Credentialing &amp; Supervision</w:t>
      </w:r>
    </w:p>
    <w:p>
      <w:pPr>
        <w:pStyle w:val="ListParagraph"/>
        <w:numPr>
          <w:ilvl w:val="0"/>
          <w:numId w:val="1"/>
        </w:numPr>
        <w:spacing w:lineRule="exact" w:line="264" w:before="0" w:after="60"/>
        <w:rPr/>
      </w:pPr>
      <w:r>
        <w:rPr>
          <w:rFonts w:eastAsia="Arial" w:cs="Arial"/>
          <w:sz w:val="21"/>
          <w:szCs w:val="21"/>
        </w:rPr>
        <w:t>Credential Verification &amp; Renewal Log</w:t>
      </w:r>
    </w:p>
    <w:p>
      <w:pPr>
        <w:pStyle w:val="ListParagraph"/>
        <w:numPr>
          <w:ilvl w:val="0"/>
          <w:numId w:val="1"/>
        </w:numPr>
        <w:spacing w:lineRule="exact" w:line="264" w:before="0" w:after="60"/>
        <w:rPr/>
      </w:pPr>
      <w:r>
        <w:rPr>
          <w:rFonts w:eastAsia="Arial" w:cs="Arial"/>
          <w:sz w:val="21"/>
          <w:szCs w:val="21"/>
        </w:rPr>
        <w:t>Position Descriptions &amp; Scope of Practice</w:t>
      </w:r>
    </w:p>
    <w:p>
      <w:pPr>
        <w:pStyle w:val="ListParagraph"/>
        <w:numPr>
          <w:ilvl w:val="0"/>
          <w:numId w:val="1"/>
        </w:numPr>
        <w:spacing w:lineRule="exact" w:line="264" w:before="0" w:after="60"/>
        <w:rPr/>
      </w:pPr>
      <w:r>
        <w:rPr>
          <w:rFonts w:eastAsia="Arial" w:cs="Arial"/>
          <w:sz w:val="21"/>
          <w:szCs w:val="21"/>
        </w:rPr>
        <w:t>Background Check Authorization &amp; Results Record</w:t>
      </w:r>
    </w:p>
    <w:p>
      <w:pPr>
        <w:pStyle w:val="ListParagraph"/>
        <w:numPr>
          <w:ilvl w:val="0"/>
          <w:numId w:val="1"/>
        </w:numPr>
        <w:spacing w:lineRule="exact" w:line="264" w:before="0" w:after="60"/>
        <w:rPr/>
      </w:pPr>
      <w:r>
        <w:rPr>
          <w:rFonts w:eastAsia="Arial" w:cs="Arial"/>
          <w:sz w:val="21"/>
          <w:szCs w:val="21"/>
        </w:rPr>
        <w:t>Registry Check Record</w:t>
      </w:r>
    </w:p>
    <w:p>
      <w:pPr>
        <w:pStyle w:val="ListParagraph"/>
        <w:numPr>
          <w:ilvl w:val="0"/>
          <w:numId w:val="1"/>
        </w:numPr>
        <w:spacing w:lineRule="exact" w:line="264" w:before="0" w:after="60"/>
        <w:rPr/>
      </w:pPr>
      <w:r>
        <w:rPr>
          <w:rFonts w:eastAsia="Arial" w:cs="Arial"/>
          <w:sz w:val="21"/>
          <w:szCs w:val="21"/>
        </w:rPr>
        <w:t>Screening Determination Form</w:t>
      </w:r>
    </w:p>
    <w:p>
      <w:pPr>
        <w:pStyle w:val="ListParagraph"/>
        <w:numPr>
          <w:ilvl w:val="0"/>
          <w:numId w:val="1"/>
        </w:numPr>
        <w:spacing w:lineRule="exact" w:line="264" w:before="0" w:after="60"/>
        <w:rPr/>
      </w:pPr>
      <w:r>
        <w:rPr>
          <w:rFonts w:eastAsia="Arial" w:cs="Arial"/>
          <w:sz w:val="21"/>
          <w:szCs w:val="21"/>
        </w:rPr>
        <w:t>Job Description Template</w:t>
      </w:r>
    </w:p>
    <w:p>
      <w:pPr>
        <w:pStyle w:val="ListParagraph"/>
        <w:numPr>
          <w:ilvl w:val="0"/>
          <w:numId w:val="1"/>
        </w:numPr>
        <w:spacing w:lineRule="exact" w:line="264" w:before="0" w:after="60"/>
        <w:rPr/>
      </w:pPr>
      <w:r>
        <w:rPr>
          <w:rFonts w:eastAsia="Arial" w:cs="Arial"/>
          <w:sz w:val="21"/>
          <w:szCs w:val="21"/>
        </w:rPr>
        <w:t>Candidate Evaluation &amp; Selection Record</w:t>
      </w:r>
    </w:p>
    <w:p>
      <w:pPr>
        <w:pStyle w:val="ListParagraph"/>
        <w:numPr>
          <w:ilvl w:val="0"/>
          <w:numId w:val="1"/>
        </w:numPr>
        <w:spacing w:lineRule="exact" w:line="264" w:before="0" w:after="60"/>
        <w:rPr/>
      </w:pPr>
      <w:r>
        <w:rPr>
          <w:rFonts w:eastAsia="Arial" w:cs="Arial"/>
          <w:sz w:val="21"/>
          <w:szCs w:val="21"/>
        </w:rPr>
        <w:t>Reference / Employment Verification Form</w:t>
      </w:r>
    </w:p>
    <w:p>
      <w:pPr>
        <w:pStyle w:val="ListParagraph"/>
        <w:numPr>
          <w:ilvl w:val="0"/>
          <w:numId w:val="1"/>
        </w:numPr>
        <w:spacing w:lineRule="exact" w:line="264" w:before="0" w:after="60"/>
        <w:rPr/>
      </w:pPr>
      <w:r>
        <w:rPr>
          <w:rFonts w:eastAsia="Arial" w:cs="Arial"/>
          <w:sz w:val="21"/>
          <w:szCs w:val="21"/>
        </w:rPr>
        <w:t>Supervision Assignment Record</w:t>
      </w:r>
    </w:p>
    <w:p>
      <w:pPr>
        <w:pStyle w:val="ListParagraph"/>
        <w:numPr>
          <w:ilvl w:val="0"/>
          <w:numId w:val="1"/>
        </w:numPr>
        <w:spacing w:lineRule="exact" w:line="264" w:before="0" w:after="60"/>
        <w:rPr/>
      </w:pPr>
      <w:r>
        <w:rPr>
          <w:rFonts w:eastAsia="Arial" w:cs="Arial"/>
          <w:sz w:val="21"/>
          <w:szCs w:val="21"/>
        </w:rPr>
        <w:t>Clinical Supervision Log</w:t>
      </w:r>
    </w:p>
    <w:p>
      <w:pPr>
        <w:pStyle w:val="ListParagraph"/>
        <w:numPr>
          <w:ilvl w:val="0"/>
          <w:numId w:val="1"/>
        </w:numPr>
        <w:spacing w:lineRule="exact" w:line="264" w:before="0" w:after="60"/>
        <w:rPr/>
      </w:pPr>
      <w:r>
        <w:rPr>
          <w:rFonts w:eastAsia="Arial" w:cs="Arial"/>
          <w:sz w:val="21"/>
          <w:szCs w:val="21"/>
        </w:rPr>
        <w:t>Supervised Experience / Hours Tracking Record</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Onboarding Completion Record</w:t>
      </w:r>
    </w:p>
    <w:p>
      <w:pPr>
        <w:pStyle w:val="ListParagraph"/>
        <w:numPr>
          <w:ilvl w:val="0"/>
          <w:numId w:val="1"/>
        </w:numPr>
        <w:spacing w:lineRule="exact" w:line="264" w:before="0" w:after="60"/>
        <w:rPr/>
      </w:pPr>
      <w:r>
        <w:rPr>
          <w:rFonts w:eastAsia="Arial" w:cs="Arial"/>
          <w:sz w:val="21"/>
          <w:szCs w:val="21"/>
        </w:rPr>
        <w:t>Annual Training Plan &amp; Completion Tracker</w:t>
      </w:r>
    </w:p>
    <w:p>
      <w:pPr>
        <w:pStyle w:val="ListParagraph"/>
        <w:numPr>
          <w:ilvl w:val="0"/>
          <w:numId w:val="1"/>
        </w:numPr>
        <w:spacing w:lineRule="exact" w:line="264" w:before="0" w:after="60"/>
        <w:rPr/>
      </w:pPr>
      <w:r>
        <w:rPr>
          <w:rFonts w:eastAsia="Arial" w:cs="Arial"/>
          <w:sz w:val="21"/>
          <w:szCs w:val="21"/>
        </w:rPr>
        <w:t>Training Attendance &amp; Completion Record</w:t>
      </w:r>
    </w:p>
    <w:p>
      <w:pPr>
        <w:pStyle w:val="ListParagraph"/>
        <w:numPr>
          <w:ilvl w:val="0"/>
          <w:numId w:val="1"/>
        </w:numPr>
        <w:spacing w:lineRule="exact" w:line="264" w:before="0" w:after="60"/>
        <w:rPr/>
      </w:pPr>
      <w:r>
        <w:rPr>
          <w:rFonts w:eastAsia="Arial" w:cs="Arial"/>
          <w:sz w:val="21"/>
          <w:szCs w:val="21"/>
        </w:rPr>
        <w:t>Competency Assessment Record</w:t>
      </w:r>
    </w:p>
    <w:p>
      <w:pPr>
        <w:pStyle w:val="ListParagraph"/>
        <w:numPr>
          <w:ilvl w:val="0"/>
          <w:numId w:val="1"/>
        </w:numPr>
        <w:spacing w:lineRule="exact" w:line="264" w:before="0" w:after="60"/>
        <w:rPr/>
      </w:pPr>
      <w:r>
        <w:rPr>
          <w:rFonts w:eastAsia="Arial" w:cs="Arial"/>
          <w:sz w:val="21"/>
          <w:szCs w:val="21"/>
        </w:rPr>
        <w:t>Performance Evaluation Form</w:t>
      </w:r>
    </w:p>
    <w:p>
      <w:pPr>
        <w:pStyle w:val="ListParagraph"/>
        <w:numPr>
          <w:ilvl w:val="0"/>
          <w:numId w:val="1"/>
        </w:numPr>
        <w:spacing w:lineRule="exact" w:line="264" w:before="0" w:after="60"/>
        <w:rPr/>
      </w:pPr>
      <w:r>
        <w:rPr>
          <w:rFonts w:eastAsia="Arial" w:cs="Arial"/>
          <w:sz w:val="21"/>
          <w:szCs w:val="21"/>
        </w:rPr>
        <w:t>Performance Improvement Plan</w:t>
      </w:r>
    </w:p>
    <w:p>
      <w:pPr>
        <w:pStyle w:val="ListParagraph"/>
        <w:numPr>
          <w:ilvl w:val="0"/>
          <w:numId w:val="1"/>
        </w:numPr>
        <w:spacing w:lineRule="exact" w:line="264" w:before="0" w:after="60"/>
        <w:rPr/>
      </w:pPr>
      <w:r>
        <w:rPr>
          <w:rFonts w:eastAsia="Arial" w:cs="Arial"/>
          <w:sz w:val="21"/>
          <w:szCs w:val="21"/>
        </w:rPr>
        <w:t>Volunteer / Student / Intern Agreement &amp; Scope</w:t>
      </w:r>
    </w:p>
    <w:p>
      <w:pPr>
        <w:pStyle w:val="ListParagraph"/>
        <w:numPr>
          <w:ilvl w:val="0"/>
          <w:numId w:val="1"/>
        </w:numPr>
        <w:spacing w:lineRule="exact" w:line="264" w:before="0" w:after="60"/>
        <w:rPr/>
      </w:pPr>
      <w:r>
        <w:rPr>
          <w:rFonts w:eastAsia="Arial" w:cs="Arial"/>
          <w:sz w:val="21"/>
          <w:szCs w:val="21"/>
        </w:rPr>
        <w:t>Peer Support Role Description &amp; Supervision Record</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Professional Boundaries Acknowledgment</w:t>
      </w:r>
    </w:p>
    <w:p>
      <w:pPr>
        <w:pStyle w:val="ListParagraph"/>
        <w:numPr>
          <w:ilvl w:val="0"/>
          <w:numId w:val="1"/>
        </w:numPr>
        <w:spacing w:lineRule="exact" w:line="264" w:before="0" w:after="60"/>
        <w:rPr/>
      </w:pPr>
      <w:r>
        <w:rPr>
          <w:rFonts w:eastAsia="Arial" w:cs="Arial"/>
          <w:sz w:val="21"/>
          <w:szCs w:val="21"/>
        </w:rPr>
        <w:t>Corrective Action / Disciplinary Record</w:t>
      </w:r>
    </w:p>
    <w:p>
      <w:pPr>
        <w:pStyle w:val="ListParagraph"/>
        <w:numPr>
          <w:ilvl w:val="0"/>
          <w:numId w:val="1"/>
        </w:numPr>
        <w:spacing w:lineRule="exact" w:line="264" w:before="0" w:after="60"/>
        <w:rPr/>
      </w:pPr>
      <w:r>
        <w:rPr>
          <w:rFonts w:eastAsia="Arial" w:cs="Arial"/>
          <w:sz w:val="21"/>
          <w:szCs w:val="21"/>
        </w:rPr>
        <w:t>Staff Health Screening Record (where applicable)</w:t>
      </w:r>
    </w:p>
    <w:p>
      <w:pPr>
        <w:pStyle w:val="ListParagraph"/>
        <w:numPr>
          <w:ilvl w:val="0"/>
          <w:numId w:val="1"/>
        </w:numPr>
        <w:spacing w:lineRule="exact" w:line="264" w:before="0" w:after="60"/>
        <w:rPr/>
      </w:pPr>
      <w:r>
        <w:rPr>
          <w:rFonts w:eastAsia="Arial" w:cs="Arial"/>
          <w:sz w:val="21"/>
          <w:szCs w:val="21"/>
        </w:rPr>
        <w:t>Workplace Injury / Exposure Report</w:t>
      </w:r>
    </w:p>
    <w:p>
      <w:pPr>
        <w:pStyle w:val="Normal"/>
        <w:spacing w:before="140" w:after="40"/>
        <w:rPr/>
      </w:pPr>
      <w:r>
        <w:rPr>
          <w:rFonts w:eastAsia="Arial" w:cs="Arial"/>
          <w:b/>
          <w:bCs/>
          <w:color w:val="333333"/>
          <w:sz w:val="21"/>
          <w:szCs w:val="21"/>
        </w:rPr>
        <w:t>Section C — Individual Rights &amp; Grievances</w:t>
      </w:r>
    </w:p>
    <w:p>
      <w:pPr>
        <w:pStyle w:val="ListParagraph"/>
        <w:numPr>
          <w:ilvl w:val="0"/>
          <w:numId w:val="1"/>
        </w:numPr>
        <w:spacing w:lineRule="exact" w:line="264" w:before="0" w:after="60"/>
        <w:rPr/>
      </w:pPr>
      <w:r>
        <w:rPr>
          <w:rFonts w:eastAsia="Arial" w:cs="Arial"/>
          <w:sz w:val="21"/>
          <w:szCs w:val="21"/>
        </w:rPr>
        <w:t>Individual Rights Statement &amp; Acknowledgment</w:t>
      </w:r>
    </w:p>
    <w:p>
      <w:pPr>
        <w:pStyle w:val="ListParagraph"/>
        <w:numPr>
          <w:ilvl w:val="0"/>
          <w:numId w:val="1"/>
        </w:numPr>
        <w:spacing w:lineRule="exact" w:line="264" w:before="0" w:after="60"/>
        <w:rPr/>
      </w:pPr>
      <w:r>
        <w:rPr>
          <w:rFonts w:eastAsia="Arial" w:cs="Arial"/>
          <w:sz w:val="21"/>
          <w:szCs w:val="21"/>
        </w:rPr>
        <w:t>Notice of Grievance &amp; Oversight Contacts</w:t>
      </w:r>
    </w:p>
    <w:p>
      <w:pPr>
        <w:pStyle w:val="ListParagraph"/>
        <w:numPr>
          <w:ilvl w:val="0"/>
          <w:numId w:val="1"/>
        </w:numPr>
        <w:spacing w:lineRule="exact" w:line="264" w:before="0" w:after="60"/>
        <w:rPr/>
      </w:pPr>
      <w:r>
        <w:rPr>
          <w:rFonts w:eastAsia="Arial" w:cs="Arial"/>
          <w:sz w:val="21"/>
          <w:szCs w:val="21"/>
        </w:rPr>
        <w:t>Grievance Form</w:t>
      </w:r>
    </w:p>
    <w:p>
      <w:pPr>
        <w:pStyle w:val="ListParagraph"/>
        <w:numPr>
          <w:ilvl w:val="0"/>
          <w:numId w:val="1"/>
        </w:numPr>
        <w:spacing w:lineRule="exact" w:line="264" w:before="0" w:after="60"/>
        <w:rPr/>
      </w:pPr>
      <w:r>
        <w:rPr>
          <w:rFonts w:eastAsia="Arial" w:cs="Arial"/>
          <w:sz w:val="21"/>
          <w:szCs w:val="21"/>
        </w:rPr>
        <w:t>Grievance Log &amp; Resolution Tracker</w:t>
      </w:r>
    </w:p>
    <w:p>
      <w:pPr>
        <w:pStyle w:val="ListParagraph"/>
        <w:numPr>
          <w:ilvl w:val="0"/>
          <w:numId w:val="1"/>
        </w:numPr>
        <w:spacing w:lineRule="exact" w:line="264" w:before="0" w:after="60"/>
        <w:rPr/>
      </w:pPr>
      <w:r>
        <w:rPr>
          <w:rFonts w:eastAsia="Arial" w:cs="Arial"/>
          <w:sz w:val="21"/>
          <w:szCs w:val="21"/>
        </w:rPr>
        <w:t>Grievance Outcome Notice</w:t>
      </w:r>
    </w:p>
    <w:p>
      <w:pPr>
        <w:pStyle w:val="ListParagraph"/>
        <w:numPr>
          <w:ilvl w:val="0"/>
          <w:numId w:val="1"/>
        </w:numPr>
        <w:spacing w:lineRule="exact" w:line="264" w:before="0" w:after="60"/>
        <w:rPr/>
      </w:pPr>
      <w:r>
        <w:rPr>
          <w:rFonts w:eastAsia="Arial" w:cs="Arial"/>
          <w:sz w:val="21"/>
          <w:szCs w:val="21"/>
        </w:rPr>
        <w:t>Informed Consent for Services</w:t>
      </w:r>
    </w:p>
    <w:p>
      <w:pPr>
        <w:pStyle w:val="ListParagraph"/>
        <w:numPr>
          <w:ilvl w:val="0"/>
          <w:numId w:val="1"/>
        </w:numPr>
        <w:spacing w:lineRule="exact" w:line="264" w:before="0" w:after="60"/>
        <w:rPr/>
      </w:pPr>
      <w:r>
        <w:rPr>
          <w:rFonts w:eastAsia="Arial" w:cs="Arial"/>
          <w:sz w:val="21"/>
          <w:szCs w:val="21"/>
        </w:rPr>
        <w:t>Consent Withdrawal Record</w:t>
      </w:r>
    </w:p>
    <w:p>
      <w:pPr>
        <w:pStyle w:val="ListParagraph"/>
        <w:numPr>
          <w:ilvl w:val="0"/>
          <w:numId w:val="1"/>
        </w:numPr>
        <w:spacing w:lineRule="exact" w:line="264" w:before="0" w:after="60"/>
        <w:rPr/>
      </w:pPr>
      <w:r>
        <w:rPr>
          <w:rFonts w:eastAsia="Arial" w:cs="Arial"/>
          <w:sz w:val="21"/>
          <w:szCs w:val="21"/>
        </w:rPr>
        <w:t>Rights Restriction Justification &amp; Review Record</w:t>
      </w:r>
    </w:p>
    <w:p>
      <w:pPr>
        <w:pStyle w:val="ListParagraph"/>
        <w:numPr>
          <w:ilvl w:val="0"/>
          <w:numId w:val="1"/>
        </w:numPr>
        <w:spacing w:lineRule="exact" w:line="264" w:before="0" w:after="60"/>
        <w:rPr/>
      </w:pPr>
      <w:r>
        <w:rPr>
          <w:rFonts w:eastAsia="Arial" w:cs="Arial"/>
          <w:sz w:val="21"/>
          <w:szCs w:val="21"/>
        </w:rPr>
        <w:t>Accommodation Request &amp; Determination Record</w:t>
      </w:r>
    </w:p>
    <w:p>
      <w:pPr>
        <w:pStyle w:val="ListParagraph"/>
        <w:numPr>
          <w:ilvl w:val="0"/>
          <w:numId w:val="1"/>
        </w:numPr>
        <w:spacing w:lineRule="exact" w:line="264" w:before="0" w:after="60"/>
        <w:rPr/>
      </w:pPr>
      <w:r>
        <w:rPr>
          <w:rFonts w:eastAsia="Arial" w:cs="Arial"/>
          <w:sz w:val="21"/>
          <w:szCs w:val="21"/>
        </w:rPr>
        <w:t>Advance Directive / Crisis Preferences Record</w:t>
      </w:r>
    </w:p>
    <w:p>
      <w:pPr>
        <w:pStyle w:val="ListParagraph"/>
        <w:numPr>
          <w:ilvl w:val="0"/>
          <w:numId w:val="1"/>
        </w:numPr>
        <w:spacing w:lineRule="exact" w:line="264" w:before="0" w:after="60"/>
        <w:rPr/>
      </w:pPr>
      <w:r>
        <w:rPr>
          <w:rFonts w:eastAsia="Arial" w:cs="Arial"/>
          <w:sz w:val="21"/>
          <w:szCs w:val="21"/>
        </w:rPr>
        <w:t>Notice of Privacy Practices &amp; Acknowledgment</w:t>
      </w:r>
    </w:p>
    <w:p>
      <w:pPr>
        <w:pStyle w:val="ListParagraph"/>
        <w:numPr>
          <w:ilvl w:val="0"/>
          <w:numId w:val="1"/>
        </w:numPr>
        <w:spacing w:lineRule="exact" w:line="264" w:before="0" w:after="60"/>
        <w:rPr/>
      </w:pPr>
      <w:r>
        <w:rPr>
          <w:rFonts w:eastAsia="Arial" w:cs="Arial"/>
          <w:sz w:val="21"/>
          <w:szCs w:val="21"/>
        </w:rPr>
        <w:t>Individual Request for Access / Amendment / Accounting</w:t>
      </w:r>
    </w:p>
    <w:p>
      <w:pPr>
        <w:pStyle w:val="Normal"/>
        <w:spacing w:before="140" w:after="40"/>
        <w:rPr/>
      </w:pPr>
      <w:r>
        <w:rPr>
          <w:rFonts w:eastAsia="Arial" w:cs="Arial"/>
          <w:b/>
          <w:bCs/>
          <w:color w:val="333333"/>
          <w:sz w:val="21"/>
          <w:szCs w:val="21"/>
        </w:rPr>
        <w:t>Section D — Clinical Service Delivery</w:t>
      </w:r>
    </w:p>
    <w:p>
      <w:pPr>
        <w:pStyle w:val="ListParagraph"/>
        <w:numPr>
          <w:ilvl w:val="0"/>
          <w:numId w:val="1"/>
        </w:numPr>
        <w:spacing w:lineRule="exact" w:line="264" w:before="0" w:after="60"/>
        <w:rPr/>
      </w:pPr>
      <w:r>
        <w:rPr>
          <w:rFonts w:eastAsia="Arial" w:cs="Arial"/>
          <w:sz w:val="21"/>
          <w:szCs w:val="21"/>
        </w:rPr>
        <w:t>Screening &amp; Intake Form</w:t>
      </w:r>
    </w:p>
    <w:p>
      <w:pPr>
        <w:pStyle w:val="ListParagraph"/>
        <w:numPr>
          <w:ilvl w:val="0"/>
          <w:numId w:val="1"/>
        </w:numPr>
        <w:spacing w:lineRule="exact" w:line="264" w:before="0" w:after="60"/>
        <w:rPr/>
      </w:pPr>
      <w:r>
        <w:rPr>
          <w:rFonts w:eastAsia="Arial" w:cs="Arial"/>
          <w:sz w:val="21"/>
          <w:szCs w:val="21"/>
        </w:rPr>
        <w:t>Risk Screening Tool</w:t>
      </w:r>
    </w:p>
    <w:p>
      <w:pPr>
        <w:pStyle w:val="ListParagraph"/>
        <w:numPr>
          <w:ilvl w:val="0"/>
          <w:numId w:val="1"/>
        </w:numPr>
        <w:spacing w:lineRule="exact" w:line="264" w:before="0" w:after="60"/>
        <w:rPr/>
      </w:pPr>
      <w:r>
        <w:rPr>
          <w:rFonts w:eastAsia="Arial" w:cs="Arial"/>
          <w:sz w:val="21"/>
          <w:szCs w:val="21"/>
        </w:rPr>
        <w:t>Referral Record</w:t>
      </w:r>
    </w:p>
    <w:p>
      <w:pPr>
        <w:pStyle w:val="ListParagraph"/>
        <w:numPr>
          <w:ilvl w:val="0"/>
          <w:numId w:val="1"/>
        </w:numPr>
        <w:spacing w:lineRule="exact" w:line="264" w:before="0" w:after="60"/>
        <w:rPr/>
      </w:pPr>
      <w:r>
        <w:rPr>
          <w:rFonts w:eastAsia="Arial" w:cs="Arial"/>
          <w:sz w:val="21"/>
          <w:szCs w:val="21"/>
        </w:rPr>
        <w:t>Comprehensive Behavioral Health Assessment</w:t>
      </w:r>
    </w:p>
    <w:p>
      <w:pPr>
        <w:pStyle w:val="ListParagraph"/>
        <w:numPr>
          <w:ilvl w:val="0"/>
          <w:numId w:val="1"/>
        </w:numPr>
        <w:spacing w:lineRule="exact" w:line="264" w:before="0" w:after="60"/>
        <w:rPr/>
      </w:pPr>
      <w:r>
        <w:rPr>
          <w:rFonts w:eastAsia="Arial" w:cs="Arial"/>
          <w:sz w:val="21"/>
          <w:szCs w:val="21"/>
        </w:rPr>
        <w:t>Reassessment / Update Record</w:t>
      </w:r>
    </w:p>
    <w:p>
      <w:pPr>
        <w:pStyle w:val="ListParagraph"/>
        <w:numPr>
          <w:ilvl w:val="0"/>
          <w:numId w:val="1"/>
        </w:numPr>
        <w:spacing w:lineRule="exact" w:line="264" w:before="0" w:after="60"/>
        <w:rPr/>
      </w:pPr>
      <w:r>
        <w:rPr>
          <w:rFonts w:eastAsia="Arial" w:cs="Arial"/>
          <w:sz w:val="21"/>
          <w:szCs w:val="21"/>
        </w:rPr>
        <w:t>Risk Assessment Tool</w:t>
      </w:r>
    </w:p>
    <w:p>
      <w:pPr>
        <w:pStyle w:val="ListParagraph"/>
        <w:numPr>
          <w:ilvl w:val="0"/>
          <w:numId w:val="1"/>
        </w:numPr>
        <w:spacing w:lineRule="exact" w:line="264" w:before="0" w:after="60"/>
        <w:rPr/>
      </w:pPr>
      <w:r>
        <w:rPr>
          <w:rFonts w:eastAsia="Arial" w:cs="Arial"/>
          <w:sz w:val="21"/>
          <w:szCs w:val="21"/>
        </w:rPr>
        <w:t>Collaborative Safety Plan</w:t>
      </w:r>
    </w:p>
    <w:p>
      <w:pPr>
        <w:pStyle w:val="ListParagraph"/>
        <w:numPr>
          <w:ilvl w:val="0"/>
          <w:numId w:val="1"/>
        </w:numPr>
        <w:spacing w:lineRule="exact" w:line="264" w:before="0" w:after="60"/>
        <w:rPr/>
      </w:pPr>
      <w:r>
        <w:rPr>
          <w:rFonts w:eastAsia="Arial" w:cs="Arial"/>
          <w:sz w:val="21"/>
          <w:szCs w:val="21"/>
        </w:rPr>
        <w:t>Risk Follow-Up Note</w:t>
      </w:r>
    </w:p>
    <w:p>
      <w:pPr>
        <w:pStyle w:val="ListParagraph"/>
        <w:numPr>
          <w:ilvl w:val="0"/>
          <w:numId w:val="1"/>
        </w:numPr>
        <w:spacing w:lineRule="exact" w:line="264" w:before="0" w:after="60"/>
        <w:rPr/>
      </w:pPr>
      <w:r>
        <w:rPr>
          <w:rFonts w:eastAsia="Arial" w:cs="Arial"/>
          <w:sz w:val="21"/>
          <w:szCs w:val="21"/>
        </w:rPr>
        <w:t>Individualized Service Plan</w:t>
      </w:r>
    </w:p>
    <w:p>
      <w:pPr>
        <w:pStyle w:val="ListParagraph"/>
        <w:numPr>
          <w:ilvl w:val="0"/>
          <w:numId w:val="1"/>
        </w:numPr>
        <w:spacing w:lineRule="exact" w:line="264" w:before="0" w:after="60"/>
        <w:rPr/>
      </w:pPr>
      <w:r>
        <w:rPr>
          <w:rFonts w:eastAsia="Arial" w:cs="Arial"/>
          <w:sz w:val="21"/>
          <w:szCs w:val="21"/>
        </w:rPr>
        <w:t>Service Plan Review &amp; Update Record</w:t>
      </w:r>
    </w:p>
    <w:p>
      <w:pPr>
        <w:pStyle w:val="ListParagraph"/>
        <w:numPr>
          <w:ilvl w:val="0"/>
          <w:numId w:val="1"/>
        </w:numPr>
        <w:spacing w:lineRule="exact" w:line="264" w:before="0" w:after="60"/>
        <w:rPr/>
      </w:pPr>
      <w:r>
        <w:rPr>
          <w:rFonts w:eastAsia="Arial" w:cs="Arial"/>
          <w:sz w:val="21"/>
          <w:szCs w:val="21"/>
        </w:rPr>
        <w:t>Co-Occurring Screening Record</w:t>
      </w:r>
    </w:p>
    <w:p>
      <w:pPr>
        <w:pStyle w:val="ListParagraph"/>
        <w:numPr>
          <w:ilvl w:val="0"/>
          <w:numId w:val="1"/>
        </w:numPr>
        <w:spacing w:lineRule="exact" w:line="264" w:before="0" w:after="60"/>
        <w:rPr/>
      </w:pPr>
      <w:r>
        <w:rPr>
          <w:rFonts w:eastAsia="Arial" w:cs="Arial"/>
          <w:sz w:val="21"/>
          <w:szCs w:val="21"/>
        </w:rPr>
        <w:t>Integrated Care Coordination Note</w:t>
      </w:r>
    </w:p>
    <w:p>
      <w:pPr>
        <w:pStyle w:val="ListParagraph"/>
        <w:numPr>
          <w:ilvl w:val="0"/>
          <w:numId w:val="1"/>
        </w:numPr>
        <w:spacing w:lineRule="exact" w:line="264" w:before="0" w:after="60"/>
        <w:rPr/>
      </w:pPr>
      <w:r>
        <w:rPr>
          <w:rFonts w:eastAsia="Arial" w:cs="Arial"/>
          <w:sz w:val="21"/>
          <w:szCs w:val="21"/>
        </w:rPr>
        <w:t>Care Coordination Note</w:t>
      </w:r>
    </w:p>
    <w:p>
      <w:pPr>
        <w:pStyle w:val="ListParagraph"/>
        <w:numPr>
          <w:ilvl w:val="0"/>
          <w:numId w:val="1"/>
        </w:numPr>
        <w:spacing w:lineRule="exact" w:line="264" w:before="0" w:after="60"/>
        <w:rPr/>
      </w:pPr>
      <w:r>
        <w:rPr>
          <w:rFonts w:eastAsia="Arial" w:cs="Arial"/>
          <w:sz w:val="21"/>
          <w:szCs w:val="21"/>
        </w:rPr>
        <w:t>Referral &amp; Follow-Up Tracking Record</w:t>
      </w:r>
    </w:p>
    <w:p>
      <w:pPr>
        <w:pStyle w:val="ListParagraph"/>
        <w:numPr>
          <w:ilvl w:val="0"/>
          <w:numId w:val="1"/>
        </w:numPr>
        <w:spacing w:lineRule="exact" w:line="264" w:before="0" w:after="60"/>
        <w:rPr/>
      </w:pPr>
      <w:r>
        <w:rPr>
          <w:rFonts w:eastAsia="Arial" w:cs="Arial"/>
          <w:sz w:val="21"/>
          <w:szCs w:val="21"/>
        </w:rPr>
        <w:t>Consent to Coordinate Care</w:t>
      </w:r>
    </w:p>
    <w:p>
      <w:pPr>
        <w:pStyle w:val="ListParagraph"/>
        <w:numPr>
          <w:ilvl w:val="0"/>
          <w:numId w:val="1"/>
        </w:numPr>
        <w:spacing w:lineRule="exact" w:line="264" w:before="0" w:after="60"/>
        <w:rPr/>
      </w:pPr>
      <w:r>
        <w:rPr>
          <w:rFonts w:eastAsia="Arial" w:cs="Arial"/>
          <w:sz w:val="21"/>
          <w:szCs w:val="21"/>
        </w:rPr>
        <w:t>Missed Appointment / Outreach Log</w:t>
      </w:r>
    </w:p>
    <w:p>
      <w:pPr>
        <w:pStyle w:val="ListParagraph"/>
        <w:numPr>
          <w:ilvl w:val="0"/>
          <w:numId w:val="1"/>
        </w:numPr>
        <w:spacing w:lineRule="exact" w:line="264" w:before="0" w:after="60"/>
        <w:rPr/>
      </w:pPr>
      <w:r>
        <w:rPr>
          <w:rFonts w:eastAsia="Arial" w:cs="Arial"/>
          <w:sz w:val="21"/>
          <w:szCs w:val="21"/>
        </w:rPr>
        <w:t>Discharge / Transition Plan &amp; Summary</w:t>
      </w:r>
    </w:p>
    <w:p>
      <w:pPr>
        <w:pStyle w:val="ListParagraph"/>
        <w:numPr>
          <w:ilvl w:val="0"/>
          <w:numId w:val="1"/>
        </w:numPr>
        <w:spacing w:lineRule="exact" w:line="264" w:before="0" w:after="60"/>
        <w:rPr/>
      </w:pPr>
      <w:r>
        <w:rPr>
          <w:rFonts w:eastAsia="Arial" w:cs="Arial"/>
          <w:sz w:val="21"/>
          <w:szCs w:val="21"/>
        </w:rPr>
        <w:t>Continuity of Care Checklist</w:t>
      </w:r>
    </w:p>
    <w:p>
      <w:pPr>
        <w:pStyle w:val="Normal"/>
        <w:spacing w:before="140" w:after="40"/>
        <w:rPr/>
      </w:pPr>
      <w:r>
        <w:rPr>
          <w:rFonts w:eastAsia="Arial" w:cs="Arial"/>
          <w:b/>
          <w:bCs/>
          <w:color w:val="333333"/>
          <w:sz w:val="21"/>
          <w:szCs w:val="21"/>
        </w:rPr>
        <w:t>Section E — Records, Confidentiality &amp; Medication</w:t>
      </w:r>
    </w:p>
    <w:p>
      <w:pPr>
        <w:pStyle w:val="ListParagraph"/>
        <w:numPr>
          <w:ilvl w:val="0"/>
          <w:numId w:val="1"/>
        </w:numPr>
        <w:spacing w:lineRule="exact" w:line="264" w:before="0" w:after="60"/>
        <w:rPr/>
      </w:pPr>
      <w:r>
        <w:rPr>
          <w:rFonts w:eastAsia="Arial" w:cs="Arial"/>
          <w:sz w:val="21"/>
          <w:szCs w:val="21"/>
        </w:rPr>
        <w:t>Clinical Record Content Checklist</w:t>
      </w:r>
    </w:p>
    <w:p>
      <w:pPr>
        <w:pStyle w:val="ListParagraph"/>
        <w:numPr>
          <w:ilvl w:val="0"/>
          <w:numId w:val="1"/>
        </w:numPr>
        <w:spacing w:lineRule="exact" w:line="264" w:before="0" w:after="60"/>
        <w:rPr/>
      </w:pPr>
      <w:r>
        <w:rPr>
          <w:rFonts w:eastAsia="Arial" w:cs="Arial"/>
          <w:sz w:val="21"/>
          <w:szCs w:val="21"/>
        </w:rPr>
        <w:t>Documentation Standards Reference</w:t>
      </w:r>
    </w:p>
    <w:p>
      <w:pPr>
        <w:pStyle w:val="ListParagraph"/>
        <w:numPr>
          <w:ilvl w:val="0"/>
          <w:numId w:val="1"/>
        </w:numPr>
        <w:spacing w:lineRule="exact" w:line="264" w:before="0" w:after="60"/>
        <w:rPr/>
      </w:pPr>
      <w:r>
        <w:rPr>
          <w:rFonts w:eastAsia="Arial" w:cs="Arial"/>
          <w:sz w:val="21"/>
          <w:szCs w:val="21"/>
        </w:rPr>
        <w:t>Record Correction Log</w:t>
      </w:r>
    </w:p>
    <w:p>
      <w:pPr>
        <w:pStyle w:val="ListParagraph"/>
        <w:numPr>
          <w:ilvl w:val="0"/>
          <w:numId w:val="1"/>
        </w:numPr>
        <w:spacing w:lineRule="exact" w:line="264" w:before="0" w:after="60"/>
        <w:rPr/>
      </w:pPr>
      <w:r>
        <w:rPr>
          <w:rFonts w:eastAsia="Arial" w:cs="Arial"/>
          <w:sz w:val="21"/>
          <w:szCs w:val="21"/>
        </w:rPr>
        <w:t>Part 2 Consent for Disclosure (with re-disclosure notice)</w:t>
      </w:r>
    </w:p>
    <w:p>
      <w:pPr>
        <w:pStyle w:val="ListParagraph"/>
        <w:numPr>
          <w:ilvl w:val="0"/>
          <w:numId w:val="1"/>
        </w:numPr>
        <w:spacing w:lineRule="exact" w:line="264" w:before="0" w:after="60"/>
        <w:rPr/>
      </w:pPr>
      <w:r>
        <w:rPr>
          <w:rFonts w:eastAsia="Arial" w:cs="Arial"/>
          <w:sz w:val="21"/>
          <w:szCs w:val="21"/>
        </w:rPr>
        <w:t>Breach Assessment &amp; Notification Record</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Consent Revocation Record</w:t>
      </w:r>
    </w:p>
    <w:p>
      <w:pPr>
        <w:pStyle w:val="ListParagraph"/>
        <w:numPr>
          <w:ilvl w:val="0"/>
          <w:numId w:val="1"/>
        </w:numPr>
        <w:spacing w:lineRule="exact" w:line="264" w:before="0" w:after="60"/>
        <w:rPr/>
      </w:pPr>
      <w:r>
        <w:rPr>
          <w:rFonts w:eastAsia="Arial" w:cs="Arial"/>
          <w:sz w:val="21"/>
          <w:szCs w:val="21"/>
        </w:rPr>
        <w:t>Disclosure Accounting Log</w:t>
      </w:r>
    </w:p>
    <w:p>
      <w:pPr>
        <w:pStyle w:val="ListParagraph"/>
        <w:numPr>
          <w:ilvl w:val="0"/>
          <w:numId w:val="1"/>
        </w:numPr>
        <w:spacing w:lineRule="exact" w:line="264" w:before="0" w:after="60"/>
        <w:rPr/>
      </w:pPr>
      <w:r>
        <w:rPr>
          <w:rFonts w:eastAsia="Arial" w:cs="Arial"/>
          <w:sz w:val="21"/>
          <w:szCs w:val="21"/>
        </w:rPr>
        <w:t>Security Risk Analysis &amp; Remediation Record</w:t>
      </w:r>
    </w:p>
    <w:p>
      <w:pPr>
        <w:pStyle w:val="ListParagraph"/>
        <w:numPr>
          <w:ilvl w:val="0"/>
          <w:numId w:val="1"/>
        </w:numPr>
        <w:spacing w:lineRule="exact" w:line="264" w:before="0" w:after="60"/>
        <w:rPr/>
      </w:pPr>
      <w:r>
        <w:rPr>
          <w:rFonts w:eastAsia="Arial" w:cs="Arial"/>
          <w:sz w:val="21"/>
          <w:szCs w:val="21"/>
        </w:rPr>
        <w:t>System Access Control Log</w:t>
      </w:r>
    </w:p>
    <w:p>
      <w:pPr>
        <w:pStyle w:val="ListParagraph"/>
        <w:numPr>
          <w:ilvl w:val="0"/>
          <w:numId w:val="1"/>
        </w:numPr>
        <w:spacing w:lineRule="exact" w:line="264" w:before="0" w:after="60"/>
        <w:rPr/>
      </w:pPr>
      <w:r>
        <w:rPr>
          <w:rFonts w:eastAsia="Arial" w:cs="Arial"/>
          <w:sz w:val="21"/>
          <w:szCs w:val="21"/>
        </w:rPr>
        <w:t>Device &amp; Media Inventory / Disposal Record</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Records Access Request &amp; Response Log</w:t>
      </w:r>
    </w:p>
    <w:p>
      <w:pPr>
        <w:pStyle w:val="ListParagraph"/>
        <w:numPr>
          <w:ilvl w:val="0"/>
          <w:numId w:val="1"/>
        </w:numPr>
        <w:spacing w:lineRule="exact" w:line="264" w:before="0" w:after="60"/>
        <w:rPr/>
      </w:pPr>
      <w:r>
        <w:rPr>
          <w:rFonts w:eastAsia="Arial" w:cs="Arial"/>
          <w:sz w:val="21"/>
          <w:szCs w:val="21"/>
        </w:rPr>
        <w:t>Certificate of Destruction</w:t>
      </w:r>
    </w:p>
    <w:p>
      <w:pPr>
        <w:pStyle w:val="ListParagraph"/>
        <w:numPr>
          <w:ilvl w:val="0"/>
          <w:numId w:val="1"/>
        </w:numPr>
        <w:spacing w:lineRule="exact" w:line="264" w:before="0" w:after="60"/>
        <w:rPr/>
      </w:pPr>
      <w:r>
        <w:rPr>
          <w:rFonts w:eastAsia="Arial" w:cs="Arial"/>
          <w:sz w:val="21"/>
          <w:szCs w:val="21"/>
        </w:rPr>
        <w:t>Medication Administration Record (where applicable)</w:t>
      </w:r>
    </w:p>
    <w:p>
      <w:pPr>
        <w:pStyle w:val="ListParagraph"/>
        <w:numPr>
          <w:ilvl w:val="0"/>
          <w:numId w:val="1"/>
        </w:numPr>
        <w:spacing w:lineRule="exact" w:line="264" w:before="0" w:after="60"/>
        <w:rPr/>
      </w:pPr>
      <w:r>
        <w:rPr>
          <w:rFonts w:eastAsia="Arial" w:cs="Arial"/>
          <w:sz w:val="21"/>
          <w:szCs w:val="21"/>
        </w:rPr>
        <w:t>Controlled Substance Inventory &amp; Reconciliation Log</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Medication Error / Adverse Drug Event Report &amp; Log</w:t>
      </w:r>
    </w:p>
    <w:p>
      <w:pPr>
        <w:pStyle w:val="Normal"/>
        <w:spacing w:before="140" w:after="40"/>
        <w:rPr/>
      </w:pPr>
      <w:r>
        <w:rPr>
          <w:rFonts w:eastAsia="Arial" w:cs="Arial"/>
          <w:b/>
          <w:bCs/>
          <w:color w:val="333333"/>
          <w:sz w:val="21"/>
          <w:szCs w:val="21"/>
        </w:rPr>
        <w:t>Section F — Safety, Incidents &amp; Quality</w:t>
      </w:r>
    </w:p>
    <w:p>
      <w:pPr>
        <w:pStyle w:val="ListParagraph"/>
        <w:numPr>
          <w:ilvl w:val="0"/>
          <w:numId w:val="1"/>
        </w:numPr>
        <w:spacing w:lineRule="exact" w:line="264" w:before="0" w:after="60"/>
        <w:rPr/>
      </w:pPr>
      <w:r>
        <w:rPr>
          <w:rFonts w:eastAsia="Arial" w:cs="Arial"/>
          <w:sz w:val="21"/>
          <w:szCs w:val="21"/>
        </w:rPr>
        <w:t>Critical Incident Report</w:t>
      </w:r>
    </w:p>
    <w:p>
      <w:pPr>
        <w:pStyle w:val="ListParagraph"/>
        <w:numPr>
          <w:ilvl w:val="0"/>
          <w:numId w:val="1"/>
        </w:numPr>
        <w:spacing w:lineRule="exact" w:line="264" w:before="0" w:after="60"/>
        <w:rPr/>
      </w:pPr>
      <w:r>
        <w:rPr>
          <w:rFonts w:eastAsia="Arial" w:cs="Arial"/>
          <w:sz w:val="21"/>
          <w:szCs w:val="21"/>
        </w:rPr>
        <w:t>Incident Review &amp; Root Cause Analysis</w:t>
      </w:r>
    </w:p>
    <w:p>
      <w:pPr>
        <w:pStyle w:val="ListParagraph"/>
        <w:numPr>
          <w:ilvl w:val="0"/>
          <w:numId w:val="1"/>
        </w:numPr>
        <w:spacing w:lineRule="exact" w:line="264" w:before="0" w:after="60"/>
        <w:rPr/>
      </w:pPr>
      <w:r>
        <w:rPr>
          <w:rFonts w:eastAsia="Arial" w:cs="Arial"/>
          <w:sz w:val="21"/>
          <w:szCs w:val="21"/>
        </w:rPr>
        <w:t>Corrective Action Record</w:t>
      </w:r>
    </w:p>
    <w:p>
      <w:pPr>
        <w:pStyle w:val="ListParagraph"/>
        <w:numPr>
          <w:ilvl w:val="0"/>
          <w:numId w:val="1"/>
        </w:numPr>
        <w:spacing w:lineRule="exact" w:line="264" w:before="0" w:after="60"/>
        <w:rPr/>
      </w:pPr>
      <w:r>
        <w:rPr>
          <w:rFonts w:eastAsia="Arial" w:cs="Arial"/>
          <w:sz w:val="21"/>
          <w:szCs w:val="21"/>
        </w:rPr>
        <w:t>De-escalation &amp; Safety Intervention Record</w:t>
      </w:r>
    </w:p>
    <w:p>
      <w:pPr>
        <w:pStyle w:val="ListParagraph"/>
        <w:numPr>
          <w:ilvl w:val="0"/>
          <w:numId w:val="1"/>
        </w:numPr>
        <w:spacing w:lineRule="exact" w:line="264" w:before="0" w:after="60"/>
        <w:rPr/>
      </w:pPr>
      <w:r>
        <w:rPr>
          <w:rFonts w:eastAsia="Arial" w:cs="Arial"/>
          <w:sz w:val="21"/>
          <w:szCs w:val="21"/>
        </w:rPr>
        <w:t>Post-Event Review Form</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Mandatory Reporting Contact List</w:t>
      </w:r>
    </w:p>
    <w:p>
      <w:pPr>
        <w:pStyle w:val="ListParagraph"/>
        <w:numPr>
          <w:ilvl w:val="0"/>
          <w:numId w:val="1"/>
        </w:numPr>
        <w:spacing w:lineRule="exact" w:line="264" w:before="0" w:after="60"/>
        <w:rPr/>
      </w:pPr>
      <w:r>
        <w:rPr>
          <w:rFonts w:eastAsia="Arial" w:cs="Arial"/>
          <w:sz w:val="21"/>
          <w:szCs w:val="21"/>
        </w:rPr>
        <w:t>Safety Inspection Checklist</w:t>
      </w:r>
    </w:p>
    <w:p>
      <w:pPr>
        <w:pStyle w:val="ListParagraph"/>
        <w:numPr>
          <w:ilvl w:val="0"/>
          <w:numId w:val="1"/>
        </w:numPr>
        <w:spacing w:lineRule="exact" w:line="264" w:before="0" w:after="60"/>
        <w:rPr/>
      </w:pPr>
      <w:r>
        <w:rPr>
          <w:rFonts w:eastAsia="Arial" w:cs="Arial"/>
          <w:sz w:val="21"/>
          <w:szCs w:val="21"/>
        </w:rPr>
        <w:t>Hazard / Maintenance Correction Log</w:t>
      </w:r>
    </w:p>
    <w:p>
      <w:pPr>
        <w:pStyle w:val="ListParagraph"/>
        <w:numPr>
          <w:ilvl w:val="0"/>
          <w:numId w:val="1"/>
        </w:numPr>
        <w:spacing w:lineRule="exact" w:line="264" w:before="0" w:after="60"/>
        <w:rPr/>
      </w:pPr>
      <w:r>
        <w:rPr>
          <w:rFonts w:eastAsia="Arial" w:cs="Arial"/>
          <w:sz w:val="21"/>
          <w:szCs w:val="21"/>
        </w:rPr>
        <w:t>Emergency Preparedness Plan</w:t>
      </w:r>
    </w:p>
    <w:p>
      <w:pPr>
        <w:pStyle w:val="ListParagraph"/>
        <w:numPr>
          <w:ilvl w:val="0"/>
          <w:numId w:val="1"/>
        </w:numPr>
        <w:spacing w:lineRule="exact" w:line="264" w:before="0" w:after="60"/>
        <w:rPr/>
      </w:pPr>
      <w:r>
        <w:rPr>
          <w:rFonts w:eastAsia="Arial" w:cs="Arial"/>
          <w:sz w:val="21"/>
          <w:szCs w:val="21"/>
        </w:rPr>
        <w:t>Drill Record &amp; After-Action Review</w:t>
      </w:r>
    </w:p>
    <w:p>
      <w:pPr>
        <w:pStyle w:val="ListParagraph"/>
        <w:numPr>
          <w:ilvl w:val="0"/>
          <w:numId w:val="1"/>
        </w:numPr>
        <w:spacing w:lineRule="exact" w:line="264" w:before="0" w:after="60"/>
        <w:rPr/>
      </w:pPr>
      <w:r>
        <w:rPr>
          <w:rFonts w:eastAsia="Arial" w:cs="Arial"/>
          <w:sz w:val="21"/>
          <w:szCs w:val="21"/>
        </w:rPr>
        <w:t>Continuity of Operations Plan</w:t>
      </w:r>
    </w:p>
    <w:p>
      <w:pPr>
        <w:pStyle w:val="ListParagraph"/>
        <w:numPr>
          <w:ilvl w:val="0"/>
          <w:numId w:val="1"/>
        </w:numPr>
        <w:spacing w:lineRule="exact" w:line="264" w:before="0" w:after="60"/>
        <w:rPr/>
      </w:pPr>
      <w:r>
        <w:rPr>
          <w:rFonts w:eastAsia="Arial" w:cs="Arial"/>
          <w:sz w:val="21"/>
          <w:szCs w:val="21"/>
        </w:rPr>
        <w:t>Infection Prevention Practices Reference</w:t>
      </w:r>
    </w:p>
    <w:p>
      <w:pPr>
        <w:pStyle w:val="ListParagraph"/>
        <w:numPr>
          <w:ilvl w:val="0"/>
          <w:numId w:val="1"/>
        </w:numPr>
        <w:spacing w:lineRule="exact" w:line="264" w:before="0" w:after="60"/>
        <w:rPr/>
      </w:pPr>
      <w:r>
        <w:rPr>
          <w:rFonts w:eastAsia="Arial" w:cs="Arial"/>
          <w:sz w:val="21"/>
          <w:szCs w:val="21"/>
        </w:rPr>
        <w:t>Cleaning &amp; Disinfection Log</w:t>
      </w:r>
    </w:p>
    <w:p>
      <w:pPr>
        <w:pStyle w:val="ListParagraph"/>
        <w:numPr>
          <w:ilvl w:val="0"/>
          <w:numId w:val="1"/>
        </w:numPr>
        <w:spacing w:lineRule="exact" w:line="264" w:before="0" w:after="60"/>
        <w:rPr/>
      </w:pPr>
      <w:r>
        <w:rPr>
          <w:rFonts w:eastAsia="Arial" w:cs="Arial"/>
          <w:sz w:val="21"/>
          <w:szCs w:val="21"/>
        </w:rPr>
        <w:t>Quality / Performance Improvement Plan</w:t>
      </w:r>
    </w:p>
    <w:p>
      <w:pPr>
        <w:pStyle w:val="ListParagraph"/>
        <w:numPr>
          <w:ilvl w:val="0"/>
          <w:numId w:val="1"/>
        </w:numPr>
        <w:spacing w:lineRule="exact" w:line="264" w:before="0" w:after="60"/>
        <w:rPr/>
      </w:pPr>
      <w:r>
        <w:rPr>
          <w:rFonts w:eastAsia="Arial" w:cs="Arial"/>
          <w:sz w:val="21"/>
          <w:szCs w:val="21"/>
        </w:rPr>
        <w:t>QAPI Meeting Minutes &amp; Action Log</w:t>
      </w:r>
    </w:p>
    <w:p>
      <w:pPr>
        <w:pStyle w:val="ListParagraph"/>
        <w:numPr>
          <w:ilvl w:val="0"/>
          <w:numId w:val="1"/>
        </w:numPr>
        <w:spacing w:lineRule="exact" w:line="264" w:before="0" w:after="60"/>
        <w:rPr/>
      </w:pPr>
      <w:r>
        <w:rPr>
          <w:rFonts w:eastAsia="Arial" w:cs="Arial"/>
          <w:sz w:val="21"/>
          <w:szCs w:val="21"/>
        </w:rPr>
        <w:t>Medical Necessity / Level-of-Care Documentation</w:t>
      </w:r>
    </w:p>
    <w:p>
      <w:pPr>
        <w:pStyle w:val="ListParagraph"/>
        <w:numPr>
          <w:ilvl w:val="0"/>
          <w:numId w:val="1"/>
        </w:numPr>
        <w:spacing w:lineRule="exact" w:line="264" w:before="0" w:after="60"/>
        <w:rPr/>
      </w:pPr>
      <w:r>
        <w:rPr>
          <w:rFonts w:eastAsia="Arial" w:cs="Arial"/>
          <w:sz w:val="21"/>
          <w:szCs w:val="21"/>
        </w:rPr>
        <w:t>Authorization &amp; Appeal Tracking Log</w:t>
      </w:r>
    </w:p>
    <w:p>
      <w:pPr>
        <w:pStyle w:val="ListParagraph"/>
        <w:numPr>
          <w:ilvl w:val="0"/>
          <w:numId w:val="1"/>
        </w:numPr>
        <w:spacing w:lineRule="exact" w:line="264" w:before="0" w:after="60"/>
        <w:rPr/>
      </w:pPr>
      <w:r>
        <w:rPr>
          <w:rFonts w:eastAsia="Arial" w:cs="Arial"/>
          <w:sz w:val="21"/>
          <w:szCs w:val="21"/>
        </w:rPr>
        <w:t>Interpretation Services Log</w:t>
      </w:r>
    </w:p>
    <w:p>
      <w:pPr>
        <w:pStyle w:val="ListParagraph"/>
        <w:numPr>
          <w:ilvl w:val="0"/>
          <w:numId w:val="1"/>
        </w:numPr>
        <w:spacing w:lineRule="exact" w:line="264" w:before="0" w:after="60"/>
        <w:rPr/>
      </w:pPr>
      <w:r>
        <w:rPr>
          <w:rFonts w:eastAsia="Arial" w:cs="Arial"/>
          <w:sz w:val="21"/>
          <w:szCs w:val="21"/>
        </w:rPr>
        <w:t>Telehealth Informed Consent</w:t>
      </w:r>
    </w:p>
    <w:p>
      <w:pPr>
        <w:pStyle w:val="ListParagraph"/>
        <w:numPr>
          <w:ilvl w:val="0"/>
          <w:numId w:val="1"/>
        </w:numPr>
        <w:spacing w:lineRule="exact" w:line="264" w:before="0" w:after="60"/>
        <w:rPr/>
      </w:pPr>
      <w:r>
        <w:rPr>
          <w:rFonts w:eastAsia="Arial" w:cs="Arial"/>
          <w:sz w:val="21"/>
          <w:szCs w:val="21"/>
        </w:rPr>
        <w:t>Telehealth Emergency Protocol</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Colorado Agency &amp; Resource Directory</w:t>
      </w:r>
    </w:p>
    <w:p>
      <w:pPr>
        <w:pStyle w:val="Normal"/>
        <w:spacing w:lineRule="exact" w:line="276" w:before="0" w:after="120"/>
        <w:rPr/>
      </w:pPr>
      <w:r>
        <w:rPr>
          <w:rFonts w:eastAsia="Arial" w:cs="Arial"/>
          <w:sz w:val="21"/>
          <w:szCs w:val="21"/>
        </w:rPr>
        <w:t>Verify all contact details against current published information before relying on them; agency names,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Colorado Behavioral Health Administration (BHA), within the Colorado Department of Human Services — Behavioral Health Entity (BHE) licensing, endorsements, 27-65 designations, and Safety Net approvals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Provider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 CCR 502-1 (BHA Provider Rules): Ch. 1 definitions; Ch. 2 general BHE standards; Ch. 4 outpatient &amp; high-intensity outpatient; Ch. 5 residential &amp; Level 3-withdrawal management; Ch. 6 emergency &amp; crisis; Ch. 11 27-65 designation; Ch. 12 safety net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Title 27, Article 50, C.R.S. (Behavioral Health Administration); Title 27, Article 65, C.R.S. (involuntary treatment / 27-65 designation)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Utilization Review</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HB25-1002 behavioral health utilization-review requirements, effective January 1, 2026</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Level-of-Care (Residential/WM)</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ASAM Criteria; BHA alignment to ASAM 4th Edition effective July 1, 2027</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Provider Directory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OwnPath — the BHA online directory of licensed, designated, or approved providers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SUD Records 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42 CFR Part 2 (federal substance use disorder records); HIPAA (45 CFR Parts 160 &amp; 164)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Controlled Substances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Controlled Substance License (BHA) where required; U.S. DEA; Colorado prescribing/pharmacy law</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Professional Licensing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Colorado Department of Regulatory Agencies (DORA) — professional boards for clinical credentials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Colorado Bureau of Investigation (CBI) and required registry checks per BHA rules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Mandatory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At-risk adults (C.R.S. 26-3.1) and child abuse/neglect (C.R.S. 19-3-304); county human/social services; law enforcement; Adult Protective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Crisis Resources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Colorado Crisis Services; 988 Suicide &amp; Crisis Lifeline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Medicaid / Payer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Health First Colorado (Medicaid) through Regional Accountable Entities (RAEs)</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base manual is a customizable template aligned to the general Behavioral Health Entity licensing standards in 2 CCR 502-1, Chapter 2, under the Colorado Behavioral Health Administration. It is provided as an editable document for the licensee to adopt as its own after customization.</w:t>
      </w:r>
    </w:p>
    <w:p>
      <w:pPr>
        <w:pStyle w:val="Normal"/>
        <w:spacing w:lineRule="exact" w:line="276" w:before="0" w:after="120"/>
        <w:rPr/>
      </w:pPr>
      <w:r>
        <w:rPr>
          <w:rFonts w:eastAsia="Arial" w:cs="Arial"/>
          <w:sz w:val="21"/>
          <w:szCs w:val="21"/>
        </w:rPr>
        <w:t>Base plus endorsements. This is the base every BHE needs. Add the endorsement module for each service your BHE is licensed to provide: Outpatient &amp; High-Intensity Outpatient (Chapter 4), Residential &amp; Withdrawal Management (Chapter 5), and Emergency &amp; Crisis Services (Chapter 6). Each add-on supplements — and does not replace — this base; where both cover a topic, apply both and follow the more specific requirement.</w:t>
      </w:r>
    </w:p>
    <w:p>
      <w:pPr>
        <w:pStyle w:val="Normal"/>
        <w:spacing w:lineRule="exact" w:line="276" w:before="0" w:after="120"/>
        <w:rPr/>
      </w:pPr>
      <w:r>
        <w:rPr>
          <w:rFonts w:eastAsia="Arial" w:cs="Arial"/>
          <w:sz w:val="21"/>
          <w:szCs w:val="21"/>
        </w:rPr>
        <w:t>Before adopting: replace every [bracketed] placeholder (organization name, address, license and endorsement numbers, effective date, director) with your own information; confirm which endorsements you hold and adopt the matching add-on modules; and review each policy against your actual operations and your most recent BHA requirements. Delete or adapt any provision that does not fit your operations, and add any provision your license, payers, or accreditor requires.</w:t>
      </w:r>
    </w:p>
    <w:p>
      <w:pPr>
        <w:pStyle w:val="Normal"/>
        <w:spacing w:lineRule="exact" w:line="276" w:before="0" w:after="120"/>
        <w:rPr/>
      </w:pPr>
      <w:r>
        <w:rPr>
          <w:rFonts w:eastAsia="Arial" w:cs="Arial"/>
          <w:sz w:val="21"/>
          <w:szCs w:val="21"/>
        </w:rPr>
        <w:t>Confidentiality. If any part of your organization is a substance use disorder treatment program, review the confidentiality, release-of-information, and records policies in Section E closely and together — 42 CFR Part 2 imposes requirements that go beyond HIPAA.</w:t>
      </w:r>
    </w:p>
    <w:p>
      <w:pPr>
        <w:pStyle w:val="Normal"/>
        <w:spacing w:lineRule="exact" w:line="276" w:before="0" w:after="120"/>
        <w:rPr/>
      </w:pPr>
      <w:r>
        <w:rPr>
          <w:rFonts w:eastAsia="Arial" w:cs="Arial"/>
          <w:sz w:val="21"/>
          <w:szCs w:val="21"/>
        </w:rPr>
        <w:t>Regulatory currency. The BHA rules are in transition and are being amended — including ASAM 4th Edition alignment effective July 1, 2027 (chiefly residential and withdrawal management) and behavioral health utilization-review requirements under HB25-1002 effective January 1, 2026. Confirm the current version of 2 CCR 502-1 before adopting, and have qualified Colorado counsel or a compliance professional review this manual against your license.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Individual Rights Acknowledgment</w:t>
      </w:r>
    </w:p>
    <w:p>
      <w:pPr>
        <w:pStyle w:val="Normal"/>
        <w:spacing w:lineRule="exact" w:line="276" w:before="0" w:after="120"/>
        <w:rPr/>
      </w:pPr>
      <w:r>
        <w:rPr>
          <w:rFonts w:eastAsia="Arial" w:cs="Arial"/>
          <w:sz w:val="21"/>
          <w:szCs w:val="21"/>
        </w:rPr>
        <w:t>This template acknowledgment may be adapted by the BHE. It documents that the individual received and had an opportunity to review their rights.</w:t>
      </w:r>
    </w:p>
    <w:p>
      <w:pPr>
        <w:pStyle w:val="Normal"/>
        <w:spacing w:lineRule="exact" w:line="276" w:before="0" w:after="120"/>
        <w:rPr/>
      </w:pPr>
      <w:r>
        <w:rPr>
          <w:rFonts w:eastAsia="Arial" w:cs="Arial"/>
          <w:sz w:val="21"/>
          <w:szCs w:val="21"/>
        </w:rPr>
        <w:t>I acknowledge that I have received a written statement of my rights as a person receiving services from [Organization Name], that it was explained in a way I could understand, and that I was told how to file a grievance and how to contact the Behavioral Health Administration and other oversight resources.</w:t>
      </w:r>
    </w:p>
    <w:p>
      <w:pPr>
        <w:pStyle w:val="Normal"/>
        <w:spacing w:before="300" w:after="0"/>
        <w:rPr/>
      </w:pPr>
      <w:r>
        <w:rPr>
          <w:rFonts w:eastAsia="Arial" w:cs="Arial"/>
          <w:sz w:val="21"/>
          <w:szCs w:val="21"/>
        </w:rPr>
        <w:t>Individual (print): ______________________________</w:t>
      </w:r>
    </w:p>
    <w:p>
      <w:pPr>
        <w:pStyle w:val="Normal"/>
        <w:spacing w:before="160" w:after="0"/>
        <w:rPr/>
      </w:pPr>
      <w:r>
        <w:rPr>
          <w:rFonts w:eastAsia="Arial" w:cs="Arial"/>
          <w:sz w:val="21"/>
          <w:szCs w:val="21"/>
        </w:rPr>
        <w:t>Signature: ______________________________    Date: ______________</w:t>
      </w:r>
    </w:p>
    <w:p>
      <w:pPr>
        <w:pStyle w:val="Normal"/>
        <w:spacing w:before="160" w:after="0"/>
        <w:rPr/>
      </w:pPr>
      <w:r>
        <w:rPr>
          <w:rFonts w:eastAsia="Arial" w:cs="Arial"/>
          <w:sz w:val="21"/>
          <w:szCs w:val="21"/>
        </w:rPr>
        <w:t>Staff witness: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Colorado — Behavioral Health Entity (BHE) Base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87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Colorado — Behavioral Health Entity (BHE) Base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87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2026-07-02T02:27:56Z</dcterms:created>
  <dc:creator>PolicyReady.org</dc:creator>
  <dc:description/>
  <dc:language>en-US</dc:language>
  <cp:lastModifiedBy>Un-named</cp:lastModifiedBy>
  <dcterms:modified xsi:type="dcterms:W3CDTF">2026-07-02T02:27:56Z</dcterms:modified>
  <cp:revision>1</cp:revision>
  <dc:subject/>
  <dc:title>Colorado Behavioral Health Entity (BHE) Base Policy &amp; Procedure Manual</dc:title>
</cp:coreProperties>
</file>