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FLORIDA</w:t>
      </w:r>
    </w:p>
    <w:p>
      <w:pPr>
        <w:pStyle w:val="Normal"/>
        <w:pBdr>
          <w:bottom w:val="single" w:sz="18" w:space="8" w:color="1A4731"/>
        </w:pBdr>
        <w:spacing w:before="200" w:after="0"/>
        <w:jc w:val="center"/>
        <w:rPr/>
      </w:pPr>
      <w:r>
        <w:rPr>
          <w:rFonts w:eastAsia="Arial" w:cs="Arial"/>
          <w:b/>
          <w:bCs/>
          <w:color w:val="222222"/>
          <w:sz w:val="50"/>
          <w:szCs w:val="50"/>
        </w:rPr>
        <w:t>Policy &amp; Procedure Add-On</w:t>
      </w:r>
    </w:p>
    <w:p>
      <w:pPr>
        <w:pStyle w:val="Normal"/>
        <w:spacing w:before="240" w:after="0"/>
        <w:jc w:val="center"/>
        <w:rPr/>
      </w:pPr>
      <w:r>
        <w:rPr>
          <w:rFonts w:eastAsia="Arial" w:cs="Arial"/>
          <w:color w:val="444444"/>
          <w:sz w:val="28"/>
          <w:szCs w:val="28"/>
        </w:rPr>
        <w:t>Assisted Living Facility — Limited Mental Health (LMH)</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[Facility Name]</w:t>
      </w:r>
    </w:p>
    <w:p>
      <w:pPr>
        <w:pStyle w:val="Normal"/>
        <w:spacing w:before="60" w:after="0"/>
        <w:jc w:val="center"/>
        <w:rPr/>
      </w:pPr>
      <w:r>
        <w:rPr>
          <w:rFonts w:eastAsia="Arial" w:cs="Arial"/>
          <w:color w:val="666666"/>
          <w:sz w:val="20"/>
          <w:szCs w:val="20"/>
        </w:rPr>
        <w:t>[Address]   •   [AHCA License Number]</w:t>
      </w:r>
    </w:p>
    <w:p>
      <w:pPr>
        <w:pStyle w:val="Normal"/>
        <w:spacing w:before="1600" w:after="0"/>
        <w:jc w:val="center"/>
        <w:rPr/>
      </w:pPr>
      <w:r>
        <w:rPr>
          <w:rFonts w:eastAsia="Arial" w:cs="Arial"/>
          <w:color w:val="666666"/>
          <w:sz w:val="18"/>
          <w:szCs w:val="18"/>
        </w:rPr>
        <w:t>A specialty add-on to the Florida Standard Assisted Living Facility manual</w:t>
      </w:r>
    </w:p>
    <w:p>
      <w:pPr>
        <w:pStyle w:val="Normal"/>
        <w:spacing w:before="60" w:after="0"/>
        <w:jc w:val="center"/>
        <w:rPr/>
      </w:pPr>
      <w:r>
        <w:rPr>
          <w:rFonts w:eastAsia="Arial" w:cs="Arial"/>
          <w:color w:val="666666"/>
          <w:sz w:val="18"/>
          <w:szCs w:val="18"/>
        </w:rPr>
        <w:t>Aligned to s. 429.075, F.S.; Rule 59A-36.020, F.A.C.</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2"/>
          <w:szCs w:val="32"/>
        </w:rPr>
        <w:t>About This Add-On</w:t>
      </w:r>
    </w:p>
    <w:tbl>
      <w:tblPr>
        <w:tblW w:w="9360" w:type="dxa"/>
        <w:jc w:val="start"/>
        <w:tblInd w:w="0" w:type="dxa"/>
        <w:tblLayout w:type="fixed"/>
        <w:tblCellMar>
          <w:top w:w="120" w:type="dxa"/>
          <w:start w:w="200" w:type="dxa"/>
          <w:bottom w:w="120" w:type="dxa"/>
          <w:end w:w="160" w:type="dxa"/>
        </w:tblCellMar>
      </w:tblPr>
      <w:tblGrid>
        <w:gridCol w:w="9360"/>
      </w:tblGrid>
      <w:tr>
        <w:trPr/>
        <w:tc>
          <w:tcPr>
            <w:tcW w:w="9360" w:type="dxa"/>
            <w:tcBorders>
              <w:top w:val="single" w:sz="2" w:space="0" w:color="C9D6CE"/>
              <w:start w:val="single" w:sz="16" w:space="0" w:color="1A4731"/>
              <w:bottom w:val="single" w:sz="2" w:space="0" w:color="C9D6CE"/>
              <w:end w:val="single" w:sz="2" w:space="0" w:color="C9D6CE"/>
            </w:tcBorders>
            <w:shd w:fill="F1F5F2" w:val="clear"/>
          </w:tcPr>
          <w:p>
            <w:pPr>
              <w:pStyle w:val="Normal"/>
              <w:spacing w:before="0" w:after="40"/>
              <w:rPr/>
            </w:pPr>
            <w:r>
              <w:rPr>
                <w:rFonts w:eastAsia="Arial" w:cs="Arial"/>
                <w:b/>
                <w:bCs/>
                <w:color w:val="1A4731"/>
                <w:sz w:val="19"/>
                <w:szCs w:val="19"/>
              </w:rPr>
              <w:t>This is a supplement, not a standalone manual</w:t>
            </w:r>
          </w:p>
          <w:p>
            <w:pPr>
              <w:pStyle w:val="Normal"/>
              <w:rPr/>
            </w:pPr>
            <w:r>
              <w:rPr>
                <w:rFonts w:eastAsia="Arial" w:cs="Arial"/>
                <w:sz w:val="19"/>
                <w:szCs w:val="19"/>
              </w:rPr>
              <w:t>This add-on applies only if your facility holds a Limited Mental Health (LMH) specialty license. It is designed to be adopted together with the Florida Standard Assisted Living Facility Policy &amp; Procedure Manual, which contains the facility’s core policies. Use this add-on in addition to — not in place of — that standard manual.</w:t>
            </w:r>
          </w:p>
        </w:tc>
      </w:tr>
    </w:tbl>
    <w:p>
      <w:pPr>
        <w:pStyle w:val="Normal"/>
        <w:spacing w:before="200" w:after="120"/>
        <w:rPr/>
      </w:pPr>
      <w:r>
        <w:rPr>
          <w:rFonts w:eastAsia="Arial" w:cs="Arial"/>
          <w:b/>
          <w:bCs/>
          <w:color w:val="1A4731"/>
          <w:sz w:val="22"/>
          <w:szCs w:val="22"/>
        </w:rPr>
        <w:t>What limited nursing services are</w:t>
      </w:r>
    </w:p>
    <w:p>
      <w:pPr>
        <w:pStyle w:val="Normal"/>
        <w:spacing w:lineRule="exact" w:line="288" w:before="0" w:after="160"/>
        <w:rPr/>
      </w:pPr>
      <w:r>
        <w:rPr>
          <w:rFonts w:eastAsia="Arial" w:cs="Arial"/>
          <w:sz w:val="21"/>
          <w:szCs w:val="21"/>
        </w:rPr>
        <w:t>A standard Florida assisted living facility serves residents with the activities of daily living but is not authorized to serve mental health residents beyond a limited number. Under Section 429.075, F.S., a facility that serves three or more mental health residents — individuals who receive SSDI or SSI due to a mental disorder and receive optional state supplementation — must hold a Limited Mental Health (LMH) specialty license. The LMH license, governed by Rule 59A-36.020, F.A.C., requires the facility to obtain a community living support plan and a cooperative agreement with each resident’s mental health provider, to complete specialized staff training approved by the Department of Children and Families (DCF), and to maintain specific records. This add-on sets the policies for meeting those requirements.</w:t>
      </w:r>
    </w:p>
    <w:p>
      <w:pPr>
        <w:pStyle w:val="Normal"/>
        <w:spacing w:before="120" w:after="120"/>
        <w:rPr/>
      </w:pPr>
      <w:r>
        <w:rPr>
          <w:rFonts w:eastAsia="Arial" w:cs="Arial"/>
          <w:b/>
          <w:bCs/>
          <w:color w:val="1A4731"/>
          <w:sz w:val="22"/>
          <w:szCs w:val="22"/>
        </w:rPr>
        <w:t>How to use it</w:t>
      </w:r>
    </w:p>
    <w:p>
      <w:pPr>
        <w:pStyle w:val="Normal"/>
        <w:spacing w:lineRule="exact" w:line="288" w:before="0" w:after="120"/>
        <w:rPr/>
      </w:pPr>
      <w:r>
        <w:rPr>
          <w:rFonts w:eastAsia="Arial" w:cs="Arial"/>
          <w:sz w:val="21"/>
          <w:szCs w:val="21"/>
        </w:rPr>
        <w:t>Adopt this add-on alongside the standard manual. Replace every [bracketed] placeholder with your own information, review each policy against your operations and your most recent AHCA survey, and ensure your mental health documentation — the community living support plan, the cooperative agreement with the 24-hour crisis contact, and the DCF-approved staff training — is in place for each mental health resident.</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pBdr>
          <w:bottom w:val="single" w:sz="12" w:space="4" w:color="1A4731"/>
        </w:pBdr>
        <w:spacing w:before="0" w:after="160"/>
        <w:rPr/>
      </w:pPr>
      <w:r>
        <w:rPr>
          <w:rFonts w:eastAsia="Arial" w:cs="Arial"/>
          <w:b/>
          <w:bCs/>
          <w:color w:val="1A4731"/>
          <w:sz w:val="30"/>
          <w:szCs w:val="30"/>
        </w:rPr>
        <w:t>Limited Mental Health Policies</w:t>
      </w:r>
    </w:p>
    <w:p>
      <w:pPr>
        <w:pStyle w:val="Normal"/>
        <w:rPr/>
      </w:pPr>
      <w:r>
        <w:rPr/>
      </w:r>
      <w:r>
        <w:br w:type="page"/>
      </w:r>
    </w:p>
    <w:p>
      <w:pPr>
        <w:pStyle w:val="Heading2"/>
        <w:spacing w:before="0" w:after="120"/>
        <w:rPr/>
      </w:pPr>
      <w:r>
        <w:rPr>
          <w:rFonts w:eastAsia="Arial" w:cs="Arial" w:ascii="Arial" w:hAnsi="Arial"/>
          <w:b/>
          <w:bCs/>
          <w:color w:val="1A4731"/>
          <w:sz w:val="26"/>
          <w:szCs w:val="26"/>
        </w:rPr>
        <w:t>LMH-1.00  Scope of the Limited Mental Health License &amp; Mental Health Residents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LMH-1.00  Scope of the Limited Mental Health License &amp; Mental Health Residents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Limited Mental Health</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 429.075, F.S.; Rule 59A-36.020, F.A.C.; s. 394.4574,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define the Facility’s obligations under its Limited Mental Health (LMH) specialty license, consistent with Section 429.075, F.S., and Rule 59A-36.020, F.A.C. This policy supplements the Facility’s standard assisted living facility Policy &amp; Procedure Manual and applies only while the Facility holds an LMH license.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standard assisted living facility that serves three or more mental health residents must obtain a Limited Mental Health license. The Facility shall meet the admission, documentation, cooperative agreement, support plan, training, and record requirements for mental health residents while retaining all standard-license obligations in the standard manual.</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Mental health resident — an individual who receives social security disability income (SSDI) due to a mental disorder as determined by the Social Security Administration, or supplemental security income (SSI) due to a mental disorder, and who receives optional state supplementation (OSS), as defined in Section 429.02, F.S.</w:t>
      </w:r>
    </w:p>
    <w:p>
      <w:pPr>
        <w:pStyle w:val="Normal"/>
        <w:spacing w:lineRule="exact" w:line="276" w:before="0" w:after="120"/>
        <w:rPr/>
      </w:pPr>
      <w:r>
        <w:rPr>
          <w:rFonts w:eastAsia="Arial" w:cs="Arial"/>
          <w:sz w:val="21"/>
          <w:szCs w:val="21"/>
        </w:rPr>
        <w:t>Cooperative agreement — a written statement of understanding between the mental health care provider and the Facility administrator regarding a mental health resident, as defined in Section 429.02, F.S.</w:t>
      </w:r>
    </w:p>
    <w:p>
      <w:pPr>
        <w:pStyle w:val="Normal"/>
        <w:spacing w:lineRule="exact" w:line="276" w:before="0" w:after="120"/>
        <w:rPr/>
      </w:pPr>
      <w:r>
        <w:rPr>
          <w:rFonts w:eastAsia="Arial" w:cs="Arial"/>
          <w:sz w:val="21"/>
          <w:szCs w:val="21"/>
        </w:rPr>
        <w:t>Community living support plan — the written plan prepared for a mental health resident that describes the supports, services, and arrangements needed for the resident to live in the community in the Facility.</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Determine at admission whether an individual meets the definition of a mental health resident, and track the number of mental health residents; obtain and maintain the LMH license before serving three or more mental health residents.</w:t>
      </w:r>
    </w:p>
    <w:p>
      <w:pPr>
        <w:pStyle w:val="Normal"/>
        <w:tabs>
          <w:tab w:val="left" w:pos="720" w:leader="none"/>
        </w:tabs>
        <w:spacing w:lineRule="exact" w:line="264" w:before="0" w:after="80"/>
        <w:ind w:hanging="360" w:start="720"/>
        <w:rPr/>
      </w:pPr>
      <w:r>
        <w:rPr>
          <w:rFonts w:eastAsia="Arial" w:cs="Arial"/>
          <w:sz w:val="21"/>
          <w:szCs w:val="21"/>
        </w:rPr>
        <w:t>b. Coordinate with the Department of Children and Families (DCF), the Medicaid managed care plan, or the managing entity as applicable, since DCF is the responsible department for mental health residents in an LMH facility.</w:t>
      </w:r>
    </w:p>
    <w:p>
      <w:pPr>
        <w:pStyle w:val="Normal"/>
        <w:tabs>
          <w:tab w:val="left" w:pos="720" w:leader="none"/>
        </w:tabs>
        <w:spacing w:lineRule="exact" w:line="264" w:before="0" w:after="80"/>
        <w:ind w:hanging="360" w:start="720"/>
        <w:rPr/>
      </w:pPr>
      <w:r>
        <w:rPr>
          <w:rFonts w:eastAsia="Arial" w:cs="Arial"/>
          <w:sz w:val="21"/>
          <w:szCs w:val="21"/>
        </w:rPr>
        <w:t>c. Retain all standard-license obligations (admission and Form 1823, resident rights, medication assistance, emergency management, and the rest of the standard manual) in addition to the LMH-specific requirements in this add-on.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Mental Health Resident Determination Record</w:t>
      </w:r>
    </w:p>
    <w:p>
      <w:pPr>
        <w:pStyle w:val="ListParagraph"/>
        <w:numPr>
          <w:ilvl w:val="0"/>
          <w:numId w:val="1"/>
        </w:numPr>
        <w:spacing w:lineRule="exact" w:line="264" w:before="0" w:after="60"/>
        <w:rPr/>
      </w:pPr>
      <w:r>
        <w:rPr>
          <w:rFonts w:eastAsia="Arial" w:cs="Arial"/>
          <w:sz w:val="21"/>
          <w:szCs w:val="21"/>
        </w:rPr>
        <w:t>LMH License Documentation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LMH-1.01  Placement Assessment, Community Living Support Plan &amp; Cooperative Agreement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LMH-1.01  Placement Assessment, Community Living Support Plan &amp; Cooperative Agreement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Limited Mental Health</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 429.075, F.S.; Rule 59A-36.020, F.A.C.</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that, for each mental health resident, the Facility timely obtains the appropriate placement assessment, the community living support plan, and the cooperative agreement Florida requires.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For each mental health resident, the Facility shall obtain the department’s documentation of appropriate placement, a community living support plan, and a cooperative agreement with the mental health care provider, within the timeframes set by Section 429.075, F.S., and maintain them for inspection.</w:t>
      </w:r>
    </w:p>
    <w:p>
      <w:pPr>
        <w:pStyle w:val="Normal"/>
        <w:pBdr>
          <w:bottom w:val="single" w:sz="4" w:space="1" w:color="2E5E45"/>
        </w:pBdr>
        <w:spacing w:before="160" w:after="80"/>
        <w:rPr/>
      </w:pPr>
      <w:r>
        <w:rPr>
          <w:rFonts w:eastAsia="Arial" w:cs="Arial"/>
          <w:b/>
          <w:bCs/>
          <w:color w:val="1A4731"/>
          <w:sz w:val="20"/>
          <w:szCs w:val="20"/>
        </w:rPr>
        <w:t>PROCEDURE — PLACEMENT ASSESSMENT &amp; SUPPORT PLAN (WITHIN 72 HOURS)</w:t>
      </w:r>
    </w:p>
    <w:p>
      <w:pPr>
        <w:pStyle w:val="Normal"/>
        <w:tabs>
          <w:tab w:val="left" w:pos="720" w:leader="none"/>
        </w:tabs>
        <w:spacing w:lineRule="exact" w:line="264" w:before="0" w:after="80"/>
        <w:ind w:hanging="360" w:start="720"/>
        <w:rPr/>
      </w:pPr>
      <w:r>
        <w:rPr>
          <w:rFonts w:eastAsia="Arial" w:cs="Arial"/>
          <w:sz w:val="21"/>
          <w:szCs w:val="21"/>
        </w:rPr>
        <w:t>a. Within 72 hours after admission, have documentation provided by the department that the resident has been assessed and determined able to live in the community in an LMH facility, or written evidence that a request for that documentation was sent to the department.</w:t>
      </w:r>
    </w:p>
    <w:p>
      <w:pPr>
        <w:pStyle w:val="Normal"/>
        <w:tabs>
          <w:tab w:val="left" w:pos="720" w:leader="none"/>
        </w:tabs>
        <w:spacing w:lineRule="exact" w:line="264" w:before="0" w:after="80"/>
        <w:ind w:hanging="360" w:start="720"/>
        <w:rPr/>
      </w:pPr>
      <w:r>
        <w:rPr>
          <w:rFonts w:eastAsia="Arial" w:cs="Arial"/>
          <w:sz w:val="21"/>
          <w:szCs w:val="21"/>
        </w:rPr>
        <w:t>b. Within 72 hours after admission, have a copy of the resident’s community living support plan and the cooperative agreement, or written evidence that a request for them was sent to the Medicaid managed care plan or the managing entity under contract with DCF.</w:t>
      </w:r>
    </w:p>
    <w:p>
      <w:pPr>
        <w:pStyle w:val="Normal"/>
        <w:tabs>
          <w:tab w:val="left" w:pos="720" w:leader="none"/>
        </w:tabs>
        <w:spacing w:lineRule="exact" w:line="264" w:before="0" w:after="80"/>
        <w:ind w:hanging="360" w:start="720"/>
        <w:rPr/>
      </w:pPr>
      <w:r>
        <w:rPr>
          <w:rFonts w:eastAsia="Arial" w:cs="Arial"/>
          <w:sz w:val="21"/>
          <w:szCs w:val="21"/>
        </w:rPr>
        <w:t>c. The community living support plan and the cooperative agreement may be combined into a single document; where combined, ensure the mental health care provider also signs the plan.</w:t>
      </w:r>
    </w:p>
    <w:p>
      <w:pPr>
        <w:pStyle w:val="Normal"/>
        <w:tabs>
          <w:tab w:val="left" w:pos="720" w:leader="none"/>
        </w:tabs>
        <w:spacing w:lineRule="exact" w:line="264" w:before="0" w:after="80"/>
        <w:ind w:hanging="360" w:start="720"/>
        <w:rPr/>
      </w:pPr>
      <w:r>
        <w:rPr>
          <w:rFonts w:eastAsia="Arial" w:cs="Arial"/>
          <w:sz w:val="21"/>
          <w:szCs w:val="21"/>
        </w:rPr>
        <w:t>d. Make the community living support plan available for inspection by the resident, the resident’s legal guardian or health care surrogate, and others with lawful authority to review it.</w:t>
      </w:r>
    </w:p>
    <w:p>
      <w:pPr>
        <w:pStyle w:val="Normal"/>
        <w:pBdr>
          <w:bottom w:val="single" w:sz="4" w:space="1" w:color="2E5E45"/>
        </w:pBdr>
        <w:spacing w:before="160" w:after="80"/>
        <w:rPr/>
      </w:pPr>
      <w:r>
        <w:rPr>
          <w:rFonts w:eastAsia="Arial" w:cs="Arial"/>
          <w:b/>
          <w:bCs/>
          <w:color w:val="1A4731"/>
          <w:sz w:val="20"/>
          <w:szCs w:val="20"/>
        </w:rPr>
        <w:t>PROCEDURE — COOPERATIVE AGREEMENT (WITHIN 30 DAYS)</w:t>
      </w:r>
    </w:p>
    <w:p>
      <w:pPr>
        <w:pStyle w:val="Normal"/>
        <w:tabs>
          <w:tab w:val="left" w:pos="720" w:leader="none"/>
        </w:tabs>
        <w:spacing w:lineRule="exact" w:line="264" w:before="0" w:after="80"/>
        <w:ind w:hanging="360" w:start="720"/>
        <w:rPr/>
      </w:pPr>
      <w:r>
        <w:rPr>
          <w:rFonts w:eastAsia="Arial" w:cs="Arial"/>
          <w:sz w:val="21"/>
          <w:szCs w:val="21"/>
        </w:rPr>
        <w:t>e. Ensure the mental health care provider and the Facility administrator or designee prepare a written cooperative agreement within 30 days of the resident’s admission or receipt of the appropriate placement assessment, whichever is later.</w:t>
      </w:r>
    </w:p>
    <w:p>
      <w:pPr>
        <w:pStyle w:val="Normal"/>
        <w:tabs>
          <w:tab w:val="left" w:pos="720" w:leader="none"/>
        </w:tabs>
        <w:spacing w:lineRule="exact" w:line="264" w:before="0" w:after="80"/>
        <w:ind w:hanging="360" w:start="720"/>
        <w:rPr/>
      </w:pPr>
      <w:r>
        <w:rPr>
          <w:rFonts w:eastAsia="Arial" w:cs="Arial"/>
          <w:sz w:val="21"/>
          <w:szCs w:val="21"/>
        </w:rPr>
        <w:t>f. Ensure the cooperative agreement provides procedures and directions for accessing emergency and after-hours care, and that the provider furnishes the resident and the Facility a 24-hour emergency crisis telephone number.</w:t>
      </w:r>
    </w:p>
    <w:p>
      <w:pPr>
        <w:pStyle w:val="Normal"/>
        <w:tabs>
          <w:tab w:val="left" w:pos="720" w:leader="none"/>
        </w:tabs>
        <w:spacing w:lineRule="exact" w:line="264" w:before="0" w:after="80"/>
        <w:ind w:hanging="360" w:start="720"/>
        <w:rPr/>
      </w:pPr>
      <w:r>
        <w:rPr>
          <w:rFonts w:eastAsia="Arial" w:cs="Arial"/>
          <w:sz w:val="21"/>
          <w:szCs w:val="21"/>
        </w:rPr>
        <w:t>g. Ensure the cooperative agreement is signed by the administrator or designee and the mental health care provider (or a designated representative of a Medicaid prepaid health plan where applicable).</w:t>
      </w:r>
    </w:p>
    <w:p>
      <w:pPr>
        <w:pStyle w:val="Normal"/>
        <w:tabs>
          <w:tab w:val="left" w:pos="720" w:leader="none"/>
        </w:tabs>
        <w:spacing w:lineRule="exact" w:line="264" w:before="0" w:after="80"/>
        <w:ind w:hanging="360" w:start="720"/>
        <w:rPr/>
      </w:pPr>
      <w:r>
        <w:rPr>
          <w:rFonts w:eastAsia="Arial" w:cs="Arial"/>
          <w:sz w:val="21"/>
          <w:szCs w:val="21"/>
        </w:rPr>
        <w:t>h. Note that, for purposes of the LMH license, the private mental health provider may act as the resident’s case manager.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Appropriate Placement Assessment (department documentation)</w:t>
      </w:r>
    </w:p>
    <w:p>
      <w:pPr>
        <w:pStyle w:val="ListParagraph"/>
        <w:numPr>
          <w:ilvl w:val="0"/>
          <w:numId w:val="1"/>
        </w:numPr>
        <w:spacing w:lineRule="exact" w:line="264" w:before="0" w:after="60"/>
        <w:rPr/>
      </w:pPr>
      <w:r>
        <w:rPr>
          <w:rFonts w:eastAsia="Arial" w:cs="Arial"/>
          <w:sz w:val="21"/>
          <w:szCs w:val="21"/>
        </w:rPr>
        <w:t>Community Living Support Plan</w:t>
      </w:r>
    </w:p>
    <w:p>
      <w:pPr>
        <w:pStyle w:val="ListParagraph"/>
        <w:numPr>
          <w:ilvl w:val="0"/>
          <w:numId w:val="1"/>
        </w:numPr>
        <w:spacing w:lineRule="exact" w:line="264" w:before="0" w:after="60"/>
        <w:rPr/>
      </w:pPr>
      <w:r>
        <w:rPr>
          <w:rFonts w:eastAsia="Arial" w:cs="Arial"/>
          <w:sz w:val="21"/>
          <w:szCs w:val="21"/>
        </w:rPr>
        <w:t>Cooperative Agreement (24-hour crisis contact)</w:t>
      </w:r>
    </w:p>
    <w:p>
      <w:pPr>
        <w:pStyle w:val="ListParagraph"/>
        <w:numPr>
          <w:ilvl w:val="0"/>
          <w:numId w:val="1"/>
        </w:numPr>
        <w:spacing w:lineRule="exact" w:line="264" w:before="0" w:after="60"/>
        <w:rPr/>
      </w:pPr>
      <w:r>
        <w:rPr>
          <w:rFonts w:eastAsia="Arial" w:cs="Arial"/>
          <w:sz w:val="21"/>
          <w:szCs w:val="21"/>
        </w:rPr>
        <w:t>Request-to-Department / Managing Entity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LMH-1.02  LMH Staff Training &amp; Continuing Education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LMH-1.02  LMH Staff Training &amp; Continuing Education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Limited Mental Health</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 429.075, F.S.; Rule 59A-36.011, F.A.C.; s. 429.52,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administrator, managers, and staff who have direct contact with mental health residents complete the specialized mental health training and continuing education Florida requires.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ensure each administrator, manager, and staff member who has direct contact with mental health residents completes the DCF-provided or DCF-approved specialized mental health training and the required continuing education, and shall document completion in staff records.</w:t>
      </w:r>
    </w:p>
    <w:p>
      <w:pPr>
        <w:pStyle w:val="Normal"/>
        <w:pBdr>
          <w:bottom w:val="single" w:sz="4" w:space="1" w:color="2E5E45"/>
        </w:pBdr>
        <w:spacing w:before="160" w:after="80"/>
        <w:rPr/>
      </w:pPr>
      <w:r>
        <w:rPr>
          <w:rFonts w:eastAsia="Arial" w:cs="Arial"/>
          <w:b/>
          <w:bCs/>
          <w:color w:val="1A4731"/>
          <w:sz w:val="20"/>
          <w:szCs w:val="20"/>
        </w:rPr>
        <w:t>PROCEDURE — INITIAL TRAINING</w:t>
      </w:r>
    </w:p>
    <w:p>
      <w:pPr>
        <w:pStyle w:val="Normal"/>
        <w:tabs>
          <w:tab w:val="left" w:pos="720" w:leader="none"/>
        </w:tabs>
        <w:spacing w:lineRule="exact" w:line="264" w:before="0" w:after="80"/>
        <w:ind w:hanging="360" w:start="720"/>
        <w:rPr/>
      </w:pPr>
      <w:r>
        <w:rPr>
          <w:rFonts w:eastAsia="Arial" w:cs="Arial"/>
          <w:sz w:val="21"/>
          <w:szCs w:val="21"/>
        </w:rPr>
        <w:t>a. Ensure the administrator, managers, and staff with direct contact with mental health residents complete a minimum of 6 hours of specialized training in working with individuals with mental health diagnoses.</w:t>
      </w:r>
    </w:p>
    <w:p>
      <w:pPr>
        <w:pStyle w:val="Normal"/>
        <w:tabs>
          <w:tab w:val="left" w:pos="720" w:leader="none"/>
        </w:tabs>
        <w:spacing w:lineRule="exact" w:line="264" w:before="0" w:after="80"/>
        <w:ind w:hanging="360" w:start="720"/>
        <w:rPr/>
      </w:pPr>
      <w:r>
        <w:rPr>
          <w:rFonts w:eastAsia="Arial" w:cs="Arial"/>
          <w:sz w:val="21"/>
          <w:szCs w:val="21"/>
        </w:rPr>
        <w:t>b. Ensure the training is provided or approved by the Department of Children and Families and is taken within 6 months of the Facility receiving its LMH license, or within 6 months of the individual’s employment in the LMH facility.</w:t>
      </w:r>
    </w:p>
    <w:p>
      <w:pPr>
        <w:pStyle w:val="Normal"/>
        <w:tabs>
          <w:tab w:val="left" w:pos="720" w:leader="none"/>
        </w:tabs>
        <w:spacing w:lineRule="exact" w:line="264" w:before="0" w:after="80"/>
        <w:ind w:hanging="360" w:start="720"/>
        <w:rPr/>
      </w:pPr>
      <w:r>
        <w:rPr>
          <w:rFonts w:eastAsia="Arial" w:cs="Arial"/>
          <w:sz w:val="21"/>
          <w:szCs w:val="21"/>
        </w:rPr>
        <w:t>c. Note that this training may count once for 6 of the 12 hours of continuing education required for administrators and managers under Section 429.52(5), F.S.</w:t>
      </w:r>
    </w:p>
    <w:p>
      <w:pPr>
        <w:pStyle w:val="Normal"/>
        <w:pBdr>
          <w:bottom w:val="single" w:sz="4" w:space="1" w:color="2E5E45"/>
        </w:pBdr>
        <w:spacing w:before="160" w:after="80"/>
        <w:rPr/>
      </w:pPr>
      <w:r>
        <w:rPr>
          <w:rFonts w:eastAsia="Arial" w:cs="Arial"/>
          <w:b/>
          <w:bCs/>
          <w:color w:val="1A4731"/>
          <w:sz w:val="20"/>
          <w:szCs w:val="20"/>
        </w:rPr>
        <w:t>PROCEDURE — CONTINUING EDUCATION</w:t>
      </w:r>
    </w:p>
    <w:p>
      <w:pPr>
        <w:pStyle w:val="Normal"/>
        <w:tabs>
          <w:tab w:val="left" w:pos="720" w:leader="none"/>
        </w:tabs>
        <w:spacing w:lineRule="exact" w:line="264" w:before="0" w:after="80"/>
        <w:ind w:hanging="360" w:start="720"/>
        <w:rPr/>
      </w:pPr>
      <w:r>
        <w:rPr>
          <w:rFonts w:eastAsia="Arial" w:cs="Arial"/>
          <w:sz w:val="21"/>
          <w:szCs w:val="21"/>
        </w:rPr>
        <w:t>d. Ensure the applicable staff complete a minimum of 3 hours of continuing education biennially thereafter in subjects dealing with mental health topics, which may be provided by the ALF administrator, online, or through distance learning.</w:t>
      </w:r>
    </w:p>
    <w:p>
      <w:pPr>
        <w:pStyle w:val="Normal"/>
        <w:tabs>
          <w:tab w:val="left" w:pos="720" w:leader="none"/>
        </w:tabs>
        <w:spacing w:lineRule="exact" w:line="264" w:before="0" w:after="80"/>
        <w:ind w:hanging="360" w:start="720"/>
        <w:rPr/>
      </w:pPr>
      <w:r>
        <w:rPr>
          <w:rFonts w:eastAsia="Arial" w:cs="Arial"/>
          <w:sz w:val="21"/>
          <w:szCs w:val="21"/>
        </w:rPr>
        <w:t>e. Maintain documentation in each staff record that designated staff have completed the limited mental health training required by Rule 59A-36.011, F.A.C.</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LMH Specialized Training Record (6-hour initial)</w:t>
      </w:r>
    </w:p>
    <w:p>
      <w:pPr>
        <w:pStyle w:val="ListParagraph"/>
        <w:numPr>
          <w:ilvl w:val="0"/>
          <w:numId w:val="1"/>
        </w:numPr>
        <w:spacing w:lineRule="exact" w:line="264" w:before="0" w:after="60"/>
        <w:rPr/>
      </w:pPr>
      <w:r>
        <w:rPr>
          <w:rFonts w:eastAsia="Arial" w:cs="Arial"/>
          <w:sz w:val="21"/>
          <w:szCs w:val="21"/>
        </w:rPr>
        <w:t>LMH Continuing Education Log (3-hour biennial)</w:t>
      </w:r>
    </w:p>
    <w:p>
      <w:pPr>
        <w:pStyle w:val="ListParagraph"/>
        <w:numPr>
          <w:ilvl w:val="0"/>
          <w:numId w:val="1"/>
        </w:numPr>
        <w:spacing w:lineRule="exact" w:line="264" w:before="0" w:after="60"/>
        <w:rPr/>
      </w:pPr>
      <w:r>
        <w:rPr>
          <w:rFonts w:eastAsia="Arial" w:cs="Arial"/>
          <w:sz w:val="21"/>
          <w:szCs w:val="21"/>
        </w:rPr>
        <w:t>Staff Training Verification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LMH-1.03  Mental Health Resident Records &amp; Admission/Discharge Log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LMH-1.03  Mental Health Resident Records &amp; Admission/Discharge Log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Limited Mental Health</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59A-36.020, 59A-36.015, F.A.C.</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the records Florida requires for mental health residents, including the admission and discharge log and documentation of resident status and staff training.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an up-to-date admission and discharge log for all mental health residents, documentation that each mental health resident meets the statutory definition, and documentation of required staff training.</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Maintain an up-to-date admission and discharge log containing the names and dates of admission and discharge for all mental health residents; the general admission and discharge log may satisfy this requirement if all mental health residents are clearly identified.</w:t>
      </w:r>
    </w:p>
    <w:p>
      <w:pPr>
        <w:pStyle w:val="Normal"/>
        <w:tabs>
          <w:tab w:val="left" w:pos="720" w:leader="none"/>
        </w:tabs>
        <w:spacing w:lineRule="exact" w:line="264" w:before="0" w:after="80"/>
        <w:ind w:hanging="360" w:start="720"/>
        <w:rPr/>
      </w:pPr>
      <w:r>
        <w:rPr>
          <w:rFonts w:eastAsia="Arial" w:cs="Arial"/>
          <w:sz w:val="21"/>
          <w:szCs w:val="21"/>
        </w:rPr>
        <w:t>b. Maintain documentation, provided by a mental health care provider within 30 days of admission, that the resident is a mental health resident as defined in Section 394.4574, F.S., and receives the applicable SSDI/SSI and optional state supplementation.</w:t>
      </w:r>
    </w:p>
    <w:p>
      <w:pPr>
        <w:pStyle w:val="Normal"/>
        <w:tabs>
          <w:tab w:val="left" w:pos="720" w:leader="none"/>
        </w:tabs>
        <w:spacing w:lineRule="exact" w:line="264" w:before="0" w:after="80"/>
        <w:ind w:hanging="360" w:start="720"/>
        <w:rPr/>
      </w:pPr>
      <w:r>
        <w:rPr>
          <w:rFonts w:eastAsia="Arial" w:cs="Arial"/>
          <w:sz w:val="21"/>
          <w:szCs w:val="21"/>
        </w:rPr>
        <w:t>c. Maintain staff records documenting completion of the limited mental health training required by Rule 59A-36.011, F.A.C.</w:t>
      </w:r>
    </w:p>
    <w:p>
      <w:pPr>
        <w:pStyle w:val="Normal"/>
        <w:tabs>
          <w:tab w:val="left" w:pos="720" w:leader="none"/>
        </w:tabs>
        <w:spacing w:lineRule="exact" w:line="264" w:before="0" w:after="80"/>
        <w:ind w:hanging="360" w:start="720"/>
        <w:rPr/>
      </w:pPr>
      <w:r>
        <w:rPr>
          <w:rFonts w:eastAsia="Arial" w:cs="Arial"/>
          <w:sz w:val="21"/>
          <w:szCs w:val="21"/>
        </w:rPr>
        <w:t>d. Keep the community living support plan, cooperative agreement, and related documents in the resident record and available for inspection consistent with the standard manual’s records policy.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Mental Health Admission &amp; Discharge Log</w:t>
      </w:r>
    </w:p>
    <w:p>
      <w:pPr>
        <w:pStyle w:val="ListParagraph"/>
        <w:numPr>
          <w:ilvl w:val="0"/>
          <w:numId w:val="1"/>
        </w:numPr>
        <w:spacing w:lineRule="exact" w:line="264" w:before="0" w:after="60"/>
        <w:rPr/>
      </w:pPr>
      <w:r>
        <w:rPr>
          <w:rFonts w:eastAsia="Arial" w:cs="Arial"/>
          <w:sz w:val="21"/>
          <w:szCs w:val="21"/>
        </w:rPr>
        <w:t>Mental Health Resident Status Documentation</w:t>
      </w:r>
    </w:p>
    <w:p>
      <w:pPr>
        <w:pStyle w:val="ListParagraph"/>
        <w:numPr>
          <w:ilvl w:val="0"/>
          <w:numId w:val="1"/>
        </w:numPr>
        <w:spacing w:lineRule="exact" w:line="264" w:before="0" w:after="60"/>
        <w:rPr/>
      </w:pPr>
      <w:r>
        <w:rPr>
          <w:rFonts w:eastAsia="Arial" w:cs="Arial"/>
          <w:sz w:val="21"/>
          <w:szCs w:val="21"/>
        </w:rPr>
        <w:t>LMH Training Documentation (staff records)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 Notes &amp; Resources</w:t>
      </w:r>
    </w:p>
    <w:tbl>
      <w:tblPr>
        <w:tblW w:w="9360" w:type="dxa"/>
        <w:jc w:val="start"/>
        <w:tblInd w:w="0" w:type="dxa"/>
        <w:tblLayout w:type="fixed"/>
        <w:tblCellMar>
          <w:top w:w="120" w:type="dxa"/>
          <w:start w:w="200" w:type="dxa"/>
          <w:bottom w:w="120" w:type="dxa"/>
          <w:end w:w="160" w:type="dxa"/>
        </w:tblCellMar>
      </w:tblPr>
      <w:tblGrid>
        <w:gridCol w:w="9360"/>
      </w:tblGrid>
      <w:tr>
        <w:trPr/>
        <w:tc>
          <w:tcPr>
            <w:tcW w:w="9360" w:type="dxa"/>
            <w:tcBorders>
              <w:top w:val="single" w:sz="2" w:space="0" w:color="C9D6CE"/>
              <w:start w:val="single" w:sz="16" w:space="0" w:color="1A4731"/>
              <w:bottom w:val="single" w:sz="2" w:space="0" w:color="C9D6CE"/>
              <w:end w:val="single" w:sz="2" w:space="0" w:color="C9D6CE"/>
            </w:tcBorders>
            <w:shd w:fill="F1F5F2" w:val="clear"/>
          </w:tcPr>
          <w:p>
            <w:pPr>
              <w:pStyle w:val="Normal"/>
              <w:spacing w:before="0" w:after="40"/>
              <w:rPr/>
            </w:pPr>
            <w:r>
              <w:rPr>
                <w:rFonts w:eastAsia="Arial" w:cs="Arial"/>
                <w:b/>
                <w:bCs/>
                <w:color w:val="1A4731"/>
                <w:sz w:val="19"/>
                <w:szCs w:val="19"/>
              </w:rPr>
              <w:t>When you first open this file</w:t>
            </w:r>
          </w:p>
          <w:p>
            <w:pPr>
              <w:pStyle w:val="Normal"/>
              <w:rPr/>
            </w:pPr>
            <w:r>
              <w:rPr>
                <w:rFonts w:eastAsia="Arial" w:cs="Arial"/>
                <w:sz w:val="19"/>
                <w:szCs w:val="19"/>
              </w:rPr>
              <w:t xml:space="preserve">Microsoft Word may ask whether to update the fields in this document. Click </w:t>
            </w:r>
            <w:r>
              <w:rPr>
                <w:rFonts w:eastAsia="Arial" w:cs="Arial"/>
                <w:b/>
                <w:bCs/>
                <w:sz w:val="19"/>
                <w:szCs w:val="19"/>
              </w:rPr>
              <w:t>Yes</w:t>
            </w:r>
            <w:r>
              <w:rPr>
                <w:rFonts w:eastAsia="Arial" w:cs="Arial"/>
                <w:sz w:val="19"/>
                <w:szCs w:val="19"/>
              </w:rPr>
              <w:t xml:space="preserve"> — this fills in the Table of Contents with the correct page numbers. If you click No by accident, click anywhere in the Table of Contents and press </w:t>
            </w:r>
            <w:r>
              <w:rPr>
                <w:rFonts w:eastAsia="Arial" w:cs="Arial"/>
                <w:b/>
                <w:bCs/>
                <w:sz w:val="19"/>
                <w:szCs w:val="19"/>
              </w:rPr>
              <w:t>F9</w:t>
            </w:r>
            <w:r>
              <w:rPr>
                <w:rFonts w:eastAsia="Arial" w:cs="Arial"/>
                <w:sz w:val="19"/>
                <w:szCs w:val="19"/>
              </w:rPr>
              <w:t xml:space="preserve"> to update it.</w:t>
            </w:r>
          </w:p>
        </w:tc>
      </w:tr>
    </w:tbl>
    <w:p>
      <w:pPr>
        <w:pStyle w:val="Normal"/>
        <w:spacing w:lineRule="exact" w:line="288" w:before="160" w:after="120"/>
        <w:rPr/>
      </w:pPr>
      <w:r>
        <w:rPr>
          <w:rFonts w:eastAsia="Arial" w:cs="Arial"/>
          <w:sz w:val="21"/>
          <w:szCs w:val="21"/>
        </w:rPr>
        <w:t>Key references: Section 429.075, F.S. (Limited mental health license); Rule 59A-36.020, F.A.C. (Limited Mental Health); Rule 59A-36.011, F.A.C. (Staff Training); Rule 59A-36.015, F.A.C. (Records); Section 394.4574, F.S. (mental health resident). Partner agency: Florida Department of Children and Families (DCF). Licensing authority: Agency for Health Care Administration (AHCA), Assisted Living Unit. AHCA publishes a recommended combined Cooperative Agreement and Community Living Support Plan form.</w:t>
      </w:r>
    </w:p>
    <w:p>
      <w:pPr>
        <w:pStyle w:val="Normal"/>
        <w:spacing w:lineRule="exact" w:line="288" w:before="120" w:after="120"/>
        <w:rPr/>
      </w:pPr>
      <w:r>
        <w:rPr>
          <w:rFonts w:eastAsia="Arial" w:cs="Arial"/>
          <w:sz w:val="21"/>
          <w:szCs w:val="21"/>
        </w:rPr>
        <w:t>This add-on aligns to the Joint Commission Assisted Living Community framework at the level of structure and coverage and does not reproduce proprietary standard text. It does not constitute legal advice; the licensee remains responsible for compliance with all applicable requirements as they change over time.</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Florida — Assisted Living Facility Limited Mental Health (LMH) Add-On</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Florida — Assisted Living Facility Limited Mental Health (LMH) Add-On</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11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2026-07-01T12:08:36Z</dcterms:created>
  <dc:creator>PolicyReady.org</dc:creator>
  <dc:description/>
  <dc:language>en-US</dc:language>
  <cp:lastModifiedBy>Un-named</cp:lastModifiedBy>
  <dcterms:modified xsi:type="dcterms:W3CDTF">2026-07-01T12:08:36Z</dcterms:modified>
  <cp:revision>1</cp:revision>
  <dc:subject/>
  <dc:title>Florida ALF Limited Mental Health (LMH) Add-On</dc:title>
</cp:coreProperties>
</file>