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FLORIDA</w:t>
      </w:r>
    </w:p>
    <w:p>
      <w:pPr>
        <w:pStyle w:val="Normal"/>
        <w:pBdr>
          <w:bottom w:val="single" w:sz="18" w:space="8" w:color="1A4731"/>
        </w:pBdr>
        <w:spacing w:before="200" w:after="0"/>
        <w:jc w:val="center"/>
        <w:rPr/>
      </w:pPr>
      <w:r>
        <w:rPr>
          <w:rFonts w:eastAsia="Arial" w:cs="Arial"/>
          <w:b/>
          <w:bCs/>
          <w:color w:val="222222"/>
          <w:sz w:val="56"/>
          <w:szCs w:val="56"/>
        </w:rPr>
        <w:t>Policy &amp; Procedure Manual</w:t>
      </w:r>
    </w:p>
    <w:p>
      <w:pPr>
        <w:pStyle w:val="Normal"/>
        <w:spacing w:before="240" w:after="0"/>
        <w:jc w:val="center"/>
        <w:rPr/>
      </w:pPr>
      <w:r>
        <w:rPr>
          <w:rFonts w:eastAsia="Arial" w:cs="Arial"/>
          <w:color w:val="444444"/>
          <w:sz w:val="30"/>
          <w:szCs w:val="30"/>
        </w:rPr>
        <w:t>Assisted Living Facility — Standard License</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[AHCA License Number]</w:t>
      </w:r>
    </w:p>
    <w:p>
      <w:pPr>
        <w:pStyle w:val="Normal"/>
        <w:spacing w:before="1600" w:after="0"/>
        <w:jc w:val="center"/>
        <w:rPr/>
      </w:pPr>
      <w:r>
        <w:rPr>
          <w:rFonts w:eastAsia="Arial" w:cs="Arial"/>
          <w:color w:val="666666"/>
          <w:sz w:val="18"/>
          <w:szCs w:val="18"/>
        </w:rPr>
        <w:t>Aligned to Chapter 429, F.S., and Rule Chapter 59A-36, F.A.C.</w:t>
      </w:r>
    </w:p>
    <w:p>
      <w:pPr>
        <w:pStyle w:val="Normal"/>
        <w:spacing w:before="60" w:after="0"/>
        <w:jc w:val="center"/>
        <w:rPr/>
      </w:pPr>
      <w:r>
        <w:rPr>
          <w:rFonts w:eastAsia="Arial" w:cs="Arial"/>
          <w:color w:val="666666"/>
          <w:sz w:val="18"/>
          <w:szCs w:val="18"/>
        </w:rPr>
        <w:t>and the Joint Commission Assisted Living Community framework</w:t>
      </w:r>
    </w:p>
    <w:p>
      <w:pPr>
        <w:pStyle w:val="Normal"/>
        <w:spacing w:before="600" w:after="0"/>
        <w:jc w:val="center"/>
        <w:rPr/>
      </w:pPr>
      <w:r>
        <w:rPr>
          <w:rFonts w:eastAsia="Arial" w:cs="Arial"/>
          <w:color w:val="888888"/>
          <w:sz w:val="18"/>
          <w:szCs w:val="18"/>
        </w:rPr>
        <w:t>Effective Date: [Effective Date]</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Administration &amp; Governance</w:t>
      </w:r>
    </w:p>
    <w:p>
      <w:pPr>
        <w:pStyle w:val="Normal"/>
        <w:spacing w:lineRule="exact" w:line="288" w:before="0" w:after="240"/>
        <w:rPr/>
      </w:pPr>
      <w:r>
        <w:rPr>
          <w:rFonts w:eastAsia="Arial" w:cs="Arial"/>
          <w:color w:val="444444"/>
          <w:sz w:val="22"/>
          <w:szCs w:val="22"/>
        </w:rPr>
        <w:t>This section establishes how the Facility is governed and how it admits, protects, and resolves concerns for the residents it serves under its standard AHCA license. It covers appropriateness of placement and the Form 1823 health assessment, the resident rights guaranteed by s. 429.28, adverse incident reporting, resident funds, and land-use compliance.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1.00  Admission, Appropriateness of Placement &amp; Continued Residency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1.01  Resident Rights &amp; Grievance Procedures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1.02  Adverse Incident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1.03  Management of Resident Funds &amp; Property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1.04  Zoning &amp; Local Land Use Compliance</w:t>
      </w:r>
    </w:p>
    <w:p>
      <w:pPr>
        <w:pStyle w:val="Normal"/>
        <w:rPr/>
      </w:pPr>
      <w:r>
        <w:rPr/>
      </w:r>
      <w:r>
        <w:br w:type="page"/>
      </w:r>
    </w:p>
    <w:p>
      <w:pPr>
        <w:pStyle w:val="Heading2"/>
        <w:spacing w:before="0" w:after="120"/>
        <w:rPr/>
      </w:pPr>
      <w:r>
        <w:rPr>
          <w:rFonts w:eastAsia="Arial" w:cs="Arial" w:ascii="Arial" w:hAnsi="Arial"/>
          <w:b/>
          <w:bCs/>
          <w:color w:val="1A4731"/>
          <w:sz w:val="26"/>
          <w:szCs w:val="26"/>
        </w:rPr>
        <w:t>1.00  Admission, Appropriateness of Placement &amp; Continued Residency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1.00  Admission, Appropriateness of Placement &amp; Continued Residency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59A-36.006, F.A.C.; ss. 429.26, 429.28, F.S.; AHCA Form 1823</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establish the criteria and procedures by which the Facility determines whether an individual is appropriate for admission and continued residency, consistent with Rule 59A-36.006, F.A.C., and Section 429.26, F.S.</w:t>
      </w:r>
    </w:p>
    <w:p>
      <w:pPr>
        <w:pStyle w:val="Normal"/>
        <w:pBdr>
          <w:bottom w:val="single" w:sz="4" w:space="1" w:color="2E5E45"/>
        </w:pBdr>
        <w:spacing w:before="160" w:after="80"/>
        <w:rPr/>
      </w:pPr>
      <w:r>
        <w:rPr>
          <w:rFonts w:eastAsia="Arial" w:cs="Arial"/>
          <w:b/>
          <w:bCs/>
          <w:color w:val="1A4731"/>
          <w:sz w:val="20"/>
          <w:szCs w:val="20"/>
        </w:rPr>
        <w:t>SCOPE OF SERVICE</w:t>
      </w:r>
    </w:p>
    <w:p>
      <w:pPr>
        <w:pStyle w:val="Normal"/>
        <w:spacing w:lineRule="exact" w:line="276" w:before="0" w:after="120"/>
        <w:rPr/>
      </w:pPr>
      <w:r>
        <w:rPr>
          <w:rFonts w:eastAsia="Arial" w:cs="Arial"/>
          <w:sz w:val="21"/>
          <w:szCs w:val="21"/>
        </w:rPr>
        <w:t>This Facility holds a standard assisted living facility license issued by the Agency for Health Care Administration (AHCA) under Chapter 429, Part I, F.S., and Rule Chapter 59A-36, F.A.C. It provides housing, meals, personal services, and assistance with the activities of daily living and the self-administration of medication. A facility holding a specialty license (Limited Nursing Services, Limited Mental Health, or Extended Congregate Care) may provide the additional services authorized by that specialty; those services are addressed in the corresponding specialty add-on.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owner or administrator shall determine whether an individual is appropriate for admission based on the needs and preferences of the resident and the care and services the Facility offers. Each resident shall be examined by a physician or nurse practitioner and have a completed health assessment (AHCA Form 1823) documenting the resident’s needs.</w:t>
      </w:r>
    </w:p>
    <w:p>
      <w:pPr>
        <w:pStyle w:val="Normal"/>
        <w:pBdr>
          <w:bottom w:val="single" w:sz="4" w:space="1" w:color="2E5E45"/>
        </w:pBdr>
        <w:spacing w:before="160" w:after="80"/>
        <w:rPr/>
      </w:pPr>
      <w:r>
        <w:rPr>
          <w:rFonts w:eastAsia="Arial" w:cs="Arial"/>
          <w:b/>
          <w:bCs/>
          <w:color w:val="1A4731"/>
          <w:sz w:val="20"/>
          <w:szCs w:val="20"/>
        </w:rPr>
        <w:t>PROCEDURE — ADMISSION &amp; HEALTH ASSESSMENT</w:t>
      </w:r>
    </w:p>
    <w:p>
      <w:pPr>
        <w:pStyle w:val="Normal"/>
        <w:tabs>
          <w:tab w:val="left" w:pos="720" w:leader="none"/>
        </w:tabs>
        <w:spacing w:lineRule="exact" w:line="264" w:before="0" w:after="80"/>
        <w:ind w:hanging="360" w:start="720"/>
        <w:rPr/>
      </w:pPr>
      <w:r>
        <w:rPr>
          <w:rFonts w:eastAsia="Arial" w:cs="Arial"/>
          <w:sz w:val="21"/>
          <w:szCs w:val="21"/>
        </w:rPr>
        <w:t>a. Before or at admission, obtain a health assessment (AHCA Form 1823) completed by a physician, physician assistant, or advanced practice registered nurse; where completed before admission, ensure it was performed within the timeframe allowed by rule, and in all cases ensure the medical examination is documented within 30 days after admission.</w:t>
      </w:r>
    </w:p>
    <w:p>
      <w:pPr>
        <w:pStyle w:val="Normal"/>
        <w:tabs>
          <w:tab w:val="left" w:pos="720" w:leader="none"/>
        </w:tabs>
        <w:spacing w:lineRule="exact" w:line="264" w:before="0" w:after="80"/>
        <w:ind w:hanging="360" w:start="720"/>
        <w:rPr/>
      </w:pPr>
      <w:r>
        <w:rPr>
          <w:rFonts w:eastAsia="Arial" w:cs="Arial"/>
          <w:sz w:val="21"/>
          <w:szCs w:val="21"/>
        </w:rPr>
        <w:t>b. Determine appropriateness of placement based on the Form 1823 and the resident’s needs and preferences, confirming the Facility can meet those needs with the services it is licensed to provide.</w:t>
      </w:r>
    </w:p>
    <w:p>
      <w:pPr>
        <w:pStyle w:val="Normal"/>
        <w:tabs>
          <w:tab w:val="left" w:pos="720" w:leader="none"/>
        </w:tabs>
        <w:spacing w:lineRule="exact" w:line="264" w:before="0" w:after="80"/>
        <w:ind w:hanging="360" w:start="720"/>
        <w:rPr/>
      </w:pPr>
      <w:r>
        <w:rPr>
          <w:rFonts w:eastAsia="Arial" w:cs="Arial"/>
          <w:sz w:val="21"/>
          <w:szCs w:val="21"/>
        </w:rPr>
        <w:t>c. Execute a written residency agreement consistent with Section 429.24, F.S., describing the accommodations, services, and rates, and provide the resident a copy.</w:t>
      </w:r>
    </w:p>
    <w:p>
      <w:pPr>
        <w:pStyle w:val="Normal"/>
        <w:tabs>
          <w:tab w:val="left" w:pos="720" w:leader="none"/>
        </w:tabs>
        <w:spacing w:lineRule="exact" w:line="264" w:before="0" w:after="80"/>
        <w:ind w:hanging="360" w:start="720"/>
        <w:rPr/>
      </w:pPr>
      <w:r>
        <w:rPr>
          <w:rFonts w:eastAsia="Arial" w:cs="Arial"/>
          <w:sz w:val="21"/>
          <w:szCs w:val="21"/>
        </w:rPr>
        <w:t>d. Provide each resident, at or before admission, a copy of the resident’s rights under Section 429.28, F.S.</w:t>
      </w:r>
    </w:p>
    <w:p>
      <w:pPr>
        <w:pStyle w:val="Normal"/>
        <w:pBdr>
          <w:bottom w:val="single" w:sz="4" w:space="1" w:color="2E5E45"/>
        </w:pBdr>
        <w:spacing w:before="160" w:after="80"/>
        <w:rPr/>
      </w:pPr>
      <w:r>
        <w:rPr>
          <w:rFonts w:eastAsia="Arial" w:cs="Arial"/>
          <w:b/>
          <w:bCs/>
          <w:color w:val="1A4731"/>
          <w:sz w:val="20"/>
          <w:szCs w:val="20"/>
        </w:rPr>
        <w:t>PROCEDURE — CONTINUED RESIDENCY &amp; DISCHARGE</w:t>
      </w:r>
    </w:p>
    <w:p>
      <w:pPr>
        <w:pStyle w:val="Normal"/>
        <w:tabs>
          <w:tab w:val="left" w:pos="720" w:leader="none"/>
        </w:tabs>
        <w:spacing w:lineRule="exact" w:line="264" w:before="0" w:after="80"/>
        <w:ind w:hanging="360" w:start="720"/>
        <w:rPr/>
      </w:pPr>
      <w:r>
        <w:rPr>
          <w:rFonts w:eastAsia="Arial" w:cs="Arial"/>
          <w:sz w:val="21"/>
          <w:szCs w:val="21"/>
        </w:rPr>
        <w:t>e. Monitor each resident’s continued appropriateness for residency under the continued-residency criteria of Rule 59A-36.006, F.A.C., including the criteria that require a resident to be able to be cared for within the Facility’s licensed scope of service.</w:t>
      </w:r>
    </w:p>
    <w:p>
      <w:pPr>
        <w:pStyle w:val="Normal"/>
        <w:tabs>
          <w:tab w:val="left" w:pos="720" w:leader="none"/>
        </w:tabs>
        <w:spacing w:lineRule="exact" w:line="264" w:before="0" w:after="80"/>
        <w:ind w:hanging="360" w:start="720"/>
        <w:rPr/>
      </w:pPr>
      <w:r>
        <w:rPr>
          <w:rFonts w:eastAsia="Arial" w:cs="Arial"/>
          <w:sz w:val="21"/>
          <w:szCs w:val="21"/>
        </w:rPr>
        <w:t>f. Where a resident’s needs exceed what the Facility is licensed to provide (and cannot be met through a specialty license, third-party home health, or hospice), initiate relocation planning and provide notice consistent with Section 429.28, F.S.</w:t>
      </w:r>
    </w:p>
    <w:p>
      <w:pPr>
        <w:pStyle w:val="Normal"/>
        <w:tabs>
          <w:tab w:val="left" w:pos="720" w:leader="none"/>
        </w:tabs>
        <w:spacing w:lineRule="exact" w:line="264" w:before="0" w:after="80"/>
        <w:ind w:hanging="360" w:start="720"/>
        <w:rPr/>
      </w:pPr>
      <w:r>
        <w:rPr>
          <w:rFonts w:eastAsia="Arial" w:cs="Arial"/>
          <w:sz w:val="21"/>
          <w:szCs w:val="21"/>
        </w:rPr>
        <w:t>g. Coordinate any transfer or discharge with the resident, the resident’s representative, and the receiving provider, and document the basis for the discharge.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3"/>
        </w:numPr>
        <w:spacing w:lineRule="exact" w:line="264" w:before="0" w:after="60"/>
        <w:rPr/>
      </w:pPr>
      <w:r>
        <w:rPr>
          <w:rFonts w:eastAsia="Arial" w:cs="Arial"/>
          <w:sz w:val="21"/>
          <w:szCs w:val="21"/>
        </w:rPr>
        <w:t>AHCA Form 1823 — Resident Health Assessment</w:t>
      </w:r>
    </w:p>
    <w:p>
      <w:pPr>
        <w:pStyle w:val="ListParagraph"/>
        <w:numPr>
          <w:ilvl w:val="0"/>
          <w:numId w:val="1"/>
        </w:numPr>
        <w:spacing w:lineRule="exact" w:line="264" w:before="0" w:after="60"/>
        <w:rPr/>
      </w:pPr>
      <w:r>
        <w:rPr>
          <w:rFonts w:eastAsia="Arial" w:cs="Arial"/>
          <w:sz w:val="21"/>
          <w:szCs w:val="21"/>
        </w:rPr>
        <w:t>Residency Agreement (s. 429.24, F.S.)</w:t>
      </w:r>
    </w:p>
    <w:p>
      <w:pPr>
        <w:pStyle w:val="ListParagraph"/>
        <w:numPr>
          <w:ilvl w:val="0"/>
          <w:numId w:val="1"/>
        </w:numPr>
        <w:spacing w:lineRule="exact" w:line="264" w:before="0" w:after="60"/>
        <w:rPr/>
      </w:pPr>
      <w:r>
        <w:rPr>
          <w:rFonts w:eastAsia="Arial" w:cs="Arial"/>
          <w:sz w:val="21"/>
          <w:szCs w:val="21"/>
        </w:rPr>
        <w:t>Appropriateness of Placement / Continued Residency Review</w:t>
      </w:r>
    </w:p>
    <w:p>
      <w:pPr>
        <w:pStyle w:val="ListParagraph"/>
        <w:numPr>
          <w:ilvl w:val="0"/>
          <w:numId w:val="1"/>
        </w:numPr>
        <w:spacing w:lineRule="exact" w:line="264" w:before="0" w:after="60"/>
        <w:rPr/>
      </w:pPr>
      <w:r>
        <w:rPr>
          <w:rFonts w:eastAsia="Arial" w:cs="Arial"/>
          <w:sz w:val="21"/>
          <w:szCs w:val="21"/>
        </w:rPr>
        <w:t>Notice of Relocation / Discharge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1.01  Resident Rights &amp; Grievance Procedures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1.01  Resident Rights &amp; Grievance Procedures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429.28, F.S.; Rule 59A-36, F.A.C.; Long-Term Care Ombudsman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the rights of every resident as guaranteed by Section 429.28, F.S. (the Resident Bill of Rights), and to provide a process for raising and resolving grievances.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observe and protect the rights of each resident, post the rights and the Long-Term Care Ombudsman contact information conspicuously, and provide each resident a written copy at or before admission.</w:t>
      </w:r>
    </w:p>
    <w:p>
      <w:pPr>
        <w:pStyle w:val="Normal"/>
        <w:pBdr>
          <w:bottom w:val="single" w:sz="4" w:space="1" w:color="2E5E45"/>
        </w:pBdr>
        <w:spacing w:before="160" w:after="80"/>
        <w:rPr/>
      </w:pPr>
      <w:r>
        <w:rPr>
          <w:rFonts w:eastAsia="Arial" w:cs="Arial"/>
          <w:b/>
          <w:bCs/>
          <w:color w:val="1A4731"/>
          <w:sz w:val="20"/>
          <w:szCs w:val="20"/>
        </w:rPr>
        <w:t>PROCEDURE — RESIDENT RIGHTS</w:t>
      </w:r>
    </w:p>
    <w:p>
      <w:pPr>
        <w:pStyle w:val="Normal"/>
        <w:tabs>
          <w:tab w:val="left" w:pos="720" w:leader="none"/>
        </w:tabs>
        <w:spacing w:lineRule="exact" w:line="264" w:before="0" w:after="80"/>
        <w:ind w:hanging="360" w:start="720"/>
        <w:rPr/>
      </w:pPr>
      <w:r>
        <w:rPr>
          <w:rFonts w:eastAsia="Arial" w:cs="Arial"/>
          <w:sz w:val="21"/>
          <w:szCs w:val="21"/>
        </w:rPr>
        <w:t>a. Ensure each resident’s right to live in a safe and decent living environment, free from abuse and neglect.</w:t>
      </w:r>
    </w:p>
    <w:p>
      <w:pPr>
        <w:pStyle w:val="Normal"/>
        <w:tabs>
          <w:tab w:val="left" w:pos="720" w:leader="none"/>
        </w:tabs>
        <w:spacing w:lineRule="exact" w:line="264" w:before="0" w:after="80"/>
        <w:ind w:hanging="360" w:start="720"/>
        <w:rPr/>
      </w:pPr>
      <w:r>
        <w:rPr>
          <w:rFonts w:eastAsia="Arial" w:cs="Arial"/>
          <w:sz w:val="21"/>
          <w:szCs w:val="21"/>
        </w:rPr>
        <w:t>b. Ensure each resident is treated with consideration and respect and with due recognition of personal dignity, individuality, and the need for privacy.</w:t>
      </w:r>
    </w:p>
    <w:p>
      <w:pPr>
        <w:pStyle w:val="Normal"/>
        <w:tabs>
          <w:tab w:val="left" w:pos="720" w:leader="none"/>
        </w:tabs>
        <w:spacing w:lineRule="exact" w:line="264" w:before="0" w:after="80"/>
        <w:ind w:hanging="360" w:start="720"/>
        <w:rPr/>
      </w:pPr>
      <w:r>
        <w:rPr>
          <w:rFonts w:eastAsia="Arial" w:cs="Arial"/>
          <w:sz w:val="21"/>
          <w:szCs w:val="21"/>
        </w:rPr>
        <w:t>c. Ensure the right to retain and use personal possessions, to unrestricted private communication (including receiving and sending mail and reasonable access to a telephone), and to participate in social, religious, and community activities.</w:t>
      </w:r>
    </w:p>
    <w:p>
      <w:pPr>
        <w:pStyle w:val="Normal"/>
        <w:tabs>
          <w:tab w:val="left" w:pos="720" w:leader="none"/>
        </w:tabs>
        <w:spacing w:lineRule="exact" w:line="264" w:before="0" w:after="80"/>
        <w:ind w:hanging="360" w:start="720"/>
        <w:rPr/>
      </w:pPr>
      <w:r>
        <w:rPr>
          <w:rFonts w:eastAsia="Arial" w:cs="Arial"/>
          <w:sz w:val="21"/>
          <w:szCs w:val="21"/>
        </w:rPr>
        <w:t>d. Ensure the right to present grievances and recommend changes in policies and services without restraint, interference, coercion, discrimination, or reprisal.</w:t>
      </w:r>
    </w:p>
    <w:p>
      <w:pPr>
        <w:pStyle w:val="Normal"/>
        <w:tabs>
          <w:tab w:val="left" w:pos="720" w:leader="none"/>
        </w:tabs>
        <w:spacing w:lineRule="exact" w:line="264" w:before="0" w:after="80"/>
        <w:ind w:hanging="360" w:start="720"/>
        <w:rPr/>
      </w:pPr>
      <w:r>
        <w:rPr>
          <w:rFonts w:eastAsia="Arial" w:cs="Arial"/>
          <w:sz w:val="21"/>
          <w:szCs w:val="21"/>
        </w:rPr>
        <w:t>e. Ensure the right to at least 45 days’ notice of relocation or termination of residency, except in the circumstances specified in Section 429.28, F.S., and the right to access the Long-Term Care Ombudsman.</w:t>
      </w:r>
    </w:p>
    <w:p>
      <w:pPr>
        <w:pStyle w:val="Normal"/>
        <w:pBdr>
          <w:bottom w:val="single" w:sz="4" w:space="1" w:color="2E5E45"/>
        </w:pBdr>
        <w:spacing w:before="160" w:after="80"/>
        <w:rPr/>
      </w:pPr>
      <w:r>
        <w:rPr>
          <w:rFonts w:eastAsia="Arial" w:cs="Arial"/>
          <w:b/>
          <w:bCs/>
          <w:color w:val="1A4731"/>
          <w:sz w:val="20"/>
          <w:szCs w:val="20"/>
        </w:rPr>
        <w:t>PROCEDURE — GRIEVANCES</w:t>
      </w:r>
    </w:p>
    <w:p>
      <w:pPr>
        <w:pStyle w:val="Normal"/>
        <w:tabs>
          <w:tab w:val="left" w:pos="720" w:leader="none"/>
        </w:tabs>
        <w:spacing w:lineRule="exact" w:line="264" w:before="0" w:after="80"/>
        <w:ind w:hanging="360" w:start="720"/>
        <w:rPr/>
      </w:pPr>
      <w:r>
        <w:rPr>
          <w:rFonts w:eastAsia="Arial" w:cs="Arial"/>
          <w:sz w:val="21"/>
          <w:szCs w:val="21"/>
        </w:rPr>
        <w:t>f. Provide residents and representatives a documented method to present a grievance, and post the statewide toll-free number for the Long-Term Care Ombudsman and for central abuse reporting.</w:t>
      </w:r>
    </w:p>
    <w:p>
      <w:pPr>
        <w:pStyle w:val="Normal"/>
        <w:tabs>
          <w:tab w:val="left" w:pos="720" w:leader="none"/>
        </w:tabs>
        <w:spacing w:lineRule="exact" w:line="264" w:before="0" w:after="80"/>
        <w:ind w:hanging="360" w:start="720"/>
        <w:rPr/>
      </w:pPr>
      <w:r>
        <w:rPr>
          <w:rFonts w:eastAsia="Arial" w:cs="Arial"/>
          <w:sz w:val="21"/>
          <w:szCs w:val="21"/>
        </w:rPr>
        <w:t>g. Document each grievance, the investigation, and the resolution, and communicate the outcome to the resident.</w:t>
      </w:r>
    </w:p>
    <w:p>
      <w:pPr>
        <w:pStyle w:val="Normal"/>
        <w:tabs>
          <w:tab w:val="left" w:pos="720" w:leader="none"/>
        </w:tabs>
        <w:spacing w:lineRule="exact" w:line="264" w:before="0" w:after="80"/>
        <w:ind w:hanging="360" w:start="720"/>
        <w:rPr/>
      </w:pPr>
      <w:r>
        <w:rPr>
          <w:rFonts w:eastAsia="Arial" w:cs="Arial"/>
          <w:sz w:val="21"/>
          <w:szCs w:val="21"/>
        </w:rPr>
        <w:t>h. Do not retaliate against any resident who presents a grievance or contacts the Ombudsman.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Bill of Rights (s. 429.28)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1.02  Adverse Incident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1.02  Adverse Incident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429.23, F.S.; Rule 59A-36, F.A.C.; ss. 408.809, 429.28,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adverse incidents involving residents are identified, investigated, and reported to AHCA within the required timeframes.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report adverse incidents to the Agency for Health Care Administration as required by Section 429.23, F.S., and applicable rule, and shall maintain documentation of each incident and the Facility’s investigation.</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and respond to adverse incidents, protecting the resident’s immediate health and safety.</w:t>
      </w:r>
    </w:p>
    <w:p>
      <w:pPr>
        <w:pStyle w:val="Normal"/>
        <w:tabs>
          <w:tab w:val="left" w:pos="720" w:leader="none"/>
        </w:tabs>
        <w:spacing w:lineRule="exact" w:line="264" w:before="0" w:after="80"/>
        <w:ind w:hanging="360" w:start="720"/>
        <w:rPr/>
      </w:pPr>
      <w:r>
        <w:rPr>
          <w:rFonts w:eastAsia="Arial" w:cs="Arial"/>
          <w:sz w:val="21"/>
          <w:szCs w:val="21"/>
        </w:rPr>
        <w:t>b. Submit a preliminary adverse incident report to AHCA within the timeframe allowed by law (as provided by statute for preliminary reports), and submit a full report, including the results of the Facility’s investigation, within 15 days.</w:t>
      </w:r>
    </w:p>
    <w:p>
      <w:pPr>
        <w:pStyle w:val="Normal"/>
        <w:tabs>
          <w:tab w:val="left" w:pos="720" w:leader="none"/>
        </w:tabs>
        <w:spacing w:lineRule="exact" w:line="264" w:before="0" w:after="80"/>
        <w:ind w:hanging="360" w:start="720"/>
        <w:rPr/>
      </w:pPr>
      <w:r>
        <w:rPr>
          <w:rFonts w:eastAsia="Arial" w:cs="Arial"/>
          <w:sz w:val="21"/>
          <w:szCs w:val="21"/>
        </w:rPr>
        <w:t>c. Document the incident, the investigation, the individuals involved, and the corrective action taken.</w:t>
      </w:r>
    </w:p>
    <w:p>
      <w:pPr>
        <w:pStyle w:val="Normal"/>
        <w:tabs>
          <w:tab w:val="left" w:pos="720" w:leader="none"/>
        </w:tabs>
        <w:spacing w:lineRule="exact" w:line="264" w:before="0" w:after="80"/>
        <w:ind w:hanging="360" w:start="720"/>
        <w:rPr/>
      </w:pPr>
      <w:r>
        <w:rPr>
          <w:rFonts w:eastAsia="Arial" w:cs="Arial"/>
          <w:sz w:val="21"/>
          <w:szCs w:val="21"/>
        </w:rPr>
        <w:t>d. Report suspected abuse, neglect, or exploitation to the Florida Abuse Hotline as required by Chapter 415, F.S., in addition to any adverse incident reporting.</w:t>
      </w:r>
    </w:p>
    <w:p>
      <w:pPr>
        <w:pStyle w:val="Normal"/>
        <w:tabs>
          <w:tab w:val="left" w:pos="720" w:leader="none"/>
        </w:tabs>
        <w:spacing w:lineRule="exact" w:line="264" w:before="0" w:after="80"/>
        <w:ind w:hanging="360" w:start="720"/>
        <w:rPr/>
      </w:pPr>
      <w:r>
        <w:rPr>
          <w:rFonts w:eastAsia="Arial" w:cs="Arial"/>
          <w:sz w:val="21"/>
          <w:szCs w:val="21"/>
        </w:rPr>
        <w:t>e. Review adverse incidents through the quality improvement process to identify and address patterns.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Adverse Incident Report (preliminary and full)</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1.03  Management of Resident Funds &amp; Property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1.03  Management of Resident Funds &amp; Property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429.27, F.S.; Rule 59A-36,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safeguard resident funds and personal property where the Facility manages or holds them, consistent with Section 429.27, F.S.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not required to manage resident funds. Where the Facility holds or manages a resident’s funds or property, it shall do so under written authorization, maintain records, and provide surety bond coverage as required by Section 429.27, F.S.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Obtain written authorization before receiving, holding, or managing any resident funds or property, and maintain a written record of all funds and property received.</w:t>
      </w:r>
    </w:p>
    <w:p>
      <w:pPr>
        <w:pStyle w:val="Normal"/>
        <w:tabs>
          <w:tab w:val="left" w:pos="720" w:leader="none"/>
        </w:tabs>
        <w:spacing w:lineRule="exact" w:line="264" w:before="0" w:after="80"/>
        <w:ind w:hanging="360" w:start="720"/>
        <w:rPr/>
      </w:pPr>
      <w:r>
        <w:rPr>
          <w:rFonts w:eastAsia="Arial" w:cs="Arial"/>
          <w:sz w:val="21"/>
          <w:szCs w:val="21"/>
        </w:rPr>
        <w:t>b. Maintain a surety bond as required by Section 429.27, F.S., when the Facility holds resident funds, in the amount required for the funds held.</w:t>
      </w:r>
    </w:p>
    <w:p>
      <w:pPr>
        <w:pStyle w:val="Normal"/>
        <w:tabs>
          <w:tab w:val="left" w:pos="720" w:leader="none"/>
        </w:tabs>
        <w:spacing w:lineRule="exact" w:line="264" w:before="0" w:after="80"/>
        <w:ind w:hanging="360" w:start="720"/>
        <w:rPr/>
      </w:pPr>
      <w:r>
        <w:rPr>
          <w:rFonts w:eastAsia="Arial" w:cs="Arial"/>
          <w:sz w:val="21"/>
          <w:szCs w:val="21"/>
        </w:rPr>
        <w:t>c. Maintain a separate accounting for each resident, record each deposit and disbursement with supporting documentation, and keep resident funds separate from Facility operating funds.</w:t>
      </w:r>
    </w:p>
    <w:p>
      <w:pPr>
        <w:pStyle w:val="Normal"/>
        <w:tabs>
          <w:tab w:val="left" w:pos="720" w:leader="none"/>
        </w:tabs>
        <w:spacing w:lineRule="exact" w:line="264" w:before="0" w:after="80"/>
        <w:ind w:hanging="360" w:start="720"/>
        <w:rPr/>
      </w:pPr>
      <w:r>
        <w:rPr>
          <w:rFonts w:eastAsia="Arial" w:cs="Arial"/>
          <w:sz w:val="21"/>
          <w:szCs w:val="21"/>
        </w:rPr>
        <w:t>d. Provide the resident or representative access to the accounting on request, and return all funds and property with a final accounting upon discharge or death.</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Funds Authorization</w:t>
      </w:r>
    </w:p>
    <w:p>
      <w:pPr>
        <w:pStyle w:val="ListParagraph"/>
        <w:numPr>
          <w:ilvl w:val="0"/>
          <w:numId w:val="1"/>
        </w:numPr>
        <w:spacing w:lineRule="exact" w:line="264" w:before="0" w:after="60"/>
        <w:rPr/>
      </w:pPr>
      <w:r>
        <w:rPr>
          <w:rFonts w:eastAsia="Arial" w:cs="Arial"/>
          <w:sz w:val="21"/>
          <w:szCs w:val="21"/>
        </w:rPr>
        <w:t>Individual Funds &amp; Property Ledger</w:t>
      </w:r>
    </w:p>
    <w:p>
      <w:pPr>
        <w:pStyle w:val="ListParagraph"/>
        <w:numPr>
          <w:ilvl w:val="0"/>
          <w:numId w:val="1"/>
        </w:numPr>
        <w:spacing w:lineRule="exact" w:line="264" w:before="0" w:after="60"/>
        <w:rPr/>
      </w:pPr>
      <w:r>
        <w:rPr>
          <w:rFonts w:eastAsia="Arial" w:cs="Arial"/>
          <w:sz w:val="21"/>
          <w:szCs w:val="21"/>
        </w:rPr>
        <w:t>Surety Bond Documentation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1.04  Zoning &amp; Local Land Use Compliance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1.04  Zoning &amp; Local Land Use Compliance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Administration &amp; Governance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Local zoning / land use code; ch. 419, F.S. (community residential homes)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operates in a location and use classification permitted under applicable local land use regulations, in addition to its AHCA license.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An AHCA license does not by itself authorize operation at a given location. The Facility shall confirm that its use is permitted under the applicable local zoning and land use code and shall retain documentation of that confirmation. For qualifying community residential homes, Chapter 419, F.S., addresses siting and local zoning treatment.</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Identify the property’s zone district and confirm whether an assisted living facility of the intended size is a permitted or conditional use through the local city or county land use code, considering Chapter 419, F.S., where applicable.</w:t>
      </w:r>
    </w:p>
    <w:p>
      <w:pPr>
        <w:pStyle w:val="Normal"/>
        <w:tabs>
          <w:tab w:val="left" w:pos="720" w:leader="none"/>
        </w:tabs>
        <w:spacing w:lineRule="exact" w:line="264" w:before="0" w:after="80"/>
        <w:ind w:hanging="360" w:start="720"/>
        <w:rPr/>
      </w:pPr>
      <w:r>
        <w:rPr>
          <w:rFonts w:eastAsia="Arial" w:cs="Arial"/>
          <w:sz w:val="21"/>
          <w:szCs w:val="21"/>
        </w:rPr>
        <w:t>b. Request a zoning verification with the local planning department before establishing or relocating the Facility, and confirm any conditional use approval, parking, and dimensional standards.</w:t>
      </w:r>
    </w:p>
    <w:p>
      <w:pPr>
        <w:pStyle w:val="Normal"/>
        <w:tabs>
          <w:tab w:val="left" w:pos="720" w:leader="none"/>
        </w:tabs>
        <w:spacing w:lineRule="exact" w:line="264" w:before="0" w:after="80"/>
        <w:ind w:hanging="360" w:start="720"/>
        <w:rPr/>
      </w:pPr>
      <w:r>
        <w:rPr>
          <w:rFonts w:eastAsia="Arial" w:cs="Arial"/>
          <w:sz w:val="21"/>
          <w:szCs w:val="21"/>
        </w:rPr>
        <w:t>c. Confirm the building, fire, and life-safety occupancy basis for the Facility with the local building and fire authorities, consistent with the Facility’s licensed capacity.</w:t>
      </w:r>
    </w:p>
    <w:p>
      <w:pPr>
        <w:pStyle w:val="Normal"/>
        <w:tabs>
          <w:tab w:val="left" w:pos="720" w:leader="none"/>
        </w:tabs>
        <w:spacing w:lineRule="exact" w:line="264" w:before="0" w:after="80"/>
        <w:ind w:hanging="360" w:start="720"/>
        <w:rPr/>
      </w:pPr>
      <w:r>
        <w:rPr>
          <w:rFonts w:eastAsia="Arial" w:cs="Arial"/>
          <w:sz w:val="21"/>
          <w:szCs w:val="21"/>
        </w:rPr>
        <w:t>d. Retain written confirmation of zoning and use classification in the Facility’s administrative records.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Zoning / Use Classification Confirmation (retained correspondence)</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Personnel &amp; Training</w:t>
      </w:r>
    </w:p>
    <w:p>
      <w:pPr>
        <w:pStyle w:val="Normal"/>
        <w:spacing w:lineRule="exact" w:line="288" w:before="0" w:after="240"/>
        <w:rPr/>
      </w:pPr>
      <w:r>
        <w:rPr>
          <w:rFonts w:eastAsia="Arial" w:cs="Arial"/>
          <w:color w:val="444444"/>
          <w:sz w:val="22"/>
          <w:szCs w:val="22"/>
        </w:rPr>
        <w:t>This section sets the requirements for who provides care and how they are prepared to do it — Level 2 background screening through the AHCA Clearinghouse, health documentation, assisted living core training and required in-service education, demonstrated competency, and the qualifications of the administrator.</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2.00  Personnel &amp; Level 2 Background Screening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2.01  Staff Training, In-Service Education &amp; Competency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2.02  Administrator Qualifications &amp; Responsibilities</w:t>
      </w:r>
    </w:p>
    <w:p>
      <w:pPr>
        <w:pStyle w:val="Normal"/>
        <w:rPr/>
      </w:pPr>
      <w:r>
        <w:rPr/>
      </w:r>
      <w:r>
        <w:br w:type="page"/>
      </w:r>
    </w:p>
    <w:p>
      <w:pPr>
        <w:pStyle w:val="Heading2"/>
        <w:spacing w:before="0" w:after="120"/>
        <w:rPr/>
      </w:pPr>
      <w:r>
        <w:rPr>
          <w:rFonts w:eastAsia="Arial" w:cs="Arial" w:ascii="Arial" w:hAnsi="Arial"/>
          <w:b/>
          <w:bCs/>
          <w:color w:val="1A4731"/>
          <w:sz w:val="26"/>
          <w:szCs w:val="26"/>
        </w:rPr>
        <w:t>2.00  Personnel &amp; Level 2 Background Screening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2.00  Personnel &amp; Level 2 Background Screening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ss. 408.809, 429.174, F.S.; ch. 435,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every individual who provides personal services or has regular contact with residents is screened and suitable to work with residents, through Level 2 background screening and required health documentation.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owner, administrator, staff member, and other individual subject to screening completes Level 2 background screening under Chapter 435 and Section 408.809, F.S., before providing services, and meets the health documentation requirements of the rule.</w:t>
      </w:r>
    </w:p>
    <w:p>
      <w:pPr>
        <w:pStyle w:val="Normal"/>
        <w:pBdr>
          <w:bottom w:val="single" w:sz="4" w:space="1" w:color="2E5E45"/>
        </w:pBdr>
        <w:spacing w:before="160" w:after="80"/>
        <w:rPr/>
      </w:pPr>
      <w:r>
        <w:rPr>
          <w:rFonts w:eastAsia="Arial" w:cs="Arial"/>
          <w:b/>
          <w:bCs/>
          <w:color w:val="1A4731"/>
          <w:sz w:val="20"/>
          <w:szCs w:val="20"/>
        </w:rPr>
        <w:t>PROCEDURE — BACKGROUND SCREENING</w:t>
      </w:r>
    </w:p>
    <w:p>
      <w:pPr>
        <w:pStyle w:val="Normal"/>
        <w:tabs>
          <w:tab w:val="left" w:pos="720" w:leader="none"/>
        </w:tabs>
        <w:spacing w:lineRule="exact" w:line="264" w:before="0" w:after="80"/>
        <w:ind w:hanging="360" w:start="720"/>
        <w:rPr/>
      </w:pPr>
      <w:r>
        <w:rPr>
          <w:rFonts w:eastAsia="Arial" w:cs="Arial"/>
          <w:sz w:val="21"/>
          <w:szCs w:val="21"/>
        </w:rPr>
        <w:t>a. Complete Level 2 background screening (fingerprint-based state and national criminal history) for each individual required to be screened under Sections 408.809 and 429.174, F.S., before the individual begins providing services or has contact with residents.</w:t>
      </w:r>
    </w:p>
    <w:p>
      <w:pPr>
        <w:pStyle w:val="Normal"/>
        <w:tabs>
          <w:tab w:val="left" w:pos="720" w:leader="none"/>
        </w:tabs>
        <w:spacing w:lineRule="exact" w:line="264" w:before="0" w:after="80"/>
        <w:ind w:hanging="360" w:start="720"/>
        <w:rPr/>
      </w:pPr>
      <w:r>
        <w:rPr>
          <w:rFonts w:eastAsia="Arial" w:cs="Arial"/>
          <w:sz w:val="21"/>
          <w:szCs w:val="21"/>
        </w:rPr>
        <w:t>b. Verify eligibility through the AHCA Clearinghouse and maintain results in the individual’s personnel record, rescreening as required by law.</w:t>
      </w:r>
    </w:p>
    <w:p>
      <w:pPr>
        <w:pStyle w:val="Normal"/>
        <w:tabs>
          <w:tab w:val="left" w:pos="720" w:leader="none"/>
        </w:tabs>
        <w:spacing w:lineRule="exact" w:line="264" w:before="0" w:after="80"/>
        <w:ind w:hanging="360" w:start="720"/>
        <w:rPr/>
      </w:pPr>
      <w:r>
        <w:rPr>
          <w:rFonts w:eastAsia="Arial" w:cs="Arial"/>
          <w:sz w:val="21"/>
          <w:szCs w:val="21"/>
        </w:rPr>
        <w:t>c. Do not employ or retain any individual who does not meet the screening standards of Chapter 435, F.S., absent an exemption granted as provided by law.</w:t>
      </w:r>
    </w:p>
    <w:p>
      <w:pPr>
        <w:pStyle w:val="Normal"/>
        <w:pBdr>
          <w:bottom w:val="single" w:sz="4" w:space="1" w:color="2E5E45"/>
        </w:pBdr>
        <w:spacing w:before="160" w:after="80"/>
        <w:rPr/>
      </w:pPr>
      <w:r>
        <w:rPr>
          <w:rFonts w:eastAsia="Arial" w:cs="Arial"/>
          <w:b/>
          <w:bCs/>
          <w:color w:val="1A4731"/>
          <w:sz w:val="20"/>
          <w:szCs w:val="20"/>
        </w:rPr>
        <w:t>PROCEDURE — HEALTH &amp; PERSONNEL RECORDS</w:t>
      </w:r>
    </w:p>
    <w:p>
      <w:pPr>
        <w:pStyle w:val="Normal"/>
        <w:tabs>
          <w:tab w:val="left" w:pos="720" w:leader="none"/>
        </w:tabs>
        <w:spacing w:lineRule="exact" w:line="264" w:before="0" w:after="80"/>
        <w:ind w:hanging="360" w:start="720"/>
        <w:rPr/>
      </w:pPr>
      <w:r>
        <w:rPr>
          <w:rFonts w:eastAsia="Arial" w:cs="Arial"/>
          <w:sz w:val="21"/>
          <w:szCs w:val="21"/>
        </w:rPr>
        <w:t>d. Obtain documentation that each staff member is free of communicable disease, including tuberculosis screening as required.</w:t>
      </w:r>
    </w:p>
    <w:p>
      <w:pPr>
        <w:pStyle w:val="Normal"/>
        <w:tabs>
          <w:tab w:val="left" w:pos="720" w:leader="none"/>
        </w:tabs>
        <w:spacing w:lineRule="exact" w:line="264" w:before="0" w:after="80"/>
        <w:ind w:hanging="360" w:start="720"/>
        <w:rPr/>
      </w:pPr>
      <w:r>
        <w:rPr>
          <w:rFonts w:eastAsia="Arial" w:cs="Arial"/>
          <w:sz w:val="21"/>
          <w:szCs w:val="21"/>
        </w:rPr>
        <w:t>e. Maintain a personnel record for each individual that includes job description, qualifications, screening results, required training and in-service documentation, and health documentation.</w:t>
      </w:r>
    </w:p>
    <w:p>
      <w:pPr>
        <w:pStyle w:val="Normal"/>
        <w:tabs>
          <w:tab w:val="left" w:pos="720" w:leader="none"/>
        </w:tabs>
        <w:spacing w:lineRule="exact" w:line="264" w:before="0" w:after="80"/>
        <w:ind w:hanging="360" w:start="720"/>
        <w:rPr/>
      </w:pPr>
      <w:r>
        <w:rPr>
          <w:rFonts w:eastAsia="Arial" w:cs="Arial"/>
          <w:sz w:val="21"/>
          <w:szCs w:val="21"/>
        </w:rPr>
        <w:t>f. Ensure first aid and CPR coverage is available in the Facility as required by rule.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Level 2 Screening / Clearinghouse Record</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2.01  Staff Training, In-Service Education &amp; Competency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2.01  Staff Training, In-Service Education &amp; Competency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59A-36.011, F.A.C.; s. 429.52,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complete the pre-service and in-service training Florida requires for assisted living facility personnel, and demonstrate competency in their duties, consistent with Rule 59A-36.011, F.A.C., and Section 429.52, F.S.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ensure each staff member completes required orientation and training within the timeframes set by rule, completes the required annual in-service (continuing) education, and demonstrates competency before performing assigned duties.</w:t>
      </w:r>
    </w:p>
    <w:p>
      <w:pPr>
        <w:pStyle w:val="Normal"/>
        <w:pBdr>
          <w:bottom w:val="single" w:sz="4" w:space="1" w:color="2E5E45"/>
        </w:pBdr>
        <w:spacing w:before="160" w:after="80"/>
        <w:rPr/>
      </w:pPr>
      <w:r>
        <w:rPr>
          <w:rFonts w:eastAsia="Arial" w:cs="Arial"/>
          <w:b/>
          <w:bCs/>
          <w:color w:val="1A4731"/>
          <w:sz w:val="20"/>
          <w:szCs w:val="20"/>
        </w:rPr>
        <w:t>PROCEDURE — REQUIRED TRAINING</w:t>
      </w:r>
    </w:p>
    <w:p>
      <w:pPr>
        <w:pStyle w:val="Normal"/>
        <w:tabs>
          <w:tab w:val="left" w:pos="720" w:leader="none"/>
        </w:tabs>
        <w:spacing w:lineRule="exact" w:line="264" w:before="0" w:after="80"/>
        <w:ind w:hanging="360" w:start="720"/>
        <w:rPr/>
      </w:pPr>
      <w:r>
        <w:rPr>
          <w:rFonts w:eastAsia="Arial" w:cs="Arial"/>
          <w:sz w:val="21"/>
          <w:szCs w:val="21"/>
        </w:rPr>
        <w:t>a. Provide new staff orientation covering resident rights, recognizing and reporting abuse/neglect/exploitation, emergency procedures, infection control and hand hygiene, and hazardous chemical safety and the location of Safety Data Sheets, before the staff member has unsupervised contact with residents.</w:t>
      </w:r>
    </w:p>
    <w:p>
      <w:pPr>
        <w:pStyle w:val="Normal"/>
        <w:tabs>
          <w:tab w:val="left" w:pos="720" w:leader="none"/>
        </w:tabs>
        <w:spacing w:lineRule="exact" w:line="264" w:before="0" w:after="80"/>
        <w:ind w:hanging="360" w:start="720"/>
        <w:rPr/>
      </w:pPr>
      <w:r>
        <w:rPr>
          <w:rFonts w:eastAsia="Arial" w:cs="Arial"/>
          <w:sz w:val="21"/>
          <w:szCs w:val="21"/>
        </w:rPr>
        <w:t>b. Ensure staff who assist with the self-administration of medication complete the required training and annual continuing education (see the Medication Practices policy).</w:t>
      </w:r>
    </w:p>
    <w:p>
      <w:pPr>
        <w:pStyle w:val="Normal"/>
        <w:tabs>
          <w:tab w:val="left" w:pos="720" w:leader="none"/>
        </w:tabs>
        <w:spacing w:lineRule="exact" w:line="264" w:before="0" w:after="80"/>
        <w:ind w:hanging="360" w:start="720"/>
        <w:rPr/>
      </w:pPr>
      <w:r>
        <w:rPr>
          <w:rFonts w:eastAsia="Arial" w:cs="Arial"/>
          <w:sz w:val="21"/>
          <w:szCs w:val="21"/>
        </w:rPr>
        <w:t>c. Ensure staff complete the assisted living core training and examination requirements applicable to their role and the required annual in-service education (including topics such as resident rights, elopement/wandering, do-not-resuscitate orders, and other rule-specified subjects) within the timeframes set by rule.</w:t>
      </w:r>
    </w:p>
    <w:p>
      <w:pPr>
        <w:pStyle w:val="Normal"/>
        <w:tabs>
          <w:tab w:val="left" w:pos="720" w:leader="none"/>
        </w:tabs>
        <w:spacing w:lineRule="exact" w:line="264" w:before="0" w:after="80"/>
        <w:ind w:hanging="360" w:start="720"/>
        <w:rPr/>
      </w:pPr>
      <w:r>
        <w:rPr>
          <w:rFonts w:eastAsia="Arial" w:cs="Arial"/>
          <w:sz w:val="21"/>
          <w:szCs w:val="21"/>
        </w:rPr>
        <w:t>d. Where the Facility serves residents with Alzheimer’s disease or related dementia (ADRD), ensure staff complete the ADRD training and continuing education required by current law (see the Memory Care / ADRD Services policy).</w:t>
      </w:r>
    </w:p>
    <w:p>
      <w:pPr>
        <w:pStyle w:val="Normal"/>
        <w:pBdr>
          <w:bottom w:val="single" w:sz="4" w:space="1" w:color="2E5E45"/>
        </w:pBdr>
        <w:spacing w:before="160" w:after="80"/>
        <w:rPr/>
      </w:pPr>
      <w:r>
        <w:rPr>
          <w:rFonts w:eastAsia="Arial" w:cs="Arial"/>
          <w:b/>
          <w:bCs/>
          <w:color w:val="1A4731"/>
          <w:sz w:val="20"/>
          <w:szCs w:val="20"/>
        </w:rPr>
        <w:t>PROCEDURE — COMPETENCY &amp; DOCUMENTATION</w:t>
      </w:r>
    </w:p>
    <w:p>
      <w:pPr>
        <w:pStyle w:val="Normal"/>
        <w:tabs>
          <w:tab w:val="left" w:pos="720" w:leader="none"/>
        </w:tabs>
        <w:spacing w:lineRule="exact" w:line="264" w:before="0" w:after="80"/>
        <w:ind w:hanging="360" w:start="720"/>
        <w:rPr/>
      </w:pPr>
      <w:r>
        <w:rPr>
          <w:rFonts w:eastAsia="Arial" w:cs="Arial"/>
          <w:sz w:val="21"/>
          <w:szCs w:val="21"/>
        </w:rPr>
        <w:t>e. Verify competency for each major duty through observation or return demonstration before independent assignment, and document it.</w:t>
      </w:r>
    </w:p>
    <w:p>
      <w:pPr>
        <w:pStyle w:val="Normal"/>
        <w:tabs>
          <w:tab w:val="left" w:pos="720" w:leader="none"/>
        </w:tabs>
        <w:spacing w:lineRule="exact" w:line="264" w:before="0" w:after="80"/>
        <w:ind w:hanging="360" w:start="720"/>
        <w:rPr/>
      </w:pPr>
      <w:r>
        <w:rPr>
          <w:rFonts w:eastAsia="Arial" w:cs="Arial"/>
          <w:sz w:val="21"/>
          <w:szCs w:val="21"/>
        </w:rPr>
        <w:t>f. Maintain training and in-service records, including dates, topics, hours, and instructor, in each personnel record.</w:t>
      </w:r>
    </w:p>
    <w:p>
      <w:pPr>
        <w:pStyle w:val="Normal"/>
        <w:tabs>
          <w:tab w:val="left" w:pos="720" w:leader="none"/>
        </w:tabs>
        <w:spacing w:lineRule="exact" w:line="264" w:before="0" w:after="80"/>
        <w:ind w:hanging="360" w:start="720"/>
        <w:rPr/>
      </w:pPr>
      <w:r>
        <w:rPr>
          <w:rFonts w:eastAsia="Arial" w:cs="Arial"/>
          <w:sz w:val="21"/>
          <w:szCs w:val="21"/>
        </w:rPr>
        <w:t>g. Where a competency deficiency is identified, restrict independent performance of that duty until retraining and successful reassessment are documented.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Core Training / In-Service Education Log</w:t>
      </w:r>
    </w:p>
    <w:p>
      <w:pPr>
        <w:pStyle w:val="ListParagraph"/>
        <w:numPr>
          <w:ilvl w:val="0"/>
          <w:numId w:val="1"/>
        </w:numPr>
        <w:spacing w:lineRule="exact" w:line="264" w:before="0" w:after="60"/>
        <w:rPr/>
      </w:pPr>
      <w:r>
        <w:rPr>
          <w:rFonts w:eastAsia="Arial" w:cs="Arial"/>
          <w:sz w:val="21"/>
          <w:szCs w:val="21"/>
        </w:rPr>
        <w:t>Competency Assessment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2.02  Administrator Qualifications &amp; Responsibilities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2.02  Administrator Qualifications &amp; Responsibilities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Personnel &amp; Training</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59A-36.010, F.A.C.; ss. 429.176, 429.52,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operated by a qualified administrator (or supervised manager) accountable for daily operation and regulatory compliance, consistent with Rule 59A-36.010, F.A.C.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be operated by an administrator who meets the qualifications and core training and competency requirements of Florida law. A manager may perform the same functions as the administrator while under the supervision of the administrator. A facility of 17 or more residents shall have a designated administrator meeting the applicable requirements.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Designate an administrator who has completed the assisted living core training and passed the competency examination as required, and who maintains the required continuing education.</w:t>
      </w:r>
    </w:p>
    <w:p>
      <w:pPr>
        <w:pStyle w:val="Normal"/>
        <w:tabs>
          <w:tab w:val="left" w:pos="720" w:leader="none"/>
        </w:tabs>
        <w:spacing w:lineRule="exact" w:line="264" w:before="0" w:after="80"/>
        <w:ind w:hanging="360" w:start="720"/>
        <w:rPr/>
      </w:pPr>
      <w:r>
        <w:rPr>
          <w:rFonts w:eastAsia="Arial" w:cs="Arial"/>
          <w:sz w:val="21"/>
          <w:szCs w:val="21"/>
        </w:rPr>
        <w:t>b. Ensure the administrator (or a supervised manager) is responsible for the operation and maintenance of the Facility, including the management of staff and the care of residents.</w:t>
      </w:r>
    </w:p>
    <w:p>
      <w:pPr>
        <w:pStyle w:val="Normal"/>
        <w:tabs>
          <w:tab w:val="left" w:pos="720" w:leader="none"/>
        </w:tabs>
        <w:spacing w:lineRule="exact" w:line="264" w:before="0" w:after="80"/>
        <w:ind w:hanging="360" w:start="720"/>
        <w:rPr/>
      </w:pPr>
      <w:r>
        <w:rPr>
          <w:rFonts w:eastAsia="Arial" w:cs="Arial"/>
          <w:sz w:val="21"/>
          <w:szCs w:val="21"/>
        </w:rPr>
        <w:t>c. Notify AHCA of a change of administrator as required, and maintain documentation of administrator qualifications, core training, examination, and continuing education.</w:t>
      </w:r>
    </w:p>
    <w:p>
      <w:pPr>
        <w:pStyle w:val="Normal"/>
        <w:tabs>
          <w:tab w:val="left" w:pos="720" w:leader="none"/>
        </w:tabs>
        <w:spacing w:lineRule="exact" w:line="264" w:before="0" w:after="80"/>
        <w:ind w:hanging="360" w:start="720"/>
        <w:rPr/>
      </w:pPr>
      <w:r>
        <w:rPr>
          <w:rFonts w:eastAsia="Arial" w:cs="Arial"/>
          <w:sz w:val="21"/>
          <w:szCs w:val="21"/>
        </w:rPr>
        <w:t>d. Ensure appropriate staffing to meet resident needs at all times, including an awake staff member on duty overnight where required by Rule 59A-36.010, F.A.C.</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Administrator Qualification &amp; Core Training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Change of Administrator Notification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Resident Care Services</w:t>
      </w:r>
    </w:p>
    <w:p>
      <w:pPr>
        <w:pStyle w:val="Normal"/>
        <w:spacing w:lineRule="exact" w:line="288" w:before="0" w:after="240"/>
        <w:rPr/>
      </w:pPr>
      <w:r>
        <w:rPr>
          <w:rFonts w:eastAsia="Arial" w:cs="Arial"/>
          <w:color w:val="444444"/>
          <w:sz w:val="22"/>
          <w:szCs w:val="22"/>
        </w:rPr>
        <w:t>This section defines how the Facility supervises residents and delivers personal services and assistance with activities of daily living under Rule 59A-36.007, together with the fall management program and Florida’s elopement standards and drills.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3.00  Resident Care Standards &amp; Services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3.01  Fall Management &amp; Resident Safety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3.02  Elopement Standards &amp; Drills</w:t>
      </w:r>
    </w:p>
    <w:p>
      <w:pPr>
        <w:pStyle w:val="Normal"/>
        <w:rPr/>
      </w:pPr>
      <w:r>
        <w:rPr/>
      </w:r>
      <w:r>
        <w:br w:type="page"/>
      </w:r>
    </w:p>
    <w:p>
      <w:pPr>
        <w:pStyle w:val="Heading2"/>
        <w:spacing w:before="0" w:after="120"/>
        <w:rPr/>
      </w:pPr>
      <w:r>
        <w:rPr>
          <w:rFonts w:eastAsia="Arial" w:cs="Arial" w:ascii="Arial" w:hAnsi="Arial"/>
          <w:b/>
          <w:bCs/>
          <w:color w:val="1A4731"/>
          <w:sz w:val="26"/>
          <w:szCs w:val="26"/>
        </w:rPr>
        <w:t>3.00  Resident Care Standards &amp; Services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3.00  Resident Care Standards &amp; Services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59A-36.007, F.A.C.; s. 429.02, F.S. (ADLs)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deliver the supervision, personal services, and assistance with activities of daily living required to meet each resident’s needs, consistent with Rule 59A-36.007, F.A.C.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provide care and services appropriate to the needs of the residents it admits, including supervision, assistance with activities of daily living, arrangement of health care, and the maintenance of resident records reflecting the services provided.</w:t>
      </w:r>
    </w:p>
    <w:p>
      <w:pPr>
        <w:pStyle w:val="Normal"/>
        <w:pBdr>
          <w:bottom w:val="single" w:sz="4" w:space="1" w:color="2E5E45"/>
        </w:pBdr>
        <w:spacing w:before="160" w:after="80"/>
        <w:rPr/>
      </w:pPr>
      <w:r>
        <w:rPr>
          <w:rFonts w:eastAsia="Arial" w:cs="Arial"/>
          <w:b/>
          <w:bCs/>
          <w:color w:val="1A4731"/>
          <w:sz w:val="20"/>
          <w:szCs w:val="20"/>
        </w:rPr>
        <w:t>PROCEDURE — SUPERVISION &amp; PERSONAL SERVICES</w:t>
      </w:r>
    </w:p>
    <w:p>
      <w:pPr>
        <w:pStyle w:val="Normal"/>
        <w:tabs>
          <w:tab w:val="left" w:pos="720" w:leader="none"/>
        </w:tabs>
        <w:spacing w:lineRule="exact" w:line="264" w:before="0" w:after="80"/>
        <w:ind w:hanging="360" w:start="720"/>
        <w:rPr/>
      </w:pPr>
      <w:r>
        <w:rPr>
          <w:rFonts w:eastAsia="Arial" w:cs="Arial"/>
          <w:sz w:val="21"/>
          <w:szCs w:val="21"/>
        </w:rPr>
        <w:t>a. Provide supervision appropriate to each resident, including awareness of the general health, safety, and physical and emotional well-being of the resident.</w:t>
      </w:r>
    </w:p>
    <w:p>
      <w:pPr>
        <w:pStyle w:val="Normal"/>
        <w:tabs>
          <w:tab w:val="left" w:pos="720" w:leader="none"/>
        </w:tabs>
        <w:spacing w:lineRule="exact" w:line="264" w:before="0" w:after="80"/>
        <w:ind w:hanging="360" w:start="720"/>
        <w:rPr/>
      </w:pPr>
      <w:r>
        <w:rPr>
          <w:rFonts w:eastAsia="Arial" w:cs="Arial"/>
          <w:sz w:val="21"/>
          <w:szCs w:val="21"/>
        </w:rPr>
        <w:t>b. Provide assistance with the activities of daily living — ambulation, bathing, dressing, eating, grooming, toileting, and other similar tasks — as needed by each resident.</w:t>
      </w:r>
    </w:p>
    <w:p>
      <w:pPr>
        <w:pStyle w:val="Normal"/>
        <w:tabs>
          <w:tab w:val="left" w:pos="720" w:leader="none"/>
        </w:tabs>
        <w:spacing w:lineRule="exact" w:line="264" w:before="0" w:after="80"/>
        <w:ind w:hanging="360" w:start="720"/>
        <w:rPr/>
      </w:pPr>
      <w:r>
        <w:rPr>
          <w:rFonts w:eastAsia="Arial" w:cs="Arial"/>
          <w:sz w:val="21"/>
          <w:szCs w:val="21"/>
        </w:rPr>
        <w:t>c. Arrange for or assist residents in obtaining appointments and access to health care and social services, and observe and report changes in a resident’s condition to the resident’s health care provider and representative.</w:t>
      </w:r>
    </w:p>
    <w:p>
      <w:pPr>
        <w:pStyle w:val="Normal"/>
        <w:pBdr>
          <w:bottom w:val="single" w:sz="4" w:space="1" w:color="2E5E45"/>
        </w:pBdr>
        <w:spacing w:before="160" w:after="80"/>
        <w:rPr/>
      </w:pPr>
      <w:r>
        <w:rPr>
          <w:rFonts w:eastAsia="Arial" w:cs="Arial"/>
          <w:b/>
          <w:bCs/>
          <w:color w:val="1A4731"/>
          <w:sz w:val="20"/>
          <w:szCs w:val="20"/>
        </w:rPr>
        <w:t>PROCEDURE — RECORDS &amp; COORDINATION</w:t>
      </w:r>
    </w:p>
    <w:p>
      <w:pPr>
        <w:pStyle w:val="Normal"/>
        <w:tabs>
          <w:tab w:val="left" w:pos="720" w:leader="none"/>
        </w:tabs>
        <w:spacing w:lineRule="exact" w:line="264" w:before="0" w:after="80"/>
        <w:ind w:hanging="360" w:start="720"/>
        <w:rPr/>
      </w:pPr>
      <w:r>
        <w:rPr>
          <w:rFonts w:eastAsia="Arial" w:cs="Arial"/>
          <w:sz w:val="21"/>
          <w:szCs w:val="21"/>
        </w:rPr>
        <w:t>d. Maintain a record for each resident reflecting the services provided and any observed changes in condition.</w:t>
      </w:r>
    </w:p>
    <w:p>
      <w:pPr>
        <w:pStyle w:val="Normal"/>
        <w:tabs>
          <w:tab w:val="left" w:pos="720" w:leader="none"/>
        </w:tabs>
        <w:spacing w:lineRule="exact" w:line="264" w:before="0" w:after="80"/>
        <w:ind w:hanging="360" w:start="720"/>
        <w:rPr/>
      </w:pPr>
      <w:r>
        <w:rPr>
          <w:rFonts w:eastAsia="Arial" w:cs="Arial"/>
          <w:sz w:val="21"/>
          <w:szCs w:val="21"/>
        </w:rPr>
        <w:t>e. Coordinate with third-party providers such as home health agencies and hospices when a resident receives services from them, consistent with the resident’s needs and the Facility’s license.</w:t>
      </w:r>
    </w:p>
    <w:p>
      <w:pPr>
        <w:pStyle w:val="Normal"/>
        <w:tabs>
          <w:tab w:val="left" w:pos="720" w:leader="none"/>
        </w:tabs>
        <w:spacing w:lineRule="exact" w:line="264" w:before="0" w:after="80"/>
        <w:ind w:hanging="360" w:start="720"/>
        <w:rPr/>
      </w:pPr>
      <w:r>
        <w:rPr>
          <w:rFonts w:eastAsia="Arial" w:cs="Arial"/>
          <w:sz w:val="21"/>
          <w:szCs w:val="21"/>
        </w:rPr>
        <w:t>f. Where a resident’s needs exceed the standard license, coordinate through an applicable specialty license or arrange appropriate relocation.</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Health Care Appointment / Coordination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3.01  Fall Management &amp; Resident Safety</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3.01  Fall Management &amp; Resident Safety</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59A-36.007, F.A.C.; Rule 59A-36.010, F.A.C.</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reduce the risk and impact of resident falls and to respond safely when a resident falls or cannot get up independently.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assess fall risk, address it in the resident’s record and care approach, maintain a safe environment, train staff in fall prevention and safe response, and respond to falls in a manner that protects the resident.</w:t>
      </w:r>
    </w:p>
    <w:p>
      <w:pPr>
        <w:pStyle w:val="Normal"/>
        <w:pBdr>
          <w:bottom w:val="single" w:sz="4" w:space="1" w:color="2E5E45"/>
        </w:pBdr>
        <w:spacing w:before="160" w:after="80"/>
        <w:rPr/>
      </w:pPr>
      <w:r>
        <w:rPr>
          <w:rFonts w:eastAsia="Arial" w:cs="Arial"/>
          <w:b/>
          <w:bCs/>
          <w:color w:val="1A4731"/>
          <w:sz w:val="20"/>
          <w:szCs w:val="20"/>
        </w:rPr>
        <w:t>PROCEDURE — FALL RISK &amp; PREVENTION</w:t>
      </w:r>
    </w:p>
    <w:p>
      <w:pPr>
        <w:pStyle w:val="Normal"/>
        <w:tabs>
          <w:tab w:val="left" w:pos="720" w:leader="none"/>
        </w:tabs>
        <w:spacing w:lineRule="exact" w:line="264" w:before="0" w:after="80"/>
        <w:ind w:hanging="360" w:start="720"/>
        <w:rPr/>
      </w:pPr>
      <w:r>
        <w:rPr>
          <w:rFonts w:eastAsia="Arial" w:cs="Arial"/>
          <w:sz w:val="21"/>
          <w:szCs w:val="21"/>
        </w:rPr>
        <w:t>a. Assess each resident’s fall risk and address identified risk in the resident’s service record, including factors such as strength, balance, cognition, eyesight, and medication effects.</w:t>
      </w:r>
    </w:p>
    <w:p>
      <w:pPr>
        <w:pStyle w:val="Normal"/>
        <w:tabs>
          <w:tab w:val="left" w:pos="720" w:leader="none"/>
        </w:tabs>
        <w:spacing w:lineRule="exact" w:line="264" w:before="0" w:after="80"/>
        <w:ind w:hanging="360" w:start="720"/>
        <w:rPr/>
      </w:pPr>
      <w:r>
        <w:rPr>
          <w:rFonts w:eastAsia="Arial" w:cs="Arial"/>
          <w:sz w:val="21"/>
          <w:szCs w:val="21"/>
        </w:rPr>
        <w:t>b. Maintain a safe interior and exterior environment and conduct routine safety checks.</w:t>
      </w:r>
    </w:p>
    <w:p>
      <w:pPr>
        <w:pStyle w:val="Normal"/>
        <w:tabs>
          <w:tab w:val="left" w:pos="720" w:leader="none"/>
        </w:tabs>
        <w:spacing w:lineRule="exact" w:line="264" w:before="0" w:after="80"/>
        <w:ind w:hanging="360" w:start="720"/>
        <w:rPr/>
      </w:pPr>
      <w:r>
        <w:rPr>
          <w:rFonts w:eastAsia="Arial" w:cs="Arial"/>
          <w:sz w:val="21"/>
          <w:szCs w:val="21"/>
        </w:rPr>
        <w:t>c. Provide staff training in fall prevention and safe assistance techniques.</w:t>
      </w:r>
    </w:p>
    <w:p>
      <w:pPr>
        <w:pStyle w:val="Normal"/>
        <w:pBdr>
          <w:bottom w:val="single" w:sz="4" w:space="1" w:color="2E5E45"/>
        </w:pBdr>
        <w:spacing w:before="160" w:after="80"/>
        <w:rPr/>
      </w:pPr>
      <w:r>
        <w:rPr>
          <w:rFonts w:eastAsia="Arial" w:cs="Arial"/>
          <w:b/>
          <w:bCs/>
          <w:color w:val="1A4731"/>
          <w:sz w:val="20"/>
          <w:szCs w:val="20"/>
        </w:rPr>
        <w:t>PROCEDURE — RESPONSE TO A FALL</w:t>
      </w:r>
    </w:p>
    <w:p>
      <w:pPr>
        <w:pStyle w:val="Normal"/>
        <w:tabs>
          <w:tab w:val="left" w:pos="720" w:leader="none"/>
        </w:tabs>
        <w:spacing w:lineRule="exact" w:line="264" w:before="0" w:after="80"/>
        <w:ind w:hanging="360" w:start="720"/>
        <w:rPr/>
      </w:pPr>
      <w:r>
        <w:rPr>
          <w:rFonts w:eastAsia="Arial" w:cs="Arial"/>
          <w:sz w:val="21"/>
          <w:szCs w:val="21"/>
        </w:rPr>
        <w:t>d. When a resident has fallen or cannot get up independently, trained staff shall evaluate the resident before attempting to assist, checking for pain, injury, and any change from baseline.</w:t>
      </w:r>
    </w:p>
    <w:p>
      <w:pPr>
        <w:pStyle w:val="Normal"/>
        <w:tabs>
          <w:tab w:val="left" w:pos="720" w:leader="none"/>
        </w:tabs>
        <w:spacing w:lineRule="exact" w:line="264" w:before="0" w:after="80"/>
        <w:ind w:hanging="360" w:start="720"/>
        <w:rPr/>
      </w:pPr>
      <w:r>
        <w:rPr>
          <w:rFonts w:eastAsia="Arial" w:cs="Arial"/>
          <w:sz w:val="21"/>
          <w:szCs w:val="21"/>
        </w:rPr>
        <w:t>e. Assist the resident only when it is safe to do so — no apparent or suspected injury, no significant change from baseline, and the resident is able to participate.</w:t>
      </w:r>
    </w:p>
    <w:p>
      <w:pPr>
        <w:pStyle w:val="Normal"/>
        <w:tabs>
          <w:tab w:val="left" w:pos="720" w:leader="none"/>
        </w:tabs>
        <w:spacing w:lineRule="exact" w:line="264" w:before="0" w:after="80"/>
        <w:ind w:hanging="360" w:start="720"/>
        <w:rPr/>
      </w:pPr>
      <w:r>
        <w:rPr>
          <w:rFonts w:eastAsia="Arial" w:cs="Arial"/>
          <w:sz w:val="21"/>
          <w:szCs w:val="21"/>
        </w:rPr>
        <w:t>f. If the resident is unconscious, shows a change from baseline, reports or shows signs of injury, or is in increased pain, do not lift the resident and call 911.</w:t>
      </w:r>
    </w:p>
    <w:p>
      <w:pPr>
        <w:pStyle w:val="Normal"/>
        <w:tabs>
          <w:tab w:val="left" w:pos="720" w:leader="none"/>
        </w:tabs>
        <w:spacing w:lineRule="exact" w:line="264" w:before="0" w:after="80"/>
        <w:ind w:hanging="360" w:start="720"/>
        <w:rPr/>
      </w:pPr>
      <w:r>
        <w:rPr>
          <w:rFonts w:eastAsia="Arial" w:cs="Arial"/>
          <w:sz w:val="21"/>
          <w:szCs w:val="21"/>
        </w:rPr>
        <w:t>g. Document each fall, the evaluation and response, notifications to the representative and health care provider, and report as an adverse incident where the event meets the criteria.</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Fall Risk Assessment</w:t>
      </w:r>
    </w:p>
    <w:p>
      <w:pPr>
        <w:pStyle w:val="ListParagraph"/>
        <w:numPr>
          <w:ilvl w:val="0"/>
          <w:numId w:val="1"/>
        </w:numPr>
        <w:spacing w:lineRule="exact" w:line="264" w:before="0" w:after="60"/>
        <w:rPr/>
      </w:pPr>
      <w:r>
        <w:rPr>
          <w:rFonts w:eastAsia="Arial" w:cs="Arial"/>
          <w:sz w:val="21"/>
          <w:szCs w:val="21"/>
        </w:rPr>
        <w:t>Post-Fall Report</w:t>
      </w:r>
    </w:p>
    <w:p>
      <w:pPr>
        <w:pStyle w:val="ListParagraph"/>
        <w:numPr>
          <w:ilvl w:val="0"/>
          <w:numId w:val="1"/>
        </w:numPr>
        <w:spacing w:lineRule="exact" w:line="264" w:before="0" w:after="60"/>
        <w:rPr/>
      </w:pPr>
      <w:r>
        <w:rPr>
          <w:rFonts w:eastAsia="Arial" w:cs="Arial"/>
          <w:sz w:val="21"/>
          <w:szCs w:val="21"/>
        </w:rPr>
        <w:t>Fall Log / Trend Review</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3.02  Elopement Standards &amp; Drills</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3.02  Elopement Standards &amp; Drills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Resident Care Services</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59A-36.007, F.A.C.; s. 429.41,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at risk of elopement through assessment, monitoring, staff response, and the elopement drills Florida requires.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identify residents at risk of elopement, implement measures to promote their safety, conduct the required elopement drills, and respond promptly when a resident is missing.</w:t>
      </w:r>
    </w:p>
    <w:p>
      <w:pPr>
        <w:pStyle w:val="Normal"/>
        <w:pBdr>
          <w:bottom w:val="single" w:sz="4" w:space="1" w:color="2E5E45"/>
        </w:pBdr>
        <w:spacing w:before="160" w:after="80"/>
        <w:rPr/>
      </w:pPr>
      <w:r>
        <w:rPr>
          <w:rFonts w:eastAsia="Arial" w:cs="Arial"/>
          <w:b/>
          <w:bCs/>
          <w:color w:val="1A4731"/>
          <w:sz w:val="20"/>
          <w:szCs w:val="20"/>
        </w:rPr>
        <w:t>PROCEDURE — ASSESSMENT &amp; PREVENTION</w:t>
      </w:r>
    </w:p>
    <w:p>
      <w:pPr>
        <w:pStyle w:val="Normal"/>
        <w:tabs>
          <w:tab w:val="left" w:pos="720" w:leader="none"/>
        </w:tabs>
        <w:spacing w:lineRule="exact" w:line="264" w:before="0" w:after="80"/>
        <w:ind w:hanging="360" w:start="720"/>
        <w:rPr/>
      </w:pPr>
      <w:r>
        <w:rPr>
          <w:rFonts w:eastAsia="Arial" w:cs="Arial"/>
          <w:sz w:val="21"/>
          <w:szCs w:val="21"/>
        </w:rPr>
        <w:t>a. Assess each resident for elopement risk at admission and when condition changes, and document risk and protective measures in the resident’s record.</w:t>
      </w:r>
    </w:p>
    <w:p>
      <w:pPr>
        <w:pStyle w:val="Normal"/>
        <w:tabs>
          <w:tab w:val="left" w:pos="720" w:leader="none"/>
        </w:tabs>
        <w:spacing w:lineRule="exact" w:line="264" w:before="0" w:after="80"/>
        <w:ind w:hanging="360" w:start="720"/>
        <w:rPr/>
      </w:pPr>
      <w:r>
        <w:rPr>
          <w:rFonts w:eastAsia="Arial" w:cs="Arial"/>
          <w:sz w:val="21"/>
          <w:szCs w:val="21"/>
        </w:rPr>
        <w:t>b. Maintain a description and current photograph of each at-risk resident to support rapid response, and provide monitoring proportionate to risk.</w:t>
      </w:r>
    </w:p>
    <w:p>
      <w:pPr>
        <w:pStyle w:val="Normal"/>
        <w:tabs>
          <w:tab w:val="left" w:pos="720" w:leader="none"/>
        </w:tabs>
        <w:spacing w:lineRule="exact" w:line="264" w:before="0" w:after="80"/>
        <w:ind w:hanging="360" w:start="720"/>
        <w:rPr/>
      </w:pPr>
      <w:r>
        <w:rPr>
          <w:rFonts w:eastAsia="Arial" w:cs="Arial"/>
          <w:sz w:val="21"/>
          <w:szCs w:val="21"/>
        </w:rPr>
        <w:t>c. Conduct elopement drills at the frequency required by rule, and document each drill and any corrective action.</w:t>
      </w:r>
    </w:p>
    <w:p>
      <w:pPr>
        <w:pStyle w:val="Normal"/>
        <w:pBdr>
          <w:bottom w:val="single" w:sz="4" w:space="1" w:color="2E5E45"/>
        </w:pBdr>
        <w:spacing w:before="160" w:after="80"/>
        <w:rPr/>
      </w:pPr>
      <w:r>
        <w:rPr>
          <w:rFonts w:eastAsia="Arial" w:cs="Arial"/>
          <w:b/>
          <w:bCs/>
          <w:color w:val="1A4731"/>
          <w:sz w:val="20"/>
          <w:szCs w:val="20"/>
        </w:rPr>
        <w:t>PROCEDURE — ELOPEMENT RESPONSE</w:t>
      </w:r>
    </w:p>
    <w:p>
      <w:pPr>
        <w:pStyle w:val="Normal"/>
        <w:tabs>
          <w:tab w:val="left" w:pos="720" w:leader="none"/>
        </w:tabs>
        <w:spacing w:lineRule="exact" w:line="264" w:before="0" w:after="80"/>
        <w:ind w:hanging="360" w:start="720"/>
        <w:rPr/>
      </w:pPr>
      <w:r>
        <w:rPr>
          <w:rFonts w:eastAsia="Arial" w:cs="Arial"/>
          <w:sz w:val="21"/>
          <w:szCs w:val="21"/>
        </w:rPr>
        <w:t>d. On discovering a resident missing, immediately initiate a search of the Facility and grounds, account for all other residents, and assign staff roles.</w:t>
      </w:r>
    </w:p>
    <w:p>
      <w:pPr>
        <w:pStyle w:val="Normal"/>
        <w:tabs>
          <w:tab w:val="left" w:pos="720" w:leader="none"/>
        </w:tabs>
        <w:spacing w:lineRule="exact" w:line="264" w:before="0" w:after="80"/>
        <w:ind w:hanging="360" w:start="720"/>
        <w:rPr/>
      </w:pPr>
      <w:r>
        <w:rPr>
          <w:rFonts w:eastAsia="Arial" w:cs="Arial"/>
          <w:sz w:val="21"/>
          <w:szCs w:val="21"/>
        </w:rPr>
        <w:t>e. If the resident is not located promptly, notify 911/law enforcement, the resident’s representative, and the administrator, providing the resident’s photograph and description.</w:t>
      </w:r>
    </w:p>
    <w:p>
      <w:pPr>
        <w:pStyle w:val="Normal"/>
        <w:tabs>
          <w:tab w:val="left" w:pos="720" w:leader="none"/>
        </w:tabs>
        <w:spacing w:lineRule="exact" w:line="264" w:before="0" w:after="80"/>
        <w:ind w:hanging="360" w:start="720"/>
        <w:rPr/>
      </w:pPr>
      <w:r>
        <w:rPr>
          <w:rFonts w:eastAsia="Arial" w:cs="Arial"/>
          <w:sz w:val="21"/>
          <w:szCs w:val="21"/>
        </w:rPr>
        <w:t>f. On the resident’s return, assess for injury, obtain any needed care, document the event, notify the health care provider and representative, report as an adverse incident, and review the event through the quality improvement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Elopement Risk Assessment</w:t>
      </w:r>
    </w:p>
    <w:p>
      <w:pPr>
        <w:pStyle w:val="ListParagraph"/>
        <w:numPr>
          <w:ilvl w:val="0"/>
          <w:numId w:val="1"/>
        </w:numPr>
        <w:spacing w:lineRule="exact" w:line="264" w:before="0" w:after="60"/>
        <w:rPr/>
      </w:pPr>
      <w:r>
        <w:rPr>
          <w:rFonts w:eastAsia="Arial" w:cs="Arial"/>
          <w:sz w:val="21"/>
          <w:szCs w:val="21"/>
        </w:rPr>
        <w:t>Elopement Drill Record</w:t>
      </w:r>
    </w:p>
    <w:p>
      <w:pPr>
        <w:pStyle w:val="ListParagraph"/>
        <w:numPr>
          <w:ilvl w:val="0"/>
          <w:numId w:val="1"/>
        </w:numPr>
        <w:spacing w:lineRule="exact" w:line="264" w:before="0" w:after="60"/>
        <w:rPr/>
      </w:pPr>
      <w:r>
        <w:rPr>
          <w:rFonts w:eastAsia="Arial" w:cs="Arial"/>
          <w:sz w:val="21"/>
          <w:szCs w:val="21"/>
        </w:rPr>
        <w:t>Missing Resident / Elopement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Medication Management</w:t>
      </w:r>
    </w:p>
    <w:p>
      <w:pPr>
        <w:pStyle w:val="Normal"/>
        <w:spacing w:lineRule="exact" w:line="288" w:before="0" w:after="240"/>
        <w:rPr/>
      </w:pPr>
      <w:r>
        <w:rPr>
          <w:rFonts w:eastAsia="Arial" w:cs="Arial"/>
          <w:color w:val="444444"/>
          <w:sz w:val="22"/>
          <w:szCs w:val="22"/>
        </w:rPr>
        <w:t>This section governs medication practices under Rule 59A-36.008 — with Florida’s central rule that unlicensed staff assist with the self-administration of medication (after required training and annual continuing education) rather than administer it — together with medication handling, storage, and the safe handling of errors, destruction, and disposal.</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4.00  Medication Practices — Assistance with Self-Administration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4.01  Medication Errors, Destruction &amp; Disposal</w:t>
      </w:r>
    </w:p>
    <w:p>
      <w:pPr>
        <w:pStyle w:val="Normal"/>
        <w:rPr/>
      </w:pPr>
      <w:r>
        <w:rPr/>
      </w:r>
      <w:r>
        <w:br w:type="page"/>
      </w:r>
    </w:p>
    <w:p>
      <w:pPr>
        <w:pStyle w:val="Heading2"/>
        <w:spacing w:before="0" w:after="120"/>
        <w:rPr/>
      </w:pPr>
      <w:r>
        <w:rPr>
          <w:rFonts w:eastAsia="Arial" w:cs="Arial" w:ascii="Arial" w:hAnsi="Arial"/>
          <w:b/>
          <w:bCs/>
          <w:color w:val="1A4731"/>
          <w:sz w:val="26"/>
          <w:szCs w:val="26"/>
        </w:rPr>
        <w:t>4.00  Medication Practices — Assistance with Self-Administration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4.00  Medication Practices — Assistance with Self-Administration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59A-36.008, F.A.C.; ss. 429.256, 429.52,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medications are handled, stored, and supported safely, and that unlicensed staff assist only with the self-administration of medication — not administration — consistent with Rule 59A-36.008, F.A.C., and Section 429.256, F.S.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Unless a licensed nurse administers medication under a specialty license or other lawful authority, the Facility’s unlicensed staff shall only assist residents with the self-administration of medication. Staff who assist with self-administration shall complete the required training and annual continuing education before doing so.</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Assistance with self-administration — as defined in Section 429.256, F.S., activities such as taking the medication from where it is stored, reading the label aloud, opening the container, and steadying or guiding the resident’s hand, without administering the medication.</w:t>
      </w:r>
    </w:p>
    <w:p>
      <w:pPr>
        <w:pStyle w:val="Normal"/>
        <w:spacing w:lineRule="exact" w:line="276" w:before="0" w:after="120"/>
        <w:rPr/>
      </w:pPr>
      <w:r>
        <w:rPr>
          <w:rFonts w:eastAsia="Arial" w:cs="Arial"/>
          <w:sz w:val="21"/>
          <w:szCs w:val="21"/>
        </w:rPr>
        <w:t>Administration — the act of giving a medication to a resident, which unlicensed staff may not perform.</w:t>
      </w:r>
    </w:p>
    <w:p>
      <w:pPr>
        <w:pStyle w:val="Normal"/>
        <w:pBdr>
          <w:bottom w:val="single" w:sz="4" w:space="1" w:color="2E5E45"/>
        </w:pBdr>
        <w:spacing w:before="160" w:after="80"/>
        <w:rPr/>
      </w:pPr>
      <w:r>
        <w:rPr>
          <w:rFonts w:eastAsia="Arial" w:cs="Arial"/>
          <w:b/>
          <w:bCs/>
          <w:color w:val="1A4731"/>
          <w:sz w:val="20"/>
          <w:szCs w:val="20"/>
        </w:rPr>
        <w:t>PROCEDURE — STAFF TRAINING</w:t>
      </w:r>
    </w:p>
    <w:p>
      <w:pPr>
        <w:pStyle w:val="Normal"/>
        <w:tabs>
          <w:tab w:val="left" w:pos="720" w:leader="none"/>
        </w:tabs>
        <w:spacing w:lineRule="exact" w:line="264" w:before="0" w:after="80"/>
        <w:ind w:hanging="360" w:start="720"/>
        <w:rPr/>
      </w:pPr>
      <w:r>
        <w:rPr>
          <w:rFonts w:eastAsia="Arial" w:cs="Arial"/>
          <w:sz w:val="21"/>
          <w:szCs w:val="21"/>
        </w:rPr>
        <w:t>a. Ensure any unlicensed staff member (including a home health aide or CNA) who assists with the self-administration of medication first completes a minimum of the required training provided by a registered nurse or licensed pharmacist and demonstrates the ability to perform the tasks.</w:t>
      </w:r>
    </w:p>
    <w:p>
      <w:pPr>
        <w:pStyle w:val="Normal"/>
        <w:tabs>
          <w:tab w:val="left" w:pos="720" w:leader="none"/>
        </w:tabs>
        <w:spacing w:lineRule="exact" w:line="264" w:before="0" w:after="80"/>
        <w:ind w:hanging="360" w:start="720"/>
        <w:rPr/>
      </w:pPr>
      <w:r>
        <w:rPr>
          <w:rFonts w:eastAsia="Arial" w:cs="Arial"/>
          <w:sz w:val="21"/>
          <w:szCs w:val="21"/>
        </w:rPr>
        <w:t>b. Ensure those staff complete the required hours of continuing education in assisting with self-administration of medication annually.</w:t>
      </w:r>
    </w:p>
    <w:p>
      <w:pPr>
        <w:pStyle w:val="Normal"/>
        <w:tabs>
          <w:tab w:val="left" w:pos="720" w:leader="none"/>
        </w:tabs>
        <w:spacing w:lineRule="exact" w:line="264" w:before="0" w:after="80"/>
        <w:ind w:hanging="360" w:start="720"/>
        <w:rPr/>
      </w:pPr>
      <w:r>
        <w:rPr>
          <w:rFonts w:eastAsia="Arial" w:cs="Arial"/>
          <w:sz w:val="21"/>
          <w:szCs w:val="21"/>
        </w:rPr>
        <w:t>c. Document training and annual continuing education in each personnel record.</w:t>
      </w:r>
    </w:p>
    <w:p>
      <w:pPr>
        <w:pStyle w:val="Normal"/>
        <w:pBdr>
          <w:bottom w:val="single" w:sz="4" w:space="1" w:color="2E5E45"/>
        </w:pBdr>
        <w:spacing w:before="160" w:after="80"/>
        <w:rPr/>
      </w:pPr>
      <w:r>
        <w:rPr>
          <w:rFonts w:eastAsia="Arial" w:cs="Arial"/>
          <w:b/>
          <w:bCs/>
          <w:color w:val="1A4731"/>
          <w:sz w:val="20"/>
          <w:szCs w:val="20"/>
        </w:rPr>
        <w:t>PROCEDURE — MEDICATION HANDLING &amp; STORAGE</w:t>
      </w:r>
    </w:p>
    <w:p>
      <w:pPr>
        <w:pStyle w:val="Normal"/>
        <w:tabs>
          <w:tab w:val="left" w:pos="720" w:leader="none"/>
        </w:tabs>
        <w:spacing w:lineRule="exact" w:line="264" w:before="0" w:after="80"/>
        <w:ind w:hanging="360" w:start="720"/>
        <w:rPr/>
      </w:pPr>
      <w:r>
        <w:rPr>
          <w:rFonts w:eastAsia="Arial" w:cs="Arial"/>
          <w:sz w:val="21"/>
          <w:szCs w:val="21"/>
        </w:rPr>
        <w:t>d. Store medication in a centrally located, locked location (or as otherwise permitted), separate from hazardous chemicals, with controlled substances secured and access limited to authorized staff.</w:t>
      </w:r>
    </w:p>
    <w:p>
      <w:pPr>
        <w:pStyle w:val="Normal"/>
        <w:tabs>
          <w:tab w:val="left" w:pos="720" w:leader="none"/>
        </w:tabs>
        <w:spacing w:lineRule="exact" w:line="264" w:before="0" w:after="80"/>
        <w:ind w:hanging="360" w:start="720"/>
        <w:rPr/>
      </w:pPr>
      <w:r>
        <w:rPr>
          <w:rFonts w:eastAsia="Arial" w:cs="Arial"/>
          <w:sz w:val="21"/>
          <w:szCs w:val="21"/>
        </w:rPr>
        <w:t>e. Maintain each resident’s medications in the originally labeled container with a legible label, and maintain a medication observation or assistance record as required.</w:t>
      </w:r>
    </w:p>
    <w:p>
      <w:pPr>
        <w:pStyle w:val="Normal"/>
        <w:tabs>
          <w:tab w:val="left" w:pos="720" w:leader="none"/>
        </w:tabs>
        <w:spacing w:lineRule="exact" w:line="264" w:before="0" w:after="80"/>
        <w:ind w:hanging="360" w:start="720"/>
        <w:rPr/>
      </w:pPr>
      <w:r>
        <w:rPr>
          <w:rFonts w:eastAsia="Arial" w:cs="Arial"/>
          <w:sz w:val="21"/>
          <w:szCs w:val="21"/>
        </w:rPr>
        <w:t>f. Follow the resident’s health care provider’s directions, observe for apparent adverse reactions, and report concerns to the provider and representative.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Self-Administration Training &amp; CE Record</w:t>
      </w:r>
    </w:p>
    <w:p>
      <w:pPr>
        <w:pStyle w:val="ListParagraph"/>
        <w:numPr>
          <w:ilvl w:val="0"/>
          <w:numId w:val="1"/>
        </w:numPr>
        <w:spacing w:lineRule="exact" w:line="264" w:before="0" w:after="60"/>
        <w:rPr/>
      </w:pPr>
      <w:r>
        <w:rPr>
          <w:rFonts w:eastAsia="Arial" w:cs="Arial"/>
          <w:sz w:val="21"/>
          <w:szCs w:val="21"/>
        </w:rPr>
        <w:t>Medication Observation Record (MOR)</w:t>
      </w:r>
    </w:p>
    <w:p>
      <w:pPr>
        <w:pStyle w:val="ListParagraph"/>
        <w:numPr>
          <w:ilvl w:val="0"/>
          <w:numId w:val="1"/>
        </w:numPr>
        <w:spacing w:lineRule="exact" w:line="264" w:before="0" w:after="60"/>
        <w:rPr/>
      </w:pPr>
      <w:r>
        <w:rPr>
          <w:rFonts w:eastAsia="Arial" w:cs="Arial"/>
          <w:sz w:val="21"/>
          <w:szCs w:val="21"/>
        </w:rPr>
        <w:t>Medication Storage / Controlled Substance Log</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4.01  Medication Errors, Destruction &amp; Disposal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4.01  Medication Errors, Destruction &amp; Disposal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Medication Management</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59A-36.008, F.A.C.; s. 429.23, F.S. (incidents)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medication errors are identified, reported, and reviewed for patterns, and that medication destruction and disposal occur safely.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document and review medication errors, report them as adverse incidents where required, and destroy or dispose of medications by a non-retrievable method using witnessed verification.</w:t>
      </w:r>
    </w:p>
    <w:p>
      <w:pPr>
        <w:pStyle w:val="Normal"/>
        <w:pBdr>
          <w:bottom w:val="single" w:sz="4" w:space="1" w:color="2E5E45"/>
        </w:pBdr>
        <w:spacing w:before="160" w:after="80"/>
        <w:rPr/>
      </w:pPr>
      <w:r>
        <w:rPr>
          <w:rFonts w:eastAsia="Arial" w:cs="Arial"/>
          <w:b/>
          <w:bCs/>
          <w:color w:val="1A4731"/>
          <w:sz w:val="20"/>
          <w:szCs w:val="20"/>
        </w:rPr>
        <w:t>PROCEDURE — MEDICATION ERRORS</w:t>
      </w:r>
    </w:p>
    <w:p>
      <w:pPr>
        <w:pStyle w:val="Normal"/>
        <w:tabs>
          <w:tab w:val="left" w:pos="720" w:leader="none"/>
        </w:tabs>
        <w:spacing w:lineRule="exact" w:line="264" w:before="0" w:after="80"/>
        <w:ind w:hanging="360" w:start="720"/>
        <w:rPr/>
      </w:pPr>
      <w:r>
        <w:rPr>
          <w:rFonts w:eastAsia="Arial" w:cs="Arial"/>
          <w:sz w:val="21"/>
          <w:szCs w:val="21"/>
        </w:rPr>
        <w:t>a. Document each medication error or discrepancy, including the type of error, the effect on the resident, and corrective action taken.</w:t>
      </w:r>
    </w:p>
    <w:p>
      <w:pPr>
        <w:pStyle w:val="Normal"/>
        <w:tabs>
          <w:tab w:val="left" w:pos="720" w:leader="none"/>
        </w:tabs>
        <w:spacing w:lineRule="exact" w:line="264" w:before="0" w:after="80"/>
        <w:ind w:hanging="360" w:start="720"/>
        <w:rPr/>
      </w:pPr>
      <w:r>
        <w:rPr>
          <w:rFonts w:eastAsia="Arial" w:cs="Arial"/>
          <w:sz w:val="21"/>
          <w:szCs w:val="21"/>
        </w:rPr>
        <w:t>b. Notify the resident’s health care provider and representative of any error affecting the resident, and obtain direction as needed.</w:t>
      </w:r>
    </w:p>
    <w:p>
      <w:pPr>
        <w:pStyle w:val="Normal"/>
        <w:tabs>
          <w:tab w:val="left" w:pos="720" w:leader="none"/>
        </w:tabs>
        <w:spacing w:lineRule="exact" w:line="264" w:before="0" w:after="80"/>
        <w:ind w:hanging="360" w:start="720"/>
        <w:rPr/>
      </w:pPr>
      <w:r>
        <w:rPr>
          <w:rFonts w:eastAsia="Arial" w:cs="Arial"/>
          <w:sz w:val="21"/>
          <w:szCs w:val="21"/>
        </w:rPr>
        <w:t>c. Report medication errors as adverse incidents under Section 429.23, F.S., where the event meets the criteria, and review the medication error record for patterns through the quality improvement process.</w:t>
      </w:r>
    </w:p>
    <w:p>
      <w:pPr>
        <w:pStyle w:val="Normal"/>
        <w:pBdr>
          <w:bottom w:val="single" w:sz="4" w:space="1" w:color="2E5E45"/>
        </w:pBdr>
        <w:spacing w:before="160" w:after="80"/>
        <w:rPr/>
      </w:pPr>
      <w:r>
        <w:rPr>
          <w:rFonts w:eastAsia="Arial" w:cs="Arial"/>
          <w:b/>
          <w:bCs/>
          <w:color w:val="1A4731"/>
          <w:sz w:val="20"/>
          <w:szCs w:val="20"/>
        </w:rPr>
        <w:t>PROCEDURE — DESTRUCTION &amp; DISPOSAL</w:t>
      </w:r>
    </w:p>
    <w:p>
      <w:pPr>
        <w:pStyle w:val="Normal"/>
        <w:tabs>
          <w:tab w:val="left" w:pos="720" w:leader="none"/>
        </w:tabs>
        <w:spacing w:lineRule="exact" w:line="264" w:before="0" w:after="80"/>
        <w:ind w:hanging="360" w:start="720"/>
        <w:rPr/>
      </w:pPr>
      <w:r>
        <w:rPr>
          <w:rFonts w:eastAsia="Arial" w:cs="Arial"/>
          <w:sz w:val="21"/>
          <w:szCs w:val="21"/>
        </w:rPr>
        <w:t>d. Destroy or dispose of discontinued, expired, or unused facility-held medications by a non-retrievable method within the timeframe required by Facility policy.</w:t>
      </w:r>
    </w:p>
    <w:p>
      <w:pPr>
        <w:pStyle w:val="Normal"/>
        <w:tabs>
          <w:tab w:val="left" w:pos="720" w:leader="none"/>
        </w:tabs>
        <w:spacing w:lineRule="exact" w:line="264" w:before="0" w:after="80"/>
        <w:ind w:hanging="360" w:start="720"/>
        <w:rPr/>
      </w:pPr>
      <w:r>
        <w:rPr>
          <w:rFonts w:eastAsia="Arial" w:cs="Arial"/>
          <w:sz w:val="21"/>
          <w:szCs w:val="21"/>
        </w:rPr>
        <w:t>e. Verify destruction with a witness and document the medication, quantity, method, date, and individuals involved.</w:t>
      </w:r>
    </w:p>
    <w:p>
      <w:pPr>
        <w:pStyle w:val="Normal"/>
        <w:tabs>
          <w:tab w:val="left" w:pos="720" w:leader="none"/>
        </w:tabs>
        <w:spacing w:lineRule="exact" w:line="264" w:before="0" w:after="80"/>
        <w:ind w:hanging="360" w:start="720"/>
        <w:rPr/>
      </w:pPr>
      <w:r>
        <w:rPr>
          <w:rFonts w:eastAsia="Arial" w:cs="Arial"/>
          <w:sz w:val="21"/>
          <w:szCs w:val="21"/>
        </w:rPr>
        <w:t>f. For controlled substances, follow additional security, counting, and documentation requirements before destruction, and dispose of medication waste in compliance with applicable requirements.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Controlled Substance Count Sheet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Emergency Response</w:t>
      </w:r>
    </w:p>
    <w:p>
      <w:pPr>
        <w:pStyle w:val="Normal"/>
        <w:spacing w:lineRule="exact" w:line="288" w:before="0" w:after="240"/>
        <w:rPr/>
      </w:pPr>
      <w:r>
        <w:rPr>
          <w:rFonts w:eastAsia="Arial" w:cs="Arial"/>
          <w:color w:val="444444"/>
          <w:sz w:val="22"/>
          <w:szCs w:val="22"/>
        </w:rPr>
        <w:t>This section addresses the protections that keep residents and staff safe — Florida’s Comprehensive Emergency Management Plan and the 96-hour / 81°F emergency power requirement, response to unanticipated illness/injury/death and DNROs, infection control, hazardous-chemical safety, physical plant and food service, and the mandatory reporting of abuse, neglect, and exploitation.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5.00  Emergency Management Plan &amp; Emergency Power</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5.01  Unanticipated Illness, Injury &amp; Death</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5.02  Infection Prevention &amp; Control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5.03  Hazardous Chemicals &amp; Safety Data Sheet (SDS) Management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5.04  Physical Plant, Food Service &amp; Sanitation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5.05  Abuse, Neglect &amp; Exploitation — Prevention &amp; Mandatory Reporting</w:t>
      </w:r>
    </w:p>
    <w:p>
      <w:pPr>
        <w:pStyle w:val="Normal"/>
        <w:rPr/>
      </w:pPr>
      <w:r>
        <w:rPr/>
      </w:r>
      <w:r>
        <w:br w:type="page"/>
      </w:r>
    </w:p>
    <w:p>
      <w:pPr>
        <w:pStyle w:val="Heading2"/>
        <w:spacing w:before="0" w:after="120"/>
        <w:rPr/>
      </w:pPr>
      <w:r>
        <w:rPr>
          <w:rFonts w:eastAsia="Arial" w:cs="Arial" w:ascii="Arial" w:hAnsi="Arial"/>
          <w:b/>
          <w:bCs/>
          <w:color w:val="1A4731"/>
          <w:sz w:val="26"/>
          <w:szCs w:val="26"/>
        </w:rPr>
        <w:t>5.00  Emergency Management Plan &amp; Emergency Power</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5.00  Emergency Management Plan &amp; Emergency Power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 429.41, F.S.; Rule 59A-36.019, F.A.C.; s. 429.255, F.S. (emergency power)</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the Facility is prepared to protect residents during and after an emergency, including the maintenance of safe indoor temperatures during a power outage, consistent with Section 429.41, F.S., and the emergency power provisions of Florida law.</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written, AHCA-reviewed Comprehensive Emergency Management Plan (CEMP) and an emergency power plan that enables the Facility to maintain safe indoor temperatures for residents during a power outage, and shall train staff and conduct drills as required.</w:t>
      </w:r>
    </w:p>
    <w:p>
      <w:pPr>
        <w:pStyle w:val="Normal"/>
        <w:pBdr>
          <w:bottom w:val="single" w:sz="4" w:space="1" w:color="2E5E45"/>
        </w:pBdr>
        <w:spacing w:before="160" w:after="80"/>
        <w:rPr/>
      </w:pPr>
      <w:r>
        <w:rPr>
          <w:rFonts w:eastAsia="Arial" w:cs="Arial"/>
          <w:b/>
          <w:bCs/>
          <w:color w:val="1A4731"/>
          <w:sz w:val="20"/>
          <w:szCs w:val="20"/>
        </w:rPr>
        <w:t>PROCEDURE — COMPREHENSIVE EMERGENCY MANAGEMENT PLAN</w:t>
      </w:r>
    </w:p>
    <w:p>
      <w:pPr>
        <w:pStyle w:val="Normal"/>
        <w:tabs>
          <w:tab w:val="left" w:pos="720" w:leader="none"/>
        </w:tabs>
        <w:spacing w:lineRule="exact" w:line="264" w:before="0" w:after="80"/>
        <w:ind w:hanging="360" w:start="720"/>
        <w:rPr/>
      </w:pPr>
      <w:r>
        <w:rPr>
          <w:rFonts w:eastAsia="Arial" w:cs="Arial"/>
          <w:sz w:val="21"/>
          <w:szCs w:val="21"/>
        </w:rPr>
        <w:t>a. Maintain a written Comprehensive Emergency Management Plan addressing evacuation, sheltering in place, resident supervision and accountability, medications and records, communication, and continuity of care, and submit it for review as required by rule.</w:t>
      </w:r>
    </w:p>
    <w:p>
      <w:pPr>
        <w:pStyle w:val="Normal"/>
        <w:tabs>
          <w:tab w:val="left" w:pos="720" w:leader="none"/>
        </w:tabs>
        <w:spacing w:lineRule="exact" w:line="264" w:before="0" w:after="80"/>
        <w:ind w:hanging="360" w:start="720"/>
        <w:rPr/>
      </w:pPr>
      <w:r>
        <w:rPr>
          <w:rFonts w:eastAsia="Arial" w:cs="Arial"/>
          <w:sz w:val="21"/>
          <w:szCs w:val="21"/>
        </w:rPr>
        <w:t>b. Maintain arrangements for evacuation, host or receiving facilities, and transportation, and keep resident emergency information readily available.</w:t>
      </w:r>
    </w:p>
    <w:p>
      <w:pPr>
        <w:pStyle w:val="Normal"/>
        <w:tabs>
          <w:tab w:val="left" w:pos="720" w:leader="none"/>
        </w:tabs>
        <w:spacing w:lineRule="exact" w:line="264" w:before="0" w:after="80"/>
        <w:ind w:hanging="360" w:start="720"/>
        <w:rPr/>
      </w:pPr>
      <w:r>
        <w:rPr>
          <w:rFonts w:eastAsia="Arial" w:cs="Arial"/>
          <w:sz w:val="21"/>
          <w:szCs w:val="21"/>
        </w:rPr>
        <w:t>c. Review and update the plan at least annually and after any activation, and coordinate with the local emergency management agency.</w:t>
      </w:r>
    </w:p>
    <w:p>
      <w:pPr>
        <w:pStyle w:val="Normal"/>
        <w:pBdr>
          <w:bottom w:val="single" w:sz="4" w:space="1" w:color="2E5E45"/>
        </w:pBdr>
        <w:spacing w:before="160" w:after="80"/>
        <w:rPr/>
      </w:pPr>
      <w:r>
        <w:rPr>
          <w:rFonts w:eastAsia="Arial" w:cs="Arial"/>
          <w:b/>
          <w:bCs/>
          <w:color w:val="1A4731"/>
          <w:sz w:val="20"/>
          <w:szCs w:val="20"/>
        </w:rPr>
        <w:t>PROCEDURE — EMERGENCY POWER &amp; TEMPERATURE</w:t>
      </w:r>
    </w:p>
    <w:p>
      <w:pPr>
        <w:pStyle w:val="Normal"/>
        <w:tabs>
          <w:tab w:val="left" w:pos="720" w:leader="none"/>
        </w:tabs>
        <w:spacing w:lineRule="exact" w:line="264" w:before="0" w:after="80"/>
        <w:ind w:hanging="360" w:start="720"/>
        <w:rPr/>
      </w:pPr>
      <w:r>
        <w:rPr>
          <w:rFonts w:eastAsia="Arial" w:cs="Arial"/>
          <w:sz w:val="21"/>
          <w:szCs w:val="21"/>
        </w:rPr>
        <w:t>d. Maintain an alternate power source and fuel sufficient to maintain ambient temperatures at or below 81°F for a minimum of 96 hours in the event of the loss of primary electrical power, for an area of sufficient size to shelter residents.</w:t>
      </w:r>
    </w:p>
    <w:p>
      <w:pPr>
        <w:pStyle w:val="Normal"/>
        <w:tabs>
          <w:tab w:val="left" w:pos="720" w:leader="none"/>
        </w:tabs>
        <w:spacing w:lineRule="exact" w:line="264" w:before="0" w:after="80"/>
        <w:ind w:hanging="360" w:start="720"/>
        <w:rPr/>
      </w:pPr>
      <w:r>
        <w:rPr>
          <w:rFonts w:eastAsia="Arial" w:cs="Arial"/>
          <w:sz w:val="21"/>
          <w:szCs w:val="21"/>
        </w:rPr>
        <w:t>e. Maintain on-site fuel consistent with Facility size (for example, the larger on-site fuel quantity expected of larger facilities and the lesser quantity for smaller facilities), with arrangements for resupply.</w:t>
      </w:r>
    </w:p>
    <w:p>
      <w:pPr>
        <w:pStyle w:val="Normal"/>
        <w:tabs>
          <w:tab w:val="left" w:pos="720" w:leader="none"/>
        </w:tabs>
        <w:spacing w:lineRule="exact" w:line="264" w:before="0" w:after="80"/>
        <w:ind w:hanging="360" w:start="720"/>
        <w:rPr/>
      </w:pPr>
      <w:r>
        <w:rPr>
          <w:rFonts w:eastAsia="Arial" w:cs="Arial"/>
          <w:sz w:val="21"/>
          <w:szCs w:val="21"/>
        </w:rPr>
        <w:t>f. Test and maintain the emergency power equipment on a documented schedule, and train staff on its safe operation and on the emergency temperature-control procedures.</w:t>
      </w:r>
    </w:p>
    <w:p>
      <w:pPr>
        <w:pStyle w:val="Normal"/>
        <w:pBdr>
          <w:bottom w:val="single" w:sz="4" w:space="1" w:color="2E5E45"/>
        </w:pBdr>
        <w:spacing w:before="160" w:after="80"/>
        <w:rPr/>
      </w:pPr>
      <w:r>
        <w:rPr>
          <w:rFonts w:eastAsia="Arial" w:cs="Arial"/>
          <w:b/>
          <w:bCs/>
          <w:color w:val="1A4731"/>
          <w:sz w:val="20"/>
          <w:szCs w:val="20"/>
        </w:rPr>
        <w:t>PROCEDURE — DRILLS</w:t>
      </w:r>
    </w:p>
    <w:p>
      <w:pPr>
        <w:pStyle w:val="Normal"/>
        <w:tabs>
          <w:tab w:val="left" w:pos="720" w:leader="none"/>
        </w:tabs>
        <w:spacing w:lineRule="exact" w:line="264" w:before="0" w:after="80"/>
        <w:ind w:hanging="360" w:start="720"/>
        <w:rPr/>
      </w:pPr>
      <w:r>
        <w:rPr>
          <w:rFonts w:eastAsia="Arial" w:cs="Arial"/>
          <w:sz w:val="21"/>
          <w:szCs w:val="21"/>
        </w:rPr>
        <w:t>g. Conduct fire drills at the frequency required by rule (including monthly fire drills), and document each drill and any corrective action.</w:t>
      </w:r>
    </w:p>
    <w:p>
      <w:pPr>
        <w:pStyle w:val="Normal"/>
        <w:tabs>
          <w:tab w:val="left" w:pos="720" w:leader="none"/>
        </w:tabs>
        <w:spacing w:lineRule="exact" w:line="264" w:before="0" w:after="80"/>
        <w:ind w:hanging="360" w:start="720"/>
        <w:rPr/>
      </w:pPr>
      <w:r>
        <w:rPr>
          <w:rFonts w:eastAsia="Arial" w:cs="Arial"/>
          <w:sz w:val="21"/>
          <w:szCs w:val="21"/>
        </w:rPr>
        <w:t>h. Conduct elopement drills at the required frequency where applicable, and conduct a review after each drill.</w:t>
      </w:r>
    </w:p>
    <w:p>
      <w:pPr>
        <w:pStyle w:val="Normal"/>
        <w:tabs>
          <w:tab w:val="left" w:pos="720" w:leader="none"/>
        </w:tabs>
        <w:spacing w:lineRule="exact" w:line="264" w:before="0" w:after="80"/>
        <w:ind w:hanging="360" w:start="720"/>
        <w:rPr/>
      </w:pPr>
      <w:r>
        <w:rPr>
          <w:rFonts w:eastAsia="Arial" w:cs="Arial"/>
          <w:sz w:val="21"/>
          <w:szCs w:val="21"/>
        </w:rPr>
        <w:t>i. Train all staff on their emergency roles as part of orientation and on an ongoing basis.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Comprehensive Emergency Management Plan (CEMP)</w:t>
      </w:r>
    </w:p>
    <w:p>
      <w:pPr>
        <w:pStyle w:val="ListParagraph"/>
        <w:numPr>
          <w:ilvl w:val="0"/>
          <w:numId w:val="1"/>
        </w:numPr>
        <w:spacing w:lineRule="exact" w:line="264" w:before="0" w:after="60"/>
        <w:rPr/>
      </w:pPr>
      <w:r>
        <w:rPr>
          <w:rFonts w:eastAsia="Arial" w:cs="Arial"/>
          <w:sz w:val="21"/>
          <w:szCs w:val="21"/>
        </w:rPr>
        <w:t>Emergency Power / Fuel Plan &amp; Test Log</w:t>
      </w:r>
    </w:p>
    <w:p>
      <w:pPr>
        <w:pStyle w:val="ListParagraph"/>
        <w:numPr>
          <w:ilvl w:val="0"/>
          <w:numId w:val="1"/>
        </w:numPr>
        <w:spacing w:lineRule="exact" w:line="264" w:before="0" w:after="60"/>
        <w:rPr/>
      </w:pPr>
      <w:r>
        <w:rPr>
          <w:rFonts w:eastAsia="Arial" w:cs="Arial"/>
          <w:sz w:val="21"/>
          <w:szCs w:val="21"/>
        </w:rPr>
        <w:t>Fire &amp; Elopement Drill Records</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5.01  Unanticipated Illness, Injury &amp; Death</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5.01  Unanticipated Illness, Injury &amp; Death</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59A-36.007, F.A.C.; s. 429.23, F.S.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ensure staff respond appropriately to a resident’s unanticipated illness, injury, significant change in condition, or death.</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respond promptly to a resident’s unanticipated illness, injury, or significant change in condition, obtain appropriate care, and follow required notification and documentation procedures upon a resident’s death.</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On a significant change, injury, or acute illness, provide first aid within staff scope, summon emergency medical services when needed, and notify the resident’s health care provider and representative.</w:t>
      </w:r>
    </w:p>
    <w:p>
      <w:pPr>
        <w:pStyle w:val="Normal"/>
        <w:tabs>
          <w:tab w:val="left" w:pos="720" w:leader="none"/>
        </w:tabs>
        <w:spacing w:lineRule="exact" w:line="264" w:before="0" w:after="80"/>
        <w:ind w:hanging="360" w:start="720"/>
        <w:rPr/>
      </w:pPr>
      <w:r>
        <w:rPr>
          <w:rFonts w:eastAsia="Arial" w:cs="Arial"/>
          <w:sz w:val="21"/>
          <w:szCs w:val="21"/>
        </w:rPr>
        <w:t>b. Honor a valid Do Not Resuscitate Order (DNRO) on the Florida-approved form consistent with Rule 59A-36.009, F.A.C., and Facility policy.</w:t>
      </w:r>
    </w:p>
    <w:p>
      <w:pPr>
        <w:pStyle w:val="Normal"/>
        <w:tabs>
          <w:tab w:val="left" w:pos="720" w:leader="none"/>
        </w:tabs>
        <w:spacing w:lineRule="exact" w:line="264" w:before="0" w:after="80"/>
        <w:ind w:hanging="360" w:start="720"/>
        <w:rPr/>
      </w:pPr>
      <w:r>
        <w:rPr>
          <w:rFonts w:eastAsia="Arial" w:cs="Arial"/>
          <w:sz w:val="21"/>
          <w:szCs w:val="21"/>
        </w:rPr>
        <w:t>c. Upon a resident’s death, follow notification procedures to the representative and appropriate authorities, document the event, and report as an adverse incident where the criteria are met.</w:t>
      </w:r>
    </w:p>
    <w:p>
      <w:pPr>
        <w:pStyle w:val="Normal"/>
        <w:tabs>
          <w:tab w:val="left" w:pos="720" w:leader="none"/>
        </w:tabs>
        <w:spacing w:lineRule="exact" w:line="264" w:before="0" w:after="80"/>
        <w:ind w:hanging="360" w:start="720"/>
        <w:rPr/>
      </w:pPr>
      <w:r>
        <w:rPr>
          <w:rFonts w:eastAsia="Arial" w:cs="Arial"/>
          <w:sz w:val="21"/>
          <w:szCs w:val="21"/>
        </w:rPr>
        <w:t>d. Document the event, the response, and all notifications in the resident’s record.</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Change of Condition / Injury Report</w:t>
      </w:r>
    </w:p>
    <w:p>
      <w:pPr>
        <w:pStyle w:val="ListParagraph"/>
        <w:numPr>
          <w:ilvl w:val="0"/>
          <w:numId w:val="1"/>
        </w:numPr>
        <w:spacing w:lineRule="exact" w:line="264" w:before="0" w:after="60"/>
        <w:rPr/>
      </w:pPr>
      <w:r>
        <w:rPr>
          <w:rFonts w:eastAsia="Arial" w:cs="Arial"/>
          <w:sz w:val="21"/>
          <w:szCs w:val="21"/>
        </w:rPr>
        <w:t>DNRO Documentation</w:t>
      </w:r>
    </w:p>
    <w:p>
      <w:pPr>
        <w:pStyle w:val="ListParagraph"/>
        <w:numPr>
          <w:ilvl w:val="0"/>
          <w:numId w:val="1"/>
        </w:numPr>
        <w:spacing w:lineRule="exact" w:line="264" w:before="0" w:after="60"/>
        <w:rPr/>
      </w:pPr>
      <w:r>
        <w:rPr>
          <w:rFonts w:eastAsia="Arial" w:cs="Arial"/>
          <w:sz w:val="21"/>
          <w:szCs w:val="21"/>
        </w:rPr>
        <w:t>Death Notification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5.02  Infection Prevention &amp; Control</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5.02  Infection Prevention &amp; Control</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 F.A.C.; CDC/APIC guidelines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prevent and control the transmission of infectious disease among residents, staff, and visitors through evidence-based practices and surveillance.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infection prevention and control practices based on nationally recognized guidelines (such as CDC and APIC), including standard precautions, surveillance, environmental hygiene, and staff screening as required.</w:t>
      </w:r>
    </w:p>
    <w:p>
      <w:pPr>
        <w:pStyle w:val="Normal"/>
        <w:pBdr>
          <w:bottom w:val="single" w:sz="4" w:space="1" w:color="2E5E45"/>
        </w:pBdr>
        <w:spacing w:before="160" w:after="80"/>
        <w:rPr/>
      </w:pPr>
      <w:r>
        <w:rPr>
          <w:rFonts w:eastAsia="Arial" w:cs="Arial"/>
          <w:b/>
          <w:bCs/>
          <w:color w:val="1A4731"/>
          <w:sz w:val="20"/>
          <w:szCs w:val="20"/>
        </w:rPr>
        <w:t>PROCEDURE — STANDARD PRECAUTIONS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treating all blood and body fluids as potentially infectious.</w:t>
      </w:r>
    </w:p>
    <w:p>
      <w:pPr>
        <w:pStyle w:val="Normal"/>
        <w:tabs>
          <w:tab w:val="left" w:pos="720" w:leader="none"/>
        </w:tabs>
        <w:spacing w:lineRule="exact" w:line="264" w:before="0" w:after="80"/>
        <w:ind w:hanging="360" w:start="720"/>
        <w:rPr/>
      </w:pPr>
      <w:r>
        <w:rPr>
          <w:rFonts w:eastAsia="Arial" w:cs="Arial"/>
          <w:sz w:val="21"/>
          <w:szCs w:val="21"/>
        </w:rPr>
        <w:t>b. Provide and require appropriate personal protective equipment based on anticipated exposure, and use barrier devices for any rescue breathing.</w:t>
      </w:r>
    </w:p>
    <w:p>
      <w:pPr>
        <w:pStyle w:val="Normal"/>
        <w:tabs>
          <w:tab w:val="left" w:pos="720" w:leader="none"/>
        </w:tabs>
        <w:spacing w:lineRule="exact" w:line="264" w:before="0" w:after="80"/>
        <w:ind w:hanging="360" w:start="720"/>
        <w:rPr/>
      </w:pPr>
      <w:r>
        <w:rPr>
          <w:rFonts w:eastAsia="Arial" w:cs="Arial"/>
          <w:sz w:val="21"/>
          <w:szCs w:val="21"/>
        </w:rPr>
        <w:t>c. Dispose of sharps and contaminated materials safely.</w:t>
      </w:r>
    </w:p>
    <w:p>
      <w:pPr>
        <w:pStyle w:val="Normal"/>
        <w:pBdr>
          <w:bottom w:val="single" w:sz="4" w:space="1" w:color="2E5E45"/>
        </w:pBdr>
        <w:spacing w:before="160" w:after="80"/>
        <w:rPr/>
      </w:pPr>
      <w:r>
        <w:rPr>
          <w:rFonts w:eastAsia="Arial" w:cs="Arial"/>
          <w:b/>
          <w:bCs/>
          <w:color w:val="1A4731"/>
          <w:sz w:val="20"/>
          <w:szCs w:val="20"/>
        </w:rPr>
        <w:t>PROCEDURE — SURVEILLANCE &amp; HYGIENE</w:t>
      </w:r>
    </w:p>
    <w:p>
      <w:pPr>
        <w:pStyle w:val="Normal"/>
        <w:tabs>
          <w:tab w:val="left" w:pos="720" w:leader="none"/>
        </w:tabs>
        <w:spacing w:lineRule="exact" w:line="264" w:before="0" w:after="80"/>
        <w:ind w:hanging="360" w:start="720"/>
        <w:rPr/>
      </w:pPr>
      <w:r>
        <w:rPr>
          <w:rFonts w:eastAsia="Arial" w:cs="Arial"/>
          <w:sz w:val="21"/>
          <w:szCs w:val="21"/>
        </w:rPr>
        <w:t>d. Track infections to detect clusters or outbreaks and respond appropriately, including notification of public health authorities when required.</w:t>
      </w:r>
    </w:p>
    <w:p>
      <w:pPr>
        <w:pStyle w:val="Normal"/>
        <w:tabs>
          <w:tab w:val="left" w:pos="720" w:leader="none"/>
        </w:tabs>
        <w:spacing w:lineRule="exact" w:line="264" w:before="0" w:after="80"/>
        <w:ind w:hanging="360" w:start="720"/>
        <w:rPr/>
      </w:pPr>
      <w:r>
        <w:rPr>
          <w:rFonts w:eastAsia="Arial" w:cs="Arial"/>
          <w:sz w:val="21"/>
          <w:szCs w:val="21"/>
        </w:rPr>
        <w:t>e. Maintain an environmental hygiene schedule specifying cleaning and disinfection frequency for high-touch surfaces and shared equipment.</w:t>
      </w:r>
    </w:p>
    <w:p>
      <w:pPr>
        <w:pStyle w:val="Normal"/>
        <w:tabs>
          <w:tab w:val="left" w:pos="720" w:leader="none"/>
        </w:tabs>
        <w:spacing w:lineRule="exact" w:line="264" w:before="0" w:after="80"/>
        <w:ind w:hanging="360" w:start="720"/>
        <w:rPr/>
      </w:pPr>
      <w:r>
        <w:rPr>
          <w:rFonts w:eastAsia="Arial" w:cs="Arial"/>
          <w:sz w:val="21"/>
          <w:szCs w:val="21"/>
        </w:rPr>
        <w:t>f. Ensure staff communicable-disease screening as required and provide occupational health follow-up after exposures.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Exposure Follow-Up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5.03  Hazardous Chemicals &amp; Safety Data Sheet (SDS) Management</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5.03  Hazardous Chemicals &amp; Safety Data Sheet (SDS) Management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OSHA Hazard Communication Standard, 29 CFR 1910.1200</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staff, and visitors from the hazards of cleaning chemicals, disinfectants, and other hazardous products through proper labeling, storage, safe use, and accessible Safety Data Sheets, in compliance with the OSHA Hazard Communication Standard, 29 CFR 1910.1200. This policy applies in every care setting the Facility operates, regardless of size.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Hazard Communication program that includes a current chemical inventory, an accessible Safety Data Sheet (SDS) for every hazardous chemical on site, proper labeling, safe storage and segregation of incompatible chemicals, staff training, and emergency response procedures for spills and exposures.</w:t>
      </w:r>
    </w:p>
    <w:p>
      <w:pPr>
        <w:pStyle w:val="Normal"/>
        <w:pBdr>
          <w:bottom w:val="single" w:sz="4" w:space="1" w:color="2E5E45"/>
        </w:pBdr>
        <w:spacing w:before="160" w:after="80"/>
        <w:rPr/>
      </w:pPr>
      <w:r>
        <w:rPr>
          <w:rFonts w:eastAsia="Arial" w:cs="Arial"/>
          <w:b/>
          <w:bCs/>
          <w:color w:val="1A4731"/>
          <w:sz w:val="20"/>
          <w:szCs w:val="20"/>
        </w:rPr>
        <w:t>DEFINITIONS</w:t>
      </w:r>
    </w:p>
    <w:p>
      <w:pPr>
        <w:pStyle w:val="Normal"/>
        <w:spacing w:lineRule="exact" w:line="276" w:before="0" w:after="120"/>
        <w:rPr/>
      </w:pPr>
      <w:r>
        <w:rPr>
          <w:rFonts w:eastAsia="Arial" w:cs="Arial"/>
          <w:sz w:val="21"/>
          <w:szCs w:val="21"/>
        </w:rPr>
        <w:t>Safety Data Sheet (SDS) — the standardized 16-section document provided by a chemical manufacturer describing a product’s hazards, safe handling, storage, and emergency measures.</w:t>
      </w:r>
    </w:p>
    <w:p>
      <w:pPr>
        <w:pStyle w:val="Normal"/>
        <w:spacing w:lineRule="exact" w:line="276" w:before="0" w:after="120"/>
        <w:rPr/>
      </w:pPr>
      <w:r>
        <w:rPr>
          <w:rFonts w:eastAsia="Arial" w:cs="Arial"/>
          <w:sz w:val="21"/>
          <w:szCs w:val="21"/>
        </w:rPr>
        <w:t>Hazard Communication Standard — OSHA 29 CFR 1910.1200, the federal regulation requiring employers to inform and train employees about hazardous chemicals in the workplace.</w:t>
      </w:r>
    </w:p>
    <w:p>
      <w:pPr>
        <w:pStyle w:val="Normal"/>
        <w:pBdr>
          <w:bottom w:val="single" w:sz="4" w:space="1" w:color="2E5E45"/>
        </w:pBdr>
        <w:spacing w:before="160" w:after="80"/>
        <w:rPr/>
      </w:pPr>
      <w:r>
        <w:rPr>
          <w:rFonts w:eastAsia="Arial" w:cs="Arial"/>
          <w:b/>
          <w:bCs/>
          <w:color w:val="1A4731"/>
          <w:sz w:val="20"/>
          <w:szCs w:val="20"/>
        </w:rPr>
        <w:t>PROCEDURE — SDS BINDER &amp; CHEMICAL INVENTORY</w:t>
      </w:r>
    </w:p>
    <w:p>
      <w:pPr>
        <w:pStyle w:val="Normal"/>
        <w:tabs>
          <w:tab w:val="left" w:pos="720" w:leader="none"/>
        </w:tabs>
        <w:spacing w:lineRule="exact" w:line="264" w:before="0" w:after="80"/>
        <w:ind w:hanging="360" w:start="720"/>
        <w:rPr/>
      </w:pPr>
      <w:r>
        <w:rPr>
          <w:rFonts w:eastAsia="Arial" w:cs="Arial"/>
          <w:sz w:val="21"/>
          <w:szCs w:val="21"/>
        </w:rPr>
        <w:t>a. Maintain a master chemical inventory listing every hazardous product on site, cross-referenced to a numbered SDS binder, including the product name, manufacturer, and manufacturer emergency contact.</w:t>
      </w:r>
    </w:p>
    <w:p>
      <w:pPr>
        <w:pStyle w:val="Normal"/>
        <w:tabs>
          <w:tab w:val="left" w:pos="720" w:leader="none"/>
        </w:tabs>
        <w:spacing w:lineRule="exact" w:line="264" w:before="0" w:after="80"/>
        <w:ind w:hanging="360" w:start="720"/>
        <w:rPr/>
      </w:pPr>
      <w:r>
        <w:rPr>
          <w:rFonts w:eastAsia="Arial" w:cs="Arial"/>
          <w:sz w:val="21"/>
          <w:szCs w:val="21"/>
        </w:rPr>
        <w:t>b. Keep a current SDS physically on site for every chemical in use, accessible to staff on every shift, and replace or add SDS when products change.</w:t>
      </w:r>
    </w:p>
    <w:p>
      <w:pPr>
        <w:pStyle w:val="Normal"/>
        <w:tabs>
          <w:tab w:val="left" w:pos="720" w:leader="none"/>
        </w:tabs>
        <w:spacing w:lineRule="exact" w:line="264" w:before="0" w:after="80"/>
        <w:ind w:hanging="360" w:start="720"/>
        <w:rPr/>
      </w:pPr>
      <w:r>
        <w:rPr>
          <w:rFonts w:eastAsia="Arial" w:cs="Arial"/>
          <w:sz w:val="21"/>
          <w:szCs w:val="21"/>
        </w:rPr>
        <w:t>c. Ensure SDS are kept in the current GHS 16-section format and remove or update legacy or outdated sheets.</w:t>
      </w:r>
    </w:p>
    <w:p>
      <w:pPr>
        <w:pStyle w:val="Normal"/>
        <w:pBdr>
          <w:bottom w:val="single" w:sz="4" w:space="1" w:color="2E5E45"/>
        </w:pBdr>
        <w:spacing w:before="160" w:after="80"/>
        <w:rPr/>
      </w:pPr>
      <w:r>
        <w:rPr>
          <w:rFonts w:eastAsia="Arial" w:cs="Arial"/>
          <w:b/>
          <w:bCs/>
          <w:color w:val="1A4731"/>
          <w:sz w:val="20"/>
          <w:szCs w:val="20"/>
        </w:rPr>
        <w:t>PROCEDURE — LABELING, STORAGE &amp; SAFE USE</w:t>
      </w:r>
    </w:p>
    <w:p>
      <w:pPr>
        <w:pStyle w:val="Normal"/>
        <w:tabs>
          <w:tab w:val="left" w:pos="720" w:leader="none"/>
        </w:tabs>
        <w:spacing w:lineRule="exact" w:line="264" w:before="0" w:after="80"/>
        <w:ind w:hanging="360" w:start="720"/>
        <w:rPr/>
      </w:pPr>
      <w:r>
        <w:rPr>
          <w:rFonts w:eastAsia="Arial" w:cs="Arial"/>
          <w:sz w:val="21"/>
          <w:szCs w:val="21"/>
        </w:rPr>
        <w:t>d. Ensure all chemical containers are properly labeled with product identity and hazard information; never store chemicals in unlabeled or mislabeled containers.</w:t>
      </w:r>
    </w:p>
    <w:p>
      <w:pPr>
        <w:pStyle w:val="Normal"/>
        <w:tabs>
          <w:tab w:val="left" w:pos="720" w:leader="none"/>
        </w:tabs>
        <w:spacing w:lineRule="exact" w:line="264" w:before="0" w:after="80"/>
        <w:ind w:hanging="360" w:start="720"/>
        <w:rPr/>
      </w:pPr>
      <w:r>
        <w:rPr>
          <w:rFonts w:eastAsia="Arial" w:cs="Arial"/>
          <w:sz w:val="21"/>
          <w:szCs w:val="21"/>
        </w:rPr>
        <w:t>e. Store chemicals safely and segregate incompatible chemicals — for example, never store or mix bleach with ammonia-based products, which can release toxic gas — and store all chemicals away from medications and resident-accessible areas.</w:t>
      </w:r>
    </w:p>
    <w:p>
      <w:pPr>
        <w:pStyle w:val="Normal"/>
        <w:tabs>
          <w:tab w:val="left" w:pos="720" w:leader="none"/>
        </w:tabs>
        <w:spacing w:lineRule="exact" w:line="264" w:before="0" w:after="80"/>
        <w:ind w:hanging="360" w:start="720"/>
        <w:rPr/>
      </w:pPr>
      <w:r>
        <w:rPr>
          <w:rFonts w:eastAsia="Arial" w:cs="Arial"/>
          <w:sz w:val="21"/>
          <w:szCs w:val="21"/>
        </w:rPr>
        <w:t>f. Use chemicals only as directed, at proper dilution, with the personal protective equipment specified by the SDS for that product.</w:t>
      </w:r>
    </w:p>
    <w:p>
      <w:pPr>
        <w:pStyle w:val="Normal"/>
        <w:tabs>
          <w:tab w:val="left" w:pos="720" w:leader="none"/>
        </w:tabs>
        <w:spacing w:lineRule="exact" w:line="264" w:before="0" w:after="80"/>
        <w:ind w:hanging="360" w:start="720"/>
        <w:rPr/>
      </w:pPr>
      <w:r>
        <w:rPr>
          <w:rFonts w:eastAsia="Arial" w:cs="Arial"/>
          <w:sz w:val="21"/>
          <w:szCs w:val="21"/>
        </w:rPr>
        <w:t>g. Provide and maintain access to eyewash capability or flushing water where required by the products in use.</w:t>
      </w:r>
    </w:p>
    <w:p>
      <w:pPr>
        <w:pStyle w:val="Normal"/>
        <w:pBdr>
          <w:bottom w:val="single" w:sz="4" w:space="1" w:color="2E5E45"/>
        </w:pBdr>
        <w:spacing w:before="160" w:after="80"/>
        <w:rPr/>
      </w:pPr>
      <w:r>
        <w:rPr>
          <w:rFonts w:eastAsia="Arial" w:cs="Arial"/>
          <w:b/>
          <w:bCs/>
          <w:color w:val="1A4731"/>
          <w:sz w:val="20"/>
          <w:szCs w:val="20"/>
        </w:rPr>
        <w:t>PROCEDURE — TRAINING &amp; EMERGENCY RESPONSE</w:t>
      </w:r>
    </w:p>
    <w:p>
      <w:pPr>
        <w:pStyle w:val="Normal"/>
        <w:tabs>
          <w:tab w:val="left" w:pos="720" w:leader="none"/>
        </w:tabs>
        <w:spacing w:lineRule="exact" w:line="264" w:before="0" w:after="80"/>
        <w:ind w:hanging="360" w:start="720"/>
        <w:rPr/>
      </w:pPr>
      <w:r>
        <w:rPr>
          <w:rFonts w:eastAsia="Arial" w:cs="Arial"/>
          <w:sz w:val="21"/>
          <w:szCs w:val="21"/>
        </w:rPr>
        <w:t>h. Train each staff member, before independent work, on labeling, SDS literacy, PPE use, safe storage and segregation, proper use and dilution, and the connection to infection control.</w:t>
      </w:r>
    </w:p>
    <w:p>
      <w:pPr>
        <w:pStyle w:val="Normal"/>
        <w:tabs>
          <w:tab w:val="left" w:pos="720" w:leader="none"/>
        </w:tabs>
        <w:spacing w:lineRule="exact" w:line="264" w:before="0" w:after="80"/>
        <w:ind w:hanging="360" w:start="720"/>
        <w:rPr/>
      </w:pPr>
      <w:r>
        <w:rPr>
          <w:rFonts w:eastAsia="Arial" w:cs="Arial"/>
          <w:sz w:val="21"/>
          <w:szCs w:val="21"/>
        </w:rPr>
        <w:t>i. Train staff on emergency response for chemical spills and exposures, including spill containment, eyewash/flushing, and when to seek medical attention or call the poison center or 911.</w:t>
      </w:r>
    </w:p>
    <w:p>
      <w:pPr>
        <w:pStyle w:val="Normal"/>
        <w:tabs>
          <w:tab w:val="left" w:pos="720" w:leader="none"/>
        </w:tabs>
        <w:spacing w:lineRule="exact" w:line="264" w:before="0" w:after="80"/>
        <w:ind w:hanging="360" w:start="720"/>
        <w:rPr/>
      </w:pPr>
      <w:r>
        <w:rPr>
          <w:rFonts w:eastAsia="Arial" w:cs="Arial"/>
          <w:sz w:val="21"/>
          <w:szCs w:val="21"/>
        </w:rPr>
        <w:t>j. Report and document chemical exposures or significant spills, and review them through the quality improvement process.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Master Chemical Inventory List</w:t>
      </w:r>
    </w:p>
    <w:p>
      <w:pPr>
        <w:pStyle w:val="ListParagraph"/>
        <w:numPr>
          <w:ilvl w:val="0"/>
          <w:numId w:val="1"/>
        </w:numPr>
        <w:spacing w:lineRule="exact" w:line="264" w:before="0" w:after="60"/>
        <w:rPr/>
      </w:pPr>
      <w:r>
        <w:rPr>
          <w:rFonts w:eastAsia="Arial" w:cs="Arial"/>
          <w:sz w:val="21"/>
          <w:szCs w:val="21"/>
        </w:rPr>
        <w:t>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5.04  Physical Plant, Food Service &amp; Sanitation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5.04  Physical Plant, Food Service &amp; Sanitation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59A-36.014, 59A-36.020, 59A-36.022, F.A.C.; ch. 509, F.S. (food)</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 safe, sanitary, well-maintained physical environment and safe food service consistent with the physical plant, sanitation, and food-service standards of Rule Chapter 59A-36, F.A.C.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the premises, resident living areas, bathrooms, and common areas to meet the physical plant and life-safety standards for its license, and shall provide food service that meets residents’ nutritional needs under sanitary conditions.</w:t>
      </w:r>
    </w:p>
    <w:p>
      <w:pPr>
        <w:pStyle w:val="Normal"/>
        <w:pBdr>
          <w:bottom w:val="single" w:sz="4" w:space="1" w:color="2E5E45"/>
        </w:pBdr>
        <w:spacing w:before="160" w:after="80"/>
        <w:rPr/>
      </w:pPr>
      <w:r>
        <w:rPr>
          <w:rFonts w:eastAsia="Arial" w:cs="Arial"/>
          <w:b/>
          <w:bCs/>
          <w:color w:val="1A4731"/>
          <w:sz w:val="20"/>
          <w:szCs w:val="20"/>
        </w:rPr>
        <w:t>PROCEDURE — PHYSICAL PLANT &amp; SANITATION</w:t>
      </w:r>
    </w:p>
    <w:p>
      <w:pPr>
        <w:pStyle w:val="Normal"/>
        <w:tabs>
          <w:tab w:val="left" w:pos="720" w:leader="none"/>
        </w:tabs>
        <w:spacing w:lineRule="exact" w:line="264" w:before="0" w:after="80"/>
        <w:ind w:hanging="360" w:start="720"/>
        <w:rPr/>
      </w:pPr>
      <w:r>
        <w:rPr>
          <w:rFonts w:eastAsia="Arial" w:cs="Arial"/>
          <w:sz w:val="21"/>
          <w:szCs w:val="21"/>
        </w:rPr>
        <w:t>a. Maintain the premises and equipment in good repair and in a safe, clean, and sanitary condition, and conduct routine safety inspections.</w:t>
      </w:r>
    </w:p>
    <w:p>
      <w:pPr>
        <w:pStyle w:val="Normal"/>
        <w:tabs>
          <w:tab w:val="left" w:pos="720" w:leader="none"/>
        </w:tabs>
        <w:spacing w:lineRule="exact" w:line="264" w:before="0" w:after="80"/>
        <w:ind w:hanging="360" w:start="720"/>
        <w:rPr/>
      </w:pPr>
      <w:r>
        <w:rPr>
          <w:rFonts w:eastAsia="Arial" w:cs="Arial"/>
          <w:sz w:val="21"/>
          <w:szCs w:val="21"/>
        </w:rPr>
        <w:t>b. Maintain compliance with applicable fire safety and sanitation inspection standards and retain the inspection documentation required by rule.</w:t>
      </w:r>
    </w:p>
    <w:p>
      <w:pPr>
        <w:pStyle w:val="Normal"/>
        <w:tabs>
          <w:tab w:val="left" w:pos="720" w:leader="none"/>
        </w:tabs>
        <w:spacing w:lineRule="exact" w:line="264" w:before="0" w:after="80"/>
        <w:ind w:hanging="360" w:start="720"/>
        <w:rPr/>
      </w:pPr>
      <w:r>
        <w:rPr>
          <w:rFonts w:eastAsia="Arial" w:cs="Arial"/>
          <w:sz w:val="21"/>
          <w:szCs w:val="21"/>
        </w:rPr>
        <w:t>c. Maintain a hazardous-materials program consistent with the Hazardous Chemicals &amp; SDS Management policy.</w:t>
      </w:r>
    </w:p>
    <w:p>
      <w:pPr>
        <w:pStyle w:val="Normal"/>
        <w:pBdr>
          <w:bottom w:val="single" w:sz="4" w:space="1" w:color="2E5E45"/>
        </w:pBdr>
        <w:spacing w:before="160" w:after="80"/>
        <w:rPr/>
      </w:pPr>
      <w:r>
        <w:rPr>
          <w:rFonts w:eastAsia="Arial" w:cs="Arial"/>
          <w:b/>
          <w:bCs/>
          <w:color w:val="1A4731"/>
          <w:sz w:val="20"/>
          <w:szCs w:val="20"/>
        </w:rPr>
        <w:t>PROCEDURE — FOOD SERVICE</w:t>
      </w:r>
    </w:p>
    <w:p>
      <w:pPr>
        <w:pStyle w:val="Normal"/>
        <w:tabs>
          <w:tab w:val="left" w:pos="720" w:leader="none"/>
        </w:tabs>
        <w:spacing w:lineRule="exact" w:line="264" w:before="0" w:after="80"/>
        <w:ind w:hanging="360" w:start="720"/>
        <w:rPr/>
      </w:pPr>
      <w:r>
        <w:rPr>
          <w:rFonts w:eastAsia="Arial" w:cs="Arial"/>
          <w:sz w:val="21"/>
          <w:szCs w:val="21"/>
        </w:rPr>
        <w:t>d. Provide meals that meet residents’ nutritional needs and any therapeutic diet ordered by a health care provider, with menus planned and followed.</w:t>
      </w:r>
    </w:p>
    <w:p>
      <w:pPr>
        <w:pStyle w:val="Normal"/>
        <w:tabs>
          <w:tab w:val="left" w:pos="720" w:leader="none"/>
        </w:tabs>
        <w:spacing w:lineRule="exact" w:line="264" w:before="0" w:after="80"/>
        <w:ind w:hanging="360" w:start="720"/>
        <w:rPr/>
      </w:pPr>
      <w:r>
        <w:rPr>
          <w:rFonts w:eastAsia="Arial" w:cs="Arial"/>
          <w:sz w:val="21"/>
          <w:szCs w:val="21"/>
        </w:rPr>
        <w:t>e. Store, prepare, and serve food under sanitary conditions consistent with applicable food-service standards, and ensure food staff meet applicable food-handler requirements.</w:t>
      </w:r>
    </w:p>
    <w:p>
      <w:pPr>
        <w:pStyle w:val="Normal"/>
        <w:tabs>
          <w:tab w:val="left" w:pos="720" w:leader="none"/>
        </w:tabs>
        <w:spacing w:lineRule="exact" w:line="264" w:before="0" w:after="80"/>
        <w:ind w:hanging="360" w:start="720"/>
        <w:rPr/>
      </w:pPr>
      <w:r>
        <w:rPr>
          <w:rFonts w:eastAsia="Arial" w:cs="Arial"/>
          <w:sz w:val="21"/>
          <w:szCs w:val="21"/>
        </w:rPr>
        <w:t>f. Accommodate resident food and dining preferences consistent with resident needs.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Fire &amp; Sanitation Inspection Records</w:t>
      </w:r>
    </w:p>
    <w:p>
      <w:pPr>
        <w:pStyle w:val="ListParagraph"/>
        <w:numPr>
          <w:ilvl w:val="0"/>
          <w:numId w:val="1"/>
        </w:numPr>
        <w:spacing w:lineRule="exact" w:line="264" w:before="0" w:after="60"/>
        <w:rPr/>
      </w:pPr>
      <w:r>
        <w:rPr>
          <w:rFonts w:eastAsia="Arial" w:cs="Arial"/>
          <w:sz w:val="21"/>
          <w:szCs w:val="21"/>
        </w:rPr>
        <w:t>Menu / Therapeutic Diet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5.05  Abuse, Neglect &amp; Exploitation — Prevention &amp; Mandatory Reporting</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5.05  Abuse, Neglect &amp; Exploitation — Prevention &amp; Mandatory Reporting</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Health, Safety &amp; Emergency Response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ch. 415, F.S. (APS); s. 429.28, F.S.; Florida Abuse Hotline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protect residents from abuse, neglect, and exploitation through prevention, prompt mandatory reporting, and investigation.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abuse, neglect, and exploitation, requires immediate reporting of suspected mistreatment of a vulnerable adult to the Florida Abuse Hotline as required by Chapter 415, F.S., and investigates all allegations.</w:t>
      </w:r>
    </w:p>
    <w:p>
      <w:pPr>
        <w:pStyle w:val="Normal"/>
        <w:pBdr>
          <w:bottom w:val="single" w:sz="4" w:space="1" w:color="2E5E45"/>
        </w:pBdr>
        <w:spacing w:before="160" w:after="80"/>
        <w:rPr/>
      </w:pPr>
      <w:r>
        <w:rPr>
          <w:rFonts w:eastAsia="Arial" w:cs="Arial"/>
          <w:b/>
          <w:bCs/>
          <w:color w:val="1A4731"/>
          <w:sz w:val="20"/>
          <w:szCs w:val="20"/>
        </w:rPr>
        <w:t>PROCEDURE</w:t>
      </w:r>
    </w:p>
    <w:p>
      <w:pPr>
        <w:pStyle w:val="Normal"/>
        <w:tabs>
          <w:tab w:val="left" w:pos="720" w:leader="none"/>
        </w:tabs>
        <w:spacing w:lineRule="exact" w:line="264" w:before="0" w:after="80"/>
        <w:ind w:hanging="360" w:start="720"/>
        <w:rPr/>
      </w:pPr>
      <w:r>
        <w:rPr>
          <w:rFonts w:eastAsia="Arial" w:cs="Arial"/>
          <w:sz w:val="21"/>
          <w:szCs w:val="21"/>
        </w:rPr>
        <w:t>a. Train all staff to recognize and immediately report suspected abuse, neglect, or exploitation, and to protect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suspected mistreatment of a vulnerable adult to the Florida Abuse Hotline (1-800-96-ABUSE) as required by Chapter 415, F.S., and report as an adverse incident to AHCA where criteria are met.</w:t>
      </w:r>
    </w:p>
    <w:p>
      <w:pPr>
        <w:pStyle w:val="Normal"/>
        <w:tabs>
          <w:tab w:val="left" w:pos="720" w:leader="none"/>
        </w:tabs>
        <w:spacing w:lineRule="exact" w:line="264" w:before="0" w:after="80"/>
        <w:ind w:hanging="360" w:start="720"/>
        <w:rPr/>
      </w:pPr>
      <w:r>
        <w:rPr>
          <w:rFonts w:eastAsia="Arial" w:cs="Arial"/>
          <w:sz w:val="21"/>
          <w:szCs w:val="21"/>
        </w:rPr>
        <w:t>c. Investigate each allegation, documenting facts, dates and times, witnesses, and findings, and institute corrective measures.</w:t>
      </w:r>
    </w:p>
    <w:p>
      <w:pPr>
        <w:pStyle w:val="Normal"/>
        <w:tabs>
          <w:tab w:val="left" w:pos="720" w:leader="none"/>
        </w:tabs>
        <w:spacing w:lineRule="exact" w:line="264" w:before="0" w:after="80"/>
        <w:ind w:hanging="360" w:start="720"/>
        <w:rPr/>
      </w:pPr>
      <w:r>
        <w:rPr>
          <w:rFonts w:eastAsia="Arial" w:cs="Arial"/>
          <w:sz w:val="21"/>
          <w:szCs w:val="21"/>
        </w:rPr>
        <w:t>d. Protect the reporting party from retaliation and cooperate fully with external investigations.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Investigation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Quality Management &amp; Documentation</w:t>
      </w:r>
    </w:p>
    <w:p>
      <w:pPr>
        <w:pStyle w:val="Normal"/>
        <w:spacing w:lineRule="exact" w:line="288" w:before="0" w:after="240"/>
        <w:rPr/>
      </w:pPr>
      <w:r>
        <w:rPr>
          <w:rFonts w:eastAsia="Arial" w:cs="Arial"/>
          <w:color w:val="444444"/>
          <w:sz w:val="22"/>
          <w:szCs w:val="22"/>
        </w:rPr>
        <w:t>This section covers how the Facility records, measures, and improves the care it provides — resident records and documentation, the quality improvement program aligned with Joint Commission Assisted Living Community principles, and the Facility’s memory care / ADRD standards together with preparation for Florida’s coming Memory Care Services license.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6.00  Resident Records &amp; Documentation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6.01  Quality Improvement Program</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6.02  Memory Care / ADRD Services &amp; the Coming Memory Care Services License</w:t>
      </w:r>
    </w:p>
    <w:p>
      <w:pPr>
        <w:pStyle w:val="Normal"/>
        <w:rPr/>
      </w:pPr>
      <w:r>
        <w:rPr/>
      </w:r>
      <w:r>
        <w:br w:type="page"/>
      </w:r>
    </w:p>
    <w:p>
      <w:pPr>
        <w:pStyle w:val="Heading2"/>
        <w:spacing w:before="0" w:after="120"/>
        <w:rPr/>
      </w:pPr>
      <w:r>
        <w:rPr>
          <w:rFonts w:eastAsia="Arial" w:cs="Arial" w:ascii="Arial" w:hAnsi="Arial"/>
          <w:b/>
          <w:bCs/>
          <w:color w:val="1A4731"/>
          <w:sz w:val="26"/>
          <w:szCs w:val="26"/>
        </w:rPr>
        <w:t>6.00  Resident Records &amp; Documentation</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6.00  Resident Records &amp; Documentation</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59A-36.007, 59A-36.012, F.A.C.; HIPAA</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maintain accurate, complete, and confidential resident records that support care and demonstrate compliance, consistent with Rule Chapter 59A-36, F.A.C.</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record for each resident, protect the confidentiality and security of resident information consistent with HIPAA and Florida law, and make records available to the resident and AHCA as required.</w:t>
      </w:r>
    </w:p>
    <w:p>
      <w:pPr>
        <w:pStyle w:val="Normal"/>
        <w:pBdr>
          <w:bottom w:val="single" w:sz="4" w:space="1" w:color="2E5E45"/>
        </w:pBdr>
        <w:spacing w:before="160" w:after="80"/>
        <w:rPr/>
      </w:pPr>
      <w:r>
        <w:rPr>
          <w:rFonts w:eastAsia="Arial" w:cs="Arial"/>
          <w:b/>
          <w:bCs/>
          <w:color w:val="1A4731"/>
          <w:sz w:val="20"/>
          <w:szCs w:val="20"/>
        </w:rPr>
        <w:t>PROCEDURE — RECORD CONTENTS</w:t>
      </w:r>
    </w:p>
    <w:p>
      <w:pPr>
        <w:pStyle w:val="Normal"/>
        <w:tabs>
          <w:tab w:val="left" w:pos="720" w:leader="none"/>
        </w:tabs>
        <w:spacing w:lineRule="exact" w:line="264" w:before="0" w:after="80"/>
        <w:ind w:hanging="360" w:start="720"/>
        <w:rPr/>
      </w:pPr>
      <w:r>
        <w:rPr>
          <w:rFonts w:eastAsia="Arial" w:cs="Arial"/>
          <w:sz w:val="21"/>
          <w:szCs w:val="21"/>
        </w:rPr>
        <w:t>a. Maintain for each resident: identifying information; the residency agreement; the health assessment (Form 1823); records of services provided; the medication observation/assistance record; and incident documentation as applicable.</w:t>
      </w:r>
    </w:p>
    <w:p>
      <w:pPr>
        <w:pStyle w:val="Normal"/>
        <w:tabs>
          <w:tab w:val="left" w:pos="720" w:leader="none"/>
        </w:tabs>
        <w:spacing w:lineRule="exact" w:line="264" w:before="0" w:after="80"/>
        <w:ind w:hanging="360" w:start="720"/>
        <w:rPr/>
      </w:pPr>
      <w:r>
        <w:rPr>
          <w:rFonts w:eastAsia="Arial" w:cs="Arial"/>
          <w:sz w:val="21"/>
          <w:szCs w:val="21"/>
        </w:rPr>
        <w:t>b. Document care and changes in condition contemporaneously, accurately, and legibly.</w:t>
      </w:r>
    </w:p>
    <w:p>
      <w:pPr>
        <w:pStyle w:val="Normal"/>
        <w:tabs>
          <w:tab w:val="left" w:pos="720" w:leader="none"/>
        </w:tabs>
        <w:spacing w:lineRule="exact" w:line="264" w:before="0" w:after="80"/>
        <w:ind w:hanging="360" w:start="720"/>
        <w:rPr/>
      </w:pPr>
      <w:r>
        <w:rPr>
          <w:rFonts w:eastAsia="Arial" w:cs="Arial"/>
          <w:sz w:val="21"/>
          <w:szCs w:val="21"/>
        </w:rPr>
        <w:t>c. Retain records for the period required by rule and make them available to AHCA on request.</w:t>
      </w:r>
    </w:p>
    <w:p>
      <w:pPr>
        <w:pStyle w:val="Normal"/>
        <w:pBdr>
          <w:bottom w:val="single" w:sz="4" w:space="1" w:color="2E5E45"/>
        </w:pBdr>
        <w:spacing w:before="160" w:after="80"/>
        <w:rPr/>
      </w:pPr>
      <w:r>
        <w:rPr>
          <w:rFonts w:eastAsia="Arial" w:cs="Arial"/>
          <w:b/>
          <w:bCs/>
          <w:color w:val="1A4731"/>
          <w:sz w:val="20"/>
          <w:szCs w:val="20"/>
        </w:rPr>
        <w:t>PROCEDURE — CONFIDENTIALITY &amp; TRANSFERS</w:t>
      </w:r>
    </w:p>
    <w:p>
      <w:pPr>
        <w:pStyle w:val="Normal"/>
        <w:tabs>
          <w:tab w:val="left" w:pos="720" w:leader="none"/>
        </w:tabs>
        <w:spacing w:lineRule="exact" w:line="264" w:before="0" w:after="80"/>
        <w:ind w:hanging="360" w:start="720"/>
        <w:rPr/>
      </w:pPr>
      <w:r>
        <w:rPr>
          <w:rFonts w:eastAsia="Arial" w:cs="Arial"/>
          <w:sz w:val="21"/>
          <w:szCs w:val="21"/>
        </w:rPr>
        <w:t>d. Protect the confidentiality and security of resident records and release information only as permitted by law or with consent.</w:t>
      </w:r>
    </w:p>
    <w:p>
      <w:pPr>
        <w:pStyle w:val="Normal"/>
        <w:tabs>
          <w:tab w:val="left" w:pos="720" w:leader="none"/>
        </w:tabs>
        <w:spacing w:lineRule="exact" w:line="264" w:before="0" w:after="80"/>
        <w:ind w:hanging="360" w:start="720"/>
        <w:rPr/>
      </w:pPr>
      <w:r>
        <w:rPr>
          <w:rFonts w:eastAsia="Arial" w:cs="Arial"/>
          <w:sz w:val="21"/>
          <w:szCs w:val="21"/>
        </w:rPr>
        <w:t>e. Provide the resident access to their records as required.</w:t>
      </w:r>
    </w:p>
    <w:p>
      <w:pPr>
        <w:pStyle w:val="Normal"/>
        <w:tabs>
          <w:tab w:val="left" w:pos="720" w:leader="none"/>
        </w:tabs>
        <w:spacing w:lineRule="exact" w:line="264" w:before="0" w:after="80"/>
        <w:ind w:hanging="360" w:start="720"/>
        <w:rPr/>
      </w:pPr>
      <w:r>
        <w:rPr>
          <w:rFonts w:eastAsia="Arial" w:cs="Arial"/>
          <w:sz w:val="21"/>
          <w:szCs w:val="21"/>
        </w:rPr>
        <w:t>f. At transfer to another provider, provide information from the resident’s record necessary for continuity of care.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Records Retention Schedule</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6.01  Quality Improvement Program</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6.01  Quality Improvement Program</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Rule 59A-36, F.A.C.; JC ALC performance measures</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operate a structured quality improvement program that measures performance, drives improvement, and sustains a culture of safety, aligned with Joint Commission Assisted Living Community (ALC) accreditation principles.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shall maintain a quality improvement program that collects and analyzes data on meaningful measures, implements and sustains improvements, supports non-punitive reporting, and maintains leadership accountability for quality and safety.</w:t>
      </w:r>
    </w:p>
    <w:p>
      <w:pPr>
        <w:pStyle w:val="Normal"/>
        <w:pBdr>
          <w:bottom w:val="single" w:sz="4" w:space="1" w:color="2E5E45"/>
        </w:pBdr>
        <w:spacing w:before="160" w:after="80"/>
        <w:rPr/>
      </w:pPr>
      <w:r>
        <w:rPr>
          <w:rFonts w:eastAsia="Arial" w:cs="Arial"/>
          <w:b/>
          <w:bCs/>
          <w:color w:val="1A4731"/>
          <w:sz w:val="20"/>
          <w:szCs w:val="20"/>
        </w:rPr>
        <w:t>PROCEDURE — CULTURE OF SAFETY</w:t>
      </w:r>
    </w:p>
    <w:p>
      <w:pPr>
        <w:pStyle w:val="Normal"/>
        <w:tabs>
          <w:tab w:val="left" w:pos="720" w:leader="none"/>
        </w:tabs>
        <w:spacing w:lineRule="exact" w:line="264" w:before="0" w:after="80"/>
        <w:ind w:hanging="360" w:start="720"/>
        <w:rPr/>
      </w:pPr>
      <w:r>
        <w:rPr>
          <w:rFonts w:eastAsia="Arial" w:cs="Arial"/>
          <w:sz w:val="21"/>
          <w:szCs w:val="21"/>
        </w:rPr>
        <w:t>a. Maintain a non-punitive reporting culture in which staff may report safety concerns, errors, and near misses without fear of retaliation.</w:t>
      </w:r>
    </w:p>
    <w:p>
      <w:pPr>
        <w:pStyle w:val="Normal"/>
        <w:tabs>
          <w:tab w:val="left" w:pos="720" w:leader="none"/>
        </w:tabs>
        <w:spacing w:lineRule="exact" w:line="264" w:before="0" w:after="80"/>
        <w:ind w:hanging="360" w:start="720"/>
        <w:rPr/>
      </w:pPr>
      <w:r>
        <w:rPr>
          <w:rFonts w:eastAsia="Arial" w:cs="Arial"/>
          <w:sz w:val="21"/>
          <w:szCs w:val="21"/>
        </w:rPr>
        <w:t>b. Maintain organizational ethics standards, including conflict-of-interest and ethical decision-making expectations, with ownership and the administrator accountable for quality and safety.</w:t>
      </w:r>
    </w:p>
    <w:p>
      <w:pPr>
        <w:pStyle w:val="Normal"/>
        <w:pBdr>
          <w:bottom w:val="single" w:sz="4" w:space="1" w:color="2E5E45"/>
        </w:pBdr>
        <w:spacing w:before="160" w:after="80"/>
        <w:rPr/>
      </w:pPr>
      <w:r>
        <w:rPr>
          <w:rFonts w:eastAsia="Arial" w:cs="Arial"/>
          <w:b/>
          <w:bCs/>
          <w:color w:val="1A4731"/>
          <w:sz w:val="20"/>
          <w:szCs w:val="20"/>
        </w:rPr>
        <w:t>PROCEDURE — PERFORMANCE IMPROVEMENT</w:t>
      </w:r>
    </w:p>
    <w:p>
      <w:pPr>
        <w:pStyle w:val="Normal"/>
        <w:tabs>
          <w:tab w:val="left" w:pos="720" w:leader="none"/>
        </w:tabs>
        <w:spacing w:lineRule="exact" w:line="264" w:before="0" w:after="80"/>
        <w:ind w:hanging="360" w:start="720"/>
        <w:rPr/>
      </w:pPr>
      <w:r>
        <w:rPr>
          <w:rFonts w:eastAsia="Arial" w:cs="Arial"/>
          <w:sz w:val="21"/>
          <w:szCs w:val="21"/>
        </w:rPr>
        <w:t>c. Identify meaningful measures aligned with Joint Commission ALC performance domains (for example, staff stability and resident-safety measures) and collect data on them.</w:t>
      </w:r>
    </w:p>
    <w:p>
      <w:pPr>
        <w:pStyle w:val="Normal"/>
        <w:tabs>
          <w:tab w:val="left" w:pos="720" w:leader="none"/>
        </w:tabs>
        <w:spacing w:lineRule="exact" w:line="264" w:before="0" w:after="80"/>
        <w:ind w:hanging="360" w:start="720"/>
        <w:rPr/>
      </w:pPr>
      <w:r>
        <w:rPr>
          <w:rFonts w:eastAsia="Arial" w:cs="Arial"/>
          <w:sz w:val="21"/>
          <w:szCs w:val="21"/>
        </w:rPr>
        <w:t>d. Analyze data for trends and patterns; for any serious adverse event, conduct a root-cause analysis and implement an action plan.</w:t>
      </w:r>
    </w:p>
    <w:p>
      <w:pPr>
        <w:pStyle w:val="Normal"/>
        <w:tabs>
          <w:tab w:val="left" w:pos="720" w:leader="none"/>
        </w:tabs>
        <w:spacing w:lineRule="exact" w:line="264" w:before="0" w:after="80"/>
        <w:ind w:hanging="360" w:start="720"/>
        <w:rPr/>
      </w:pPr>
      <w:r>
        <w:rPr>
          <w:rFonts w:eastAsia="Arial" w:cs="Arial"/>
          <w:sz w:val="21"/>
          <w:szCs w:val="21"/>
        </w:rPr>
        <w:t>e. Use a Plan-Do-Study-Act cycle: implement an improvement, study the result, act to standardize or adjust, and monitor to confirm it is sustained.</w:t>
      </w:r>
    </w:p>
    <w:p>
      <w:pPr>
        <w:pStyle w:val="Normal"/>
        <w:tabs>
          <w:tab w:val="left" w:pos="720" w:leader="none"/>
        </w:tabs>
        <w:spacing w:lineRule="exact" w:line="264" w:before="0" w:after="80"/>
        <w:ind w:hanging="360" w:start="720"/>
        <w:rPr/>
      </w:pPr>
      <w:r>
        <w:rPr>
          <w:rFonts w:eastAsia="Arial" w:cs="Arial"/>
          <w:sz w:val="21"/>
          <w:szCs w:val="21"/>
        </w:rPr>
        <w:t>f. Review falls, medication errors, infections, grievances, elopement drills, and adverse incidents for patterns, and report to ownership/administration on a defined schedule.</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Quality Measure Dashboard</w:t>
      </w:r>
    </w:p>
    <w:p>
      <w:pPr>
        <w:pStyle w:val="ListParagraph"/>
        <w:numPr>
          <w:ilvl w:val="0"/>
          <w:numId w:val="1"/>
        </w:numPr>
        <w:spacing w:lineRule="exact" w:line="264" w:before="0" w:after="60"/>
        <w:rPr/>
      </w:pPr>
      <w:r>
        <w:rPr>
          <w:rFonts w:eastAsia="Arial" w:cs="Arial"/>
          <w:sz w:val="21"/>
          <w:szCs w:val="21"/>
        </w:rPr>
        <w:t>PDSA / Improvement Record</w:t>
      </w:r>
    </w:p>
    <w:p>
      <w:pPr>
        <w:pStyle w:val="ListParagraph"/>
        <w:numPr>
          <w:ilvl w:val="0"/>
          <w:numId w:val="1"/>
        </w:numPr>
        <w:spacing w:lineRule="exact" w:line="264" w:before="0" w:after="60"/>
        <w:rPr/>
      </w:pPr>
      <w:r>
        <w:rPr>
          <w:rFonts w:eastAsia="Arial" w:cs="Arial"/>
          <w:sz w:val="21"/>
          <w:szCs w:val="21"/>
        </w:rPr>
        <w:t>Root-Cause Analysis Record</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Heading2"/>
        <w:spacing w:before="0" w:after="120"/>
        <w:rPr/>
      </w:pPr>
      <w:r>
        <w:rPr>
          <w:rFonts w:eastAsia="Arial" w:cs="Arial" w:ascii="Arial" w:hAnsi="Arial"/>
          <w:b/>
          <w:bCs/>
          <w:color w:val="1A4731"/>
          <w:sz w:val="26"/>
          <w:szCs w:val="26"/>
        </w:rPr>
        <w:t>6.02  Memory Care / ADRD Services &amp; the Coming Memory Care Services License</w:t>
      </w:r>
    </w:p>
    <w:tbl>
      <w:tblPr>
        <w:tblW w:w="9360" w:type="dxa"/>
        <w:jc w:val="start"/>
        <w:tblInd w:w="0" w:type="dxa"/>
        <w:tblLayout w:type="fixed"/>
        <w:tblCellMar>
          <w:top w:w="60" w:type="dxa"/>
          <w:start w:w="120" w:type="dxa"/>
          <w:bottom w:w="60" w:type="dxa"/>
          <w:end w:w="120" w:type="dxa"/>
        </w:tblCellMar>
      </w:tblPr>
      <w:tblGrid>
        <w:gridCol w:w="1900"/>
        <w:gridCol w:w="2780"/>
        <w:gridCol w:w="1900"/>
        <w:gridCol w:w="2779"/>
      </w:tblGrid>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Policy Title</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6.02  Memory Care / ADRD Services &amp; the Coming Memory Care Services License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Department</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Quality Management &amp; Documentation</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Reference</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ss. 429.177, 429.178, F.S. (current); CS/CS/SB 1404 (2026) memory care services license</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Effective Date</w:t>
            </w:r>
          </w:p>
        </w:tc>
        <w:tc>
          <w:tcPr>
            <w:tcW w:w="27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[Effective Date]</w:t>
            </w:r>
          </w:p>
        </w:tc>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Revision Date(s)</w:t>
            </w:r>
          </w:p>
        </w:tc>
        <w:tc>
          <w:tcPr>
            <w:tcW w:w="27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sz w:val="18"/>
                <w:szCs w:val="18"/>
              </w:rPr>
              <w:t>—</w:t>
            </w:r>
          </w:p>
        </w:tc>
      </w:tr>
      <w:tr>
        <w:trPr/>
        <w:tc>
          <w:tcPr>
            <w:tcW w:w="1900" w:type="dxa"/>
            <w:tcBorders>
              <w:top w:val="single" w:sz="2" w:space="0" w:color="CCCCCC"/>
              <w:start w:val="single" w:sz="2" w:space="0" w:color="CCCCCC"/>
              <w:bottom w:val="single" w:sz="2" w:space="0" w:color="CCCCCC"/>
              <w:end w:val="single" w:sz="2" w:space="0" w:color="CCCCCC"/>
            </w:tcBorders>
            <w:shd w:fill="EFF3F0" w:val="clear"/>
          </w:tcPr>
          <w:p>
            <w:pPr>
              <w:pStyle w:val="Normal"/>
              <w:rPr/>
            </w:pPr>
            <w:r>
              <w:rPr>
                <w:rFonts w:eastAsia="Arial" w:cs="Arial"/>
                <w:b/>
                <w:bCs/>
                <w:color w:val="1A4731"/>
                <w:sz w:val="18"/>
                <w:szCs w:val="18"/>
              </w:rPr>
              <w:t>Approved By</w:t>
            </w:r>
          </w:p>
        </w:tc>
        <w:tc>
          <w:tcPr>
            <w:tcW w:w="7459" w:type="dxa"/>
            <w:gridSpan w:val="3"/>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8"/>
                <w:szCs w:val="18"/>
              </w:rPr>
              <w:t>Administrator: ______________________________   Date: ________________</w:t>
            </w:r>
          </w:p>
        </w:tc>
      </w:tr>
    </w:tbl>
    <w:p>
      <w:pPr>
        <w:pStyle w:val="Normal"/>
        <w:spacing w:before="0" w:after="80"/>
        <w:rPr/>
      </w:pPr>
      <w:r>
        <w:rPr/>
      </w:r>
    </w:p>
    <w:p>
      <w:pPr>
        <w:pStyle w:val="Normal"/>
        <w:pBdr>
          <w:bottom w:val="single" w:sz="4" w:space="1" w:color="2E5E45"/>
        </w:pBdr>
        <w:spacing w:before="160" w:after="80"/>
        <w:rPr/>
      </w:pPr>
      <w:r>
        <w:rPr>
          <w:rFonts w:eastAsia="Arial" w:cs="Arial"/>
          <w:b/>
          <w:bCs/>
          <w:color w:val="1A4731"/>
          <w:sz w:val="20"/>
          <w:szCs w:val="20"/>
        </w:rPr>
        <w:t>PURPOSE</w:t>
      </w:r>
    </w:p>
    <w:p>
      <w:pPr>
        <w:pStyle w:val="Normal"/>
        <w:spacing w:lineRule="exact" w:line="276" w:before="0" w:after="120"/>
        <w:rPr/>
      </w:pPr>
      <w:r>
        <w:rPr>
          <w:rFonts w:eastAsia="Arial" w:cs="Arial"/>
          <w:sz w:val="21"/>
          <w:szCs w:val="21"/>
        </w:rPr>
        <w:t>To set the Facility’s standards where it serves residents with Alzheimer’s disease or related dementia (ADRD), under current Florida law, and to prepare for the new Memory Care Services (MCS) specialty license Florida has enacted.</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Where the Facility serves residents with ADRD or advertises special care for such residents, it shall meet the ADRD staff training and related requirements of current Florida law. The Facility shall monitor AHCA rulemaking for the new Memory Care Services specialty license and obtain that designation within the timeframe required once the rules take effect.</w:t>
      </w:r>
    </w:p>
    <w:p>
      <w:pPr>
        <w:pStyle w:val="Normal"/>
        <w:pBdr>
          <w:bottom w:val="single" w:sz="4" w:space="1" w:color="2E5E45"/>
        </w:pBdr>
        <w:spacing w:before="160" w:after="80"/>
        <w:rPr/>
      </w:pPr>
      <w:r>
        <w:rPr>
          <w:rFonts w:eastAsia="Arial" w:cs="Arial"/>
          <w:b/>
          <w:bCs/>
          <w:color w:val="1A4731"/>
          <w:sz w:val="20"/>
          <w:szCs w:val="20"/>
        </w:rPr>
        <w:t>PROCEDURE — CURRENT ADRD REQUIREMENTS</w:t>
      </w:r>
    </w:p>
    <w:p>
      <w:pPr>
        <w:pStyle w:val="Normal"/>
        <w:tabs>
          <w:tab w:val="left" w:pos="720" w:leader="none"/>
        </w:tabs>
        <w:spacing w:lineRule="exact" w:line="264" w:before="0" w:after="80"/>
        <w:ind w:hanging="360" w:start="720"/>
        <w:rPr/>
      </w:pPr>
      <w:r>
        <w:rPr>
          <w:rFonts w:eastAsia="Arial" w:cs="Arial"/>
          <w:sz w:val="21"/>
          <w:szCs w:val="21"/>
        </w:rPr>
        <w:t>a. Ensure staff who provide personal care to or have regular contact with ADRD residents complete the required introductory ADRD training and the follow-on training within the timeframes set by law, plus the required annual continuing education.</w:t>
      </w:r>
    </w:p>
    <w:p>
      <w:pPr>
        <w:pStyle w:val="Normal"/>
        <w:tabs>
          <w:tab w:val="left" w:pos="720" w:leader="none"/>
        </w:tabs>
        <w:spacing w:lineRule="exact" w:line="264" w:before="0" w:after="80"/>
        <w:ind w:hanging="360" w:start="720"/>
        <w:rPr/>
      </w:pPr>
      <w:r>
        <w:rPr>
          <w:rFonts w:eastAsia="Arial" w:cs="Arial"/>
          <w:sz w:val="21"/>
          <w:szCs w:val="21"/>
        </w:rPr>
        <w:t>b. Provide a safe, supportive environment for ADRD residents, including elopement-risk management consistent with the Elopement Standards &amp; Drills policy and an awake staff member present as required.</w:t>
      </w:r>
    </w:p>
    <w:p>
      <w:pPr>
        <w:pStyle w:val="Normal"/>
        <w:tabs>
          <w:tab w:val="left" w:pos="720" w:leader="none"/>
        </w:tabs>
        <w:spacing w:lineRule="exact" w:line="264" w:before="0" w:after="80"/>
        <w:ind w:hanging="360" w:start="720"/>
        <w:rPr/>
      </w:pPr>
      <w:r>
        <w:rPr>
          <w:rFonts w:eastAsia="Arial" w:cs="Arial"/>
          <w:sz w:val="21"/>
          <w:szCs w:val="21"/>
        </w:rPr>
        <w:t>c. Where the Facility advertises special ADRD care, maintain the disclosures required by current law until those provisions are repealed on the effective date of the new memory care rules.</w:t>
      </w:r>
    </w:p>
    <w:p>
      <w:pPr>
        <w:pStyle w:val="Normal"/>
        <w:pBdr>
          <w:bottom w:val="single" w:sz="4" w:space="1" w:color="2E5E45"/>
        </w:pBdr>
        <w:spacing w:before="160" w:after="80"/>
        <w:rPr/>
      </w:pPr>
      <w:r>
        <w:rPr>
          <w:rFonts w:eastAsia="Arial" w:cs="Arial"/>
          <w:b/>
          <w:bCs/>
          <w:color w:val="1A4731"/>
          <w:sz w:val="20"/>
          <w:szCs w:val="20"/>
        </w:rPr>
        <w:t>PROCEDURE — PREPARING FOR THE MEMORY CARE SERVICES LICENSE</w:t>
      </w:r>
    </w:p>
    <w:p>
      <w:pPr>
        <w:pStyle w:val="Normal"/>
        <w:tabs>
          <w:tab w:val="left" w:pos="720" w:leader="none"/>
        </w:tabs>
        <w:spacing w:lineRule="exact" w:line="264" w:before="0" w:after="80"/>
        <w:ind w:hanging="360" w:start="720"/>
        <w:rPr/>
      </w:pPr>
      <w:r>
        <w:rPr>
          <w:rFonts w:eastAsia="Arial" w:cs="Arial"/>
          <w:sz w:val="21"/>
          <w:szCs w:val="21"/>
        </w:rPr>
        <w:t>d. Monitor AHCA rulemaking for the Memory Care Services (MCS) specialty license established by 2026 legislation; AHCA is directed to adopt minimum standards by rule, after which facilities serving memory care residents must obtain the designation within the required timeframe.</w:t>
      </w:r>
    </w:p>
    <w:p>
      <w:pPr>
        <w:pStyle w:val="Normal"/>
        <w:tabs>
          <w:tab w:val="left" w:pos="720" w:leader="none"/>
        </w:tabs>
        <w:spacing w:lineRule="exact" w:line="264" w:before="0" w:after="80"/>
        <w:ind w:hanging="360" w:start="720"/>
        <w:rPr/>
      </w:pPr>
      <w:r>
        <w:rPr>
          <w:rFonts w:eastAsia="Arial" w:cs="Arial"/>
          <w:sz w:val="21"/>
          <w:szCs w:val="21"/>
        </w:rPr>
        <w:t>e. Once the MCS rules are in effect, obtain the memory care services license designation at the required time if the Facility serves one or more memory care residents or holds itself out as providing memory care services, and update this manual and resident contracts to specify the memory care services provided.</w:t>
      </w:r>
    </w:p>
    <w:p>
      <w:pPr>
        <w:pStyle w:val="Normal"/>
        <w:tabs>
          <w:tab w:val="left" w:pos="720" w:leader="none"/>
        </w:tabs>
        <w:spacing w:lineRule="exact" w:line="264" w:before="0" w:after="80"/>
        <w:ind w:hanging="360" w:start="720"/>
        <w:rPr/>
      </w:pPr>
      <w:r>
        <w:rPr>
          <w:rFonts w:eastAsia="Arial" w:cs="Arial"/>
          <w:sz w:val="21"/>
          <w:szCs w:val="21"/>
        </w:rPr>
        <w:t>f. Until the MCS rules take effect, continue to comply with current ADRD law; this policy will be updated to a full Memory Care Services module when AHCA adopts the standards.</w:t>
      </w:r>
    </w:p>
    <w:p>
      <w:pPr>
        <w:pStyle w:val="Normal"/>
        <w:pBdr>
          <w:bottom w:val="single" w:sz="4" w:space="1" w:color="2E5E45"/>
        </w:pBdr>
        <w:spacing w:before="160" w:after="80"/>
        <w:rPr/>
      </w:pPr>
      <w:r>
        <w:rPr>
          <w:rFonts w:eastAsia="Arial" w:cs="Arial"/>
          <w:b/>
          <w:bCs/>
          <w:color w:val="1A4731"/>
          <w:sz w:val="20"/>
          <w:szCs w:val="20"/>
        </w:rPr>
        <w:t>RELATED FORMS</w:t>
      </w:r>
    </w:p>
    <w:p>
      <w:pPr>
        <w:pStyle w:val="ListParagraph"/>
        <w:numPr>
          <w:ilvl w:val="0"/>
          <w:numId w:val="1"/>
        </w:numPr>
        <w:spacing w:lineRule="exact" w:line="264" w:before="0" w:after="60"/>
        <w:rPr/>
      </w:pPr>
      <w:r>
        <w:rPr>
          <w:rFonts w:eastAsia="Arial" w:cs="Arial"/>
          <w:sz w:val="21"/>
          <w:szCs w:val="21"/>
        </w:rPr>
        <w:t>ADRD Training &amp; Continuing Education Record</w:t>
      </w:r>
    </w:p>
    <w:p>
      <w:pPr>
        <w:pStyle w:val="ListParagraph"/>
        <w:numPr>
          <w:ilvl w:val="0"/>
          <w:numId w:val="1"/>
        </w:numPr>
        <w:spacing w:lineRule="exact" w:line="264" w:before="0" w:after="60"/>
        <w:rPr/>
      </w:pPr>
      <w:r>
        <w:rPr>
          <w:rFonts w:eastAsia="Arial" w:cs="Arial"/>
          <w:sz w:val="21"/>
          <w:szCs w:val="21"/>
        </w:rPr>
        <w:t>Memory Care Resident Service Documentation</w:t>
      </w:r>
    </w:p>
    <w:p>
      <w:pPr>
        <w:pStyle w:val="ListParagraph"/>
        <w:numPr>
          <w:ilvl w:val="0"/>
          <w:numId w:val="1"/>
        </w:numPr>
        <w:spacing w:lineRule="exact" w:line="264" w:before="0" w:after="60"/>
        <w:rPr/>
      </w:pPr>
      <w:r>
        <w:rPr>
          <w:rFonts w:eastAsia="Arial" w:cs="Arial"/>
          <w:sz w:val="21"/>
          <w:szCs w:val="21"/>
        </w:rPr>
        <w:t>MCS License Readiness Checklist</w:t>
      </w:r>
    </w:p>
    <w:p>
      <w:pPr>
        <w:pStyle w:val="Normal"/>
        <w:spacing w:before="120" w:after="40"/>
        <w:rPr/>
      </w:pPr>
      <w:r>
        <w:rPr>
          <w:rFonts w:eastAsia="Arial" w:cs="Arial"/>
          <w:b/>
          <w:bCs/>
          <w:color w:val="1A4731"/>
          <w:sz w:val="18"/>
          <w:szCs w:val="18"/>
        </w:rPr>
        <w:t>Document History</w:t>
      </w:r>
    </w:p>
    <w:tbl>
      <w:tblPr>
        <w:tblW w:w="9360" w:type="dxa"/>
        <w:jc w:val="start"/>
        <w:tblInd w:w="0" w:type="dxa"/>
        <w:tblLayout w:type="fixed"/>
        <w:tblCellMar>
          <w:top w:w="60" w:type="dxa"/>
          <w:start w:w="120" w:type="dxa"/>
          <w:bottom w:w="60" w:type="dxa"/>
          <w:end w:w="120" w:type="dxa"/>
        </w:tblCellMar>
      </w:tblPr>
      <w:tblGrid>
        <w:gridCol w:w="1599"/>
        <w:gridCol w:w="1601"/>
        <w:gridCol w:w="2479"/>
        <w:gridCol w:w="3680"/>
      </w:tblGrid>
      <w:tr>
        <w:trPr>
          <w:tblHeader w:val="true"/>
        </w:trPr>
        <w:tc>
          <w:tcPr>
            <w:tcW w:w="159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Version</w:t>
            </w:r>
          </w:p>
        </w:tc>
        <w:tc>
          <w:tcPr>
            <w:tcW w:w="1601"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Date</w:t>
            </w:r>
          </w:p>
        </w:tc>
        <w:tc>
          <w:tcPr>
            <w:tcW w:w="2479"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Author / Role</w:t>
            </w:r>
          </w:p>
        </w:tc>
        <w:tc>
          <w:tcPr>
            <w:tcW w:w="3680" w:type="dxa"/>
            <w:tcBorders>
              <w:top w:val="single" w:sz="2" w:space="0" w:color="CCCCCC"/>
              <w:start w:val="single" w:sz="2" w:space="0" w:color="CCCCCC"/>
              <w:bottom w:val="single" w:sz="2" w:space="0" w:color="CCCCCC"/>
              <w:end w:val="single" w:sz="2" w:space="0" w:color="CCCCCC"/>
            </w:tcBorders>
            <w:shd w:fill="1A4731" w:val="clear"/>
          </w:tcPr>
          <w:p>
            <w:pPr>
              <w:pStyle w:val="Normal"/>
              <w:rPr/>
            </w:pPr>
            <w:r>
              <w:rPr>
                <w:rFonts w:eastAsia="Arial" w:cs="Arial"/>
                <w:b/>
                <w:bCs/>
                <w:color w:val="FFFFFF"/>
                <w:sz w:val="17"/>
                <w:szCs w:val="17"/>
              </w:rPr>
              <w:t>Summary of Change</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1.0</w:t>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________</w:t>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Administrator</w:t>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color w:val="666666"/>
                <w:sz w:val="17"/>
                <w:szCs w:val="17"/>
              </w:rPr>
              <w:t>Initial adoption</w:t>
            </w:r>
          </w:p>
        </w:tc>
      </w:tr>
      <w:tr>
        <w:trPr/>
        <w:tc>
          <w:tcPr>
            <w:tcW w:w="159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1601"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2479" w:type="dxa"/>
            <w:tcBorders>
              <w:top w:val="single" w:sz="2" w:space="0" w:color="CCCCCC"/>
              <w:start w:val="single" w:sz="2" w:space="0" w:color="CCCCCC"/>
              <w:bottom w:val="single" w:sz="2" w:space="0" w:color="CCCCCC"/>
              <w:end w:val="single" w:sz="2" w:space="0" w:color="CCCCCC"/>
            </w:tcBorders>
          </w:tcPr>
          <w:p>
            <w:pPr>
              <w:pStyle w:val="Normal"/>
              <w:rPr/>
            </w:pPr>
            <w:r>
              <w:rPr/>
            </w:r>
          </w:p>
        </w:tc>
        <w:tc>
          <w:tcPr>
            <w:tcW w:w="3680" w:type="dxa"/>
            <w:tcBorders>
              <w:top w:val="single" w:sz="2" w:space="0" w:color="CCCCCC"/>
              <w:start w:val="single" w:sz="2" w:space="0" w:color="CCCCCC"/>
              <w:bottom w:val="single" w:sz="2" w:space="0" w:color="CCCCCC"/>
              <w:end w:val="single" w:sz="2" w:space="0" w:color="CCCCCC"/>
            </w:tcBorders>
          </w:tcPr>
          <w:p>
            <w:pPr>
              <w:pStyle w:val="Normal"/>
              <w:rPr/>
            </w:pPr>
            <w:r>
              <w:rPr/>
            </w:r>
          </w:p>
        </w:tc>
      </w:tr>
    </w:tbl>
    <w:p>
      <w:pPr>
        <w:pStyle w:val="Normal"/>
        <w:rPr/>
      </w:pPr>
      <w:r>
        <w:rPr/>
      </w:r>
      <w:r>
        <w:br w:type="page"/>
      </w:r>
    </w:p>
    <w:p>
      <w:pPr>
        <w:pStyle w:val="Normal"/>
        <w:spacing w:before="0" w:after="120"/>
        <w:jc w:val="start"/>
        <w:rPr/>
      </w:pPr>
      <w:r>
        <w:rPr>
          <w:rFonts w:eastAsia="Arial" w:cs="Arial"/>
          <w:b/>
          <w:bCs/>
          <w:color w:val="1A4731"/>
          <w:sz w:val="28"/>
          <w:szCs w:val="28"/>
        </w:rPr>
        <w:t>SECTION G</w:t>
      </w:r>
    </w:p>
    <w:p>
      <w:pPr>
        <w:pStyle w:val="Normal"/>
        <w:pBdr>
          <w:bottom w:val="single" w:sz="12" w:space="4" w:color="1A4731"/>
        </w:pBdr>
        <w:spacing w:before="0" w:after="240"/>
        <w:jc w:val="start"/>
        <w:rPr/>
      </w:pPr>
      <w:r>
        <w:rPr>
          <w:rFonts w:eastAsia="Arial" w:cs="Arial"/>
          <w:b/>
          <w:bCs/>
          <w:color w:val="222222"/>
          <w:sz w:val="40"/>
          <w:szCs w:val="40"/>
        </w:rPr>
        <w:t>Appendices</w:t>
      </w:r>
    </w:p>
    <w:p>
      <w:pPr>
        <w:pStyle w:val="Normal"/>
        <w:spacing w:lineRule="exact" w:line="288" w:before="0" w:after="240"/>
        <w:rPr/>
      </w:pPr>
      <w:r>
        <w:rPr>
          <w:rFonts w:eastAsia="Arial" w:cs="Arial"/>
          <w:color w:val="444444"/>
          <w:sz w:val="22"/>
          <w:szCs w:val="22"/>
        </w:rPr>
        <w:t>Supporting reference material for adopting and operating this manual — a checklist of required forms, a directory of Florida agencies and resources, guidance on customizing the manual (including a note on the separate specialty add-ons and the coming memory care license), and a resident rights acknowledgment.</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A  Required Forms Checklist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B  Florida Agency &amp; Resource Directory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C  How to Use This Manual</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Appendix D  Resident Rights Acknowledgment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A — Required Forms Checklist</w:t>
      </w:r>
    </w:p>
    <w:p>
      <w:pPr>
        <w:pStyle w:val="Normal"/>
        <w:spacing w:lineRule="exact" w:line="276" w:before="0" w:after="120"/>
        <w:rPr/>
      </w:pPr>
      <w:r>
        <w:rPr>
          <w:rFonts w:eastAsia="Arial" w:cs="Arial"/>
          <w:sz w:val="21"/>
          <w:szCs w:val="21"/>
        </w:rPr>
        <w:t>The following forms are referenced throughout this manual. The Facility should maintain a current copy of each and customize as needed.</w:t>
      </w:r>
    </w:p>
    <w:p>
      <w:pPr>
        <w:pStyle w:val="ListParagraph"/>
        <w:numPr>
          <w:ilvl w:val="0"/>
          <w:numId w:val="1"/>
        </w:numPr>
        <w:spacing w:lineRule="exact" w:line="264" w:before="0" w:after="60"/>
        <w:rPr/>
      </w:pPr>
      <w:r>
        <w:rPr>
          <w:rFonts w:eastAsia="Arial" w:cs="Arial"/>
          <w:sz w:val="21"/>
          <w:szCs w:val="21"/>
        </w:rPr>
        <w:t>AHCA Form 1823 — Resident Health Assessment</w:t>
      </w:r>
    </w:p>
    <w:p>
      <w:pPr>
        <w:pStyle w:val="ListParagraph"/>
        <w:numPr>
          <w:ilvl w:val="0"/>
          <w:numId w:val="1"/>
        </w:numPr>
        <w:spacing w:lineRule="exact" w:line="264" w:before="0" w:after="60"/>
        <w:rPr/>
      </w:pPr>
      <w:r>
        <w:rPr>
          <w:rFonts w:eastAsia="Arial" w:cs="Arial"/>
          <w:sz w:val="21"/>
          <w:szCs w:val="21"/>
        </w:rPr>
        <w:t>Residency Agreement (s. 429.24, F.S.)</w:t>
      </w:r>
    </w:p>
    <w:p>
      <w:pPr>
        <w:pStyle w:val="ListParagraph"/>
        <w:numPr>
          <w:ilvl w:val="0"/>
          <w:numId w:val="1"/>
        </w:numPr>
        <w:spacing w:lineRule="exact" w:line="264" w:before="0" w:after="60"/>
        <w:rPr/>
      </w:pPr>
      <w:r>
        <w:rPr>
          <w:rFonts w:eastAsia="Arial" w:cs="Arial"/>
          <w:sz w:val="21"/>
          <w:szCs w:val="21"/>
        </w:rPr>
        <w:t>Appropriateness of Placement / Continued Residency Review</w:t>
      </w:r>
    </w:p>
    <w:p>
      <w:pPr>
        <w:pStyle w:val="ListParagraph"/>
        <w:numPr>
          <w:ilvl w:val="0"/>
          <w:numId w:val="1"/>
        </w:numPr>
        <w:spacing w:lineRule="exact" w:line="264" w:before="0" w:after="60"/>
        <w:rPr/>
      </w:pPr>
      <w:r>
        <w:rPr>
          <w:rFonts w:eastAsia="Arial" w:cs="Arial"/>
          <w:sz w:val="21"/>
          <w:szCs w:val="21"/>
        </w:rPr>
        <w:t>Notice of Relocation / Discharge</w:t>
      </w:r>
    </w:p>
    <w:p>
      <w:pPr>
        <w:pStyle w:val="ListParagraph"/>
        <w:numPr>
          <w:ilvl w:val="0"/>
          <w:numId w:val="1"/>
        </w:numPr>
        <w:spacing w:lineRule="exact" w:line="264" w:before="0" w:after="60"/>
        <w:rPr/>
      </w:pPr>
      <w:r>
        <w:rPr>
          <w:rFonts w:eastAsia="Arial" w:cs="Arial"/>
          <w:sz w:val="21"/>
          <w:szCs w:val="21"/>
        </w:rPr>
        <w:t>Resident Bill of Rights (s. 429.28) &amp; Acknowledgment</w:t>
      </w:r>
    </w:p>
    <w:p>
      <w:pPr>
        <w:pStyle w:val="ListParagraph"/>
        <w:numPr>
          <w:ilvl w:val="0"/>
          <w:numId w:val="1"/>
        </w:numPr>
        <w:spacing w:lineRule="exact" w:line="264" w:before="0" w:after="60"/>
        <w:rPr/>
      </w:pPr>
      <w:r>
        <w:rPr>
          <w:rFonts w:eastAsia="Arial" w:cs="Arial"/>
          <w:sz w:val="21"/>
          <w:szCs w:val="21"/>
        </w:rPr>
        <w:t>Grievance Form &amp; Log</w:t>
      </w:r>
    </w:p>
    <w:p>
      <w:pPr>
        <w:pStyle w:val="ListParagraph"/>
        <w:numPr>
          <w:ilvl w:val="0"/>
          <w:numId w:val="1"/>
        </w:numPr>
        <w:spacing w:lineRule="exact" w:line="264" w:before="0" w:after="60"/>
        <w:rPr/>
      </w:pPr>
      <w:r>
        <w:rPr>
          <w:rFonts w:eastAsia="Arial" w:cs="Arial"/>
          <w:sz w:val="21"/>
          <w:szCs w:val="21"/>
        </w:rPr>
        <w:t>Adverse Incident Report (preliminary and full)</w:t>
      </w:r>
    </w:p>
    <w:p>
      <w:pPr>
        <w:pStyle w:val="ListParagraph"/>
        <w:numPr>
          <w:ilvl w:val="0"/>
          <w:numId w:val="1"/>
        </w:numPr>
        <w:spacing w:lineRule="exact" w:line="264" w:before="0" w:after="60"/>
        <w:rPr/>
      </w:pPr>
      <w:r>
        <w:rPr>
          <w:rFonts w:eastAsia="Arial" w:cs="Arial"/>
          <w:sz w:val="21"/>
          <w:szCs w:val="21"/>
        </w:rPr>
        <w:t>Investigation &amp; Corrective Action Record</w:t>
      </w:r>
    </w:p>
    <w:p>
      <w:pPr>
        <w:pStyle w:val="ListParagraph"/>
        <w:numPr>
          <w:ilvl w:val="0"/>
          <w:numId w:val="1"/>
        </w:numPr>
        <w:spacing w:lineRule="exact" w:line="264" w:before="0" w:after="60"/>
        <w:rPr/>
      </w:pPr>
      <w:r>
        <w:rPr>
          <w:rFonts w:eastAsia="Arial" w:cs="Arial"/>
          <w:sz w:val="21"/>
          <w:szCs w:val="21"/>
        </w:rPr>
        <w:t>Resident Funds Authorization &amp; Ledger</w:t>
      </w:r>
    </w:p>
    <w:p>
      <w:pPr>
        <w:pStyle w:val="ListParagraph"/>
        <w:numPr>
          <w:ilvl w:val="0"/>
          <w:numId w:val="1"/>
        </w:numPr>
        <w:spacing w:lineRule="exact" w:line="264" w:before="0" w:after="60"/>
        <w:rPr/>
      </w:pPr>
      <w:r>
        <w:rPr>
          <w:rFonts w:eastAsia="Arial" w:cs="Arial"/>
          <w:sz w:val="21"/>
          <w:szCs w:val="21"/>
        </w:rPr>
        <w:t>Surety Bond Documentation</w:t>
      </w:r>
    </w:p>
    <w:p>
      <w:pPr>
        <w:pStyle w:val="ListParagraph"/>
        <w:numPr>
          <w:ilvl w:val="0"/>
          <w:numId w:val="1"/>
        </w:numPr>
        <w:spacing w:lineRule="exact" w:line="264" w:before="0" w:after="60"/>
        <w:rPr/>
      </w:pPr>
      <w:r>
        <w:rPr>
          <w:rFonts w:eastAsia="Arial" w:cs="Arial"/>
          <w:sz w:val="21"/>
          <w:szCs w:val="21"/>
        </w:rPr>
        <w:t>Level 2 Screening / Clearinghouse Record</w:t>
      </w:r>
    </w:p>
    <w:p>
      <w:pPr>
        <w:pStyle w:val="ListParagraph"/>
        <w:numPr>
          <w:ilvl w:val="0"/>
          <w:numId w:val="1"/>
        </w:numPr>
        <w:spacing w:lineRule="exact" w:line="264" w:before="0" w:after="60"/>
        <w:rPr/>
      </w:pPr>
      <w:r>
        <w:rPr>
          <w:rFonts w:eastAsia="Arial" w:cs="Arial"/>
          <w:sz w:val="21"/>
          <w:szCs w:val="21"/>
        </w:rPr>
        <w:t>TB / Communicable Disease Screening Record</w:t>
      </w:r>
    </w:p>
    <w:p>
      <w:pPr>
        <w:pStyle w:val="ListParagraph"/>
        <w:numPr>
          <w:ilvl w:val="0"/>
          <w:numId w:val="1"/>
        </w:numPr>
        <w:spacing w:lineRule="exact" w:line="264" w:before="0" w:after="60"/>
        <w:rPr/>
      </w:pPr>
      <w:r>
        <w:rPr>
          <w:rFonts w:eastAsia="Arial" w:cs="Arial"/>
          <w:sz w:val="21"/>
          <w:szCs w:val="21"/>
        </w:rPr>
        <w:t>Personnel File Checklist</w:t>
      </w:r>
    </w:p>
    <w:p>
      <w:pPr>
        <w:pStyle w:val="ListParagraph"/>
        <w:numPr>
          <w:ilvl w:val="0"/>
          <w:numId w:val="1"/>
        </w:numPr>
        <w:spacing w:lineRule="exact" w:line="264" w:before="0" w:after="60"/>
        <w:rPr/>
      </w:pPr>
      <w:r>
        <w:rPr>
          <w:rFonts w:eastAsia="Arial" w:cs="Arial"/>
          <w:sz w:val="21"/>
          <w:szCs w:val="21"/>
        </w:rPr>
        <w:t>Orientation Checklist</w:t>
      </w:r>
    </w:p>
    <w:p>
      <w:pPr>
        <w:pStyle w:val="ListParagraph"/>
        <w:numPr>
          <w:ilvl w:val="0"/>
          <w:numId w:val="1"/>
        </w:numPr>
        <w:spacing w:lineRule="exact" w:line="264" w:before="0" w:after="60"/>
        <w:rPr/>
      </w:pPr>
      <w:r>
        <w:rPr>
          <w:rFonts w:eastAsia="Arial" w:cs="Arial"/>
          <w:sz w:val="21"/>
          <w:szCs w:val="21"/>
        </w:rPr>
        <w:t>Core Training / In-Service Education Log</w:t>
      </w:r>
    </w:p>
    <w:p>
      <w:pPr>
        <w:pStyle w:val="ListParagraph"/>
        <w:numPr>
          <w:ilvl w:val="0"/>
          <w:numId w:val="1"/>
        </w:numPr>
        <w:spacing w:lineRule="exact" w:line="264" w:before="0" w:after="60"/>
        <w:rPr/>
      </w:pPr>
      <w:r>
        <w:rPr>
          <w:rFonts w:eastAsia="Arial" w:cs="Arial"/>
          <w:sz w:val="21"/>
          <w:szCs w:val="21"/>
        </w:rPr>
        <w:t>Competency Assessment Record</w:t>
      </w:r>
    </w:p>
    <w:p>
      <w:pPr>
        <w:pStyle w:val="ListParagraph"/>
        <w:numPr>
          <w:ilvl w:val="0"/>
          <w:numId w:val="1"/>
        </w:numPr>
        <w:spacing w:lineRule="exact" w:line="264" w:before="0" w:after="60"/>
        <w:rPr/>
      </w:pPr>
      <w:r>
        <w:rPr>
          <w:rFonts w:eastAsia="Arial" w:cs="Arial"/>
          <w:sz w:val="21"/>
          <w:szCs w:val="21"/>
        </w:rPr>
        <w:t>Administrator Qualification &amp; Core Training Record</w:t>
      </w:r>
    </w:p>
    <w:p>
      <w:pPr>
        <w:pStyle w:val="ListParagraph"/>
        <w:numPr>
          <w:ilvl w:val="0"/>
          <w:numId w:val="1"/>
        </w:numPr>
        <w:spacing w:lineRule="exact" w:line="264" w:before="0" w:after="60"/>
        <w:rPr/>
      </w:pPr>
      <w:r>
        <w:rPr>
          <w:rFonts w:eastAsia="Arial" w:cs="Arial"/>
          <w:sz w:val="21"/>
          <w:szCs w:val="21"/>
        </w:rPr>
        <w:t>Staffing Plan / Schedule</w:t>
      </w:r>
    </w:p>
    <w:p>
      <w:pPr>
        <w:pStyle w:val="ListParagraph"/>
        <w:numPr>
          <w:ilvl w:val="0"/>
          <w:numId w:val="1"/>
        </w:numPr>
        <w:spacing w:lineRule="exact" w:line="264" w:before="0" w:after="60"/>
        <w:rPr/>
      </w:pPr>
      <w:r>
        <w:rPr>
          <w:rFonts w:eastAsia="Arial" w:cs="Arial"/>
          <w:sz w:val="21"/>
          <w:szCs w:val="21"/>
        </w:rPr>
        <w:t>Resident Service Record</w:t>
      </w:r>
    </w:p>
    <w:p>
      <w:pPr>
        <w:pStyle w:val="ListParagraph"/>
        <w:numPr>
          <w:ilvl w:val="0"/>
          <w:numId w:val="1"/>
        </w:numPr>
        <w:spacing w:lineRule="exact" w:line="264" w:before="0" w:after="60"/>
        <w:rPr/>
      </w:pPr>
      <w:r>
        <w:rPr>
          <w:rFonts w:eastAsia="Arial" w:cs="Arial"/>
          <w:sz w:val="21"/>
          <w:szCs w:val="21"/>
        </w:rPr>
        <w:t>Change of Condition Note</w:t>
      </w:r>
    </w:p>
    <w:p>
      <w:pPr>
        <w:pStyle w:val="ListParagraph"/>
        <w:numPr>
          <w:ilvl w:val="0"/>
          <w:numId w:val="1"/>
        </w:numPr>
        <w:spacing w:lineRule="exact" w:line="264" w:before="0" w:after="60"/>
        <w:rPr/>
      </w:pPr>
      <w:r>
        <w:rPr>
          <w:rFonts w:eastAsia="Arial" w:cs="Arial"/>
          <w:sz w:val="21"/>
          <w:szCs w:val="21"/>
        </w:rPr>
        <w:t>Fall Risk Assessment &amp; Post-Fall Report</w:t>
      </w:r>
    </w:p>
    <w:p>
      <w:pPr>
        <w:pStyle w:val="ListParagraph"/>
        <w:numPr>
          <w:ilvl w:val="0"/>
          <w:numId w:val="1"/>
        </w:numPr>
        <w:spacing w:lineRule="exact" w:line="264" w:before="0" w:after="60"/>
        <w:rPr/>
      </w:pPr>
      <w:r>
        <w:rPr>
          <w:rFonts w:eastAsia="Arial" w:cs="Arial"/>
          <w:sz w:val="21"/>
          <w:szCs w:val="21"/>
        </w:rPr>
        <w:t>Elopement Risk Assessment &amp; Drill Record</w:t>
      </w:r>
    </w:p>
    <w:p>
      <w:pPr>
        <w:pStyle w:val="ListParagraph"/>
        <w:numPr>
          <w:ilvl w:val="0"/>
          <w:numId w:val="1"/>
        </w:numPr>
        <w:spacing w:lineRule="exact" w:line="264" w:before="0" w:after="60"/>
        <w:rPr/>
      </w:pPr>
      <w:r>
        <w:rPr>
          <w:rFonts w:eastAsia="Arial" w:cs="Arial"/>
          <w:sz w:val="21"/>
          <w:szCs w:val="21"/>
        </w:rPr>
        <w:t>Missing Resident / Elopement Report</w:t>
      </w:r>
    </w:p>
    <w:p>
      <w:pPr>
        <w:pStyle w:val="ListParagraph"/>
        <w:numPr>
          <w:ilvl w:val="0"/>
          <w:numId w:val="1"/>
        </w:numPr>
        <w:spacing w:lineRule="exact" w:line="264" w:before="0" w:after="60"/>
        <w:rPr/>
      </w:pPr>
      <w:r>
        <w:rPr>
          <w:rFonts w:eastAsia="Arial" w:cs="Arial"/>
          <w:sz w:val="21"/>
          <w:szCs w:val="21"/>
        </w:rPr>
        <w:t>Self-Administration Training &amp; CE Record</w:t>
      </w:r>
    </w:p>
    <w:p>
      <w:pPr>
        <w:pStyle w:val="ListParagraph"/>
        <w:numPr>
          <w:ilvl w:val="0"/>
          <w:numId w:val="1"/>
        </w:numPr>
        <w:spacing w:lineRule="exact" w:line="264" w:before="0" w:after="60"/>
        <w:rPr/>
      </w:pPr>
      <w:r>
        <w:rPr>
          <w:rFonts w:eastAsia="Arial" w:cs="Arial"/>
          <w:sz w:val="21"/>
          <w:szCs w:val="21"/>
        </w:rPr>
        <w:t>Medication Observation Record (MOR)</w:t>
      </w:r>
    </w:p>
    <w:p>
      <w:pPr>
        <w:pStyle w:val="ListParagraph"/>
        <w:numPr>
          <w:ilvl w:val="0"/>
          <w:numId w:val="1"/>
        </w:numPr>
        <w:spacing w:lineRule="exact" w:line="264" w:before="0" w:after="60"/>
        <w:rPr/>
      </w:pPr>
      <w:r>
        <w:rPr>
          <w:rFonts w:eastAsia="Arial" w:cs="Arial"/>
          <w:sz w:val="21"/>
          <w:szCs w:val="21"/>
        </w:rPr>
        <w:t>Medication Storage / Controlled Substance Log</w:t>
      </w:r>
    </w:p>
    <w:p>
      <w:pPr>
        <w:pStyle w:val="ListParagraph"/>
        <w:numPr>
          <w:ilvl w:val="0"/>
          <w:numId w:val="1"/>
        </w:numPr>
        <w:spacing w:lineRule="exact" w:line="264" w:before="0" w:after="60"/>
        <w:rPr/>
      </w:pPr>
      <w:r>
        <w:rPr>
          <w:rFonts w:eastAsia="Arial" w:cs="Arial"/>
          <w:sz w:val="21"/>
          <w:szCs w:val="21"/>
        </w:rPr>
        <w:t>Medication Error Report &amp; Log</w:t>
      </w:r>
    </w:p>
    <w:p>
      <w:pPr>
        <w:pStyle w:val="ListParagraph"/>
        <w:numPr>
          <w:ilvl w:val="0"/>
          <w:numId w:val="1"/>
        </w:numPr>
        <w:spacing w:lineRule="exact" w:line="264" w:before="0" w:after="60"/>
        <w:rPr/>
      </w:pPr>
      <w:r>
        <w:rPr>
          <w:rFonts w:eastAsia="Arial" w:cs="Arial"/>
          <w:sz w:val="21"/>
          <w:szCs w:val="21"/>
        </w:rPr>
        <w:t>Medication Destruction Record</w:t>
      </w:r>
    </w:p>
    <w:p>
      <w:pPr>
        <w:pStyle w:val="ListParagraph"/>
        <w:numPr>
          <w:ilvl w:val="0"/>
          <w:numId w:val="1"/>
        </w:numPr>
        <w:spacing w:lineRule="exact" w:line="264" w:before="0" w:after="60"/>
        <w:rPr/>
      </w:pPr>
      <w:r>
        <w:rPr>
          <w:rFonts w:eastAsia="Arial" w:cs="Arial"/>
          <w:sz w:val="21"/>
          <w:szCs w:val="21"/>
        </w:rPr>
        <w:t>Comprehensive Emergency Management Plan (CEMP)</w:t>
      </w:r>
    </w:p>
    <w:p>
      <w:pPr>
        <w:pStyle w:val="ListParagraph"/>
        <w:numPr>
          <w:ilvl w:val="0"/>
          <w:numId w:val="1"/>
        </w:numPr>
        <w:spacing w:lineRule="exact" w:line="264" w:before="0" w:after="60"/>
        <w:rPr/>
      </w:pPr>
      <w:r>
        <w:rPr>
          <w:rFonts w:eastAsia="Arial" w:cs="Arial"/>
          <w:sz w:val="21"/>
          <w:szCs w:val="21"/>
        </w:rPr>
        <w:t>Emergency Power / Fuel Plan &amp; Test Log</w:t>
      </w:r>
    </w:p>
    <w:p>
      <w:pPr>
        <w:pStyle w:val="ListParagraph"/>
        <w:numPr>
          <w:ilvl w:val="0"/>
          <w:numId w:val="1"/>
        </w:numPr>
        <w:spacing w:lineRule="exact" w:line="264" w:before="0" w:after="60"/>
        <w:rPr/>
      </w:pPr>
      <w:r>
        <w:rPr>
          <w:rFonts w:eastAsia="Arial" w:cs="Arial"/>
          <w:sz w:val="21"/>
          <w:szCs w:val="21"/>
        </w:rPr>
        <w:t>Fire &amp; Elopement Drill Records</w:t>
      </w:r>
    </w:p>
    <w:p>
      <w:pPr>
        <w:pStyle w:val="ListParagraph"/>
        <w:numPr>
          <w:ilvl w:val="0"/>
          <w:numId w:val="1"/>
        </w:numPr>
        <w:spacing w:lineRule="exact" w:line="264" w:before="0" w:after="60"/>
        <w:rPr/>
      </w:pPr>
      <w:r>
        <w:rPr>
          <w:rFonts w:eastAsia="Arial" w:cs="Arial"/>
          <w:sz w:val="21"/>
          <w:szCs w:val="21"/>
        </w:rPr>
        <w:t>DNRO Documentation</w:t>
      </w:r>
    </w:p>
    <w:p>
      <w:pPr>
        <w:pStyle w:val="ListParagraph"/>
        <w:numPr>
          <w:ilvl w:val="0"/>
          <w:numId w:val="1"/>
        </w:numPr>
        <w:spacing w:lineRule="exact" w:line="264" w:before="0" w:after="60"/>
        <w:rPr/>
      </w:pPr>
      <w:r>
        <w:rPr>
          <w:rFonts w:eastAsia="Arial" w:cs="Arial"/>
          <w:sz w:val="21"/>
          <w:szCs w:val="21"/>
        </w:rPr>
        <w:t>Infection Surveillance Log</w:t>
      </w:r>
    </w:p>
    <w:p>
      <w:pPr>
        <w:pStyle w:val="ListParagraph"/>
        <w:numPr>
          <w:ilvl w:val="0"/>
          <w:numId w:val="1"/>
        </w:numPr>
        <w:spacing w:lineRule="exact" w:line="264" w:before="0" w:after="60"/>
        <w:rPr/>
      </w:pPr>
      <w:r>
        <w:rPr>
          <w:rFonts w:eastAsia="Arial" w:cs="Arial"/>
          <w:sz w:val="21"/>
          <w:szCs w:val="21"/>
        </w:rPr>
        <w:t>Environmental Cleaning Schedule</w:t>
      </w:r>
    </w:p>
    <w:p>
      <w:pPr>
        <w:pStyle w:val="ListParagraph"/>
        <w:numPr>
          <w:ilvl w:val="0"/>
          <w:numId w:val="1"/>
        </w:numPr>
        <w:spacing w:lineRule="exact" w:line="264" w:before="0" w:after="60"/>
        <w:rPr/>
      </w:pPr>
      <w:r>
        <w:rPr>
          <w:rFonts w:eastAsia="Arial" w:cs="Arial"/>
          <w:sz w:val="21"/>
          <w:szCs w:val="21"/>
        </w:rPr>
        <w:t>Master Chemical Inventory &amp; SDS Binder Index</w:t>
      </w:r>
    </w:p>
    <w:p>
      <w:pPr>
        <w:pStyle w:val="ListParagraph"/>
        <w:numPr>
          <w:ilvl w:val="0"/>
          <w:numId w:val="1"/>
        </w:numPr>
        <w:spacing w:lineRule="exact" w:line="264" w:before="0" w:after="60"/>
        <w:rPr/>
      </w:pPr>
      <w:r>
        <w:rPr>
          <w:rFonts w:eastAsia="Arial" w:cs="Arial"/>
          <w:sz w:val="21"/>
          <w:szCs w:val="21"/>
        </w:rPr>
        <w:t>Chemical Safety Training Record</w:t>
      </w:r>
    </w:p>
    <w:p>
      <w:pPr>
        <w:pStyle w:val="ListParagraph"/>
        <w:numPr>
          <w:ilvl w:val="0"/>
          <w:numId w:val="1"/>
        </w:numPr>
        <w:spacing w:lineRule="exact" w:line="264" w:before="0" w:after="60"/>
        <w:rPr/>
      </w:pPr>
      <w:r>
        <w:rPr>
          <w:rFonts w:eastAsia="Arial" w:cs="Arial"/>
          <w:sz w:val="21"/>
          <w:szCs w:val="21"/>
        </w:rPr>
        <w:t>Chemical Spill / Exposure Report</w:t>
      </w:r>
    </w:p>
    <w:p>
      <w:pPr>
        <w:pStyle w:val="ListParagraph"/>
        <w:numPr>
          <w:ilvl w:val="0"/>
          <w:numId w:val="1"/>
        </w:numPr>
        <w:spacing w:lineRule="exact" w:line="264" w:before="0" w:after="60"/>
        <w:rPr/>
      </w:pPr>
      <w:r>
        <w:rPr>
          <w:rFonts w:eastAsia="Arial" w:cs="Arial"/>
          <w:sz w:val="21"/>
          <w:szCs w:val="21"/>
        </w:rPr>
        <w:t>Physical Plant / Safety Inspection Checklist</w:t>
      </w:r>
    </w:p>
    <w:p>
      <w:pPr>
        <w:pStyle w:val="ListParagraph"/>
        <w:numPr>
          <w:ilvl w:val="0"/>
          <w:numId w:val="1"/>
        </w:numPr>
        <w:spacing w:lineRule="exact" w:line="264" w:before="0" w:after="60"/>
        <w:rPr/>
      </w:pPr>
      <w:r>
        <w:rPr>
          <w:rFonts w:eastAsia="Arial" w:cs="Arial"/>
          <w:sz w:val="21"/>
          <w:szCs w:val="21"/>
        </w:rPr>
        <w:t>Menu / Therapeutic Diet Record</w:t>
      </w:r>
    </w:p>
    <w:p>
      <w:pPr>
        <w:pStyle w:val="ListParagraph"/>
        <w:numPr>
          <w:ilvl w:val="0"/>
          <w:numId w:val="1"/>
        </w:numPr>
        <w:spacing w:lineRule="exact" w:line="264" w:before="0" w:after="60"/>
        <w:rPr/>
      </w:pPr>
      <w:r>
        <w:rPr>
          <w:rFonts w:eastAsia="Arial" w:cs="Arial"/>
          <w:sz w:val="21"/>
          <w:szCs w:val="21"/>
        </w:rPr>
        <w:t>Abuse/Neglect/Exploitation Report</w:t>
      </w:r>
    </w:p>
    <w:p>
      <w:pPr>
        <w:pStyle w:val="ListParagraph"/>
        <w:numPr>
          <w:ilvl w:val="0"/>
          <w:numId w:val="1"/>
        </w:numPr>
        <w:spacing w:lineRule="exact" w:line="264" w:before="0" w:after="60"/>
        <w:rPr/>
      </w:pPr>
      <w:r>
        <w:rPr>
          <w:rFonts w:eastAsia="Arial" w:cs="Arial"/>
          <w:sz w:val="21"/>
          <w:szCs w:val="21"/>
        </w:rPr>
        <w:t>Resident Record Index</w:t>
      </w:r>
    </w:p>
    <w:p>
      <w:pPr>
        <w:pStyle w:val="ListParagraph"/>
        <w:numPr>
          <w:ilvl w:val="0"/>
          <w:numId w:val="1"/>
        </w:numPr>
        <w:spacing w:lineRule="exact" w:line="264" w:before="0" w:after="60"/>
        <w:rPr/>
      </w:pPr>
      <w:r>
        <w:rPr>
          <w:rFonts w:eastAsia="Arial" w:cs="Arial"/>
          <w:sz w:val="21"/>
          <w:szCs w:val="21"/>
        </w:rPr>
        <w:t>Authorization for Release of Information</w:t>
      </w:r>
    </w:p>
    <w:p>
      <w:pPr>
        <w:pStyle w:val="ListParagraph"/>
        <w:numPr>
          <w:ilvl w:val="0"/>
          <w:numId w:val="1"/>
        </w:numPr>
        <w:spacing w:lineRule="exact" w:line="264" w:before="0" w:after="60"/>
        <w:rPr/>
      </w:pPr>
      <w:r>
        <w:rPr>
          <w:rFonts w:eastAsia="Arial" w:cs="Arial"/>
          <w:sz w:val="21"/>
          <w:szCs w:val="21"/>
        </w:rPr>
        <w:t>ADRD Training &amp; Continuing Education Record</w:t>
      </w:r>
    </w:p>
    <w:p>
      <w:pPr>
        <w:pStyle w:val="ListParagraph"/>
        <w:numPr>
          <w:ilvl w:val="0"/>
          <w:numId w:val="1"/>
        </w:numPr>
        <w:spacing w:lineRule="exact" w:line="264" w:before="0" w:after="60"/>
        <w:rPr/>
      </w:pPr>
      <w:r>
        <w:rPr>
          <w:rFonts w:eastAsia="Arial" w:cs="Arial"/>
          <w:sz w:val="21"/>
          <w:szCs w:val="21"/>
        </w:rPr>
        <w:t>MCS License Readiness Checklist</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B — Florida Agency &amp; Resource Directory</w:t>
      </w:r>
    </w:p>
    <w:p>
      <w:pPr>
        <w:pStyle w:val="Normal"/>
        <w:spacing w:lineRule="exact" w:line="276" w:before="0" w:after="120"/>
        <w:rPr/>
      </w:pPr>
      <w:r>
        <w:rPr>
          <w:rFonts w:eastAsia="Arial" w:cs="Arial"/>
          <w:sz w:val="21"/>
          <w:szCs w:val="21"/>
        </w:rPr>
        <w:t>Verify all contact details against the current published information before relying on them; agency numbers and portals change.</w:t>
      </w:r>
    </w:p>
    <w:tbl>
      <w:tblPr>
        <w:tblW w:w="9360" w:type="dxa"/>
        <w:jc w:val="start"/>
        <w:tblInd w:w="0" w:type="dxa"/>
        <w:tblLayout w:type="fixed"/>
        <w:tblCellMar>
          <w:top w:w="60" w:type="dxa"/>
          <w:start w:w="120" w:type="dxa"/>
          <w:bottom w:w="60" w:type="dxa"/>
          <w:end w:w="120" w:type="dxa"/>
        </w:tblCellMar>
      </w:tblPr>
      <w:tblGrid>
        <w:gridCol w:w="3399"/>
        <w:gridCol w:w="5960"/>
      </w:tblGrid>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Licensing Authority</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Agency for Health Care Administration (AHCA), Assisted Living Unit — Bureau of Health Facility Regulation</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Governing Law</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Chapter 429, Part I, F.S.; Chapter 408, Part II, F.S.; Rule Chapter 59A-36, F.A.C.</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Background Screening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AHCA Background Screening Clearinghouse (Level 2, ch. 435 &amp; s. 408.809, F.S.)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Abuse Reporting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Abuse Hotline, 1-800-96-ABUSE (Chapter 415, F.S.)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Long-Term Care Ombudsman</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Long-Term Care Ombudsman Program (Department of Elder Affairs)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Elder Affairs / Training</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Department of Elder Affairs (DOEA) — core training and ADRD training</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Mental Health (LMH)</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Florida Department of Children and Families (DCF) — mental health residents / LMH</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Health Assessment Form</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AHCA Form 1823 — Resident Health Assessment</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Local Land Use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city/county planning department; ch. 419, F.S. (community residential homes)</w:t>
            </w:r>
          </w:p>
        </w:tc>
      </w:tr>
      <w:tr>
        <w:trPr/>
        <w:tc>
          <w:tcPr>
            <w:tcW w:w="3399"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bCs/>
                <w:sz w:val="19"/>
                <w:szCs w:val="19"/>
              </w:rPr>
              <w:t>Building &amp; Fire</w:t>
            </w:r>
          </w:p>
        </w:tc>
        <w:tc>
          <w:tcPr>
            <w:tcW w:w="59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sz w:val="19"/>
                <w:szCs w:val="19"/>
              </w:rPr>
              <w:t>Local building department and fire authority (occupancy, life safety, emergency power)</w:t>
            </w:r>
          </w:p>
        </w:tc>
      </w:tr>
    </w:tbl>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C — How to Use This Manual</w:t>
      </w:r>
    </w:p>
    <w:tbl>
      <w:tblPr>
        <w:tblW w:w="9360" w:type="dxa"/>
        <w:jc w:val="start"/>
        <w:tblInd w:w="0" w:type="dxa"/>
        <w:tblLayout w:type="fixed"/>
        <w:tblCellMar>
          <w:top w:w="120" w:type="dxa"/>
          <w:start w:w="200" w:type="dxa"/>
          <w:bottom w:w="120" w:type="dxa"/>
          <w:end w:w="160" w:type="dxa"/>
        </w:tblCellMar>
      </w:tblPr>
      <w:tblGrid>
        <w:gridCol w:w="9360"/>
      </w:tblGrid>
      <w:tr>
        <w:trPr/>
        <w:tc>
          <w:tcPr>
            <w:tcW w:w="9360" w:type="dxa"/>
            <w:tcBorders>
              <w:top w:val="single" w:sz="2" w:space="0" w:color="C9D6CE"/>
              <w:start w:val="single" w:sz="16" w:space="0" w:color="1A4731"/>
              <w:bottom w:val="single" w:sz="2" w:space="0" w:color="C9D6CE"/>
              <w:end w:val="single" w:sz="2" w:space="0" w:color="C9D6CE"/>
            </w:tcBorders>
            <w:shd w:fill="F1F5F2" w:val="clear"/>
          </w:tcPr>
          <w:p>
            <w:pPr>
              <w:pStyle w:val="Normal"/>
              <w:spacing w:before="0" w:after="40"/>
              <w:rPr/>
            </w:pPr>
            <w:r>
              <w:rPr>
                <w:rFonts w:eastAsia="Arial" w:cs="Arial"/>
                <w:b/>
                <w:bCs/>
                <w:color w:val="1A4731"/>
                <w:sz w:val="19"/>
                <w:szCs w:val="19"/>
              </w:rPr>
              <w:t>When you first open this file</w:t>
            </w:r>
          </w:p>
          <w:p>
            <w:pPr>
              <w:pStyle w:val="Normal"/>
              <w:rPr/>
            </w:pPr>
            <w:r>
              <w:rPr>
                <w:rFonts w:eastAsia="Arial" w:cs="Arial"/>
                <w:sz w:val="19"/>
                <w:szCs w:val="19"/>
              </w:rPr>
              <w:t xml:space="preserve">Microsoft Word may ask whether to update the fields in this document. Click </w:t>
            </w:r>
            <w:r>
              <w:rPr>
                <w:rFonts w:eastAsia="Arial" w:cs="Arial"/>
                <w:b/>
                <w:bCs/>
                <w:sz w:val="19"/>
                <w:szCs w:val="19"/>
              </w:rPr>
              <w:t>Yes</w:t>
            </w:r>
            <w:r>
              <w:rPr>
                <w:rFonts w:eastAsia="Arial" w:cs="Arial"/>
                <w:sz w:val="19"/>
                <w:szCs w:val="19"/>
              </w:rPr>
              <w:t xml:space="preserve"> — this fills in the Table of Contents with the correct page numbers. If you click No by accident, click anywhere in the Table of Contents and press </w:t>
            </w:r>
            <w:r>
              <w:rPr>
                <w:rFonts w:eastAsia="Arial" w:cs="Arial"/>
                <w:b/>
                <w:bCs/>
                <w:sz w:val="19"/>
                <w:szCs w:val="19"/>
              </w:rPr>
              <w:t>F9</w:t>
            </w:r>
            <w:r>
              <w:rPr>
                <w:rFonts w:eastAsia="Arial" w:cs="Arial"/>
                <w:sz w:val="19"/>
                <w:szCs w:val="19"/>
              </w:rPr>
              <w:t xml:space="preserve"> to update it.</w:t>
            </w:r>
          </w:p>
        </w:tc>
      </w:tr>
    </w:tbl>
    <w:p>
      <w:pPr>
        <w:pStyle w:val="Normal"/>
        <w:spacing w:before="0" w:after="120"/>
        <w:rPr/>
      </w:pPr>
      <w:r>
        <w:rPr/>
      </w:r>
    </w:p>
    <w:p>
      <w:pPr>
        <w:pStyle w:val="Normal"/>
        <w:spacing w:lineRule="exact" w:line="276" w:before="0" w:after="120"/>
        <w:rPr/>
      </w:pPr>
      <w:r>
        <w:rPr>
          <w:rFonts w:eastAsia="Arial" w:cs="Arial"/>
          <w:sz w:val="21"/>
          <w:szCs w:val="21"/>
        </w:rPr>
        <w:t>This manual is a customizable template aligned to Florida assisted living facility regulations (Chapter 429, F.S., and Rule Chapter 59A-36, F.A.C.) and the Joint Commission Assisted Living Community (ALC) accreditation framework. It is written for a facility holding a STANDARD assisted living facility license. It is provided as an editable document for the licensee to adopt as its own.</w:t>
      </w:r>
    </w:p>
    <w:p>
      <w:pPr>
        <w:pStyle w:val="Normal"/>
        <w:spacing w:lineRule="exact" w:line="276" w:before="0" w:after="120"/>
        <w:rPr/>
      </w:pPr>
      <w:r>
        <w:rPr>
          <w:rFonts w:eastAsia="Arial" w:cs="Arial"/>
          <w:sz w:val="21"/>
          <w:szCs w:val="21"/>
        </w:rPr>
        <w:t>Specialty licenses — separate add-ons. In addition to the standard license, a Florida ALF may hold one or more specialty licenses: Limited Nursing Services (LNS), Limited Mental Health (LMH), and Extended Congregate Care (ECC). Each specialty carries its own policy requirements and is provided as a separate add-on manual that supplements this standard manual. If your facility holds one or more of these specialties, use the corresponding add-on together with this manual.</w:t>
      </w:r>
    </w:p>
    <w:p>
      <w:pPr>
        <w:pStyle w:val="Normal"/>
        <w:spacing w:lineRule="exact" w:line="276" w:before="0" w:after="120"/>
        <w:rPr/>
      </w:pPr>
      <w:r>
        <w:rPr>
          <w:rFonts w:eastAsia="Arial" w:cs="Arial"/>
          <w:sz w:val="21"/>
          <w:szCs w:val="21"/>
        </w:rPr>
        <w:t>Memory care. Florida has enacted a new Memory Care Services (MCS) specialty license; AHCA is directed to adopt implementing rules, after which facilities serving memory care residents must obtain the designation within the required timeframe. Until those rules take effect, this manual applies current ADRD training and disclosure requirements (see the Memory Care / ADRD Services policy) and flags the coming license so you can prepare.</w:t>
      </w:r>
    </w:p>
    <w:p>
      <w:pPr>
        <w:pStyle w:val="Normal"/>
        <w:spacing w:lineRule="exact" w:line="276" w:before="0" w:after="120"/>
        <w:rPr/>
      </w:pPr>
      <w:r>
        <w:rPr>
          <w:rFonts w:eastAsia="Arial" w:cs="Arial"/>
          <w:sz w:val="21"/>
          <w:szCs w:val="21"/>
        </w:rPr>
        <w:t>Before adopting: replace every [bracketed] placeholder (Facility name, effective date, administrator) with your own information; review each policy against your current operations and your most recent AHCA survey; confirm your property’s zoning and use classification with your local planning department; verify your emergency power plan meets the 96-hour / 81°F requirement; and verify all agency contacts in Appendix B.</w:t>
      </w:r>
    </w:p>
    <w:p>
      <w:pPr>
        <w:pStyle w:val="Normal"/>
        <w:spacing w:lineRule="exact" w:line="276" w:before="0" w:after="120"/>
        <w:rPr/>
      </w:pPr>
      <w:r>
        <w:rPr>
          <w:rFonts w:eastAsia="Arial" w:cs="Arial"/>
          <w:sz w:val="21"/>
          <w:szCs w:val="21"/>
        </w:rPr>
        <w:t>This manual aligns to the Joint Commission ALC framework at the level of structure and chapter coverage; it does not reproduce the proprietary Joint Commission standard text. Organizations pursuing accreditation should obtain the current standards directly from the Joint Commission.</w:t>
      </w:r>
    </w:p>
    <w:p>
      <w:pPr>
        <w:pStyle w:val="Normal"/>
        <w:spacing w:lineRule="exact" w:line="276" w:before="0" w:after="120"/>
        <w:rPr/>
      </w:pPr>
      <w:r>
        <w:rPr>
          <w:rFonts w:eastAsia="Arial" w:cs="Arial"/>
          <w:sz w:val="21"/>
          <w:szCs w:val="21"/>
        </w:rPr>
        <w:t>This template does not constitute legal advice. The licensee remains responsible for compliance with all applicable state and federal requirements as they change over time.</w:t>
      </w:r>
    </w:p>
    <w:p>
      <w:pPr>
        <w:pStyle w:val="Normal"/>
        <w:rPr/>
      </w:pPr>
      <w:r>
        <w:rPr/>
      </w:r>
      <w:r>
        <w:br w:type="page"/>
      </w:r>
    </w:p>
    <w:p>
      <w:pPr>
        <w:pStyle w:val="Normal"/>
        <w:pBdr>
          <w:bottom w:val="single" w:sz="8" w:space="2" w:color="1A4731"/>
        </w:pBdr>
        <w:spacing w:before="0" w:after="120"/>
        <w:rPr/>
      </w:pPr>
      <w:r>
        <w:rPr>
          <w:rFonts w:eastAsia="Arial" w:cs="Arial"/>
          <w:b/>
          <w:bCs/>
          <w:color w:val="1A4731"/>
          <w:sz w:val="26"/>
          <w:szCs w:val="26"/>
        </w:rPr>
        <w:t>Appendix D — Resident Rights Acknowledgment</w:t>
      </w:r>
    </w:p>
    <w:p>
      <w:pPr>
        <w:pStyle w:val="Normal"/>
        <w:spacing w:lineRule="exact" w:line="276" w:before="0" w:after="120"/>
        <w:rPr/>
      </w:pPr>
      <w:r>
        <w:rPr>
          <w:rFonts w:eastAsia="Arial" w:cs="Arial"/>
          <w:sz w:val="21"/>
          <w:szCs w:val="21"/>
        </w:rPr>
        <w:t>I acknowledge that I have received, and had the opportunity to review, a written copy of my rights as a resident of this assisted living facility under Section 429.28, Florida Statutes, including the Facility’s obligations, the procedures for raising a grievance, and the contact information for the Long-Term Care Ombudsman and the Florida Abuse Hotline.</w:t>
      </w:r>
    </w:p>
    <w:p>
      <w:pPr>
        <w:pStyle w:val="Normal"/>
        <w:spacing w:before="400" w:after="0"/>
        <w:rPr/>
      </w:pPr>
      <w:r>
        <w:rPr>
          <w:rFonts w:eastAsia="Arial" w:cs="Arial"/>
          <w:sz w:val="21"/>
          <w:szCs w:val="21"/>
        </w:rPr>
        <w:t>Resident signature: ______________________________    Date: ______________</w:t>
      </w:r>
    </w:p>
    <w:p>
      <w:pPr>
        <w:pStyle w:val="Normal"/>
        <w:spacing w:before="200" w:after="0"/>
        <w:rPr/>
      </w:pPr>
      <w:r>
        <w:rPr>
          <w:rFonts w:eastAsia="Arial" w:cs="Arial"/>
          <w:sz w:val="21"/>
          <w:szCs w:val="21"/>
        </w:rPr>
        <w:t>Representative (if applicable): ______________________________    Date: ______________</w:t>
      </w:r>
    </w:p>
    <w:p>
      <w:pPr>
        <w:pStyle w:val="Normal"/>
        <w:spacing w:before="200" w:after="0"/>
        <w:rPr/>
      </w:pPr>
      <w:r>
        <w:rPr>
          <w:rFonts w:eastAsia="Arial" w:cs="Arial"/>
          <w:sz w:val="21"/>
          <w:szCs w:val="21"/>
        </w:rPr>
        <w:t>Administrator / Staff: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(Standard License)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Florida — Assisted Living Facility (Standard License) Policy &amp; Procedure Manual</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43</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2026-07-01T11:29:02Z</dcterms:created>
  <dc:creator>PolicyReady.org</dc:creator>
  <dc:description/>
  <dc:language>en-US</dc:language>
  <cp:lastModifiedBy>Un-named</cp:lastModifiedBy>
  <dcterms:modified xsi:type="dcterms:W3CDTF">2026-07-01T11:29:02Z</dcterms:modified>
  <cp:revision>1</cp:revision>
  <dc:subject/>
  <dc:title>Florida Assisted Living Facility (Standard License) Policy &amp; Procedure Manual</dc:title>
</cp:coreProperties>
</file>