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FLORIDA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Substance Abuse Services — DCF (Chapter 65D-30)</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[DCF License / Component Number(s)]</w:t>
      </w:r>
    </w:p>
    <w:p>
      <w:pPr>
        <w:pStyle w:val="Normal"/>
        <w:spacing w:before="1600" w:after="0"/>
        <w:jc w:val="center"/>
        <w:rPr/>
      </w:pPr>
      <w:r>
        <w:rPr>
          <w:rFonts w:eastAsia="Arial" w:cs="Arial"/>
          <w:color w:val="666666"/>
          <w:sz w:val="18"/>
          <w:szCs w:val="18"/>
        </w:rPr>
        <w:t>Aligned to F.A.C. Chapter 65D-30 and Chapter 397, Florida Statutes</w:t>
      </w:r>
    </w:p>
    <w:p>
      <w:pPr>
        <w:pStyle w:val="Normal"/>
        <w:spacing w:before="60" w:after="0"/>
        <w:jc w:val="center"/>
        <w:rPr/>
      </w:pPr>
      <w:r>
        <w:rPr>
          <w:rFonts w:eastAsia="Arial" w:cs="Arial"/>
          <w:color w:val="666666"/>
          <w:sz w:val="18"/>
          <w:szCs w:val="18"/>
        </w:rPr>
        <w:t>Florida Department of Children and Families (DCF), Office of Substance Abuse and Mental Health</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Florida substance abuse service provider licensed by the Department of Children and Families (DCF) through its Office of Substance Abuse and Mental Health. It is built to the licensing standards in Florida Administrative Code Chapter 65D-30 (the Substance Abuse Services Office rules) and Chapter 397, Florida Statutes (the Hal S. Marchman Alcohol and Other Drug Services Act). It is organized to also support alignment with the accreditation frameworks Florida recognizes, including CARF, The Joint Commission, and COA.</w:t>
      </w:r>
    </w:p>
    <w:p>
      <w:pPr>
        <w:pStyle w:val="Normal"/>
        <w:spacing w:lineRule="exact" w:line="276" w:before="0" w:after="120"/>
        <w:rPr/>
      </w:pPr>
      <w:r>
        <w:rPr>
          <w:rFonts w:eastAsia="Arial" w:cs="Arial"/>
          <w:sz w:val="21"/>
          <w:szCs w:val="21"/>
        </w:rPr>
        <w:t>How Florida licenses behavioral health. Florida splits behavioral health across two separate regulators. Substance use disorder (SUD) treatment is licensed by DCF under Chapter 397, F.S., and Chapter 65D-30, F.A.C. — the framework this manual is built to. Mental health facilities — such as mental health residential treatment facilities and crisis stabilization units — are licensed separately by the Agency for Health Care Administration (AHCA) under Chapter 394, F.S. (the Florida Mental Health Act), with rules in Chapter 65E-4, F.A.C. A provider that operates both a DCF-licensed SUD program and an AHCA-licensed mental health facility holds two separate licenses and should use the manual built for each. This manual addresses the DCF / Chapter 397 / 65D-30 substance abuse side.</w:t>
      </w:r>
    </w:p>
    <w:p>
      <w:pPr>
        <w:pStyle w:val="Normal"/>
        <w:spacing w:lineRule="exact" w:line="276" w:before="0" w:after="120"/>
        <w:rPr/>
      </w:pPr>
      <w:r>
        <w:rPr>
          <w:rFonts w:eastAsia="Arial" w:cs="Arial"/>
          <w:sz w:val="21"/>
          <w:szCs w:val="21"/>
        </w:rPr>
        <w:t>Licensable service components. DCF licenses SUD providers by service component. Chapter 65D-30 sets a body of common licensing standards that apply to every provider, and then adds component-specific standards for each service. This manual mirrors that structure: Sections A through F contain the common standards that apply to the provider regardless of component, and Section G contains the component-specific standards. Adopt the Section G policies only for the components your provider is licensed to deliver — addictions receiving facility, detoxification, intensive inpatient treatment, residential treatment (Levels 1–4), day or night treatment with community housing, day or night treatment, intensive outpatient treatment, outpatient treatment, aftercare, and medication-assisted treatment for opioid use disorders — and mark any component you are not licensed for as not applicable.</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provider’s information, and review each policy against your actual operations and your DCF license before adopting.</w:t>
      </w:r>
    </w:p>
    <w:p>
      <w:pPr>
        <w:pStyle w:val="Normal"/>
        <w:spacing w:lineRule="exact" w:line="276" w:before="0" w:after="120"/>
        <w:rPr/>
      </w:pPr>
      <w:r>
        <w:rPr>
          <w:rFonts w:eastAsia="Arial" w:cs="Arial"/>
          <w:sz w:val="21"/>
          <w:szCs w:val="21"/>
        </w:rPr>
        <w:t>A note on terminology. Chapter 65D-30 refers to the licensed entity as the provider; to the person accountable for the organization as the chief executive officer; to the physician who oversees medical services as the medical director; and to the person receiving services as the individual. Clinical services are delivered by clinical staff — including counselors and qualified professionals as defined in Section 397.311, F.S. — and by peer specialists. This manual uses those terms.</w:t>
      </w:r>
    </w:p>
    <w:p>
      <w:pPr>
        <w:pStyle w:val="Normal"/>
        <w:spacing w:lineRule="exact" w:line="276" w:before="0" w:after="120"/>
        <w:rPr/>
      </w:pPr>
      <w:r>
        <w:rPr>
          <w:rFonts w:eastAsia="Arial" w:cs="Arial"/>
          <w:sz w:val="21"/>
          <w:szCs w:val="21"/>
        </w:rPr>
        <w:t>A note on confidentiality. Substance use disorder treatment records are protected by the federal rule at 42 CFR Part 2 (“Confidentiality of Substance Use Disorder Patient Records”), by HIPAA (45 CFR Parts 160 and 164), and by Sections 397.501(7) and 397.752, Florida Statutes. Because these are among the most strictly protected records in health care, the confidentiality policy in Section C should be read closely and applied throughout.</w:t>
      </w:r>
    </w:p>
    <w:p>
      <w:pPr>
        <w:pStyle w:val="Normal"/>
        <w:spacing w:lineRule="exact" w:line="276" w:before="0" w:after="120"/>
        <w:rPr/>
      </w:pPr>
      <w:r>
        <w:rPr>
          <w:rFonts w:eastAsia="Arial" w:cs="Arial"/>
          <w:sz w:val="21"/>
          <w:szCs w:val="21"/>
        </w:rPr>
        <w:t>A note on accreditation. Under Chapter 397, F.S., licensed providers are generally required to become accredited by a DCF-recognized accrediting organization (such as CARF, The Joint Commission, or COA) within the statutory timeframe tied to license renewals. Confirm your provider’s current accreditation obligations and deadlines with DCF, and align this manual with your accreditor’s standards.</w:t>
      </w:r>
    </w:p>
    <w:p>
      <w:pPr>
        <w:pStyle w:val="Normal"/>
        <w:spacing w:lineRule="exact" w:line="276" w:before="0" w:after="120"/>
        <w:rPr/>
      </w:pPr>
      <w:r>
        <w:rPr>
          <w:rFonts w:eastAsia="Arial" w:cs="Arial"/>
          <w:sz w:val="21"/>
          <w:szCs w:val="21"/>
        </w:rPr>
        <w:t>A note on the regulatory landscape. Chapter 65D-30 has been substantially revised and continues to be amended — the Definitions were most recently amended in October 2025 and many core sections in October 2024. This manual is built to the current published version. Confirm the current version of Chapter 65D-30 and Chapter 397 with DCF before adopting, and update the manual when the rules change.</w:t>
      </w:r>
    </w:p>
    <w:p>
      <w:pPr>
        <w:pStyle w:val="Normal"/>
        <w:spacing w:lineRule="exact" w:line="276" w:before="0" w:after="120"/>
        <w:rPr/>
      </w:pPr>
      <w:r>
        <w:rPr>
          <w:rFonts w:eastAsia="Arial" w:cs="Arial"/>
          <w:sz w:val="21"/>
          <w:szCs w:val="21"/>
        </w:rPr>
        <w:t>How to use it well. This template is intended to be adopted as the provider’s own manual after customization. Delete or adapt any provision that does not fit your operations, and add any provision your license, payers (including Florida Medicaid / SMMC), or accreditor requires. Keep the manual under version control and review it on the cycle described in the operating-procedures policy.</w:t>
      </w:r>
    </w:p>
    <w:p>
      <w:pPr>
        <w:pStyle w:val="Normal"/>
        <w:spacing w:lineRule="exact" w:line="276" w:before="0" w:after="120"/>
        <w:rPr/>
      </w:pPr>
      <w:r>
        <w:rPr>
          <w:rFonts w:eastAsia="Arial" w:cs="Arial"/>
          <w:sz w:val="21"/>
          <w:szCs w:val="21"/>
        </w:rPr>
        <w:t>This manual is a template and is not legal advice. Substance abuse licensing is detailed and changes frequently; the provider should have qualified Florida counsel or a compliance professional review this manual against the current rules and the provider’s license before adoption. Official DCF forms are referenced by name only; obtain the current versions directly from DCF.</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Governance, Licensing &amp; Administration</w:t>
      </w:r>
    </w:p>
    <w:p>
      <w:pPr>
        <w:pStyle w:val="Normal"/>
        <w:spacing w:lineRule="exact" w:line="288" w:before="0" w:after="240"/>
        <w:rPr/>
      </w:pPr>
      <w:r>
        <w:rPr>
          <w:rFonts w:eastAsia="Arial" w:cs="Arial"/>
          <w:color w:val="444444"/>
          <w:sz w:val="22"/>
          <w:szCs w:val="22"/>
        </w:rPr>
        <w:t>This section establishes how the provider is governed and administered — the governing board and chief executive officer, the DCF license and its service components, operating procedures and document control, statutory certifications and certified recovery residence referrals, data reporting, and medical direction.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Provider Governance &amp; Chief Executive Officer</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Licensing, License Types &amp; Service Components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Operating Procedures &amp; Document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Certifications &amp; Certified Recovery Residence Referrals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Data Reporting &amp; Department Requirements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Medical Director &amp; Medical Direction</w:t>
      </w:r>
    </w:p>
    <w:p>
      <w:pPr>
        <w:pStyle w:val="Normal"/>
        <w:rPr/>
      </w:pPr>
      <w:r>
        <w:rPr/>
      </w:r>
      <w:r>
        <w:br w:type="page"/>
      </w:r>
    </w:p>
    <w:p>
      <w:pPr>
        <w:pStyle w:val="Heading2"/>
        <w:spacing w:before="0" w:after="120"/>
        <w:rPr/>
      </w:pPr>
      <w:r>
        <w:rPr>
          <w:rFonts w:eastAsia="Arial" w:cs="Arial" w:ascii="Arial" w:hAnsi="Arial"/>
          <w:b/>
          <w:bCs/>
          <w:color w:val="1A4731"/>
          <w:sz w:val="26"/>
          <w:szCs w:val="26"/>
        </w:rPr>
        <w:t>1.00  Provider Governance &amp; Chief Executive Officer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Provider Governance &amp; Chief Executive Officer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Licensing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65D-30.004(3); §§ 397.311, 397.403,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executive accountability for the provider so that substance abuse services are delivered safely, lawfully, and consistent with Chapter 65D-30, F.A.C., and Chapter 397, F.S.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board, the chief executive officer (CEO), and all leadership personnel, and it governs every service component the provider is licensed to deliver.</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Provider — the legally constituted entity licensed under Chapter 397, F.S., to deliver one or more substance abuse service components (§ 397.311, F.S.).</w:t>
      </w:r>
    </w:p>
    <w:p>
      <w:pPr>
        <w:pStyle w:val="Normal"/>
        <w:spacing w:lineRule="exact" w:line="276" w:before="0" w:after="120"/>
        <w:rPr/>
      </w:pPr>
      <w:r>
        <w:rPr>
          <w:rFonts w:eastAsia="Arial" w:cs="Arial"/>
          <w:sz w:val="21"/>
          <w:szCs w:val="21"/>
        </w:rPr>
        <w:t>Governing Board — the body that sets policy for the provider and maintains records of meetings where business relative to provider operations is conducted.</w:t>
      </w:r>
    </w:p>
    <w:p>
      <w:pPr>
        <w:pStyle w:val="Normal"/>
        <w:spacing w:lineRule="exact" w:line="276" w:before="0" w:after="120"/>
        <w:rPr/>
      </w:pPr>
      <w:r>
        <w:rPr>
          <w:rFonts w:eastAsia="Arial" w:cs="Arial"/>
          <w:sz w:val="21"/>
          <w:szCs w:val="21"/>
        </w:rPr>
        <w:t>Chief Executive Officer (CEO) — the individual appointed to be accountable for the provider, whose qualifications and experience are defined in the provider’s operating procedures and who has cleared background screening under Chapters 397 and 435, F.S.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is a legally constituted entity. A government-based, for-profit, or not-for-profit provider has a governing board that sets policy for the provider and maintains a record of all meetings where business relative to provider operations is conducted, available for Department review. The provider assesses the potential risks associated with delivering services and purchases liability insurance accordingly.</w:t>
      </w:r>
    </w:p>
    <w:p>
      <w:pPr>
        <w:pStyle w:val="Normal"/>
        <w:spacing w:lineRule="exact" w:line="276" w:before="0" w:after="120"/>
        <w:rPr/>
      </w:pPr>
      <w:r>
        <w:rPr>
          <w:rFonts w:eastAsia="Arial" w:cs="Arial"/>
          <w:sz w:val="21"/>
          <w:szCs w:val="21"/>
        </w:rPr>
        <w:t>A chief executive officer is appointed; where the entity is operated by a governing board, the board appoints the CEO. The qualifications and experience for the CEO are defined in the provider’s operating procedures, documentation is available that a background screening was completed under Chapters 397 and 435, F.S., with no disqualifying offense, and the provider notifies the regional Substance Abuse and Mental Health office in writing within 24 hours when a new CEO is appointed. Lines of authority, responsibility, and accountability are defined in writing.</w:t>
      </w:r>
    </w:p>
    <w:p>
      <w:pPr>
        <w:pStyle w:val="Normal"/>
        <w:pBdr>
          <w:bottom w:val="single" w:sz="4" w:space="1" w:color="2E5E45"/>
        </w:pBdr>
        <w:spacing w:before="160" w:after="80"/>
        <w:rPr/>
      </w:pPr>
      <w:r>
        <w:rPr>
          <w:rFonts w:eastAsia="Arial" w:cs="Arial"/>
          <w:b/>
          <w:bCs/>
          <w:color w:val="1A4731"/>
          <w:sz w:val="20"/>
          <w:szCs w:val="20"/>
        </w:rPr>
        <w:t>PROCEDURE — GOVERNANCE STRUCTURE</w:t>
      </w:r>
    </w:p>
    <w:p>
      <w:pPr>
        <w:pStyle w:val="Normal"/>
        <w:tabs>
          <w:tab w:val="left" w:pos="720" w:leader="none"/>
        </w:tabs>
        <w:spacing w:lineRule="exact" w:line="264" w:before="0" w:after="80"/>
        <w:ind w:hanging="360" w:start="720"/>
        <w:rPr/>
      </w:pPr>
      <w:r>
        <w:rPr>
          <w:rFonts w:eastAsia="Arial" w:cs="Arial"/>
          <w:sz w:val="21"/>
          <w:szCs w:val="21"/>
        </w:rPr>
        <w:t>a. Maintain the provider’s legal-entity documentation and a governing board that sets policy and keeps minutes of business meetings available for Department review.</w:t>
      </w:r>
    </w:p>
    <w:p>
      <w:pPr>
        <w:pStyle w:val="Normal"/>
        <w:tabs>
          <w:tab w:val="left" w:pos="720" w:leader="none"/>
        </w:tabs>
        <w:spacing w:lineRule="exact" w:line="264" w:before="0" w:after="80"/>
        <w:ind w:hanging="360" w:start="720"/>
        <w:rPr/>
      </w:pPr>
      <w:r>
        <w:rPr>
          <w:rFonts w:eastAsia="Arial" w:cs="Arial"/>
          <w:sz w:val="21"/>
          <w:szCs w:val="21"/>
        </w:rPr>
        <w:t>b. Assess liability risk and purchase insurance coverage accordingly.</w:t>
      </w:r>
    </w:p>
    <w:p>
      <w:pPr>
        <w:pStyle w:val="Normal"/>
        <w:tabs>
          <w:tab w:val="left" w:pos="720" w:leader="none"/>
        </w:tabs>
        <w:spacing w:lineRule="exact" w:line="264" w:before="0" w:after="80"/>
        <w:ind w:hanging="360" w:start="720"/>
        <w:rPr/>
      </w:pPr>
      <w:r>
        <w:rPr>
          <w:rFonts w:eastAsia="Arial" w:cs="Arial"/>
          <w:sz w:val="21"/>
          <w:szCs w:val="21"/>
        </w:rPr>
        <w:t>c. Define lines of authority, responsibility, and accountability in writing and reflect them in an organizational chart.</w:t>
      </w:r>
    </w:p>
    <w:p>
      <w:pPr>
        <w:pStyle w:val="Normal"/>
        <w:pBdr>
          <w:bottom w:val="single" w:sz="4" w:space="1" w:color="2E5E45"/>
        </w:pBdr>
        <w:spacing w:before="160" w:after="80"/>
        <w:rPr/>
      </w:pPr>
      <w:r>
        <w:rPr>
          <w:rFonts w:eastAsia="Arial" w:cs="Arial"/>
          <w:b/>
          <w:bCs/>
          <w:color w:val="1A4731"/>
          <w:sz w:val="20"/>
          <w:szCs w:val="20"/>
        </w:rPr>
        <w:t>PROCEDURE — CEO APPOINTMENT &amp; NOTIFICATION</w:t>
      </w:r>
    </w:p>
    <w:p>
      <w:pPr>
        <w:pStyle w:val="Normal"/>
        <w:tabs>
          <w:tab w:val="left" w:pos="720" w:leader="none"/>
        </w:tabs>
        <w:spacing w:lineRule="exact" w:line="264" w:before="0" w:after="80"/>
        <w:ind w:hanging="360" w:start="720"/>
        <w:rPr/>
      </w:pPr>
      <w:r>
        <w:rPr>
          <w:rFonts w:eastAsia="Arial" w:cs="Arial"/>
          <w:sz w:val="21"/>
          <w:szCs w:val="21"/>
        </w:rPr>
        <w:t>d. Define CEO qualifications and experience in the operating procedures and appoint a qualified CEO.</w:t>
      </w:r>
    </w:p>
    <w:p>
      <w:pPr>
        <w:pStyle w:val="Normal"/>
        <w:tabs>
          <w:tab w:val="left" w:pos="720" w:leader="none"/>
        </w:tabs>
        <w:spacing w:lineRule="exact" w:line="264" w:before="0" w:after="80"/>
        <w:ind w:hanging="360" w:start="720"/>
        <w:rPr/>
      </w:pPr>
      <w:r>
        <w:rPr>
          <w:rFonts w:eastAsia="Arial" w:cs="Arial"/>
          <w:sz w:val="21"/>
          <w:szCs w:val="21"/>
        </w:rPr>
        <w:t>e. Complete and document background screening under Chapters 397 and 435, F.S., confirming no disqualifying offense.</w:t>
      </w:r>
    </w:p>
    <w:p>
      <w:pPr>
        <w:pStyle w:val="Normal"/>
        <w:tabs>
          <w:tab w:val="left" w:pos="720" w:leader="none"/>
        </w:tabs>
        <w:spacing w:lineRule="exact" w:line="264" w:before="0" w:after="80"/>
        <w:ind w:hanging="360" w:start="720"/>
        <w:rPr/>
      </w:pPr>
      <w:r>
        <w:rPr>
          <w:rFonts w:eastAsia="Arial" w:cs="Arial"/>
          <w:sz w:val="21"/>
          <w:szCs w:val="21"/>
        </w:rPr>
        <w:t>f. Notify the regional office in writing within 24 hours of a change in CEO.</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Board Charter &amp; Meeting Minutes</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CEO Qualifications &amp; Appointment Record</w:t>
      </w:r>
    </w:p>
    <w:p>
      <w:pPr>
        <w:pStyle w:val="ListParagraph"/>
        <w:numPr>
          <w:ilvl w:val="0"/>
          <w:numId w:val="1"/>
        </w:numPr>
        <w:spacing w:lineRule="exact" w:line="264" w:before="0" w:after="60"/>
        <w:rPr/>
      </w:pPr>
      <w:r>
        <w:rPr>
          <w:rFonts w:eastAsia="Arial" w:cs="Arial"/>
          <w:sz w:val="21"/>
          <w:szCs w:val="21"/>
        </w:rPr>
        <w:t>CEO Background Screening Documentation</w:t>
      </w:r>
    </w:p>
    <w:p>
      <w:pPr>
        <w:pStyle w:val="ListParagraph"/>
        <w:numPr>
          <w:ilvl w:val="0"/>
          <w:numId w:val="1"/>
        </w:numPr>
        <w:spacing w:lineRule="exact" w:line="264" w:before="0" w:after="60"/>
        <w:rPr/>
      </w:pPr>
      <w:r>
        <w:rPr>
          <w:rFonts w:eastAsia="Arial" w:cs="Arial"/>
          <w:sz w:val="21"/>
          <w:szCs w:val="21"/>
        </w:rPr>
        <w:t>Liability Insurance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Licensing, License Types &amp; Service Components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Licensing, License Types &amp; Service Components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Licensing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65D-30.0032–0037; §§ 397.403, 397.407, 397.4014,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obtains and maintains the correct DCF license and service-component authorizations, displays the license, and meets application, renewal, fee, and change-of-status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board and CEO and governs all licensing, application, renewal, and change-of-status activity.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current DCF license under Chapter 397, F.S., for each service component it delivers and displays the license as required. Applications for initial licensure and renewal are filed on the required forms with the applicable fees and the operating procedures and supporting documentation, and are submitted within the required timeframes. The provider notifies the Department of a change in the status of its license as required, complies with the Department’s licensing procedures, and applies for a new component before delivering it. The provider understands the license types (including probationary, regular, and interim licenses) and the durations and inspection requirements associated with each.</w:t>
      </w:r>
    </w:p>
    <w:p>
      <w:pPr>
        <w:pStyle w:val="Normal"/>
        <w:spacing w:lineRule="exact" w:line="276" w:before="0" w:after="120"/>
        <w:rPr/>
      </w:pPr>
      <w:r>
        <w:rPr>
          <w:rFonts w:eastAsia="Arial" w:cs="Arial"/>
          <w:sz w:val="21"/>
          <w:szCs w:val="21"/>
        </w:rPr>
        <w:t>The provider cooperates fully with licensing inspections and complaint investigations and addresses any deficiency through a corrective action process. Where a violation is cited, the provider responds within required timeframes and corrects the deficiency, and it understands the classification of violations and administrative-fine framework in the rules.</w:t>
      </w:r>
    </w:p>
    <w:p>
      <w:pPr>
        <w:pStyle w:val="Normal"/>
        <w:pBdr>
          <w:bottom w:val="single" w:sz="4" w:space="1" w:color="2E5E45"/>
        </w:pBdr>
        <w:spacing w:before="160" w:after="80"/>
        <w:rPr/>
      </w:pPr>
      <w:r>
        <w:rPr>
          <w:rFonts w:eastAsia="Arial" w:cs="Arial"/>
          <w:b/>
          <w:bCs/>
          <w:color w:val="1A4731"/>
          <w:sz w:val="20"/>
          <w:szCs w:val="20"/>
        </w:rPr>
        <w:t>PROCEDURE — LICENSURE &amp; COMPONENTS</w:t>
      </w:r>
    </w:p>
    <w:p>
      <w:pPr>
        <w:pStyle w:val="Normal"/>
        <w:tabs>
          <w:tab w:val="left" w:pos="720" w:leader="none"/>
        </w:tabs>
        <w:spacing w:lineRule="exact" w:line="264" w:before="0" w:after="80"/>
        <w:ind w:hanging="360" w:start="720"/>
        <w:rPr/>
      </w:pPr>
      <w:r>
        <w:rPr>
          <w:rFonts w:eastAsia="Arial" w:cs="Arial"/>
          <w:sz w:val="21"/>
          <w:szCs w:val="21"/>
        </w:rPr>
        <w:t>a. Maintain a current license for each service component and display the license as required.</w:t>
      </w:r>
    </w:p>
    <w:p>
      <w:pPr>
        <w:pStyle w:val="Normal"/>
        <w:tabs>
          <w:tab w:val="left" w:pos="720" w:leader="none"/>
        </w:tabs>
        <w:spacing w:lineRule="exact" w:line="264" w:before="0" w:after="80"/>
        <w:ind w:hanging="360" w:start="720"/>
        <w:rPr/>
      </w:pPr>
      <w:r>
        <w:rPr>
          <w:rFonts w:eastAsia="Arial" w:cs="Arial"/>
          <w:sz w:val="21"/>
          <w:szCs w:val="21"/>
        </w:rPr>
        <w:t>b. File initial and renewal applications on the required forms with fees, operating procedures, and supporting documentation within required timeframes.</w:t>
      </w:r>
    </w:p>
    <w:p>
      <w:pPr>
        <w:pStyle w:val="Normal"/>
        <w:tabs>
          <w:tab w:val="left" w:pos="720" w:leader="none"/>
        </w:tabs>
        <w:spacing w:lineRule="exact" w:line="264" w:before="0" w:after="80"/>
        <w:ind w:hanging="360" w:start="720"/>
        <w:rPr/>
      </w:pPr>
      <w:r>
        <w:rPr>
          <w:rFonts w:eastAsia="Arial" w:cs="Arial"/>
          <w:sz w:val="21"/>
          <w:szCs w:val="21"/>
        </w:rPr>
        <w:t>c. Apply for a new component before delivering it and notify the Department of a change in license status as required.</w:t>
      </w:r>
    </w:p>
    <w:p>
      <w:pPr>
        <w:pStyle w:val="Normal"/>
        <w:pBdr>
          <w:bottom w:val="single" w:sz="4" w:space="1" w:color="2E5E45"/>
        </w:pBdr>
        <w:spacing w:before="160" w:after="80"/>
        <w:rPr/>
      </w:pPr>
      <w:r>
        <w:rPr>
          <w:rFonts w:eastAsia="Arial" w:cs="Arial"/>
          <w:b/>
          <w:bCs/>
          <w:color w:val="1A4731"/>
          <w:sz w:val="20"/>
          <w:szCs w:val="20"/>
        </w:rPr>
        <w:t>PROCEDURE — INSPECTION &amp; COMPLIANCE</w:t>
      </w:r>
    </w:p>
    <w:p>
      <w:pPr>
        <w:pStyle w:val="Normal"/>
        <w:tabs>
          <w:tab w:val="left" w:pos="720" w:leader="none"/>
        </w:tabs>
        <w:spacing w:lineRule="exact" w:line="264" w:before="0" w:after="80"/>
        <w:ind w:hanging="360" w:start="720"/>
        <w:rPr/>
      </w:pPr>
      <w:r>
        <w:rPr>
          <w:rFonts w:eastAsia="Arial" w:cs="Arial"/>
          <w:sz w:val="21"/>
          <w:szCs w:val="21"/>
        </w:rPr>
        <w:t>d. Cooperate with licensing inspections and complaint investigations.</w:t>
      </w:r>
    </w:p>
    <w:p>
      <w:pPr>
        <w:pStyle w:val="Normal"/>
        <w:tabs>
          <w:tab w:val="left" w:pos="720" w:leader="none"/>
        </w:tabs>
        <w:spacing w:lineRule="exact" w:line="264" w:before="0" w:after="80"/>
        <w:ind w:hanging="360" w:start="720"/>
        <w:rPr/>
      </w:pPr>
      <w:r>
        <w:rPr>
          <w:rFonts w:eastAsia="Arial" w:cs="Arial"/>
          <w:sz w:val="21"/>
          <w:szCs w:val="21"/>
        </w:rPr>
        <w:t>e. Respond to any notice of deficiency, implement corrective action within required timeframes, and verify effectiveness through the quality improvement program.</w:t>
      </w:r>
    </w:p>
    <w:p>
      <w:pPr>
        <w:pStyle w:val="Normal"/>
        <w:tabs>
          <w:tab w:val="left" w:pos="720" w:leader="none"/>
        </w:tabs>
        <w:spacing w:lineRule="exact" w:line="264" w:before="0" w:after="80"/>
        <w:ind w:hanging="360" w:start="720"/>
        <w:rPr/>
      </w:pPr>
      <w:r>
        <w:rPr>
          <w:rFonts w:eastAsia="Arial" w:cs="Arial"/>
          <w:sz w:val="21"/>
          <w:szCs w:val="21"/>
        </w:rPr>
        <w:t>f. Track license expiration and renewal dates and maintain a licensing calendar.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&amp; Component Register</w:t>
      </w:r>
    </w:p>
    <w:p>
      <w:pPr>
        <w:pStyle w:val="ListParagraph"/>
        <w:numPr>
          <w:ilvl w:val="0"/>
          <w:numId w:val="1"/>
        </w:numPr>
        <w:spacing w:lineRule="exact" w:line="264" w:before="0" w:after="60"/>
        <w:rPr/>
      </w:pPr>
      <w:r>
        <w:rPr>
          <w:rFonts w:eastAsia="Arial" w:cs="Arial"/>
          <w:sz w:val="21"/>
          <w:szCs w:val="21"/>
        </w:rPr>
        <w:t>License Application &amp; Renewal Checklist</w:t>
      </w:r>
    </w:p>
    <w:p>
      <w:pPr>
        <w:pStyle w:val="ListParagraph"/>
        <w:numPr>
          <w:ilvl w:val="0"/>
          <w:numId w:val="1"/>
        </w:numPr>
        <w:spacing w:lineRule="exact" w:line="264" w:before="0" w:after="60"/>
        <w:rPr/>
      </w:pPr>
      <w:r>
        <w:rPr>
          <w:rFonts w:eastAsia="Arial" w:cs="Arial"/>
          <w:sz w:val="21"/>
          <w:szCs w:val="21"/>
        </w:rPr>
        <w:t>License Display Record</w:t>
      </w:r>
    </w:p>
    <w:p>
      <w:pPr>
        <w:pStyle w:val="ListParagraph"/>
        <w:numPr>
          <w:ilvl w:val="0"/>
          <w:numId w:val="1"/>
        </w:numPr>
        <w:spacing w:lineRule="exact" w:line="264" w:before="0" w:after="60"/>
        <w:rPr/>
      </w:pPr>
      <w:r>
        <w:rPr>
          <w:rFonts w:eastAsia="Arial" w:cs="Arial"/>
          <w:sz w:val="21"/>
          <w:szCs w:val="21"/>
        </w:rPr>
        <w:t>Change-of-Status Notification Log</w:t>
      </w:r>
    </w:p>
    <w:p>
      <w:pPr>
        <w:pStyle w:val="ListParagraph"/>
        <w:numPr>
          <w:ilvl w:val="0"/>
          <w:numId w:val="1"/>
        </w:numPr>
        <w:spacing w:lineRule="exact" w:line="264" w:before="0" w:after="60"/>
        <w:rPr/>
      </w:pPr>
      <w:r>
        <w:rPr>
          <w:rFonts w:eastAsia="Arial" w:cs="Arial"/>
          <w:sz w:val="21"/>
          <w:szCs w:val="21"/>
        </w:rPr>
        <w:t>Corrective Action Plan Template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Operating Procedures &amp; Document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Operating Procedures &amp; Document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Licensing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65D-30.004(1); § 397.403(1),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demonstrates organizational capability through a written, indexed system of operating procedures descriptive of its services and population, kept current and known to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provider operating procedures and applies to the CEO and everyone who drafts, approves, follows, or is trained on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demonstrates the organizational capability required by Section 397.403(1), F.S., through a written, indexed system of policies and procedures that are descriptive of its services and the population served. Administrative and clinical services align with current best practices. All staff have a working knowledge of the operating procedures. Operating procedures are submitted with new applications and applications for new components and are available for Department review at any time. This manual is maintained under version control, with an effective date, revision dates, and a document-history record for each policy, and is reviewed and updated as needed and at the intervals the provider establishes.</w:t>
      </w:r>
    </w:p>
    <w:p>
      <w:pPr>
        <w:pStyle w:val="Normal"/>
        <w:pBdr>
          <w:bottom w:val="single" w:sz="4" w:space="1" w:color="2E5E45"/>
        </w:pBdr>
        <w:spacing w:before="160" w:after="80"/>
        <w:rPr/>
      </w:pPr>
      <w:r>
        <w:rPr>
          <w:rFonts w:eastAsia="Arial" w:cs="Arial"/>
          <w:b/>
          <w:bCs/>
          <w:color w:val="1A4731"/>
          <w:sz w:val="20"/>
          <w:szCs w:val="20"/>
        </w:rPr>
        <w:t>PROCEDURE — MAINTAINING OPERATING PROCEDURES</w:t>
      </w:r>
    </w:p>
    <w:p>
      <w:pPr>
        <w:pStyle w:val="Normal"/>
        <w:tabs>
          <w:tab w:val="left" w:pos="720" w:leader="none"/>
        </w:tabs>
        <w:spacing w:lineRule="exact" w:line="264" w:before="0" w:after="80"/>
        <w:ind w:hanging="360" w:start="720"/>
        <w:rPr/>
      </w:pPr>
      <w:r>
        <w:rPr>
          <w:rFonts w:eastAsia="Arial" w:cs="Arial"/>
          <w:sz w:val="21"/>
          <w:szCs w:val="21"/>
        </w:rPr>
        <w:t>a. Maintain a written, indexed system of operating procedures descriptive of services and the population served, aligned with current best practices.</w:t>
      </w:r>
    </w:p>
    <w:p>
      <w:pPr>
        <w:pStyle w:val="Normal"/>
        <w:tabs>
          <w:tab w:val="left" w:pos="720" w:leader="none"/>
        </w:tabs>
        <w:spacing w:lineRule="exact" w:line="264" w:before="0" w:after="80"/>
        <w:ind w:hanging="360" w:start="720"/>
        <w:rPr/>
      </w:pPr>
      <w:r>
        <w:rPr>
          <w:rFonts w:eastAsia="Arial" w:cs="Arial"/>
          <w:sz w:val="21"/>
          <w:szCs w:val="21"/>
        </w:rPr>
        <w:t>b. Ensure all staff have a working knowledge of the operating procedures and are trained on them.</w:t>
      </w:r>
    </w:p>
    <w:p>
      <w:pPr>
        <w:pStyle w:val="Normal"/>
        <w:tabs>
          <w:tab w:val="left" w:pos="720" w:leader="none"/>
        </w:tabs>
        <w:spacing w:lineRule="exact" w:line="264" w:before="0" w:after="80"/>
        <w:ind w:hanging="360" w:start="720"/>
        <w:rPr/>
      </w:pPr>
      <w:r>
        <w:rPr>
          <w:rFonts w:eastAsia="Arial" w:cs="Arial"/>
          <w:sz w:val="21"/>
          <w:szCs w:val="21"/>
        </w:rPr>
        <w:t>c. Submit operating procedures with new applications and applications for new components and keep them available for Department review at any time.</w:t>
      </w:r>
    </w:p>
    <w:p>
      <w:pPr>
        <w:pStyle w:val="Normal"/>
        <w:pBdr>
          <w:bottom w:val="single" w:sz="4" w:space="1" w:color="2E5E45"/>
        </w:pBdr>
        <w:spacing w:before="160" w:after="80"/>
        <w:rPr/>
      </w:pPr>
      <w:r>
        <w:rPr>
          <w:rFonts w:eastAsia="Arial" w:cs="Arial"/>
          <w:b/>
          <w:bCs/>
          <w:color w:val="1A4731"/>
          <w:sz w:val="20"/>
          <w:szCs w:val="20"/>
        </w:rPr>
        <w:t>PROCEDURE — REVIEW &amp; VERSION CONTROL</w:t>
      </w:r>
    </w:p>
    <w:p>
      <w:pPr>
        <w:pStyle w:val="Normal"/>
        <w:tabs>
          <w:tab w:val="left" w:pos="720" w:leader="none"/>
        </w:tabs>
        <w:spacing w:lineRule="exact" w:line="264" w:before="0" w:after="80"/>
        <w:ind w:hanging="360" w:start="720"/>
        <w:rPr/>
      </w:pPr>
      <w:r>
        <w:rPr>
          <w:rFonts w:eastAsia="Arial" w:cs="Arial"/>
          <w:sz w:val="21"/>
          <w:szCs w:val="21"/>
        </w:rPr>
        <w:t>d. Review and update operating procedures as needed and on the provider’s established schedule, at least annually through quality improvement where the rule requires.</w:t>
      </w:r>
    </w:p>
    <w:p>
      <w:pPr>
        <w:pStyle w:val="Normal"/>
        <w:tabs>
          <w:tab w:val="left" w:pos="720" w:leader="none"/>
        </w:tabs>
        <w:spacing w:lineRule="exact" w:line="264" w:before="0" w:after="80"/>
        <w:ind w:hanging="360" w:start="720"/>
        <w:rPr/>
      </w:pPr>
      <w:r>
        <w:rPr>
          <w:rFonts w:eastAsia="Arial" w:cs="Arial"/>
          <w:sz w:val="21"/>
          <w:szCs w:val="21"/>
        </w:rPr>
        <w:t>e. Record each revision in the policy’s document-history table and obtain the required approval.</w:t>
      </w:r>
    </w:p>
    <w:p>
      <w:pPr>
        <w:pStyle w:val="Normal"/>
        <w:tabs>
          <w:tab w:val="left" w:pos="720" w:leader="none"/>
        </w:tabs>
        <w:spacing w:lineRule="exact" w:line="264" w:before="0" w:after="80"/>
        <w:ind w:hanging="360" w:start="720"/>
        <w:rPr/>
      </w:pPr>
      <w:r>
        <w:rPr>
          <w:rFonts w:eastAsia="Arial" w:cs="Arial"/>
          <w:sz w:val="21"/>
          <w:szCs w:val="21"/>
        </w:rPr>
        <w:t>f. Distribute current procedures to staff and document distribution and acknowledgment.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Operating-Procedures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Certifications &amp; Certified Recovery Residence Referrals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Certifications &amp; Certified Recovery Residence Referrals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Licensing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65D-30.0031, 65D-30.004(19); §§ 397.4104, 397.4873,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holds any certifications required by statute and complies with the requirements governing referrals to and admissions from certified recovery residences.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certifications required by statute and to all recovery-residence referrals and admissions.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the certifications and recognitions required by statute for its services. The provider complies with Sections 397.4104 and 397.4873, F.S., regarding referrals to and admissions from certified recovery residences. The provider maintains an active referral log of each individual referred to a recovery residence — including the individual’s name, the name and address of the certified recovery residence, the signature of the employee making the referral, and the date — available for Department review, and maintains an updated record of recovery-residence referrals in the Department’s statewide electronic system, except where a service provider under contract with a Managing Entity is exempt.</w:t>
      </w:r>
    </w:p>
    <w:p>
      <w:pPr>
        <w:pStyle w:val="Normal"/>
        <w:pBdr>
          <w:bottom w:val="single" w:sz="4" w:space="1" w:color="2E5E45"/>
        </w:pBdr>
        <w:spacing w:before="160" w:after="80"/>
        <w:rPr/>
      </w:pPr>
      <w:r>
        <w:rPr>
          <w:rFonts w:eastAsia="Arial" w:cs="Arial"/>
          <w:b/>
          <w:bCs/>
          <w:color w:val="1A4731"/>
          <w:sz w:val="20"/>
          <w:szCs w:val="20"/>
        </w:rPr>
        <w:t>PROCEDURE — CERTIFICATIONS &amp; REFERRALS</w:t>
      </w:r>
    </w:p>
    <w:p>
      <w:pPr>
        <w:pStyle w:val="Normal"/>
        <w:tabs>
          <w:tab w:val="left" w:pos="720" w:leader="none"/>
        </w:tabs>
        <w:spacing w:lineRule="exact" w:line="264" w:before="0" w:after="80"/>
        <w:ind w:hanging="360" w:start="720"/>
        <w:rPr/>
      </w:pPr>
      <w:r>
        <w:rPr>
          <w:rFonts w:eastAsia="Arial" w:cs="Arial"/>
          <w:sz w:val="21"/>
          <w:szCs w:val="21"/>
        </w:rPr>
        <w:t>a. Maintain any statutorily required certifications and recognitions for the provider’s services.</w:t>
      </w:r>
    </w:p>
    <w:p>
      <w:pPr>
        <w:pStyle w:val="Normal"/>
        <w:tabs>
          <w:tab w:val="left" w:pos="720" w:leader="none"/>
        </w:tabs>
        <w:spacing w:lineRule="exact" w:line="264" w:before="0" w:after="80"/>
        <w:ind w:hanging="360" w:start="720"/>
        <w:rPr/>
      </w:pPr>
      <w:r>
        <w:rPr>
          <w:rFonts w:eastAsia="Arial" w:cs="Arial"/>
          <w:sz w:val="21"/>
          <w:szCs w:val="21"/>
        </w:rPr>
        <w:t>b. Refer to and admit from certified recovery residences consistent with Sections 397.4104 and 397.4873, F.S.</w:t>
      </w:r>
    </w:p>
    <w:p>
      <w:pPr>
        <w:pStyle w:val="Normal"/>
        <w:tabs>
          <w:tab w:val="left" w:pos="720" w:leader="none"/>
        </w:tabs>
        <w:spacing w:lineRule="exact" w:line="264" w:before="0" w:after="80"/>
        <w:ind w:hanging="360" w:start="720"/>
        <w:rPr/>
      </w:pPr>
      <w:r>
        <w:rPr>
          <w:rFonts w:eastAsia="Arial" w:cs="Arial"/>
          <w:sz w:val="21"/>
          <w:szCs w:val="21"/>
        </w:rPr>
        <w:t>c. Maintain the recovery-residence referral log and the statewide electronic record, and make them available for Department review.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Statutory Certification Register</w:t>
      </w:r>
    </w:p>
    <w:p>
      <w:pPr>
        <w:pStyle w:val="ListParagraph"/>
        <w:numPr>
          <w:ilvl w:val="0"/>
          <w:numId w:val="1"/>
        </w:numPr>
        <w:spacing w:lineRule="exact" w:line="264" w:before="0" w:after="60"/>
        <w:rPr/>
      </w:pPr>
      <w:r>
        <w:rPr>
          <w:rFonts w:eastAsia="Arial" w:cs="Arial"/>
          <w:sz w:val="21"/>
          <w:szCs w:val="21"/>
        </w:rPr>
        <w:t>Certified Recovery Residence Referral Log</w:t>
      </w:r>
    </w:p>
    <w:p>
      <w:pPr>
        <w:pStyle w:val="ListParagraph"/>
        <w:numPr>
          <w:ilvl w:val="0"/>
          <w:numId w:val="1"/>
        </w:numPr>
        <w:spacing w:lineRule="exact" w:line="264" w:before="0" w:after="60"/>
        <w:rPr/>
      </w:pPr>
      <w:r>
        <w:rPr>
          <w:rFonts w:eastAsia="Arial" w:cs="Arial"/>
          <w:sz w:val="21"/>
          <w:szCs w:val="21"/>
        </w:rPr>
        <w:t>Recovery Residence Admission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Data Reporting &amp; Department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Data Reporting &amp; Department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Licensing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65D-30.004(14); § 397.321,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reports required data to the Department accurately and on time.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data reporting to the Department and to the staff responsible for 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reports data to the Department pursuant to Section 397.321, F.S., and Department requirements, using the Department’s designated systems and formats. The provider maintains the source records supporting reported data and ensures the accuracy and timeliness of submissions.</w:t>
      </w:r>
    </w:p>
    <w:p>
      <w:pPr>
        <w:pStyle w:val="Normal"/>
        <w:pBdr>
          <w:bottom w:val="single" w:sz="4" w:space="1" w:color="2E5E45"/>
        </w:pBdr>
        <w:spacing w:before="160" w:after="80"/>
        <w:rPr/>
      </w:pPr>
      <w:r>
        <w:rPr>
          <w:rFonts w:eastAsia="Arial" w:cs="Arial"/>
          <w:b/>
          <w:bCs/>
          <w:color w:val="1A4731"/>
          <w:sz w:val="20"/>
          <w:szCs w:val="20"/>
        </w:rPr>
        <w:t>PROCEDURE — DATA REPORTING</w:t>
      </w:r>
    </w:p>
    <w:p>
      <w:pPr>
        <w:pStyle w:val="Normal"/>
        <w:tabs>
          <w:tab w:val="left" w:pos="720" w:leader="none"/>
        </w:tabs>
        <w:spacing w:lineRule="exact" w:line="264" w:before="0" w:after="80"/>
        <w:ind w:hanging="360" w:start="720"/>
        <w:rPr/>
      </w:pPr>
      <w:r>
        <w:rPr>
          <w:rFonts w:eastAsia="Arial" w:cs="Arial"/>
          <w:sz w:val="21"/>
          <w:szCs w:val="21"/>
        </w:rPr>
        <w:t>a. Identify the data the provider must report and the required systems, formats, and deadlines.</w:t>
      </w:r>
    </w:p>
    <w:p>
      <w:pPr>
        <w:pStyle w:val="Normal"/>
        <w:tabs>
          <w:tab w:val="left" w:pos="720" w:leader="none"/>
        </w:tabs>
        <w:spacing w:lineRule="exact" w:line="264" w:before="0" w:after="80"/>
        <w:ind w:hanging="360" w:start="720"/>
        <w:rPr/>
      </w:pPr>
      <w:r>
        <w:rPr>
          <w:rFonts w:eastAsia="Arial" w:cs="Arial"/>
          <w:sz w:val="21"/>
          <w:szCs w:val="21"/>
        </w:rPr>
        <w:t>b. Submit accurate data on time and retain source records supporting each submission.</w:t>
      </w:r>
    </w:p>
    <w:p>
      <w:pPr>
        <w:pStyle w:val="Normal"/>
        <w:tabs>
          <w:tab w:val="left" w:pos="720" w:leader="none"/>
        </w:tabs>
        <w:spacing w:lineRule="exact" w:line="264" w:before="0" w:after="80"/>
        <w:ind w:hanging="360" w:start="720"/>
        <w:rPr/>
      </w:pPr>
      <w:r>
        <w:rPr>
          <w:rFonts w:eastAsia="Arial" w:cs="Arial"/>
          <w:sz w:val="21"/>
          <w:szCs w:val="21"/>
        </w:rPr>
        <w:t>c. Monitor data quality and correct errors through the quality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Data Reporting Calendar &amp; Log</w:t>
      </w:r>
    </w:p>
    <w:p>
      <w:pPr>
        <w:pStyle w:val="ListParagraph"/>
        <w:numPr>
          <w:ilvl w:val="0"/>
          <w:numId w:val="1"/>
        </w:numPr>
        <w:spacing w:lineRule="exact" w:line="264" w:before="0" w:after="60"/>
        <w:rPr/>
      </w:pPr>
      <w:r>
        <w:rPr>
          <w:rFonts w:eastAsia="Arial" w:cs="Arial"/>
          <w:sz w:val="21"/>
          <w:szCs w:val="21"/>
        </w:rPr>
        <w:t>Data Source &amp; Verification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Medical Director &amp; Medical Direction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Medical Director &amp; Medical Direction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Licensing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65D-30.004(6); § 397.410(1)(c),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has appropriate medical direction, that the medical director’s responsibilities and caseload comply with the rule, and that providers without a required medical director have physician access.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medical director, any medical consultant, and the components that require medical direction.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provider licensed to operate addictions receiving facilities, detoxification, intensive inpatient treatment, residential treatment, or methadone and medication-assisted treatment for opioid use disorder has a medical director who oversees all medical services, whose responsibilities are clearly described. The medical director has overall responsibility for medical services, oversight of medical policy development and revision (including medical surveillance and referral, implementation of medical orders, communicable-disease reporting, and training for routine and emergency care), collaborative supervision with the clinical supervisor of non-medical staff in SUD services, and supervision of medical staff. The medical director meets at least twice a year with the risk management and quality assurance program to review incident reports, grievances, and complaints, documented in the committee minutes, and, when serving as an attending physician, participates in treatment planning.</w:t>
      </w:r>
    </w:p>
    <w:p>
      <w:pPr>
        <w:pStyle w:val="Normal"/>
        <w:spacing w:lineRule="exact" w:line="276" w:before="0" w:after="120"/>
        <w:rPr/>
      </w:pPr>
      <w:r>
        <w:rPr>
          <w:rFonts w:eastAsia="Arial" w:cs="Arial"/>
          <w:sz w:val="21"/>
          <w:szCs w:val="21"/>
        </w:rPr>
        <w:t>The provider observes the Department’s methodology for the maximum number of individuals a medical director may serve, applies the percentage-of-time methodology when licensed for multiple components, and does not operate without a medical director on staff at any time — designating a qualified available physician when the medical director is unavailable and an interim medical director upon departure, and notifying the regional office in writing within 24 hours of a change in medical director with proof of a current, unencumbered Florida license. A provider operating components that do not require a medical director maintains written access to a physician, physician assistant, or APRN for medical consultation, subject to the same requirements and restrictions.</w:t>
      </w:r>
    </w:p>
    <w:p>
      <w:pPr>
        <w:pStyle w:val="Normal"/>
        <w:pBdr>
          <w:bottom w:val="single" w:sz="4" w:space="1" w:color="2E5E45"/>
        </w:pBdr>
        <w:spacing w:before="160" w:after="80"/>
        <w:rPr/>
      </w:pPr>
      <w:r>
        <w:rPr>
          <w:rFonts w:eastAsia="Arial" w:cs="Arial"/>
          <w:b/>
          <w:bCs/>
          <w:color w:val="1A4731"/>
          <w:sz w:val="20"/>
          <w:szCs w:val="20"/>
        </w:rPr>
        <w:t>PROCEDURE — MEDICAL DIRECTION &amp; RESPONSIBILITIES</w:t>
      </w:r>
    </w:p>
    <w:p>
      <w:pPr>
        <w:pStyle w:val="Normal"/>
        <w:tabs>
          <w:tab w:val="left" w:pos="720" w:leader="none"/>
        </w:tabs>
        <w:spacing w:lineRule="exact" w:line="264" w:before="0" w:after="80"/>
        <w:ind w:hanging="360" w:start="720"/>
        <w:rPr/>
      </w:pPr>
      <w:r>
        <w:rPr>
          <w:rFonts w:eastAsia="Arial" w:cs="Arial"/>
          <w:sz w:val="21"/>
          <w:szCs w:val="21"/>
        </w:rPr>
        <w:t>a. Designate a medical director for each component that requires one and clearly describe the responsibilities.</w:t>
      </w:r>
    </w:p>
    <w:p>
      <w:pPr>
        <w:pStyle w:val="Normal"/>
        <w:tabs>
          <w:tab w:val="left" w:pos="720" w:leader="none"/>
        </w:tabs>
        <w:spacing w:lineRule="exact" w:line="264" w:before="0" w:after="80"/>
        <w:ind w:hanging="360" w:start="720"/>
        <w:rPr/>
      </w:pPr>
      <w:r>
        <w:rPr>
          <w:rFonts w:eastAsia="Arial" w:cs="Arial"/>
          <w:sz w:val="21"/>
          <w:szCs w:val="21"/>
        </w:rPr>
        <w:t>b. Ensure the medical director oversees medical services and policy, collaborates with the clinical supervisor, and meets at least twice a year with risk management / quality assurance, documented in minutes.</w:t>
      </w:r>
    </w:p>
    <w:p>
      <w:pPr>
        <w:pStyle w:val="Normal"/>
        <w:tabs>
          <w:tab w:val="left" w:pos="720" w:leader="none"/>
        </w:tabs>
        <w:spacing w:lineRule="exact" w:line="264" w:before="0" w:after="80"/>
        <w:ind w:hanging="360" w:start="720"/>
        <w:rPr/>
      </w:pPr>
      <w:r>
        <w:rPr>
          <w:rFonts w:eastAsia="Arial" w:cs="Arial"/>
          <w:sz w:val="21"/>
          <w:szCs w:val="21"/>
        </w:rPr>
        <w:t>c. Where no medical director is required, maintain written physician, physician assistant, or APRN access for medical consultation.</w:t>
      </w:r>
    </w:p>
    <w:p>
      <w:pPr>
        <w:pStyle w:val="Normal"/>
        <w:pBdr>
          <w:bottom w:val="single" w:sz="4" w:space="1" w:color="2E5E45"/>
        </w:pBdr>
        <w:spacing w:before="160" w:after="80"/>
        <w:rPr/>
      </w:pPr>
      <w:r>
        <w:rPr>
          <w:rFonts w:eastAsia="Arial" w:cs="Arial"/>
          <w:b/>
          <w:bCs/>
          <w:color w:val="1A4731"/>
          <w:sz w:val="20"/>
          <w:szCs w:val="20"/>
        </w:rPr>
        <w:t>PROCEDURE — CASELOAD, COVERAGE &amp; NOTIFICATION</w:t>
      </w:r>
    </w:p>
    <w:p>
      <w:pPr>
        <w:pStyle w:val="Normal"/>
        <w:tabs>
          <w:tab w:val="left" w:pos="720" w:leader="none"/>
        </w:tabs>
        <w:spacing w:lineRule="exact" w:line="264" w:before="0" w:after="80"/>
        <w:ind w:hanging="360" w:start="720"/>
        <w:rPr/>
      </w:pPr>
      <w:r>
        <w:rPr>
          <w:rFonts w:eastAsia="Arial" w:cs="Arial"/>
          <w:sz w:val="21"/>
          <w:szCs w:val="21"/>
        </w:rPr>
        <w:t>d. Apply the Department’s maximum-individuals methodology, including the percentage-of-time approach for multiple components, and document the caseload maximum with the application and at renewal.</w:t>
      </w:r>
    </w:p>
    <w:p>
      <w:pPr>
        <w:pStyle w:val="Normal"/>
        <w:tabs>
          <w:tab w:val="left" w:pos="720" w:leader="none"/>
        </w:tabs>
        <w:spacing w:lineRule="exact" w:line="264" w:before="0" w:after="80"/>
        <w:ind w:hanging="360" w:start="720"/>
        <w:rPr/>
      </w:pPr>
      <w:r>
        <w:rPr>
          <w:rFonts w:eastAsia="Arial" w:cs="Arial"/>
          <w:sz w:val="21"/>
          <w:szCs w:val="21"/>
        </w:rPr>
        <w:t>e. Never operate without a medical director on staff; designate an available qualified physician when the medical director is unavailable and an interim medical director upon departure.</w:t>
      </w:r>
    </w:p>
    <w:p>
      <w:pPr>
        <w:pStyle w:val="Normal"/>
        <w:tabs>
          <w:tab w:val="left" w:pos="720" w:leader="none"/>
        </w:tabs>
        <w:spacing w:lineRule="exact" w:line="264" w:before="0" w:after="80"/>
        <w:ind w:hanging="360" w:start="720"/>
        <w:rPr/>
      </w:pPr>
      <w:r>
        <w:rPr>
          <w:rFonts w:eastAsia="Arial" w:cs="Arial"/>
          <w:sz w:val="21"/>
          <w:szCs w:val="21"/>
        </w:rPr>
        <w:t>f. Notify the regional office in writing within 24 hours of a change in medical director, with proof of a current, unencumbered Florida license.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Medical Director Designation &amp; Responsibilities Record</w:t>
      </w:r>
    </w:p>
    <w:p>
      <w:pPr>
        <w:pStyle w:val="ListParagraph"/>
        <w:numPr>
          <w:ilvl w:val="0"/>
          <w:numId w:val="1"/>
        </w:numPr>
        <w:spacing w:lineRule="exact" w:line="264" w:before="0" w:after="60"/>
        <w:rPr/>
      </w:pPr>
      <w:r>
        <w:rPr>
          <w:rFonts w:eastAsia="Arial" w:cs="Arial"/>
          <w:sz w:val="21"/>
          <w:szCs w:val="21"/>
        </w:rPr>
        <w:t>Medical Director Caseload Calculation</w:t>
      </w:r>
    </w:p>
    <w:p>
      <w:pPr>
        <w:pStyle w:val="ListParagraph"/>
        <w:numPr>
          <w:ilvl w:val="0"/>
          <w:numId w:val="1"/>
        </w:numPr>
        <w:spacing w:lineRule="exact" w:line="264" w:before="0" w:after="60"/>
        <w:rPr/>
      </w:pPr>
      <w:r>
        <w:rPr>
          <w:rFonts w:eastAsia="Arial" w:cs="Arial"/>
          <w:sz w:val="21"/>
          <w:szCs w:val="21"/>
        </w:rPr>
        <w:t>Medical Consultant Written Agreement</w:t>
      </w:r>
    </w:p>
    <w:p>
      <w:pPr>
        <w:pStyle w:val="ListParagraph"/>
        <w:numPr>
          <w:ilvl w:val="0"/>
          <w:numId w:val="1"/>
        </w:numPr>
        <w:spacing w:lineRule="exact" w:line="264" w:before="0" w:after="60"/>
        <w:rPr/>
      </w:pPr>
      <w:r>
        <w:rPr>
          <w:rFonts w:eastAsia="Arial" w:cs="Arial"/>
          <w:sz w:val="21"/>
          <w:szCs w:val="21"/>
        </w:rPr>
        <w:t>Medical Director Change Notification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Workforce</w:t>
      </w:r>
    </w:p>
    <w:p>
      <w:pPr>
        <w:pStyle w:val="Normal"/>
        <w:spacing w:lineRule="exact" w:line="288" w:before="0" w:after="240"/>
        <w:rPr/>
      </w:pPr>
      <w:r>
        <w:rPr>
          <w:rFonts w:eastAsia="Arial" w:cs="Arial"/>
          <w:color w:val="444444"/>
          <w:sz w:val="22"/>
          <w:szCs w:val="22"/>
        </w:rPr>
        <w:t>This section sets the requirements for who delivers services and how they are prepared and supported — personnel policies and records, Level 2 background screening, staff development and training, staff qualifications and scope of practice (counselors and qualified professionals), clinical supervision, and peer specialists.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Policies &amp;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Background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Staff Development, Training &amp; Orientation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Staff Qualifications &amp; Scope of Practice; Counselors &amp; Qualified Professionals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Clinical Supervision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Peer Specialists &amp; Recovery Support</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Policies &amp;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Policies &amp;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maintains personnel policies and complete personnel records that meet Chapter 65D-30 requirements and protect individuals receiving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employees and volunteers and to the CEO or designee responsible for personnel administration.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Personnel policies clearly address recruitment and selection, promotion and termination, a code of ethical conduct, sexual harassment, confidentiality of individual records, attendance and leave, employee grievance, non-discrimination, abuse-reporting procedures, and orientation of staff to the agency’s universal infection control procedures. The code of ethical conduct prohibits employees and volunteers from engaging in sexual activity with individuals receiving services for a minimum of two years after the last professional contact. The provider maintains a drug-free workplace policy for employees and prospective employees.</w:t>
      </w:r>
    </w:p>
    <w:p>
      <w:pPr>
        <w:pStyle w:val="Normal"/>
        <w:spacing w:lineRule="exact" w:line="276" w:before="0" w:after="120"/>
        <w:rPr/>
      </w:pPr>
      <w:r>
        <w:rPr>
          <w:rFonts w:eastAsia="Arial" w:cs="Arial"/>
          <w:sz w:val="21"/>
          <w:szCs w:val="21"/>
        </w:rPr>
        <w:t>A record is maintained on all personnel that contains the individual’s current job description with minimum qualifications and documentation that the staff member meets them; the employment application or resume; the annual performance appraisal; a signed, dated document indicating the employee received new-staff orientation and understands the personnel and program operating policies; verified or certified copies of degrees, licenses, or certificates; documentation of background screening; and documentation of required staff training. The CEO or designee assesses employment history and reference checks for each employee who has direct contact with children or intellectually disabled adults receiving services.</w:t>
      </w:r>
    </w:p>
    <w:p>
      <w:pPr>
        <w:pStyle w:val="Normal"/>
        <w:pBdr>
          <w:bottom w:val="single" w:sz="4" w:space="1" w:color="2E5E45"/>
        </w:pBdr>
        <w:spacing w:before="160" w:after="80"/>
        <w:rPr/>
      </w:pPr>
      <w:r>
        <w:rPr>
          <w:rFonts w:eastAsia="Arial" w:cs="Arial"/>
          <w:b/>
          <w:bCs/>
          <w:color w:val="1A4731"/>
          <w:sz w:val="20"/>
          <w:szCs w:val="20"/>
        </w:rPr>
        <w:t>PROCEDURE — PERSONNEL POLICIES</w:t>
      </w:r>
    </w:p>
    <w:p>
      <w:pPr>
        <w:pStyle w:val="Normal"/>
        <w:tabs>
          <w:tab w:val="left" w:pos="720" w:leader="none"/>
        </w:tabs>
        <w:spacing w:lineRule="exact" w:line="264" w:before="0" w:after="80"/>
        <w:ind w:hanging="360" w:start="720"/>
        <w:rPr/>
      </w:pPr>
      <w:r>
        <w:rPr>
          <w:rFonts w:eastAsia="Arial" w:cs="Arial"/>
          <w:sz w:val="21"/>
          <w:szCs w:val="21"/>
        </w:rPr>
        <w:t>a. Maintain personnel policies covering the required topics, including the code of ethical conduct with the two-year prohibition on sexual activity with individuals served.</w:t>
      </w:r>
    </w:p>
    <w:p>
      <w:pPr>
        <w:pStyle w:val="Normal"/>
        <w:tabs>
          <w:tab w:val="left" w:pos="720" w:leader="none"/>
        </w:tabs>
        <w:spacing w:lineRule="exact" w:line="264" w:before="0" w:after="80"/>
        <w:ind w:hanging="360" w:start="720"/>
        <w:rPr/>
      </w:pPr>
      <w:r>
        <w:rPr>
          <w:rFonts w:eastAsia="Arial" w:cs="Arial"/>
          <w:sz w:val="21"/>
          <w:szCs w:val="21"/>
        </w:rPr>
        <w:t>b. Maintain a drug-free workplace policy for employees and prospective employees.</w:t>
      </w:r>
    </w:p>
    <w:p>
      <w:pPr>
        <w:pStyle w:val="Normal"/>
        <w:tabs>
          <w:tab w:val="left" w:pos="720" w:leader="none"/>
        </w:tabs>
        <w:spacing w:lineRule="exact" w:line="264" w:before="0" w:after="80"/>
        <w:ind w:hanging="360" w:start="720"/>
        <w:rPr/>
      </w:pPr>
      <w:r>
        <w:rPr>
          <w:rFonts w:eastAsia="Arial" w:cs="Arial"/>
          <w:sz w:val="21"/>
          <w:szCs w:val="21"/>
        </w:rPr>
        <w:t>c. Assess employment history and reference checks for employees with direct contact with children or intellectually disabled adults.</w:t>
      </w:r>
    </w:p>
    <w:p>
      <w:pPr>
        <w:pStyle w:val="Normal"/>
        <w:pBdr>
          <w:bottom w:val="single" w:sz="4" w:space="1" w:color="2E5E45"/>
        </w:pBdr>
        <w:spacing w:before="160" w:after="80"/>
        <w:rPr/>
      </w:pPr>
      <w:r>
        <w:rPr>
          <w:rFonts w:eastAsia="Arial" w:cs="Arial"/>
          <w:b/>
          <w:bCs/>
          <w:color w:val="1A4731"/>
          <w:sz w:val="20"/>
          <w:szCs w:val="20"/>
        </w:rPr>
        <w:t>PROCEDURE — PERSONNEL RECORDS</w:t>
      </w:r>
    </w:p>
    <w:p>
      <w:pPr>
        <w:pStyle w:val="Normal"/>
        <w:tabs>
          <w:tab w:val="left" w:pos="720" w:leader="none"/>
        </w:tabs>
        <w:spacing w:lineRule="exact" w:line="264" w:before="0" w:after="80"/>
        <w:ind w:hanging="360" w:start="720"/>
        <w:rPr/>
      </w:pPr>
      <w:r>
        <w:rPr>
          <w:rFonts w:eastAsia="Arial" w:cs="Arial"/>
          <w:sz w:val="21"/>
          <w:szCs w:val="21"/>
        </w:rPr>
        <w:t>d. Maintain a personnel record for each individual with the job description and qualification documentation, application or resume, annual appraisal, and signed orientation acknowledgment.</w:t>
      </w:r>
    </w:p>
    <w:p>
      <w:pPr>
        <w:pStyle w:val="Normal"/>
        <w:tabs>
          <w:tab w:val="left" w:pos="720" w:leader="none"/>
        </w:tabs>
        <w:spacing w:lineRule="exact" w:line="264" w:before="0" w:after="80"/>
        <w:ind w:hanging="360" w:start="720"/>
        <w:rPr/>
      </w:pPr>
      <w:r>
        <w:rPr>
          <w:rFonts w:eastAsia="Arial" w:cs="Arial"/>
          <w:sz w:val="21"/>
          <w:szCs w:val="21"/>
        </w:rPr>
        <w:t>e. File verified or certified copies of degrees, licenses, or certificates and documentation of background screening and required training.</w:t>
      </w:r>
    </w:p>
    <w:p>
      <w:pPr>
        <w:pStyle w:val="Normal"/>
        <w:tabs>
          <w:tab w:val="left" w:pos="720" w:leader="none"/>
        </w:tabs>
        <w:spacing w:lineRule="exact" w:line="264" w:before="0" w:after="80"/>
        <w:ind w:hanging="360" w:start="720"/>
        <w:rPr/>
      </w:pPr>
      <w:r>
        <w:rPr>
          <w:rFonts w:eastAsia="Arial" w:cs="Arial"/>
          <w:sz w:val="21"/>
          <w:szCs w:val="21"/>
        </w:rPr>
        <w:t>f. Keep records current and protect them from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Policy Manual</w:t>
      </w:r>
    </w:p>
    <w:p>
      <w:pPr>
        <w:pStyle w:val="ListParagraph"/>
        <w:numPr>
          <w:ilvl w:val="0"/>
          <w:numId w:val="1"/>
        </w:numPr>
        <w:spacing w:lineRule="exact" w:line="264" w:before="0" w:after="60"/>
        <w:rPr/>
      </w:pPr>
      <w:r>
        <w:rPr>
          <w:rFonts w:eastAsia="Arial" w:cs="Arial"/>
          <w:sz w:val="21"/>
          <w:szCs w:val="21"/>
        </w:rPr>
        <w:t>Code of Ethical Conduct &amp; Acknowledgment</w:t>
      </w:r>
    </w:p>
    <w:p>
      <w:pPr>
        <w:pStyle w:val="ListParagraph"/>
        <w:numPr>
          <w:ilvl w:val="0"/>
          <w:numId w:val="1"/>
        </w:numPr>
        <w:spacing w:lineRule="exact" w:line="264" w:before="0" w:after="60"/>
        <w:rPr/>
      </w:pPr>
      <w:r>
        <w:rPr>
          <w:rFonts w:eastAsia="Arial" w:cs="Arial"/>
          <w:sz w:val="21"/>
          <w:szCs w:val="21"/>
        </w:rPr>
        <w:t>Drug-Free Workplace Policy &amp; Acknowledgment</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Employment History &amp; Reference Check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Background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Background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65D-30.004(4)(b), (4)(c); §§ 397.4073, 397.417, 435.07,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individuals receiving services by ensuring all staff subject to screening complete Level 2 background screening, are rescreened on schedule, and clear or obtain exemptions from disqualifying offenses.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owners, directors, the CEO, clinical supervisors, staff, peer specialists, and others subject to screening, and to the person responsible for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ensures compliance with background screening in accordance with Section 397.4073, F.S., and ensures peer specialists are screened in accordance with Section 397.417, F.S. Individuals subject to screening are re-screened within five years from their last screening results and every five years thereafter, and at initial screening and each re-screening submit an Affidavit of Good Moral Character (form CF 1649) where subject to Level 2 screening. The Care Provider Background Screening Clearinghouse is used to process screening. A person disqualified by screening may request an exemption from disqualification under Section 435.07, F.S., or, if applicable, Section 397.4073(4)(b), F.S. Screening documentation, including any exemption, is maintained in the personnel record.</w:t>
      </w:r>
    </w:p>
    <w:p>
      <w:pPr>
        <w:pStyle w:val="Normal"/>
        <w:pBdr>
          <w:bottom w:val="single" w:sz="4" w:space="1" w:color="2E5E45"/>
        </w:pBdr>
        <w:spacing w:before="160" w:after="80"/>
        <w:rPr/>
      </w:pPr>
      <w:r>
        <w:rPr>
          <w:rFonts w:eastAsia="Arial" w:cs="Arial"/>
          <w:b/>
          <w:bCs/>
          <w:color w:val="1A4731"/>
          <w:sz w:val="20"/>
          <w:szCs w:val="20"/>
        </w:rPr>
        <w:t>PROCEDURE — SCREENING &amp; RESCREENING</w:t>
      </w:r>
    </w:p>
    <w:p>
      <w:pPr>
        <w:pStyle w:val="Normal"/>
        <w:tabs>
          <w:tab w:val="left" w:pos="720" w:leader="none"/>
        </w:tabs>
        <w:spacing w:lineRule="exact" w:line="264" w:before="0" w:after="80"/>
        <w:ind w:hanging="360" w:start="720"/>
        <w:rPr/>
      </w:pPr>
      <w:r>
        <w:rPr>
          <w:rFonts w:eastAsia="Arial" w:cs="Arial"/>
          <w:sz w:val="21"/>
          <w:szCs w:val="21"/>
        </w:rPr>
        <w:t>a. Complete Level 2 background screening for each individual subject to it before the individual has qualifying contact, through the Clearinghouse.</w:t>
      </w:r>
    </w:p>
    <w:p>
      <w:pPr>
        <w:pStyle w:val="Normal"/>
        <w:tabs>
          <w:tab w:val="left" w:pos="720" w:leader="none"/>
        </w:tabs>
        <w:spacing w:lineRule="exact" w:line="264" w:before="0" w:after="80"/>
        <w:ind w:hanging="360" w:start="720"/>
        <w:rPr/>
      </w:pPr>
      <w:r>
        <w:rPr>
          <w:rFonts w:eastAsia="Arial" w:cs="Arial"/>
          <w:sz w:val="21"/>
          <w:szCs w:val="21"/>
        </w:rPr>
        <w:t>b. Re-screen within five years of the last screening and every five years thereafter, and obtain the Affidavit of Good Moral Character at initial and each re-screening for Level 2 individuals.</w:t>
      </w:r>
    </w:p>
    <w:p>
      <w:pPr>
        <w:pStyle w:val="Normal"/>
        <w:tabs>
          <w:tab w:val="left" w:pos="720" w:leader="none"/>
        </w:tabs>
        <w:spacing w:lineRule="exact" w:line="264" w:before="0" w:after="80"/>
        <w:ind w:hanging="360" w:start="720"/>
        <w:rPr/>
      </w:pPr>
      <w:r>
        <w:rPr>
          <w:rFonts w:eastAsia="Arial" w:cs="Arial"/>
          <w:sz w:val="21"/>
          <w:szCs w:val="21"/>
        </w:rPr>
        <w:t>c. Maintain screening results and any exemption documentation in the personnel record.</w:t>
      </w:r>
    </w:p>
    <w:p>
      <w:pPr>
        <w:pStyle w:val="Normal"/>
        <w:pBdr>
          <w:bottom w:val="single" w:sz="4" w:space="1" w:color="2E5E45"/>
        </w:pBdr>
        <w:spacing w:before="160" w:after="80"/>
        <w:rPr/>
      </w:pPr>
      <w:r>
        <w:rPr>
          <w:rFonts w:eastAsia="Arial" w:cs="Arial"/>
          <w:b/>
          <w:bCs/>
          <w:color w:val="1A4731"/>
          <w:sz w:val="20"/>
          <w:szCs w:val="20"/>
        </w:rPr>
        <w:t>PROCEDURE — DISQUALIFICATION &amp; EXEMPTION</w:t>
      </w:r>
    </w:p>
    <w:p>
      <w:pPr>
        <w:pStyle w:val="Normal"/>
        <w:tabs>
          <w:tab w:val="left" w:pos="720" w:leader="none"/>
        </w:tabs>
        <w:spacing w:lineRule="exact" w:line="264" w:before="0" w:after="80"/>
        <w:ind w:hanging="360" w:start="720"/>
        <w:rPr/>
      </w:pPr>
      <w:r>
        <w:rPr>
          <w:rFonts w:eastAsia="Arial" w:cs="Arial"/>
          <w:sz w:val="21"/>
          <w:szCs w:val="21"/>
        </w:rPr>
        <w:t>d. Do not employ a disqualified individual in a screened position unless an exemption is granted.</w:t>
      </w:r>
    </w:p>
    <w:p>
      <w:pPr>
        <w:pStyle w:val="Normal"/>
        <w:tabs>
          <w:tab w:val="left" w:pos="720" w:leader="none"/>
        </w:tabs>
        <w:spacing w:lineRule="exact" w:line="264" w:before="0" w:after="80"/>
        <w:ind w:hanging="360" w:start="720"/>
        <w:rPr/>
      </w:pPr>
      <w:r>
        <w:rPr>
          <w:rFonts w:eastAsia="Arial" w:cs="Arial"/>
          <w:sz w:val="21"/>
          <w:szCs w:val="21"/>
        </w:rPr>
        <w:t>e. Support an eligible individual’s request for exemption from disqualification under Section 435.07 or 397.4073(4)(b), F.S.</w:t>
      </w:r>
    </w:p>
    <w:p>
      <w:pPr>
        <w:pStyle w:val="Normal"/>
        <w:tabs>
          <w:tab w:val="left" w:pos="720" w:leader="none"/>
        </w:tabs>
        <w:spacing w:lineRule="exact" w:line="264" w:before="0" w:after="80"/>
        <w:ind w:hanging="360" w:start="720"/>
        <w:rPr/>
      </w:pPr>
      <w:r>
        <w:rPr>
          <w:rFonts w:eastAsia="Arial" w:cs="Arial"/>
          <w:sz w:val="21"/>
          <w:szCs w:val="21"/>
        </w:rPr>
        <w:t>f. Document the disposition of each disqualification and exemption.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Screening Tracking Log (Clearinghouse)</w:t>
      </w:r>
    </w:p>
    <w:p>
      <w:pPr>
        <w:pStyle w:val="ListParagraph"/>
        <w:numPr>
          <w:ilvl w:val="0"/>
          <w:numId w:val="1"/>
        </w:numPr>
        <w:spacing w:lineRule="exact" w:line="264" w:before="0" w:after="60"/>
        <w:rPr/>
      </w:pPr>
      <w:r>
        <w:rPr>
          <w:rFonts w:eastAsia="Arial" w:cs="Arial"/>
          <w:sz w:val="21"/>
          <w:szCs w:val="21"/>
        </w:rPr>
        <w:t>Affidavit of Good Moral Character (CF 1649)</w:t>
      </w:r>
    </w:p>
    <w:p>
      <w:pPr>
        <w:pStyle w:val="ListParagraph"/>
        <w:numPr>
          <w:ilvl w:val="0"/>
          <w:numId w:val="1"/>
        </w:numPr>
        <w:spacing w:lineRule="exact" w:line="264" w:before="0" w:after="60"/>
        <w:rPr/>
      </w:pPr>
      <w:r>
        <w:rPr>
          <w:rFonts w:eastAsia="Arial" w:cs="Arial"/>
          <w:sz w:val="21"/>
          <w:szCs w:val="21"/>
        </w:rPr>
        <w:t>Exemption from Disqualification Record</w:t>
      </w:r>
    </w:p>
    <w:p>
      <w:pPr>
        <w:pStyle w:val="ListParagraph"/>
        <w:numPr>
          <w:ilvl w:val="0"/>
          <w:numId w:val="1"/>
        </w:numPr>
        <w:spacing w:lineRule="exact" w:line="264" w:before="0" w:after="60"/>
        <w:rPr/>
      </w:pPr>
      <w:r>
        <w:rPr>
          <w:rFonts w:eastAsia="Arial" w:cs="Arial"/>
          <w:sz w:val="21"/>
          <w:szCs w:val="21"/>
        </w:rPr>
        <w:t>Peer Specialist Screening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Staff Development, Training &amp; Orientation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Staff Development, Training &amp; Orientation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65D-30.0046(1); 65D-30.004(10), (12)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develops and implements a staff development plan and that staff complete required orientation and training, documented as the rule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staff member responsible for the staff development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develops and implements a staff development plan, assigning at least one staff member with skill in developing staff training plans the responsibility of ensuring staff development activities are implemented. The plan is reviewed at least annually through the quality assurance program, revised as needed, and signed and dated. All required training activities are documented and accessible for Department review, including the date, duration, topic, participant names, and trainer or training organization. Within six months of hiring, employees complete required new-staff orientation trainings. New clinical staff who work at least 20 hours per week receive 12 hours of competency-based training related to substance use disorder treatment and recovery within the first year, and new staff providing prevention services receive 12 hours of basic science-based prevention training within the first year. Direct care staff are trained in the provider’s specific verbal de-escalation techniques, and infection-control and HIV/AIDS education requirements are met and documented. Training completed in the year before employment may count where the individual documents it was completed and provided by a qualified trainer.</w:t>
      </w:r>
    </w:p>
    <w:p>
      <w:pPr>
        <w:pStyle w:val="Normal"/>
        <w:pBdr>
          <w:bottom w:val="single" w:sz="4" w:space="1" w:color="2E5E45"/>
        </w:pBdr>
        <w:spacing w:before="160" w:after="80"/>
        <w:rPr/>
      </w:pPr>
      <w:r>
        <w:rPr>
          <w:rFonts w:eastAsia="Arial" w:cs="Arial"/>
          <w:b/>
          <w:bCs/>
          <w:color w:val="1A4731"/>
          <w:sz w:val="20"/>
          <w:szCs w:val="20"/>
        </w:rPr>
        <w:t>PROCEDURE — STAFF DEVELOPMENT PLAN</w:t>
      </w:r>
    </w:p>
    <w:p>
      <w:pPr>
        <w:pStyle w:val="Normal"/>
        <w:tabs>
          <w:tab w:val="left" w:pos="720" w:leader="none"/>
        </w:tabs>
        <w:spacing w:lineRule="exact" w:line="264" w:before="0" w:after="80"/>
        <w:ind w:hanging="360" w:start="720"/>
        <w:rPr/>
      </w:pPr>
      <w:r>
        <w:rPr>
          <w:rFonts w:eastAsia="Arial" w:cs="Arial"/>
          <w:sz w:val="21"/>
          <w:szCs w:val="21"/>
        </w:rPr>
        <w:t>a. Maintain a staff development plan, assign responsibility for implementation, and review it at least annually through quality assurance, signed and dated.</w:t>
      </w:r>
    </w:p>
    <w:p>
      <w:pPr>
        <w:pStyle w:val="Normal"/>
        <w:tabs>
          <w:tab w:val="left" w:pos="720" w:leader="none"/>
        </w:tabs>
        <w:spacing w:lineRule="exact" w:line="264" w:before="0" w:after="80"/>
        <w:ind w:hanging="360" w:start="720"/>
        <w:rPr/>
      </w:pPr>
      <w:r>
        <w:rPr>
          <w:rFonts w:eastAsia="Arial" w:cs="Arial"/>
          <w:sz w:val="21"/>
          <w:szCs w:val="21"/>
        </w:rPr>
        <w:t>b. Document all training with date, duration, topic, participants, and trainer, accessible for Department review.</w:t>
      </w:r>
    </w:p>
    <w:p>
      <w:pPr>
        <w:pStyle w:val="Normal"/>
        <w:tabs>
          <w:tab w:val="left" w:pos="720" w:leader="none"/>
        </w:tabs>
        <w:spacing w:lineRule="exact" w:line="264" w:before="0" w:after="80"/>
        <w:ind w:hanging="360" w:start="720"/>
        <w:rPr/>
      </w:pPr>
      <w:r>
        <w:rPr>
          <w:rFonts w:eastAsia="Arial" w:cs="Arial"/>
          <w:sz w:val="21"/>
          <w:szCs w:val="21"/>
        </w:rPr>
        <w:t>c. Credit qualifying pre-employment training only with documentation of completion and a qualified trainer.</w:t>
      </w:r>
    </w:p>
    <w:p>
      <w:pPr>
        <w:pStyle w:val="Normal"/>
        <w:pBdr>
          <w:bottom w:val="single" w:sz="4" w:space="1" w:color="2E5E45"/>
        </w:pBdr>
        <w:spacing w:before="160" w:after="80"/>
        <w:rPr/>
      </w:pPr>
      <w:r>
        <w:rPr>
          <w:rFonts w:eastAsia="Arial" w:cs="Arial"/>
          <w:b/>
          <w:bCs/>
          <w:color w:val="1A4731"/>
          <w:sz w:val="20"/>
          <w:szCs w:val="20"/>
        </w:rPr>
        <w:t>PROCEDURE — ORIENTATION &amp; REQUIRED TRAINING</w:t>
      </w:r>
    </w:p>
    <w:p>
      <w:pPr>
        <w:pStyle w:val="Normal"/>
        <w:tabs>
          <w:tab w:val="left" w:pos="720" w:leader="none"/>
        </w:tabs>
        <w:spacing w:lineRule="exact" w:line="264" w:before="0" w:after="80"/>
        <w:ind w:hanging="360" w:start="720"/>
        <w:rPr/>
      </w:pPr>
      <w:r>
        <w:rPr>
          <w:rFonts w:eastAsia="Arial" w:cs="Arial"/>
          <w:sz w:val="21"/>
          <w:szCs w:val="21"/>
        </w:rPr>
        <w:t>d. Complete new-staff orientation trainings within six months of hire.</w:t>
      </w:r>
    </w:p>
    <w:p>
      <w:pPr>
        <w:pStyle w:val="Normal"/>
        <w:tabs>
          <w:tab w:val="left" w:pos="720" w:leader="none"/>
        </w:tabs>
        <w:spacing w:lineRule="exact" w:line="264" w:before="0" w:after="80"/>
        <w:ind w:hanging="360" w:start="720"/>
        <w:rPr/>
      </w:pPr>
      <w:r>
        <w:rPr>
          <w:rFonts w:eastAsia="Arial" w:cs="Arial"/>
          <w:sz w:val="21"/>
          <w:szCs w:val="21"/>
        </w:rPr>
        <w:t>e. Provide 12 hours of competency-based SUD training within the first year to new clinical staff working 20+ hours per week, and 12 hours of prevention training to new prevention staff.</w:t>
      </w:r>
    </w:p>
    <w:p>
      <w:pPr>
        <w:pStyle w:val="Normal"/>
        <w:tabs>
          <w:tab w:val="left" w:pos="720" w:leader="none"/>
        </w:tabs>
        <w:spacing w:lineRule="exact" w:line="264" w:before="0" w:after="80"/>
        <w:ind w:hanging="360" w:start="720"/>
        <w:rPr/>
      </w:pPr>
      <w:r>
        <w:rPr>
          <w:rFonts w:eastAsia="Arial" w:cs="Arial"/>
          <w:sz w:val="21"/>
          <w:szCs w:val="21"/>
        </w:rPr>
        <w:t>f. Train direct care staff in verbal de-escalation and meet infection-control and HIV/AIDS education requirements, documenting all activities.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 Development Plan</w:t>
      </w:r>
    </w:p>
    <w:p>
      <w:pPr>
        <w:pStyle w:val="ListParagraph"/>
        <w:numPr>
          <w:ilvl w:val="0"/>
          <w:numId w:val="1"/>
        </w:numPr>
        <w:spacing w:lineRule="exact" w:line="264" w:before="0" w:after="60"/>
        <w:rPr/>
      </w:pPr>
      <w:r>
        <w:rPr>
          <w:rFonts w:eastAsia="Arial" w:cs="Arial"/>
          <w:sz w:val="21"/>
          <w:szCs w:val="21"/>
        </w:rPr>
        <w:t>Orientation Completion Record</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ListParagraph"/>
        <w:numPr>
          <w:ilvl w:val="0"/>
          <w:numId w:val="1"/>
        </w:numPr>
        <w:spacing w:lineRule="exact" w:line="264" w:before="0" w:after="60"/>
        <w:rPr/>
      </w:pPr>
      <w:r>
        <w:rPr>
          <w:rFonts w:eastAsia="Arial" w:cs="Arial"/>
          <w:sz w:val="21"/>
          <w:szCs w:val="21"/>
        </w:rPr>
        <w:t>Competency-Based Training Tracker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Staff Qualifications &amp; Scope of Practice; Counselors &amp; Qualified Professionals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Staff Qualifications &amp; Scope of Practice; Counselors &amp; Qualified Professionals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65D-30.0046(2)–(4); §§ 397.311(25), 397.311(26),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delivered by staff who are qualified and practicing within their scope, and that qualified professionals and counselors perform only the functions the rule and their credentials allow.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clinical staff, counselors, qualified professionals, and other staff who deliver or review services.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Qualified Professional — as defined in Section 397.311, F.S.: a physician licensed under Chapter 458 or 459; a professional licensed under Chapter 490 or 491; or a person certified through a DCF-recognized certification process for substance abuse treatment services who holds at least a bachelor’s degree.</w:t>
      </w:r>
    </w:p>
    <w:p>
      <w:pPr>
        <w:pStyle w:val="Normal"/>
        <w:spacing w:lineRule="exact" w:line="276" w:before="0" w:after="120"/>
        <w:rPr/>
      </w:pPr>
      <w:r>
        <w:rPr>
          <w:rFonts w:eastAsia="Arial" w:cs="Arial"/>
          <w:sz w:val="21"/>
          <w:szCs w:val="21"/>
        </w:rPr>
        <w:t>Counselor — a member of the clinical staff whose duties primarily consist of conducting and documenting services such as counseling, psycho-educational groups, and psychosocial assessment.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Staff provide services within the scope of their professional licensure, certification, or training and competence in applicable clinical protocols. Bachelor’s or master’s-degree-level clinical staff hold a degree from an accredited institution with a major in counseling, social work, psychology, nursing, rehabilitation, special education, health education, or a related human services field. Clinical staff who are not qualified professionals and who provide services specific to substance use disorders are limited to the tasks the rule allows unless otherwise specified. A qualified professional as defined in Section 397.311, F.S., is responsible for reviewing and signing, as reviewer, assessments and evaluations as the rule requires, and non-licensed substance abuse clinical staff work under the direct supervision the rule requires. Where the provider uses Florida Certification Board credentials (such as the CAC, CAP, or MCAP), those credentials are verified and maintained.</w:t>
      </w:r>
    </w:p>
    <w:p>
      <w:pPr>
        <w:pStyle w:val="Normal"/>
        <w:pBdr>
          <w:bottom w:val="single" w:sz="4" w:space="1" w:color="2E5E45"/>
        </w:pBdr>
        <w:spacing w:before="160" w:after="80"/>
        <w:rPr/>
      </w:pPr>
      <w:r>
        <w:rPr>
          <w:rFonts w:eastAsia="Arial" w:cs="Arial"/>
          <w:b/>
          <w:bCs/>
          <w:color w:val="1A4731"/>
          <w:sz w:val="20"/>
          <w:szCs w:val="20"/>
        </w:rPr>
        <w:t>PROCEDURE — QUALIFICATIONS &amp; SCOPE</w:t>
      </w:r>
    </w:p>
    <w:p>
      <w:pPr>
        <w:pStyle w:val="Normal"/>
        <w:tabs>
          <w:tab w:val="left" w:pos="720" w:leader="none"/>
        </w:tabs>
        <w:spacing w:lineRule="exact" w:line="264" w:before="0" w:after="80"/>
        <w:ind w:hanging="360" w:start="720"/>
        <w:rPr/>
      </w:pPr>
      <w:r>
        <w:rPr>
          <w:rFonts w:eastAsia="Arial" w:cs="Arial"/>
          <w:sz w:val="21"/>
          <w:szCs w:val="21"/>
        </w:rPr>
        <w:t>a. Verify each clinical staff member’s license, certification, or qualifying degree before the individual provides services, and document it in the personnel record.</w:t>
      </w:r>
    </w:p>
    <w:p>
      <w:pPr>
        <w:pStyle w:val="Normal"/>
        <w:tabs>
          <w:tab w:val="left" w:pos="720" w:leader="none"/>
        </w:tabs>
        <w:spacing w:lineRule="exact" w:line="264" w:before="0" w:after="80"/>
        <w:ind w:hanging="360" w:start="720"/>
        <w:rPr/>
      </w:pPr>
      <w:r>
        <w:rPr>
          <w:rFonts w:eastAsia="Arial" w:cs="Arial"/>
          <w:sz w:val="21"/>
          <w:szCs w:val="21"/>
        </w:rPr>
        <w:t>b. Assign duties within each individual’s scope of practice and limit non-qualified-professional clinical staff to the tasks the rule allows.</w:t>
      </w:r>
    </w:p>
    <w:p>
      <w:pPr>
        <w:pStyle w:val="Normal"/>
        <w:tabs>
          <w:tab w:val="left" w:pos="720" w:leader="none"/>
        </w:tabs>
        <w:spacing w:lineRule="exact" w:line="264" w:before="0" w:after="80"/>
        <w:ind w:hanging="360" w:start="720"/>
        <w:rPr/>
      </w:pPr>
      <w:r>
        <w:rPr>
          <w:rFonts w:eastAsia="Arial" w:cs="Arial"/>
          <w:sz w:val="21"/>
          <w:szCs w:val="21"/>
        </w:rPr>
        <w:t>c. Ensure a qualified professional reviews and signs assessments and evaluations as the rule requires.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Credential &amp; Scope-of-Practice Verification Record</w:t>
      </w:r>
    </w:p>
    <w:p>
      <w:pPr>
        <w:pStyle w:val="ListParagraph"/>
        <w:numPr>
          <w:ilvl w:val="0"/>
          <w:numId w:val="1"/>
        </w:numPr>
        <w:spacing w:lineRule="exact" w:line="264" w:before="0" w:after="60"/>
        <w:rPr/>
      </w:pPr>
      <w:r>
        <w:rPr>
          <w:rFonts w:eastAsia="Arial" w:cs="Arial"/>
          <w:sz w:val="21"/>
          <w:szCs w:val="21"/>
        </w:rPr>
        <w:t>Qualified Professional Designation &amp; Review Log</w:t>
      </w:r>
    </w:p>
    <w:p>
      <w:pPr>
        <w:pStyle w:val="ListParagraph"/>
        <w:numPr>
          <w:ilvl w:val="0"/>
          <w:numId w:val="1"/>
        </w:numPr>
        <w:spacing w:lineRule="exact" w:line="264" w:before="0" w:after="60"/>
        <w:rPr/>
      </w:pPr>
      <w:r>
        <w:rPr>
          <w:rFonts w:eastAsia="Arial" w:cs="Arial"/>
          <w:sz w:val="21"/>
          <w:szCs w:val="21"/>
        </w:rPr>
        <w:t>Counselor Credential Record (CAC / CAP / MCAP)</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Clinical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65D-30.0046; § 397.311,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clinical staff receive supervision appropriate to their credentials so that services are competent, safe,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clinical supervisor and to all clinical staff subject to supervision.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ensures that clinical staff working under supervision perform only services they are qualified to provide based on education, training, and scope, and that non-licensed substance abuse clinical staff work under the direct supervision the rule requires. The clinical supervisor collaborates with the medical director in the provision of substance use disorder services as the rule provides, and supervision is documented.</w:t>
      </w:r>
    </w:p>
    <w:p>
      <w:pPr>
        <w:pStyle w:val="Normal"/>
        <w:pBdr>
          <w:bottom w:val="single" w:sz="4" w:space="1" w:color="2E5E45"/>
        </w:pBdr>
        <w:spacing w:before="160" w:after="80"/>
        <w:rPr/>
      </w:pPr>
      <w:r>
        <w:rPr>
          <w:rFonts w:eastAsia="Arial" w:cs="Arial"/>
          <w:b/>
          <w:bCs/>
          <w:color w:val="1A4731"/>
          <w:sz w:val="20"/>
          <w:szCs w:val="20"/>
        </w:rPr>
        <w:t>PROCEDURE — PROVIDING &amp; DOCUMENTING SUPERVISION</w:t>
      </w:r>
    </w:p>
    <w:p>
      <w:pPr>
        <w:pStyle w:val="Normal"/>
        <w:tabs>
          <w:tab w:val="left" w:pos="720" w:leader="none"/>
        </w:tabs>
        <w:spacing w:lineRule="exact" w:line="264" w:before="0" w:after="80"/>
        <w:ind w:hanging="360" w:start="720"/>
        <w:rPr/>
      </w:pPr>
      <w:r>
        <w:rPr>
          <w:rFonts w:eastAsia="Arial" w:cs="Arial"/>
          <w:sz w:val="21"/>
          <w:szCs w:val="21"/>
        </w:rPr>
        <w:t>a. Assign a qualified clinical supervisor and define supervisory relationships for clinical staff.</w:t>
      </w:r>
    </w:p>
    <w:p>
      <w:pPr>
        <w:pStyle w:val="Normal"/>
        <w:tabs>
          <w:tab w:val="left" w:pos="720" w:leader="none"/>
        </w:tabs>
        <w:spacing w:lineRule="exact" w:line="264" w:before="0" w:after="80"/>
        <w:ind w:hanging="360" w:start="720"/>
        <w:rPr/>
      </w:pPr>
      <w:r>
        <w:rPr>
          <w:rFonts w:eastAsia="Arial" w:cs="Arial"/>
          <w:sz w:val="21"/>
          <w:szCs w:val="21"/>
        </w:rPr>
        <w:t>b. Ensure supervised staff provide only services within their qualifications and that non-licensed clinical staff receive required direct supervision.</w:t>
      </w:r>
    </w:p>
    <w:p>
      <w:pPr>
        <w:pStyle w:val="Normal"/>
        <w:tabs>
          <w:tab w:val="left" w:pos="720" w:leader="none"/>
        </w:tabs>
        <w:spacing w:lineRule="exact" w:line="264" w:before="0" w:after="80"/>
        <w:ind w:hanging="360" w:start="720"/>
        <w:rPr/>
      </w:pPr>
      <w:r>
        <w:rPr>
          <w:rFonts w:eastAsia="Arial" w:cs="Arial"/>
          <w:sz w:val="21"/>
          <w:szCs w:val="21"/>
        </w:rPr>
        <w:t>c. Document supervision and coordinate with the medical director for SUD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Clinical Supervision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Peer Specialists &amp; Recovery Support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Peer Specialists &amp; Recovery Support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65D-30.0046(5); § 397.417,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peer specialists are appropriately certified and screened and deliver recovery support within their defined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peer specialists who provide services specific to substance use disorder treatment and to their supervisors.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Peer specialists providing Department-funded peer support services are certified by a Department-recognized peer specialist credentialing organization, or otherwise meet the requirements the rule specifies, and are screened in accordance with Section 397.417, F.S. Peer specialists provide recovery support services within the scope the rule defines and under appropriate supervision, and their credentials and screening are documented in the personnel record.</w:t>
      </w:r>
    </w:p>
    <w:p>
      <w:pPr>
        <w:pStyle w:val="Normal"/>
        <w:pBdr>
          <w:bottom w:val="single" w:sz="4" w:space="1" w:color="2E5E45"/>
        </w:pBdr>
        <w:spacing w:before="160" w:after="80"/>
        <w:rPr/>
      </w:pPr>
      <w:r>
        <w:rPr>
          <w:rFonts w:eastAsia="Arial" w:cs="Arial"/>
          <w:b/>
          <w:bCs/>
          <w:color w:val="1A4731"/>
          <w:sz w:val="20"/>
          <w:szCs w:val="20"/>
        </w:rPr>
        <w:t>PROCEDURE — PEER SPECIALIST QUALIFICATION &amp; PRACTICE</w:t>
      </w:r>
    </w:p>
    <w:p>
      <w:pPr>
        <w:pStyle w:val="Normal"/>
        <w:tabs>
          <w:tab w:val="left" w:pos="720" w:leader="none"/>
        </w:tabs>
        <w:spacing w:lineRule="exact" w:line="264" w:before="0" w:after="80"/>
        <w:ind w:hanging="360" w:start="720"/>
        <w:rPr/>
      </w:pPr>
      <w:r>
        <w:rPr>
          <w:rFonts w:eastAsia="Arial" w:cs="Arial"/>
          <w:sz w:val="21"/>
          <w:szCs w:val="21"/>
        </w:rPr>
        <w:t>a. Verify peer specialist certification by a Department-recognized organization and screening under Section 397.417, F.S., before the individual provides services.</w:t>
      </w:r>
    </w:p>
    <w:p>
      <w:pPr>
        <w:pStyle w:val="Normal"/>
        <w:tabs>
          <w:tab w:val="left" w:pos="720" w:leader="none"/>
        </w:tabs>
        <w:spacing w:lineRule="exact" w:line="264" w:before="0" w:after="80"/>
        <w:ind w:hanging="360" w:start="720"/>
        <w:rPr/>
      </w:pPr>
      <w:r>
        <w:rPr>
          <w:rFonts w:eastAsia="Arial" w:cs="Arial"/>
          <w:sz w:val="21"/>
          <w:szCs w:val="21"/>
        </w:rPr>
        <w:t>b. Assign peer specialists to recovery support services within the defined scope and under appropriate supervision.</w:t>
      </w:r>
    </w:p>
    <w:p>
      <w:pPr>
        <w:pStyle w:val="Normal"/>
        <w:tabs>
          <w:tab w:val="left" w:pos="720" w:leader="none"/>
        </w:tabs>
        <w:spacing w:lineRule="exact" w:line="264" w:before="0" w:after="80"/>
        <w:ind w:hanging="360" w:start="720"/>
        <w:rPr/>
      </w:pPr>
      <w:r>
        <w:rPr>
          <w:rFonts w:eastAsia="Arial" w:cs="Arial"/>
          <w:sz w:val="21"/>
          <w:szCs w:val="21"/>
        </w:rPr>
        <w:t>c. Document credentials, screening, and supervision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Peer Specialist Certification &amp; Screening Record</w:t>
      </w:r>
    </w:p>
    <w:p>
      <w:pPr>
        <w:pStyle w:val="ListParagraph"/>
        <w:numPr>
          <w:ilvl w:val="0"/>
          <w:numId w:val="1"/>
        </w:numPr>
        <w:spacing w:lineRule="exact" w:line="264" w:before="0" w:after="60"/>
        <w:rPr/>
      </w:pPr>
      <w:r>
        <w:rPr>
          <w:rFonts w:eastAsia="Arial" w:cs="Arial"/>
          <w:sz w:val="21"/>
          <w:szCs w:val="21"/>
        </w:rPr>
        <w:t>Recovery Support Scope &amp; Supervision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Rights, Conduct &amp; Confidentiality</w:t>
      </w:r>
    </w:p>
    <w:p>
      <w:pPr>
        <w:pStyle w:val="Normal"/>
        <w:spacing w:lineRule="exact" w:line="288" w:before="0" w:after="240"/>
        <w:rPr/>
      </w:pPr>
      <w:r>
        <w:rPr>
          <w:rFonts w:eastAsia="Arial" w:cs="Arial"/>
          <w:color w:val="444444"/>
          <w:sz w:val="22"/>
          <w:szCs w:val="22"/>
        </w:rPr>
        <w:t>This section protects the people the provider serves — the rights of individuals receiving services; standards of conduct and the code of ethical conduct; confidentiality under 42 CFR Part 2 and Florida law; abuse, neglect and death reporting; and grievances and complaints.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Rights of Individuals Receiving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Standards of Conduct &amp; Code of Ethical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Confidentiality (42 CFR Part 2 &amp; Florida Law)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Reporting of Abuse, Neglect &amp; Deaths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Grievances &amp; Complaints</w:t>
      </w:r>
    </w:p>
    <w:p>
      <w:pPr>
        <w:pStyle w:val="Normal"/>
        <w:rPr/>
      </w:pPr>
      <w:r>
        <w:rPr/>
      </w:r>
      <w:r>
        <w:br w:type="page"/>
      </w:r>
    </w:p>
    <w:p>
      <w:pPr>
        <w:pStyle w:val="Heading2"/>
        <w:spacing w:before="0" w:after="120"/>
        <w:rPr/>
      </w:pPr>
      <w:r>
        <w:rPr>
          <w:rFonts w:eastAsia="Arial" w:cs="Arial" w:ascii="Arial" w:hAnsi="Arial"/>
          <w:b/>
          <w:bCs/>
          <w:color w:val="1A4731"/>
          <w:sz w:val="26"/>
          <w:szCs w:val="26"/>
        </w:rPr>
        <w:t>3.00  Rights of Individuals Receiving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Rights of Individuals Receiving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Rights, Conduct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65D-30.0045; §§ 397.501,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protect, and inform every individual of the rights guaranteed under Chapter 65D-30, F.A.C., and Section 397.501, F.S.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individual receiving services and to all staff, volunteers, and contractors.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protects the rights of individuals receiving services as required by Rule 65D-30.0045, F.A.C., and Section 397.501, F.S., including the right to individual dignity; the right to nondiscriminatory services; the right to quality services; the right to communication and to be informed; the right to counsel and to habeas corpus where applicable; the right to consent to or refuse treatment except as otherwise provided by law; and the right to confidentiality of records. Individuals are informed of their rights, and a copy of the rights is provided and explained in a manner the individual can understand, including for individuals who do not speak English or who have a disability.</w:t>
      </w:r>
    </w:p>
    <w:p>
      <w:pPr>
        <w:pStyle w:val="Normal"/>
        <w:spacing w:lineRule="exact" w:line="276" w:before="0" w:after="120"/>
        <w:rPr/>
      </w:pPr>
      <w:r>
        <w:rPr>
          <w:rFonts w:eastAsia="Arial" w:cs="Arial"/>
          <w:sz w:val="21"/>
          <w:szCs w:val="21"/>
        </w:rPr>
        <w:t>The provider informs individuals of the grievance process and the right to file a complaint with the provider and with the Department without retaliation, and honors an individual’s right to participate in decisions concerning treatment. Rights are posted and provided at admission consistent with the provider’s operating procedures.</w:t>
      </w:r>
    </w:p>
    <w:p>
      <w:pPr>
        <w:pStyle w:val="Normal"/>
        <w:pBdr>
          <w:bottom w:val="single" w:sz="4" w:space="1" w:color="2E5E45"/>
        </w:pBdr>
        <w:spacing w:before="160" w:after="80"/>
        <w:rPr/>
      </w:pPr>
      <w:r>
        <w:rPr>
          <w:rFonts w:eastAsia="Arial" w:cs="Arial"/>
          <w:b/>
          <w:bCs/>
          <w:color w:val="1A4731"/>
          <w:sz w:val="20"/>
          <w:szCs w:val="20"/>
        </w:rPr>
        <w:t>PROCEDURE — INFORMING &amp; HONORING RIGHTS</w:t>
      </w:r>
    </w:p>
    <w:p>
      <w:pPr>
        <w:pStyle w:val="Normal"/>
        <w:tabs>
          <w:tab w:val="left" w:pos="720" w:leader="none"/>
        </w:tabs>
        <w:spacing w:lineRule="exact" w:line="264" w:before="0" w:after="80"/>
        <w:ind w:hanging="360" w:start="720"/>
        <w:rPr/>
      </w:pPr>
      <w:r>
        <w:rPr>
          <w:rFonts w:eastAsia="Arial" w:cs="Arial"/>
          <w:sz w:val="21"/>
          <w:szCs w:val="21"/>
        </w:rPr>
        <w:t>a. Provide and explain the rights of individuals at admission in a manner the individual can understand, and post them as required.</w:t>
      </w:r>
    </w:p>
    <w:p>
      <w:pPr>
        <w:pStyle w:val="Normal"/>
        <w:tabs>
          <w:tab w:val="left" w:pos="720" w:leader="none"/>
        </w:tabs>
        <w:spacing w:lineRule="exact" w:line="264" w:before="0" w:after="80"/>
        <w:ind w:hanging="360" w:start="720"/>
        <w:rPr/>
      </w:pPr>
      <w:r>
        <w:rPr>
          <w:rFonts w:eastAsia="Arial" w:cs="Arial"/>
          <w:sz w:val="21"/>
          <w:szCs w:val="21"/>
        </w:rPr>
        <w:t>b. Inform each individual of the grievance and complaint process, including the right to complain to the Department without retaliation.</w:t>
      </w:r>
    </w:p>
    <w:p>
      <w:pPr>
        <w:pStyle w:val="Normal"/>
        <w:tabs>
          <w:tab w:val="left" w:pos="720" w:leader="none"/>
        </w:tabs>
        <w:spacing w:lineRule="exact" w:line="264" w:before="0" w:after="80"/>
        <w:ind w:hanging="360" w:start="720"/>
        <w:rPr/>
      </w:pPr>
      <w:r>
        <w:rPr>
          <w:rFonts w:eastAsia="Arial" w:cs="Arial"/>
          <w:sz w:val="21"/>
          <w:szCs w:val="21"/>
        </w:rPr>
        <w:t>c. Honor individuals’ rights to dignity, nondiscrimination, quality services, communication, consent, participation in treatment, and confidentiality.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Rights of Individuals Poster</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Rights Explanation &amp; Language-Access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Standards of Conduct &amp; Code of Ethical Conduct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Standards of Conduct &amp; Code of Ethical Conduct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Rights, Conduct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65D-30.004(5), 65D-30.004(4)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written rules of conduct for individuals receiving services and a code of ethical conduct for staff and volunteers that protects individuals from harm and exploitation.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individuals receiving services and to all employees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establishes written rules of conduct for individuals, and each individual receiving services is given the rules of conduct during orientation to be reviewed, signed, and dated. The provider’s code of ethical conduct prohibits employees and volunteers from engaging in sexual activity with individuals receiving services for a minimum of two years after the last professional contact, and addresses professional boundaries, conflicts of interest, and ethical obligations. Food is never withheld for disciplinary reasons.</w:t>
      </w:r>
    </w:p>
    <w:p>
      <w:pPr>
        <w:pStyle w:val="Normal"/>
        <w:pBdr>
          <w:bottom w:val="single" w:sz="4" w:space="1" w:color="2E5E45"/>
        </w:pBdr>
        <w:spacing w:before="160" w:after="80"/>
        <w:rPr/>
      </w:pPr>
      <w:r>
        <w:rPr>
          <w:rFonts w:eastAsia="Arial" w:cs="Arial"/>
          <w:b/>
          <w:bCs/>
          <w:color w:val="1A4731"/>
          <w:sz w:val="20"/>
          <w:szCs w:val="20"/>
        </w:rPr>
        <w:t>PROCEDURE — RULES OF CONDUCT &amp; ETHICS</w:t>
      </w:r>
    </w:p>
    <w:p>
      <w:pPr>
        <w:pStyle w:val="Normal"/>
        <w:tabs>
          <w:tab w:val="left" w:pos="720" w:leader="none"/>
        </w:tabs>
        <w:spacing w:lineRule="exact" w:line="264" w:before="0" w:after="80"/>
        <w:ind w:hanging="360" w:start="720"/>
        <w:rPr/>
      </w:pPr>
      <w:r>
        <w:rPr>
          <w:rFonts w:eastAsia="Arial" w:cs="Arial"/>
          <w:sz w:val="21"/>
          <w:szCs w:val="21"/>
        </w:rPr>
        <w:t>a. Provide written rules of conduct to each individual at orientation and obtain a signed, dated acknowledgment.</w:t>
      </w:r>
    </w:p>
    <w:p>
      <w:pPr>
        <w:pStyle w:val="Normal"/>
        <w:tabs>
          <w:tab w:val="left" w:pos="720" w:leader="none"/>
        </w:tabs>
        <w:spacing w:lineRule="exact" w:line="264" w:before="0" w:after="80"/>
        <w:ind w:hanging="360" w:start="720"/>
        <w:rPr/>
      </w:pPr>
      <w:r>
        <w:rPr>
          <w:rFonts w:eastAsia="Arial" w:cs="Arial"/>
          <w:sz w:val="21"/>
          <w:szCs w:val="21"/>
        </w:rPr>
        <w:t>b. Train staff and volunteers on the code of ethical conduct, including the two-year prohibition and professional boundaries.</w:t>
      </w:r>
    </w:p>
    <w:p>
      <w:pPr>
        <w:pStyle w:val="Normal"/>
        <w:tabs>
          <w:tab w:val="left" w:pos="720" w:leader="none"/>
        </w:tabs>
        <w:spacing w:lineRule="exact" w:line="264" w:before="0" w:after="80"/>
        <w:ind w:hanging="360" w:start="720"/>
        <w:rPr/>
      </w:pPr>
      <w:r>
        <w:rPr>
          <w:rFonts w:eastAsia="Arial" w:cs="Arial"/>
          <w:sz w:val="21"/>
          <w:szCs w:val="21"/>
        </w:rPr>
        <w:t>c. Address violations through investigation and corrective or disciplinary action, and never withhold food for discipline.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Rules of Conduct for Individuals &amp; Acknowledgment</w:t>
      </w:r>
    </w:p>
    <w:p>
      <w:pPr>
        <w:pStyle w:val="ListParagraph"/>
        <w:numPr>
          <w:ilvl w:val="0"/>
          <w:numId w:val="1"/>
        </w:numPr>
        <w:spacing w:lineRule="exact" w:line="264" w:before="0" w:after="60"/>
        <w:rPr/>
      </w:pPr>
      <w:r>
        <w:rPr>
          <w:rFonts w:eastAsia="Arial" w:cs="Arial"/>
          <w:sz w:val="21"/>
          <w:szCs w:val="21"/>
        </w:rPr>
        <w:t>Code of Ethical Conduct &amp; Staff Acknowledgment</w:t>
      </w:r>
    </w:p>
    <w:p>
      <w:pPr>
        <w:pStyle w:val="ListParagraph"/>
        <w:numPr>
          <w:ilvl w:val="0"/>
          <w:numId w:val="1"/>
        </w:numPr>
        <w:spacing w:lineRule="exact" w:line="264" w:before="0" w:after="60"/>
        <w:rPr/>
      </w:pPr>
      <w:r>
        <w:rPr>
          <w:rFonts w:eastAsia="Arial" w:cs="Arial"/>
          <w:sz w:val="21"/>
          <w:szCs w:val="21"/>
        </w:rPr>
        <w:t>Boundary / Ethics Violation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Confidentiality (42 CFR Part 2 &amp; Florida Law)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Confidentiality (42 CFR Part 2 &amp; Florida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Rights, Conduct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65D-30.004(18); 42 CFR Part 2; §§ 397.501(7), 397.752, F.S.; 45 CFR Parts 160, 164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substance use disorder patient records under the strict federal rule at 42 CFR Part 2, HIPAA, and Florida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individual records in any form and to every person who creates, uses, or discloses them.</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 the federal regulation (“Confidentiality of Substance Use Disorder Patient Records”) providing heightened protection for records identifying a person as having a substance use disorder in a federally assisted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complies with 42 CFR Part 2, “Confidentiality of Substance Use Disorder Patient Records,” and with Sections 397.501(7) and 397.752, Florida Statutes, regarding confidential individual information, and protects PHI under HIPAA. Except as permitted by law, disclosure of a record requires the individual’s specific written consent, and re-disclosure is limited. The provider maintains a notice of privacy practices, applies minimum-necessary and safeguarding standards, and secures records against unauthorized access.</w:t>
      </w:r>
    </w:p>
    <w:p>
      <w:pPr>
        <w:pStyle w:val="Normal"/>
        <w:spacing w:lineRule="exact" w:line="276" w:before="0" w:after="120"/>
        <w:rPr/>
      </w:pPr>
      <w:r>
        <w:rPr>
          <w:rFonts w:eastAsia="Arial" w:cs="Arial"/>
          <w:sz w:val="21"/>
          <w:szCs w:val="21"/>
        </w:rPr>
        <w:t>Because SUD treatment records are among the most strictly protected records in health care, the provider trains staff on 42 CFR Part 2 and the interaction with HIPAA and Florida law, obtains Part 2-compliant consents, and executes qualified service organization agreements where appropriate.</w:t>
      </w:r>
    </w:p>
    <w:p>
      <w:pPr>
        <w:pStyle w:val="Normal"/>
        <w:pBdr>
          <w:bottom w:val="single" w:sz="4" w:space="1" w:color="2E5E45"/>
        </w:pBdr>
        <w:spacing w:before="160" w:after="80"/>
        <w:rPr/>
      </w:pPr>
      <w:r>
        <w:rPr>
          <w:rFonts w:eastAsia="Arial" w:cs="Arial"/>
          <w:b/>
          <w:bCs/>
          <w:color w:val="1A4731"/>
          <w:sz w:val="20"/>
          <w:szCs w:val="20"/>
        </w:rPr>
        <w:t>PROCEDURE — CONSENT &amp; DISCLOSURE</w:t>
      </w:r>
    </w:p>
    <w:p>
      <w:pPr>
        <w:pStyle w:val="Normal"/>
        <w:tabs>
          <w:tab w:val="left" w:pos="720" w:leader="none"/>
        </w:tabs>
        <w:spacing w:lineRule="exact" w:line="264" w:before="0" w:after="80"/>
        <w:ind w:hanging="360" w:start="720"/>
        <w:rPr/>
      </w:pPr>
      <w:r>
        <w:rPr>
          <w:rFonts w:eastAsia="Arial" w:cs="Arial"/>
          <w:sz w:val="21"/>
          <w:szCs w:val="21"/>
        </w:rPr>
        <w:t>a. Obtain 42 CFR Part 2-compliant written consent before disclosing a record, except as permitted by law, and honor re-disclosure limits.</w:t>
      </w:r>
    </w:p>
    <w:p>
      <w:pPr>
        <w:pStyle w:val="Normal"/>
        <w:tabs>
          <w:tab w:val="left" w:pos="720" w:leader="none"/>
        </w:tabs>
        <w:spacing w:lineRule="exact" w:line="264" w:before="0" w:after="80"/>
        <w:ind w:hanging="360" w:start="720"/>
        <w:rPr/>
      </w:pPr>
      <w:r>
        <w:rPr>
          <w:rFonts w:eastAsia="Arial" w:cs="Arial"/>
          <w:sz w:val="21"/>
          <w:szCs w:val="21"/>
        </w:rPr>
        <w:t>b. Disclose without consent only as Part 2 and Florida law permit and document the legal basis.</w:t>
      </w:r>
    </w:p>
    <w:p>
      <w:pPr>
        <w:pStyle w:val="Normal"/>
        <w:tabs>
          <w:tab w:val="left" w:pos="720" w:leader="none"/>
        </w:tabs>
        <w:spacing w:lineRule="exact" w:line="264" w:before="0" w:after="80"/>
        <w:ind w:hanging="360" w:start="720"/>
        <w:rPr/>
      </w:pPr>
      <w:r>
        <w:rPr>
          <w:rFonts w:eastAsia="Arial" w:cs="Arial"/>
          <w:sz w:val="21"/>
          <w:szCs w:val="21"/>
        </w:rPr>
        <w:t>c. Execute qualified service organization agreements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SAFEGUARDS &amp; TRAINING</w:t>
      </w:r>
    </w:p>
    <w:p>
      <w:pPr>
        <w:pStyle w:val="Normal"/>
        <w:tabs>
          <w:tab w:val="left" w:pos="720" w:leader="none"/>
        </w:tabs>
        <w:spacing w:lineRule="exact" w:line="264" w:before="0" w:after="80"/>
        <w:ind w:hanging="360" w:start="720"/>
        <w:rPr/>
      </w:pPr>
      <w:r>
        <w:rPr>
          <w:rFonts w:eastAsia="Arial" w:cs="Arial"/>
          <w:sz w:val="21"/>
          <w:szCs w:val="21"/>
        </w:rPr>
        <w:t>d. Maintain a notice of privacy practices and apply minimum-necessary and safeguarding standards, storing records securely.</w:t>
      </w:r>
    </w:p>
    <w:p>
      <w:pPr>
        <w:pStyle w:val="Normal"/>
        <w:tabs>
          <w:tab w:val="left" w:pos="720" w:leader="none"/>
        </w:tabs>
        <w:spacing w:lineRule="exact" w:line="264" w:before="0" w:after="80"/>
        <w:ind w:hanging="360" w:start="720"/>
        <w:rPr/>
      </w:pPr>
      <w:r>
        <w:rPr>
          <w:rFonts w:eastAsia="Arial" w:cs="Arial"/>
          <w:sz w:val="21"/>
          <w:szCs w:val="21"/>
        </w:rPr>
        <w:t>e. Train staff on 42 CFR Part 2, HIPAA, and Florida confidentiality law and on how they interact.</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Reporting of Abuse, Neglect &amp; Deaths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Reporting of Abuse, Neglect &amp; Deaths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Rights, Conduct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65D-30.004(16); Ch. 39, F.S.; §§ 415.1034, 415.1051,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abuse, neglect, and deaths are reported as Florida law requires, protecting individuals receiving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volunteers, and contractors and protects every individual receiving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adheres to the statutory requirements for reporting abuse, neglect, and deaths of children under Chapter 39, F.S., and of vulnerable adults under Sections 415.1034 and 415.1051, F.S. Staff are mandatory reporters, report suspected abuse, neglect, or exploitation to the Florida Abuse Hotline as required, and cooperate with investigations. Deaths are reported as required, including through the critical-incident process, and documentation is maintained.</w:t>
      </w:r>
    </w:p>
    <w:p>
      <w:pPr>
        <w:pStyle w:val="Normal"/>
        <w:pBdr>
          <w:bottom w:val="single" w:sz="4" w:space="1" w:color="2E5E45"/>
        </w:pBdr>
        <w:spacing w:before="160" w:after="80"/>
        <w:rPr/>
      </w:pPr>
      <w:r>
        <w:rPr>
          <w:rFonts w:eastAsia="Arial" w:cs="Arial"/>
          <w:b/>
          <w:bCs/>
          <w:color w:val="1A4731"/>
          <w:sz w:val="20"/>
          <w:szCs w:val="20"/>
        </w:rPr>
        <w:t>PROCEDURE — REPORTING &amp; DOCUMENTATION</w:t>
      </w:r>
    </w:p>
    <w:p>
      <w:pPr>
        <w:pStyle w:val="Normal"/>
        <w:tabs>
          <w:tab w:val="left" w:pos="720" w:leader="none"/>
        </w:tabs>
        <w:spacing w:lineRule="exact" w:line="264" w:before="0" w:after="80"/>
        <w:ind w:hanging="360" w:start="720"/>
        <w:rPr/>
      </w:pPr>
      <w:r>
        <w:rPr>
          <w:rFonts w:eastAsia="Arial" w:cs="Arial"/>
          <w:sz w:val="21"/>
          <w:szCs w:val="21"/>
        </w:rPr>
        <w:t>a. Report suspected abuse, neglect, or exploitation of a child under Chapter 39, F.S., and of a vulnerable adult under Sections 415.1034 and 415.1051, F.S., to the Florida Abuse Hotline.</w:t>
      </w:r>
    </w:p>
    <w:p>
      <w:pPr>
        <w:pStyle w:val="Normal"/>
        <w:tabs>
          <w:tab w:val="left" w:pos="720" w:leader="none"/>
        </w:tabs>
        <w:spacing w:lineRule="exact" w:line="264" w:before="0" w:after="80"/>
        <w:ind w:hanging="360" w:start="720"/>
        <w:rPr/>
      </w:pPr>
      <w:r>
        <w:rPr>
          <w:rFonts w:eastAsia="Arial" w:cs="Arial"/>
          <w:sz w:val="21"/>
          <w:szCs w:val="21"/>
        </w:rPr>
        <w:t>b. Report deaths as required, including through the critical-incident reporting process.</w:t>
      </w:r>
    </w:p>
    <w:p>
      <w:pPr>
        <w:pStyle w:val="Normal"/>
        <w:tabs>
          <w:tab w:val="left" w:pos="720" w:leader="none"/>
        </w:tabs>
        <w:spacing w:lineRule="exact" w:line="264" w:before="0" w:after="80"/>
        <w:ind w:hanging="360" w:start="720"/>
        <w:rPr/>
      </w:pPr>
      <w:r>
        <w:rPr>
          <w:rFonts w:eastAsia="Arial" w:cs="Arial"/>
          <w:sz w:val="21"/>
          <w:szCs w:val="21"/>
        </w:rPr>
        <w:t>c. Document reports and cooperate with investigations, and train all staff on mandatory-reporting duties.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Mandatory-Reporter Acknowledgment</w:t>
      </w:r>
    </w:p>
    <w:p>
      <w:pPr>
        <w:pStyle w:val="ListParagraph"/>
        <w:numPr>
          <w:ilvl w:val="0"/>
          <w:numId w:val="1"/>
        </w:numPr>
        <w:spacing w:lineRule="exact" w:line="264" w:before="0" w:after="60"/>
        <w:rPr/>
      </w:pPr>
      <w:r>
        <w:rPr>
          <w:rFonts w:eastAsia="Arial" w:cs="Arial"/>
          <w:sz w:val="21"/>
          <w:szCs w:val="21"/>
        </w:rPr>
        <w:t>Death Reporting Record (cross-ref 6.01)</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Grievances &amp; Complaints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Grievances &amp; Complaints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Rights, Conduct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65D-30.0045, 65D-30.004(4); § 397.501,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give individuals and employees a clear, retaliation-free process to raise grievances and complaints and to ensure the provider responds and improves.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grievances and complaints from individuals receiving services and to employee grievances.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grievance and complaint process for individuals receiving services, informs individuals of the process and of the right to complain to the Department without retaliation, and maintains an employee grievance process in its personnel policies. Complaints are acknowledged, investigated as appropriate, and resolved within the provider’s stated timeframes, and complaint data is reviewed through the quality improvement program.</w:t>
      </w:r>
    </w:p>
    <w:p>
      <w:pPr>
        <w:pStyle w:val="Normal"/>
        <w:pBdr>
          <w:bottom w:val="single" w:sz="4" w:space="1" w:color="2E5E45"/>
        </w:pBdr>
        <w:spacing w:before="160" w:after="80"/>
        <w:rPr/>
      </w:pPr>
      <w:r>
        <w:rPr>
          <w:rFonts w:eastAsia="Arial" w:cs="Arial"/>
          <w:b/>
          <w:bCs/>
          <w:color w:val="1A4731"/>
          <w:sz w:val="20"/>
          <w:szCs w:val="20"/>
        </w:rPr>
        <w:t>PROCEDURE — FILING &amp; RESPONDING</w:t>
      </w:r>
    </w:p>
    <w:p>
      <w:pPr>
        <w:pStyle w:val="Normal"/>
        <w:tabs>
          <w:tab w:val="left" w:pos="720" w:leader="none"/>
        </w:tabs>
        <w:spacing w:lineRule="exact" w:line="264" w:before="0" w:after="80"/>
        <w:ind w:hanging="360" w:start="720"/>
        <w:rPr/>
      </w:pPr>
      <w:r>
        <w:rPr>
          <w:rFonts w:eastAsia="Arial" w:cs="Arial"/>
          <w:sz w:val="21"/>
          <w:szCs w:val="21"/>
        </w:rPr>
        <w:t>a. Inform each individual how to file a grievance internally and a complaint with the Department, without retaliation.</w:t>
      </w:r>
    </w:p>
    <w:p>
      <w:pPr>
        <w:pStyle w:val="Normal"/>
        <w:tabs>
          <w:tab w:val="left" w:pos="720" w:leader="none"/>
        </w:tabs>
        <w:spacing w:lineRule="exact" w:line="264" w:before="0" w:after="80"/>
        <w:ind w:hanging="360" w:start="720"/>
        <w:rPr/>
      </w:pPr>
      <w:r>
        <w:rPr>
          <w:rFonts w:eastAsia="Arial" w:cs="Arial"/>
          <w:sz w:val="21"/>
          <w:szCs w:val="21"/>
        </w:rPr>
        <w:t>b. Acknowledge, investigate, and resolve grievances and complaints within stated timeframes and document them.</w:t>
      </w:r>
    </w:p>
    <w:p>
      <w:pPr>
        <w:pStyle w:val="Normal"/>
        <w:tabs>
          <w:tab w:val="left" w:pos="720" w:leader="none"/>
        </w:tabs>
        <w:spacing w:lineRule="exact" w:line="264" w:before="0" w:after="80"/>
        <w:ind w:hanging="360" w:start="720"/>
        <w:rPr/>
      </w:pPr>
      <w:r>
        <w:rPr>
          <w:rFonts w:eastAsia="Arial" w:cs="Arial"/>
          <w:sz w:val="21"/>
          <w:szCs w:val="21"/>
        </w:rPr>
        <w:t>c. Analyze grievance and complaint data through quality improvement to identify and correct systemic issues.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 Grievance Form</w:t>
      </w:r>
    </w:p>
    <w:p>
      <w:pPr>
        <w:pStyle w:val="ListParagraph"/>
        <w:numPr>
          <w:ilvl w:val="0"/>
          <w:numId w:val="1"/>
        </w:numPr>
        <w:spacing w:lineRule="exact" w:line="264" w:before="0" w:after="60"/>
        <w:rPr/>
      </w:pPr>
      <w:r>
        <w:rPr>
          <w:rFonts w:eastAsia="Arial" w:cs="Arial"/>
          <w:sz w:val="21"/>
          <w:szCs w:val="21"/>
        </w:rPr>
        <w:t>Grievance Response &amp; Resolution Log</w:t>
      </w:r>
    </w:p>
    <w:p>
      <w:pPr>
        <w:pStyle w:val="ListParagraph"/>
        <w:numPr>
          <w:ilvl w:val="0"/>
          <w:numId w:val="1"/>
        </w:numPr>
        <w:spacing w:lineRule="exact" w:line="264" w:before="0" w:after="60"/>
        <w:rPr/>
      </w:pPr>
      <w:r>
        <w:rPr>
          <w:rFonts w:eastAsia="Arial" w:cs="Arial"/>
          <w:sz w:val="21"/>
          <w:szCs w:val="21"/>
        </w:rPr>
        <w:t>Employee Grievance Form</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Clinical Process</w:t>
      </w:r>
    </w:p>
    <w:p>
      <w:pPr>
        <w:pStyle w:val="Normal"/>
        <w:spacing w:lineRule="exact" w:line="288" w:before="0" w:after="240"/>
        <w:rPr/>
      </w:pPr>
      <w:r>
        <w:rPr>
          <w:rFonts w:eastAsia="Arial" w:cs="Arial"/>
          <w:color w:val="444444"/>
          <w:sz w:val="22"/>
          <w:szCs w:val="22"/>
        </w:rPr>
        <w:t>This section covers the clinical process common to all components — screening, admission and placement (including Marchman Act involuntary admissions); clinical and medical guidelines for assessment; treatment planning, progress notes and summaries; clinical records; counseling and group services; and discharge, transfer and aftercare planning.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Screening, Admission &amp; Placement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Clinical &amp; Medical Guidelines: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Treatment Planning, Progress Notes &amp; Summaries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Clinical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Counseling &amp; Group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Transfer &amp; Aftercare Planning</w:t>
      </w:r>
    </w:p>
    <w:p>
      <w:pPr>
        <w:pStyle w:val="Normal"/>
        <w:rPr/>
      </w:pPr>
      <w:r>
        <w:rPr/>
      </w:r>
      <w:r>
        <w:br w:type="page"/>
      </w:r>
    </w:p>
    <w:p>
      <w:pPr>
        <w:pStyle w:val="Heading2"/>
        <w:spacing w:before="0" w:after="120"/>
        <w:rPr/>
      </w:pPr>
      <w:r>
        <w:rPr>
          <w:rFonts w:eastAsia="Arial" w:cs="Arial" w:ascii="Arial" w:hAnsi="Arial"/>
          <w:b/>
          <w:bCs/>
          <w:color w:val="1A4731"/>
          <w:sz w:val="26"/>
          <w:szCs w:val="26"/>
        </w:rPr>
        <w:t>4.00  Screening, Admission &amp; Placement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Screening, Admission &amp; Placement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65D-30.0043, 65D-30.0042; §§ 397.601, 397.675,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are screened, admitted, and placed in the appropriate service component based on assessed need and the provider’s placement criteria.</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admissions and placements and to the clinical staff who perform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screens and admits individuals and determines placement in accordance with Rule 65D-30.0043, F.A.C., and the clinical and medical guidelines in Rule 65D-30.0042, F.A.C., placing each individual in the service component that matches assessed need. Placement decisions consider severity, level-of-care criteria, and, where applicable, ASAM-informed criteria and payer medical-necessity standards. The provider admits only individuals whose needs match a component it is licensed to deliver, and refers individuals whose needs it cannot meet. Voluntary and, where applicable, involuntary admissions (including under the Marchman Act, Chapter 397, Part V, F.S.) follow the statutory process, and the basis for admission and placement is documented in the clinical record.</w:t>
      </w:r>
    </w:p>
    <w:p>
      <w:pPr>
        <w:pStyle w:val="Normal"/>
        <w:spacing w:lineRule="exact" w:line="276" w:before="0" w:after="120"/>
        <w:rPr/>
      </w:pPr>
      <w:r>
        <w:rPr>
          <w:rFonts w:eastAsia="Arial" w:cs="Arial"/>
          <w:sz w:val="21"/>
          <w:szCs w:val="21"/>
        </w:rPr>
        <w:t>A voluntary license is not authorization to provide involuntary services; the provider provides involuntary assessment, stabilization, or treatment only where authorized and follows the applicable statutory procedures and any court order.</w:t>
      </w:r>
    </w:p>
    <w:p>
      <w:pPr>
        <w:pStyle w:val="Normal"/>
        <w:pBdr>
          <w:bottom w:val="single" w:sz="4" w:space="1" w:color="2E5E45"/>
        </w:pBdr>
        <w:spacing w:before="160" w:after="80"/>
        <w:rPr/>
      </w:pPr>
      <w:r>
        <w:rPr>
          <w:rFonts w:eastAsia="Arial" w:cs="Arial"/>
          <w:b/>
          <w:bCs/>
          <w:color w:val="1A4731"/>
          <w:sz w:val="20"/>
          <w:szCs w:val="20"/>
        </w:rPr>
        <w:t>PROCEDURE — SCREENING &amp; ADMISSION</w:t>
      </w:r>
    </w:p>
    <w:p>
      <w:pPr>
        <w:pStyle w:val="Normal"/>
        <w:tabs>
          <w:tab w:val="left" w:pos="720" w:leader="none"/>
        </w:tabs>
        <w:spacing w:lineRule="exact" w:line="264" w:before="0" w:after="80"/>
        <w:ind w:hanging="360" w:start="720"/>
        <w:rPr/>
      </w:pPr>
      <w:r>
        <w:rPr>
          <w:rFonts w:eastAsia="Arial" w:cs="Arial"/>
          <w:sz w:val="21"/>
          <w:szCs w:val="21"/>
        </w:rPr>
        <w:t>a. Screen each individual and determine whether the individual’s needs match a component the provider is licensed to deliver.</w:t>
      </w:r>
    </w:p>
    <w:p>
      <w:pPr>
        <w:pStyle w:val="Normal"/>
        <w:tabs>
          <w:tab w:val="left" w:pos="720" w:leader="none"/>
        </w:tabs>
        <w:spacing w:lineRule="exact" w:line="264" w:before="0" w:after="80"/>
        <w:ind w:hanging="360" w:start="720"/>
        <w:rPr/>
      </w:pPr>
      <w:r>
        <w:rPr>
          <w:rFonts w:eastAsia="Arial" w:cs="Arial"/>
          <w:sz w:val="21"/>
          <w:szCs w:val="21"/>
        </w:rPr>
        <w:t>b. Admit appropriate individuals and refer those whose needs the provider cannot meet, documenting the referral.</w:t>
      </w:r>
    </w:p>
    <w:p>
      <w:pPr>
        <w:pStyle w:val="Normal"/>
        <w:tabs>
          <w:tab w:val="left" w:pos="720" w:leader="none"/>
        </w:tabs>
        <w:spacing w:lineRule="exact" w:line="264" w:before="0" w:after="80"/>
        <w:ind w:hanging="360" w:start="720"/>
        <w:rPr/>
      </w:pPr>
      <w:r>
        <w:rPr>
          <w:rFonts w:eastAsia="Arial" w:cs="Arial"/>
          <w:sz w:val="21"/>
          <w:szCs w:val="21"/>
        </w:rPr>
        <w:t>c. For involuntary admissions, follow the applicable Chapter 397 procedures and any court order, and provide involuntary services only where authorized.</w:t>
      </w:r>
    </w:p>
    <w:p>
      <w:pPr>
        <w:pStyle w:val="Normal"/>
        <w:pBdr>
          <w:bottom w:val="single" w:sz="4" w:space="1" w:color="2E5E45"/>
        </w:pBdr>
        <w:spacing w:before="160" w:after="80"/>
        <w:rPr/>
      </w:pPr>
      <w:r>
        <w:rPr>
          <w:rFonts w:eastAsia="Arial" w:cs="Arial"/>
          <w:b/>
          <w:bCs/>
          <w:color w:val="1A4731"/>
          <w:sz w:val="20"/>
          <w:szCs w:val="20"/>
        </w:rPr>
        <w:t>PROCEDURE — PLACEMENT</w:t>
      </w:r>
    </w:p>
    <w:p>
      <w:pPr>
        <w:pStyle w:val="Normal"/>
        <w:tabs>
          <w:tab w:val="left" w:pos="720" w:leader="none"/>
        </w:tabs>
        <w:spacing w:lineRule="exact" w:line="264" w:before="0" w:after="80"/>
        <w:ind w:hanging="360" w:start="720"/>
        <w:rPr/>
      </w:pPr>
      <w:r>
        <w:rPr>
          <w:rFonts w:eastAsia="Arial" w:cs="Arial"/>
          <w:sz w:val="21"/>
          <w:szCs w:val="21"/>
        </w:rPr>
        <w:t>d. Determine placement in the appropriate component using the provider’s placement criteria and clinical and medical guidelines.</w:t>
      </w:r>
    </w:p>
    <w:p>
      <w:pPr>
        <w:pStyle w:val="Normal"/>
        <w:tabs>
          <w:tab w:val="left" w:pos="720" w:leader="none"/>
        </w:tabs>
        <w:spacing w:lineRule="exact" w:line="264" w:before="0" w:after="80"/>
        <w:ind w:hanging="360" w:start="720"/>
        <w:rPr/>
      </w:pPr>
      <w:r>
        <w:rPr>
          <w:rFonts w:eastAsia="Arial" w:cs="Arial"/>
          <w:sz w:val="21"/>
          <w:szCs w:val="21"/>
        </w:rPr>
        <w:t>e. Document the basis for admission and placement in the clinical record.</w:t>
      </w:r>
    </w:p>
    <w:p>
      <w:pPr>
        <w:pStyle w:val="Normal"/>
        <w:tabs>
          <w:tab w:val="left" w:pos="720" w:leader="none"/>
        </w:tabs>
        <w:spacing w:lineRule="exact" w:line="264" w:before="0" w:after="80"/>
        <w:ind w:hanging="360" w:start="720"/>
        <w:rPr/>
      </w:pPr>
      <w:r>
        <w:rPr>
          <w:rFonts w:eastAsia="Arial" w:cs="Arial"/>
          <w:sz w:val="21"/>
          <w:szCs w:val="21"/>
        </w:rPr>
        <w:t>f. Reassess placement as the individual’s needs change and transfer or refer to a different level of care where indicated.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&amp; Placement Determination</w:t>
      </w:r>
    </w:p>
    <w:p>
      <w:pPr>
        <w:pStyle w:val="ListParagraph"/>
        <w:numPr>
          <w:ilvl w:val="0"/>
          <w:numId w:val="1"/>
        </w:numPr>
        <w:spacing w:lineRule="exact" w:line="264" w:before="0" w:after="60"/>
        <w:rPr/>
      </w:pPr>
      <w:r>
        <w:rPr>
          <w:rFonts w:eastAsia="Arial" w:cs="Arial"/>
          <w:sz w:val="21"/>
          <w:szCs w:val="21"/>
        </w:rPr>
        <w:t>Admission Record</w:t>
      </w:r>
    </w:p>
    <w:p>
      <w:pPr>
        <w:pStyle w:val="ListParagraph"/>
        <w:numPr>
          <w:ilvl w:val="0"/>
          <w:numId w:val="1"/>
        </w:numPr>
        <w:spacing w:lineRule="exact" w:line="264" w:before="0" w:after="60"/>
        <w:rPr/>
      </w:pPr>
      <w:r>
        <w:rPr>
          <w:rFonts w:eastAsia="Arial" w:cs="Arial"/>
          <w:sz w:val="21"/>
          <w:szCs w:val="21"/>
        </w:rPr>
        <w:t>Involuntary Admission / Marchman Act Documentation</w:t>
      </w:r>
    </w:p>
    <w:p>
      <w:pPr>
        <w:pStyle w:val="ListParagraph"/>
        <w:numPr>
          <w:ilvl w:val="0"/>
          <w:numId w:val="1"/>
        </w:numPr>
        <w:spacing w:lineRule="exact" w:line="264" w:before="0" w:after="60"/>
        <w:rPr/>
      </w:pPr>
      <w:r>
        <w:rPr>
          <w:rFonts w:eastAsia="Arial" w:cs="Arial"/>
          <w:sz w:val="21"/>
          <w:szCs w:val="21"/>
        </w:rPr>
        <w:t>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Clinical &amp; Medical Guidelines: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Clinical &amp; Medical Guidelines: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65D-30.0042; § 397.311,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individual receives a timely, complete assessment that identifies needs and drives the treatment plan, completed and reviewed by appropriately qualified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individuals receiving services and to the staff who conduct and review assessments.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conducts assessments in accordance with the clinical and medical guidelines in Rule 65D-30.0042, F.A.C. A psychosocial assessment (and, where applicable, a comprehensive assessment or comprehensive substance abuse assessment) is completed for each individual to identify the individual’s needs and the services and supports required. Assessments address substance use history, medical and behavioral health history, co-occurring conditions, psychosocial and family history, legal history, and risk, and result in recommendations for services. A qualified professional as defined in Section 397.311, F.S., reviews and signs, as reviewer, assessments and evaluations as the rule requires, and assessments conducted by staff who are not qualified professionals are reviewed and signed by a qualified professional. Assessments are documented in the clinical record within the timeframes the rule and the provider’s operating procedures require.</w:t>
      </w:r>
    </w:p>
    <w:p>
      <w:pPr>
        <w:pStyle w:val="Normal"/>
        <w:spacing w:lineRule="exact" w:line="276" w:before="0" w:after="120"/>
        <w:rPr/>
      </w:pPr>
      <w:r>
        <w:rPr>
          <w:rFonts w:eastAsia="Arial" w:cs="Arial"/>
          <w:sz w:val="21"/>
          <w:szCs w:val="21"/>
        </w:rPr>
        <w:t>Where a compliant assessment from another provider or a recent prior assessment is available, it is reviewed and updated as the guidelines allow, and the individual is referred for medical or psychiatric services when the assessment indicates a need.</w:t>
      </w:r>
    </w:p>
    <w:p>
      <w:pPr>
        <w:pStyle w:val="Normal"/>
        <w:pBdr>
          <w:bottom w:val="single" w:sz="4" w:space="1" w:color="2E5E45"/>
        </w:pBdr>
        <w:spacing w:before="160" w:after="80"/>
        <w:rPr/>
      </w:pPr>
      <w:r>
        <w:rPr>
          <w:rFonts w:eastAsia="Arial" w:cs="Arial"/>
          <w:b/>
          <w:bCs/>
          <w:color w:val="1A4731"/>
          <w:sz w:val="20"/>
          <w:szCs w:val="20"/>
        </w:rPr>
        <w:t>PROCEDURE — CONDUCTING &amp; REVIEWING ASSESSMENTS</w:t>
      </w:r>
    </w:p>
    <w:p>
      <w:pPr>
        <w:pStyle w:val="Normal"/>
        <w:tabs>
          <w:tab w:val="left" w:pos="720" w:leader="none"/>
        </w:tabs>
        <w:spacing w:lineRule="exact" w:line="264" w:before="0" w:after="80"/>
        <w:ind w:hanging="360" w:start="720"/>
        <w:rPr/>
      </w:pPr>
      <w:r>
        <w:rPr>
          <w:rFonts w:eastAsia="Arial" w:cs="Arial"/>
          <w:sz w:val="21"/>
          <w:szCs w:val="21"/>
        </w:rPr>
        <w:t>a. Complete the required assessment for each individual, addressing substance use, medical, behavioral health, co-occurring, psychosocial, family, legal, and risk domains.</w:t>
      </w:r>
    </w:p>
    <w:p>
      <w:pPr>
        <w:pStyle w:val="Normal"/>
        <w:tabs>
          <w:tab w:val="left" w:pos="720" w:leader="none"/>
        </w:tabs>
        <w:spacing w:lineRule="exact" w:line="264" w:before="0" w:after="80"/>
        <w:ind w:hanging="360" w:start="720"/>
        <w:rPr/>
      </w:pPr>
      <w:r>
        <w:rPr>
          <w:rFonts w:eastAsia="Arial" w:cs="Arial"/>
          <w:sz w:val="21"/>
          <w:szCs w:val="21"/>
        </w:rPr>
        <w:t>b. Have a qualified professional review and sign assessments as the rule requires.</w:t>
      </w:r>
    </w:p>
    <w:p>
      <w:pPr>
        <w:pStyle w:val="Normal"/>
        <w:tabs>
          <w:tab w:val="left" w:pos="720" w:leader="none"/>
        </w:tabs>
        <w:spacing w:lineRule="exact" w:line="264" w:before="0" w:after="80"/>
        <w:ind w:hanging="360" w:start="720"/>
        <w:rPr/>
      </w:pPr>
      <w:r>
        <w:rPr>
          <w:rFonts w:eastAsia="Arial" w:cs="Arial"/>
          <w:sz w:val="21"/>
          <w:szCs w:val="21"/>
        </w:rPr>
        <w:t>c. Document assessments in the clinical record within required timeframes and refer for medical or psychiatric services when indicated.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Psychosocial / Comprehensive Assessment Form</w:t>
      </w:r>
    </w:p>
    <w:p>
      <w:pPr>
        <w:pStyle w:val="ListParagraph"/>
        <w:numPr>
          <w:ilvl w:val="0"/>
          <w:numId w:val="1"/>
        </w:numPr>
        <w:spacing w:lineRule="exact" w:line="264" w:before="0" w:after="60"/>
        <w:rPr/>
      </w:pPr>
      <w:r>
        <w:rPr>
          <w:rFonts w:eastAsia="Arial" w:cs="Arial"/>
          <w:sz w:val="21"/>
          <w:szCs w:val="21"/>
        </w:rPr>
        <w:t>Qualified Professional Review &amp; Signature Record</w:t>
      </w:r>
    </w:p>
    <w:p>
      <w:pPr>
        <w:pStyle w:val="ListParagraph"/>
        <w:numPr>
          <w:ilvl w:val="0"/>
          <w:numId w:val="1"/>
        </w:numPr>
        <w:spacing w:lineRule="exact" w:line="264" w:before="0" w:after="60"/>
        <w:rPr/>
      </w:pPr>
      <w:r>
        <w:rPr>
          <w:rFonts w:eastAsia="Arial" w:cs="Arial"/>
          <w:sz w:val="21"/>
          <w:szCs w:val="21"/>
        </w:rPr>
        <w:t>Referral for Medical / Psychiatric Services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Treatment Planning, Progress Notes &amp; Summaries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Treatment Planning, Progress Notes &amp; Summaries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individual has an individualized treatment plan that is implemented, documented in progress notes, reviewed and updated, and summarized as the rule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individuals receiving services and to the clinical staff who plan and document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develops, implements, reviews, and updates plans, progress notes, and summaries in accordance with Rule 65D-30.0044, F.A.C. An individualized treatment plan is developed with the individual’s participation, based on the assessment, and states problems, goals, measurable objectives, the services to be provided, and the staff responsible. The plan is reviewed and updated at the intervals the rule and the individual’s progress require. Progress notes document the services provided, the individual’s response, and progress toward goals. Treatment plan reviews, transfer summaries, and discharge summaries are completed as the rule requires and documented in the clinical record, with required signatures and dates.</w:t>
      </w:r>
    </w:p>
    <w:p>
      <w:pPr>
        <w:pStyle w:val="Normal"/>
        <w:spacing w:lineRule="exact" w:line="276" w:before="0" w:after="120"/>
        <w:rPr/>
      </w:pPr>
      <w:r>
        <w:rPr>
          <w:rFonts w:eastAsia="Arial" w:cs="Arial"/>
          <w:sz w:val="21"/>
          <w:szCs w:val="21"/>
        </w:rPr>
        <w:t>The individual is offered the opportunity to participate in developing and reviewing the treatment plan, and that participation is documented.</w:t>
      </w:r>
    </w:p>
    <w:p>
      <w:pPr>
        <w:pStyle w:val="Normal"/>
        <w:pBdr>
          <w:bottom w:val="single" w:sz="4" w:space="1" w:color="2E5E45"/>
        </w:pBdr>
        <w:spacing w:before="160" w:after="80"/>
        <w:rPr/>
      </w:pPr>
      <w:r>
        <w:rPr>
          <w:rFonts w:eastAsia="Arial" w:cs="Arial"/>
          <w:b/>
          <w:bCs/>
          <w:color w:val="1A4731"/>
          <w:sz w:val="20"/>
          <w:szCs w:val="20"/>
        </w:rPr>
        <w:t>PROCEDURE — TREATMENT PLANNING</w:t>
      </w:r>
    </w:p>
    <w:p>
      <w:pPr>
        <w:pStyle w:val="Normal"/>
        <w:tabs>
          <w:tab w:val="left" w:pos="720" w:leader="none"/>
        </w:tabs>
        <w:spacing w:lineRule="exact" w:line="264" w:before="0" w:after="80"/>
        <w:ind w:hanging="360" w:start="720"/>
        <w:rPr/>
      </w:pPr>
      <w:r>
        <w:rPr>
          <w:rFonts w:eastAsia="Arial" w:cs="Arial"/>
          <w:sz w:val="21"/>
          <w:szCs w:val="21"/>
        </w:rPr>
        <w:t>a. Develop an individualized treatment plan from the assessment with the individual’s participation, stating problems, goals, measurable objectives, services, and responsible staff.</w:t>
      </w:r>
    </w:p>
    <w:p>
      <w:pPr>
        <w:pStyle w:val="Normal"/>
        <w:tabs>
          <w:tab w:val="left" w:pos="720" w:leader="none"/>
        </w:tabs>
        <w:spacing w:lineRule="exact" w:line="264" w:before="0" w:after="80"/>
        <w:ind w:hanging="360" w:start="720"/>
        <w:rPr/>
      </w:pPr>
      <w:r>
        <w:rPr>
          <w:rFonts w:eastAsia="Arial" w:cs="Arial"/>
          <w:sz w:val="21"/>
          <w:szCs w:val="21"/>
        </w:rPr>
        <w:t>b. Review and update the plan at the required intervals and as progress dictates, with required signatures and dates.</w:t>
      </w:r>
    </w:p>
    <w:p>
      <w:pPr>
        <w:pStyle w:val="Normal"/>
        <w:tabs>
          <w:tab w:val="left" w:pos="720" w:leader="none"/>
        </w:tabs>
        <w:spacing w:lineRule="exact" w:line="264" w:before="0" w:after="80"/>
        <w:ind w:hanging="360" w:start="720"/>
        <w:rPr/>
      </w:pPr>
      <w:r>
        <w:rPr>
          <w:rFonts w:eastAsia="Arial" w:cs="Arial"/>
          <w:sz w:val="21"/>
          <w:szCs w:val="21"/>
        </w:rPr>
        <w:t>c. Document the individual’s opportunity to participate in developing and reviewing the plan.</w:t>
      </w:r>
    </w:p>
    <w:p>
      <w:pPr>
        <w:pStyle w:val="Normal"/>
        <w:pBdr>
          <w:bottom w:val="single" w:sz="4" w:space="1" w:color="2E5E45"/>
        </w:pBdr>
        <w:spacing w:before="160" w:after="80"/>
        <w:rPr/>
      </w:pPr>
      <w:r>
        <w:rPr>
          <w:rFonts w:eastAsia="Arial" w:cs="Arial"/>
          <w:b/>
          <w:bCs/>
          <w:color w:val="1A4731"/>
          <w:sz w:val="20"/>
          <w:szCs w:val="20"/>
        </w:rPr>
        <w:t>PROCEDURE — PROGRESS NOTES &amp; SUMMARIES</w:t>
      </w:r>
    </w:p>
    <w:p>
      <w:pPr>
        <w:pStyle w:val="Normal"/>
        <w:tabs>
          <w:tab w:val="left" w:pos="720" w:leader="none"/>
        </w:tabs>
        <w:spacing w:lineRule="exact" w:line="264" w:before="0" w:after="80"/>
        <w:ind w:hanging="360" w:start="720"/>
        <w:rPr/>
      </w:pPr>
      <w:r>
        <w:rPr>
          <w:rFonts w:eastAsia="Arial" w:cs="Arial"/>
          <w:sz w:val="21"/>
          <w:szCs w:val="21"/>
        </w:rPr>
        <w:t>d. Document services, response, and progress toward goals in progress notes.</w:t>
      </w:r>
    </w:p>
    <w:p>
      <w:pPr>
        <w:pStyle w:val="Normal"/>
        <w:tabs>
          <w:tab w:val="left" w:pos="720" w:leader="none"/>
        </w:tabs>
        <w:spacing w:lineRule="exact" w:line="264" w:before="0" w:after="80"/>
        <w:ind w:hanging="360" w:start="720"/>
        <w:rPr/>
      </w:pPr>
      <w:r>
        <w:rPr>
          <w:rFonts w:eastAsia="Arial" w:cs="Arial"/>
          <w:sz w:val="21"/>
          <w:szCs w:val="21"/>
        </w:rPr>
        <w:t>e. Complete treatment plan reviews, transfer summaries, and discharge summaries as the rule requires.</w:t>
      </w:r>
    </w:p>
    <w:p>
      <w:pPr>
        <w:pStyle w:val="Normal"/>
        <w:tabs>
          <w:tab w:val="left" w:pos="720" w:leader="none"/>
        </w:tabs>
        <w:spacing w:lineRule="exact" w:line="264" w:before="0" w:after="80"/>
        <w:ind w:hanging="360" w:start="720"/>
        <w:rPr/>
      </w:pPr>
      <w:r>
        <w:rPr>
          <w:rFonts w:eastAsia="Arial" w:cs="Arial"/>
          <w:sz w:val="21"/>
          <w:szCs w:val="21"/>
        </w:rPr>
        <w:t>f. File all plans, notes, and summaries in the clinical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Treatment Plan Review Record</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Transfer / Discharge Summary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Clinical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Clinical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65D-30.0041; § 397.501(7),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accurate, secure clinical record is established and maintained for each individual, containing the content Rule 65D-30.0041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individual clinical records and to everyone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establishes and maintains a clinical record for each individual in accordance with Rule 65D-30.0041, F.A.C. The record contains the documentation the rule requires — including identifying information, consents, the assessment, the treatment plan and reviews, progress notes, documentation of services provided, medication and medical documentation where applicable, and discharge or transfer summaries. Entries are legible, dated, and authenticated by the person making them, and records are retained for the period Florida law requires and protected from loss, damage, and unauthorized use. Access to records follows the confidentiality policy and 42 CFR Part 2.</w:t>
      </w:r>
    </w:p>
    <w:p>
      <w:pPr>
        <w:pStyle w:val="Normal"/>
        <w:spacing w:lineRule="exact" w:line="276" w:before="0" w:after="120"/>
        <w:rPr/>
      </w:pPr>
      <w:r>
        <w:rPr>
          <w:rFonts w:eastAsia="Arial" w:cs="Arial"/>
          <w:sz w:val="21"/>
          <w:szCs w:val="21"/>
        </w:rPr>
        <w:t>Where the provider maintains records electronically, it applies safeguards to prevent unauthorized access and ensures the integrity and time-stamping of entries.</w:t>
      </w:r>
    </w:p>
    <w:p>
      <w:pPr>
        <w:pStyle w:val="Normal"/>
        <w:pBdr>
          <w:bottom w:val="single" w:sz="4" w:space="1" w:color="2E5E45"/>
        </w:pBdr>
        <w:spacing w:before="160" w:after="80"/>
        <w:rPr/>
      </w:pPr>
      <w:r>
        <w:rPr>
          <w:rFonts w:eastAsia="Arial" w:cs="Arial"/>
          <w:b/>
          <w:bCs/>
          <w:color w:val="1A4731"/>
          <w:sz w:val="20"/>
          <w:szCs w:val="20"/>
        </w:rPr>
        <w:t>PROCEDURE — MAINTAINING THE CLINICAL RECORD</w:t>
      </w:r>
    </w:p>
    <w:p>
      <w:pPr>
        <w:pStyle w:val="Normal"/>
        <w:tabs>
          <w:tab w:val="left" w:pos="720" w:leader="none"/>
        </w:tabs>
        <w:spacing w:lineRule="exact" w:line="264" w:before="0" w:after="80"/>
        <w:ind w:hanging="360" w:start="720"/>
        <w:rPr/>
      </w:pPr>
      <w:r>
        <w:rPr>
          <w:rFonts w:eastAsia="Arial" w:cs="Arial"/>
          <w:sz w:val="21"/>
          <w:szCs w:val="21"/>
        </w:rPr>
        <w:t>a. Establish a clinical record at admission and maintain all content Rule 65D-30.0041 requires.</w:t>
      </w:r>
    </w:p>
    <w:p>
      <w:pPr>
        <w:pStyle w:val="Normal"/>
        <w:tabs>
          <w:tab w:val="left" w:pos="720" w:leader="none"/>
        </w:tabs>
        <w:spacing w:lineRule="exact" w:line="264" w:before="0" w:after="80"/>
        <w:ind w:hanging="360" w:start="720"/>
        <w:rPr/>
      </w:pPr>
      <w:r>
        <w:rPr>
          <w:rFonts w:eastAsia="Arial" w:cs="Arial"/>
          <w:sz w:val="21"/>
          <w:szCs w:val="21"/>
        </w:rPr>
        <w:t>b. Ensure entries are legible, dated, and authenticated, and protect records from loss, damage, and unauthorized use.</w:t>
      </w:r>
    </w:p>
    <w:p>
      <w:pPr>
        <w:pStyle w:val="Normal"/>
        <w:tabs>
          <w:tab w:val="left" w:pos="720" w:leader="none"/>
        </w:tabs>
        <w:spacing w:lineRule="exact" w:line="264" w:before="0" w:after="80"/>
        <w:ind w:hanging="360" w:start="720"/>
        <w:rPr/>
      </w:pPr>
      <w:r>
        <w:rPr>
          <w:rFonts w:eastAsia="Arial" w:cs="Arial"/>
          <w:sz w:val="21"/>
          <w:szCs w:val="21"/>
        </w:rPr>
        <w:t>c. Retain records for the period Florida law requires and control access consistent with 42 CFR Part 2.</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Authorization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Counseling &amp; Group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Counseling &amp; Group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65D-30.004(21); 65D-30.0046(3)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counseling and group services are provided by qualified staff, within group-size limits, and documented, consistent with each component’s required service hours.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individual, family, and group counseling across all components and to the clinical staff who provide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Counseling is provided by qualified clinical staff within their scope of practice and is documented in the clinical record, including the date, duration, type (individual, family, or group), goals addressed, and the provider’s signature and date. The maximum number of individuals allowed in a group counseling session is 15. Each service component specifies the required frequency and hours of services, including counseling, and counseling is provided according to the frequency and number of hours identified in the individual’s assessment and treatment plan and the applicable component standard in Section G.</w:t>
      </w:r>
    </w:p>
    <w:p>
      <w:pPr>
        <w:pStyle w:val="Normal"/>
        <w:pBdr>
          <w:bottom w:val="single" w:sz="4" w:space="1" w:color="2E5E45"/>
        </w:pBdr>
        <w:spacing w:before="160" w:after="80"/>
        <w:rPr/>
      </w:pPr>
      <w:r>
        <w:rPr>
          <w:rFonts w:eastAsia="Arial" w:cs="Arial"/>
          <w:b/>
          <w:bCs/>
          <w:color w:val="1A4731"/>
          <w:sz w:val="20"/>
          <w:szCs w:val="20"/>
        </w:rPr>
        <w:t>PROCEDURE — PROVIDING &amp; DOCUMENTING COUNSELING</w:t>
      </w:r>
    </w:p>
    <w:p>
      <w:pPr>
        <w:pStyle w:val="Normal"/>
        <w:tabs>
          <w:tab w:val="left" w:pos="720" w:leader="none"/>
        </w:tabs>
        <w:spacing w:lineRule="exact" w:line="264" w:before="0" w:after="80"/>
        <w:ind w:hanging="360" w:start="720"/>
        <w:rPr/>
      </w:pPr>
      <w:r>
        <w:rPr>
          <w:rFonts w:eastAsia="Arial" w:cs="Arial"/>
          <w:sz w:val="21"/>
          <w:szCs w:val="21"/>
        </w:rPr>
        <w:t>a. Provide counseling through qualified clinical staff within scope, at the frequency and hours the component and treatment plan require.</w:t>
      </w:r>
    </w:p>
    <w:p>
      <w:pPr>
        <w:pStyle w:val="Normal"/>
        <w:tabs>
          <w:tab w:val="left" w:pos="720" w:leader="none"/>
        </w:tabs>
        <w:spacing w:lineRule="exact" w:line="264" w:before="0" w:after="80"/>
        <w:ind w:hanging="360" w:start="720"/>
        <w:rPr/>
      </w:pPr>
      <w:r>
        <w:rPr>
          <w:rFonts w:eastAsia="Arial" w:cs="Arial"/>
          <w:sz w:val="21"/>
          <w:szCs w:val="21"/>
        </w:rPr>
        <w:t>b. Limit group counseling sessions to a maximum of 15 individuals.</w:t>
      </w:r>
    </w:p>
    <w:p>
      <w:pPr>
        <w:pStyle w:val="Normal"/>
        <w:tabs>
          <w:tab w:val="left" w:pos="720" w:leader="none"/>
        </w:tabs>
        <w:spacing w:lineRule="exact" w:line="264" w:before="0" w:after="80"/>
        <w:ind w:hanging="360" w:start="720"/>
        <w:rPr/>
      </w:pPr>
      <w:r>
        <w:rPr>
          <w:rFonts w:eastAsia="Arial" w:cs="Arial"/>
          <w:sz w:val="21"/>
          <w:szCs w:val="21"/>
        </w:rPr>
        <w:t>c. Document each session with date, duration, type, goals addressed, and provider signature and date.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Counseling Session Note</w:t>
      </w:r>
    </w:p>
    <w:p>
      <w:pPr>
        <w:pStyle w:val="ListParagraph"/>
        <w:numPr>
          <w:ilvl w:val="0"/>
          <w:numId w:val="1"/>
        </w:numPr>
        <w:spacing w:lineRule="exact" w:line="264" w:before="0" w:after="60"/>
        <w:rPr/>
      </w:pPr>
      <w:r>
        <w:rPr>
          <w:rFonts w:eastAsia="Arial" w:cs="Arial"/>
          <w:sz w:val="21"/>
          <w:szCs w:val="21"/>
        </w:rPr>
        <w:t>Group Session Roster &amp; Note</w:t>
      </w:r>
    </w:p>
    <w:p>
      <w:pPr>
        <w:pStyle w:val="ListParagraph"/>
        <w:numPr>
          <w:ilvl w:val="0"/>
          <w:numId w:val="1"/>
        </w:numPr>
        <w:spacing w:lineRule="exact" w:line="264" w:before="0" w:after="60"/>
        <w:rPr/>
      </w:pPr>
      <w:r>
        <w:rPr>
          <w:rFonts w:eastAsia="Arial" w:cs="Arial"/>
          <w:sz w:val="21"/>
          <w:szCs w:val="21"/>
        </w:rPr>
        <w:t>Service-Hours Tracking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Transfer &amp; Aftercare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Transfer &amp; Aftercare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65D-30.0044, 65D-30.011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are discharged or transferred with appropriate planning, summaries, and connection to continuing care, including aftercare.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transfer, and aftercare planning across all components.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completes discharge and transfer summaries in accordance with Rule 65D-30.0044, F.A.C., and plans for continuing care, including aftercare under Rule 65D-30.011, F.A.C., where applicable. Discharge planning identifies the individual’s continuing needs and connects the individual to appropriate services and supports, including recovery residences consistent with the referral policy. The discharge or transfer summary documents the course of treatment, the individual’s status, and the continuing-care plan, and is completed within the timeframes the rule requires.</w:t>
      </w:r>
    </w:p>
    <w:p>
      <w:pPr>
        <w:pStyle w:val="Normal"/>
        <w:spacing w:lineRule="exact" w:line="276" w:before="0" w:after="120"/>
        <w:rPr/>
      </w:pPr>
      <w:r>
        <w:rPr>
          <w:rFonts w:eastAsia="Arial" w:cs="Arial"/>
          <w:sz w:val="21"/>
          <w:szCs w:val="21"/>
        </w:rPr>
        <w:t>Where an individual leaves against staff advice or before completion, the provider documents the circumstances and provides available follow-up information.</w:t>
      </w:r>
    </w:p>
    <w:p>
      <w:pPr>
        <w:pStyle w:val="Normal"/>
        <w:pBdr>
          <w:bottom w:val="single" w:sz="4" w:space="1" w:color="2E5E45"/>
        </w:pBdr>
        <w:spacing w:before="160" w:after="80"/>
        <w:rPr/>
      </w:pPr>
      <w:r>
        <w:rPr>
          <w:rFonts w:eastAsia="Arial" w:cs="Arial"/>
          <w:b/>
          <w:bCs/>
          <w:color w:val="1A4731"/>
          <w:sz w:val="20"/>
          <w:szCs w:val="20"/>
        </w:rPr>
        <w:t>PROCEDURE — DISCHARGE &amp; TRANSFER</w:t>
      </w:r>
    </w:p>
    <w:p>
      <w:pPr>
        <w:pStyle w:val="Normal"/>
        <w:tabs>
          <w:tab w:val="left" w:pos="720" w:leader="none"/>
        </w:tabs>
        <w:spacing w:lineRule="exact" w:line="264" w:before="0" w:after="80"/>
        <w:ind w:hanging="360" w:start="720"/>
        <w:rPr/>
      </w:pPr>
      <w:r>
        <w:rPr>
          <w:rFonts w:eastAsia="Arial" w:cs="Arial"/>
          <w:sz w:val="21"/>
          <w:szCs w:val="21"/>
        </w:rPr>
        <w:t>a. Develop a discharge or transfer plan identifying continuing needs and connections to continuing care, including aftercare where applicable.</w:t>
      </w:r>
    </w:p>
    <w:p>
      <w:pPr>
        <w:pStyle w:val="Normal"/>
        <w:tabs>
          <w:tab w:val="left" w:pos="720" w:leader="none"/>
        </w:tabs>
        <w:spacing w:lineRule="exact" w:line="264" w:before="0" w:after="80"/>
        <w:ind w:hanging="360" w:start="720"/>
        <w:rPr/>
      </w:pPr>
      <w:r>
        <w:rPr>
          <w:rFonts w:eastAsia="Arial" w:cs="Arial"/>
          <w:sz w:val="21"/>
          <w:szCs w:val="21"/>
        </w:rPr>
        <w:t>b. Complete the discharge or transfer summary within required timeframes, documenting the course of treatment, status, and continuing-care plan.</w:t>
      </w:r>
    </w:p>
    <w:p>
      <w:pPr>
        <w:pStyle w:val="Normal"/>
        <w:tabs>
          <w:tab w:val="left" w:pos="720" w:leader="none"/>
        </w:tabs>
        <w:spacing w:lineRule="exact" w:line="264" w:before="0" w:after="80"/>
        <w:ind w:hanging="360" w:start="720"/>
        <w:rPr/>
      </w:pPr>
      <w:r>
        <w:rPr>
          <w:rFonts w:eastAsia="Arial" w:cs="Arial"/>
          <w:sz w:val="21"/>
          <w:szCs w:val="21"/>
        </w:rPr>
        <w:t>c. Document circumstances and provide follow-up information where an individual leaves against advice or before completion.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 Transfer Plan</w:t>
      </w:r>
    </w:p>
    <w:p>
      <w:pPr>
        <w:pStyle w:val="ListParagraph"/>
        <w:numPr>
          <w:ilvl w:val="0"/>
          <w:numId w:val="1"/>
        </w:numPr>
        <w:spacing w:lineRule="exact" w:line="264" w:before="0" w:after="60"/>
        <w:rPr/>
      </w:pPr>
      <w:r>
        <w:rPr>
          <w:rFonts w:eastAsia="Arial" w:cs="Arial"/>
          <w:sz w:val="21"/>
          <w:szCs w:val="21"/>
        </w:rPr>
        <w:t>Discharge / Transfer Summary</w:t>
      </w:r>
    </w:p>
    <w:p>
      <w:pPr>
        <w:pStyle w:val="ListParagraph"/>
        <w:numPr>
          <w:ilvl w:val="0"/>
          <w:numId w:val="1"/>
        </w:numPr>
        <w:spacing w:lineRule="exact" w:line="264" w:before="0" w:after="60"/>
        <w:rPr/>
      </w:pPr>
      <w:r>
        <w:rPr>
          <w:rFonts w:eastAsia="Arial" w:cs="Arial"/>
          <w:sz w:val="21"/>
          <w:szCs w:val="21"/>
        </w:rPr>
        <w:t>Aftercare / Continuing-Care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Medication &amp; Medical Services</w:t>
      </w:r>
    </w:p>
    <w:p>
      <w:pPr>
        <w:pStyle w:val="Normal"/>
        <w:spacing w:lineRule="exact" w:line="288" w:before="0" w:after="240"/>
        <w:rPr/>
      </w:pPr>
      <w:r>
        <w:rPr>
          <w:rFonts w:eastAsia="Arial" w:cs="Arial"/>
          <w:color w:val="444444"/>
          <w:sz w:val="22"/>
          <w:szCs w:val="22"/>
        </w:rPr>
        <w:t>This section governs medication and medical services — medical services and protocols; prescription medication, storage and pharmacy under the Modified Class II Institutional Permit; supervision of self-administration of medication; and overdose prevention and naloxone.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Medical Services &amp; Protocols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Prescription Medication, Storage &amp; Pharmacy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Supervision of Self-Administration of Medication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Overdose Prevention &amp; Naloxone</w:t>
      </w:r>
    </w:p>
    <w:p>
      <w:pPr>
        <w:pStyle w:val="Normal"/>
        <w:rPr/>
      </w:pPr>
      <w:r>
        <w:rPr/>
      </w:r>
      <w:r>
        <w:br w:type="page"/>
      </w:r>
    </w:p>
    <w:p>
      <w:pPr>
        <w:pStyle w:val="Heading2"/>
        <w:spacing w:before="0" w:after="120"/>
        <w:rPr/>
      </w:pPr>
      <w:r>
        <w:rPr>
          <w:rFonts w:eastAsia="Arial" w:cs="Arial" w:ascii="Arial" w:hAnsi="Arial"/>
          <w:b/>
          <w:bCs/>
          <w:color w:val="1A4731"/>
          <w:sz w:val="26"/>
          <w:szCs w:val="26"/>
        </w:rPr>
        <w:t>5.00  Medical Services &amp; Protocols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Medical Services &amp; Protocols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&amp; Medical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65D-30.004(7); Ch. 458, 459, 465,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medical services are governed by written protocols, delivered within scope of practice, and reviewed and approved as the rule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components that require medical services and to the medical director, physicians, and clinical staff involved.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For components that require medical services, each physician working with the provider establishes written protocols for the provision of medical services under Chapters 458 and 459, F.S., and for managing medication under Chapter 465, F.S., implemented only after written approval by the CEO and medical director. The protocols address the delegation of certain medical functions to appropriate licensed practitioners, issuing orders, and signing and countersigning results of physical health assessments, and document procedures for the administration of medication by a qualified medical professional within scope of practice. All medical protocols are reviewed and approved by the medical director and CEO annually and are available for Department review. The provider describes the manner in which medical emergencies are addressed.</w:t>
      </w:r>
    </w:p>
    <w:p>
      <w:pPr>
        <w:pStyle w:val="Normal"/>
        <w:pBdr>
          <w:bottom w:val="single" w:sz="4" w:space="1" w:color="2E5E45"/>
        </w:pBdr>
        <w:spacing w:before="160" w:after="80"/>
        <w:rPr/>
      </w:pPr>
      <w:r>
        <w:rPr>
          <w:rFonts w:eastAsia="Arial" w:cs="Arial"/>
          <w:b/>
          <w:bCs/>
          <w:color w:val="1A4731"/>
          <w:sz w:val="20"/>
          <w:szCs w:val="20"/>
        </w:rPr>
        <w:t>PROCEDURE — MEDICAL PROTOCOLS</w:t>
      </w:r>
    </w:p>
    <w:p>
      <w:pPr>
        <w:pStyle w:val="Normal"/>
        <w:tabs>
          <w:tab w:val="left" w:pos="720" w:leader="none"/>
        </w:tabs>
        <w:spacing w:lineRule="exact" w:line="264" w:before="0" w:after="80"/>
        <w:ind w:hanging="360" w:start="720"/>
        <w:rPr/>
      </w:pPr>
      <w:r>
        <w:rPr>
          <w:rFonts w:eastAsia="Arial" w:cs="Arial"/>
          <w:sz w:val="21"/>
          <w:szCs w:val="21"/>
        </w:rPr>
        <w:t>a. Establish written medical and medication-management protocols under Chapters 458, 459, and 465, F.S., approved in writing by the CEO and medical director.</w:t>
      </w:r>
    </w:p>
    <w:p>
      <w:pPr>
        <w:pStyle w:val="Normal"/>
        <w:tabs>
          <w:tab w:val="left" w:pos="720" w:leader="none"/>
        </w:tabs>
        <w:spacing w:lineRule="exact" w:line="264" w:before="0" w:after="80"/>
        <w:ind w:hanging="360" w:start="720"/>
        <w:rPr/>
      </w:pPr>
      <w:r>
        <w:rPr>
          <w:rFonts w:eastAsia="Arial" w:cs="Arial"/>
          <w:sz w:val="21"/>
          <w:szCs w:val="21"/>
        </w:rPr>
        <w:t>b. Address delegation of medical functions, issuing orders, and signing/countersigning physical health assessment results, and document medication-administration procedures within scope.</w:t>
      </w:r>
    </w:p>
    <w:p>
      <w:pPr>
        <w:pStyle w:val="Normal"/>
        <w:tabs>
          <w:tab w:val="left" w:pos="720" w:leader="none"/>
        </w:tabs>
        <w:spacing w:lineRule="exact" w:line="264" w:before="0" w:after="80"/>
        <w:ind w:hanging="360" w:start="720"/>
        <w:rPr/>
      </w:pPr>
      <w:r>
        <w:rPr>
          <w:rFonts w:eastAsia="Arial" w:cs="Arial"/>
          <w:sz w:val="21"/>
          <w:szCs w:val="21"/>
        </w:rPr>
        <w:t>c. Review and approve medical protocols annually and keep them available for Department review.</w:t>
      </w:r>
    </w:p>
    <w:p>
      <w:pPr>
        <w:pStyle w:val="Normal"/>
        <w:pBdr>
          <w:bottom w:val="single" w:sz="4" w:space="1" w:color="2E5E45"/>
        </w:pBdr>
        <w:spacing w:before="160" w:after="80"/>
        <w:rPr/>
      </w:pPr>
      <w:r>
        <w:rPr>
          <w:rFonts w:eastAsia="Arial" w:cs="Arial"/>
          <w:b/>
          <w:bCs/>
          <w:color w:val="1A4731"/>
          <w:sz w:val="20"/>
          <w:szCs w:val="20"/>
        </w:rPr>
        <w:t>PROCEDURE — MEDICAL EMERGENCIES</w:t>
      </w:r>
    </w:p>
    <w:p>
      <w:pPr>
        <w:pStyle w:val="Normal"/>
        <w:tabs>
          <w:tab w:val="left" w:pos="720" w:leader="none"/>
        </w:tabs>
        <w:spacing w:lineRule="exact" w:line="264" w:before="0" w:after="80"/>
        <w:ind w:hanging="360" w:start="720"/>
        <w:rPr/>
      </w:pPr>
      <w:r>
        <w:rPr>
          <w:rFonts w:eastAsia="Arial" w:cs="Arial"/>
          <w:sz w:val="21"/>
          <w:szCs w:val="21"/>
        </w:rPr>
        <w:t>d. Describe and implement the manner in which medical emergencies are addressed.</w:t>
      </w:r>
    </w:p>
    <w:p>
      <w:pPr>
        <w:pStyle w:val="Normal"/>
        <w:tabs>
          <w:tab w:val="left" w:pos="720" w:leader="none"/>
        </w:tabs>
        <w:spacing w:lineRule="exact" w:line="264" w:before="0" w:after="80"/>
        <w:ind w:hanging="360" w:start="720"/>
        <w:rPr/>
      </w:pPr>
      <w:r>
        <w:rPr>
          <w:rFonts w:eastAsia="Arial" w:cs="Arial"/>
          <w:sz w:val="21"/>
          <w:szCs w:val="21"/>
        </w:rPr>
        <w:t>e. Train staff on emergency procedures and document medical-emergency responses.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Written Medical Protocols (physician)</w:t>
      </w:r>
    </w:p>
    <w:p>
      <w:pPr>
        <w:pStyle w:val="ListParagraph"/>
        <w:numPr>
          <w:ilvl w:val="0"/>
          <w:numId w:val="1"/>
        </w:numPr>
        <w:spacing w:lineRule="exact" w:line="264" w:before="0" w:after="60"/>
        <w:rPr/>
      </w:pPr>
      <w:r>
        <w:rPr>
          <w:rFonts w:eastAsia="Arial" w:cs="Arial"/>
          <w:sz w:val="21"/>
          <w:szCs w:val="21"/>
        </w:rPr>
        <w:t>Annual Medical Protocol Review &amp; Approval</w:t>
      </w:r>
    </w:p>
    <w:p>
      <w:pPr>
        <w:pStyle w:val="ListParagraph"/>
        <w:numPr>
          <w:ilvl w:val="0"/>
          <w:numId w:val="1"/>
        </w:numPr>
        <w:spacing w:lineRule="exact" w:line="264" w:before="0" w:after="60"/>
        <w:rPr/>
      </w:pPr>
      <w:r>
        <w:rPr>
          <w:rFonts w:eastAsia="Arial" w:cs="Arial"/>
          <w:sz w:val="21"/>
          <w:szCs w:val="21"/>
        </w:rPr>
        <w:t>Medical Emergency Response Procedure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Prescription Medication, Storage &amp; Pharmacy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Prescription Medication, Storage &amp; Pharmacy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&amp; Medical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65D-30.004(8); Ch. 465, F.S.; Board of Pharmacy (Modified Class II Institutional Permit)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prescription medication is purchased, handled, dispensed, administered, and stored in compliance with Florida Board of Pharmacy requirements and Chapter 465, F.S.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provider uses, stores, or handles prescription medication.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provider uses prescription medication, medication is purchased, handled, dispensed, administered, and stored in compliance with the State of Florida Board of Pharmacy requirements for facilities holding Modified Class II Institutional Permits and in accordance with Chapter 465, F.S., implemented in consultation with a state-licensed consultant pharmacist and approved by the medical director. Policies implementing these requirements are reviewed and signed and dated annually by a state-licensed consultant pharmacist. All providers purchasing, dispensing, handling, administering, storing, or observing self-administration of medication adhere to best practices and state and federal requirements, and maintain secure storage.</w:t>
      </w:r>
    </w:p>
    <w:p>
      <w:pPr>
        <w:pStyle w:val="Normal"/>
        <w:pBdr>
          <w:bottom w:val="single" w:sz="4" w:space="1" w:color="2E5E45"/>
        </w:pBdr>
        <w:spacing w:before="160" w:after="80"/>
        <w:rPr/>
      </w:pPr>
      <w:r>
        <w:rPr>
          <w:rFonts w:eastAsia="Arial" w:cs="Arial"/>
          <w:b/>
          <w:bCs/>
          <w:color w:val="1A4731"/>
          <w:sz w:val="20"/>
          <w:szCs w:val="20"/>
        </w:rPr>
        <w:t>PROCEDURE — MEDICATION HANDLING &amp; PHARMACY</w:t>
      </w:r>
    </w:p>
    <w:p>
      <w:pPr>
        <w:pStyle w:val="Normal"/>
        <w:tabs>
          <w:tab w:val="left" w:pos="720" w:leader="none"/>
        </w:tabs>
        <w:spacing w:lineRule="exact" w:line="264" w:before="0" w:after="80"/>
        <w:ind w:hanging="360" w:start="720"/>
        <w:rPr/>
      </w:pPr>
      <w:r>
        <w:rPr>
          <w:rFonts w:eastAsia="Arial" w:cs="Arial"/>
          <w:sz w:val="21"/>
          <w:szCs w:val="21"/>
        </w:rPr>
        <w:t>a. Purchase, handle, dispense, administer, and store medication under Board of Pharmacy Modified Class II Institutional Permit requirements and Chapter 465, F.S.</w:t>
      </w:r>
    </w:p>
    <w:p>
      <w:pPr>
        <w:pStyle w:val="Normal"/>
        <w:tabs>
          <w:tab w:val="left" w:pos="720" w:leader="none"/>
        </w:tabs>
        <w:spacing w:lineRule="exact" w:line="264" w:before="0" w:after="80"/>
        <w:ind w:hanging="360" w:start="720"/>
        <w:rPr/>
      </w:pPr>
      <w:r>
        <w:rPr>
          <w:rFonts w:eastAsia="Arial" w:cs="Arial"/>
          <w:sz w:val="21"/>
          <w:szCs w:val="21"/>
        </w:rPr>
        <w:t>b. Consult a state-licensed consultant pharmacist and obtain medical director approval, and have the consultant pharmacist review, sign, and date the policies annually.</w:t>
      </w:r>
    </w:p>
    <w:p>
      <w:pPr>
        <w:pStyle w:val="Normal"/>
        <w:tabs>
          <w:tab w:val="left" w:pos="720" w:leader="none"/>
        </w:tabs>
        <w:spacing w:lineRule="exact" w:line="264" w:before="0" w:after="80"/>
        <w:ind w:hanging="360" w:start="720"/>
        <w:rPr/>
      </w:pPr>
      <w:r>
        <w:rPr>
          <w:rFonts w:eastAsia="Arial" w:cs="Arial"/>
          <w:sz w:val="21"/>
          <w:szCs w:val="21"/>
        </w:rPr>
        <w:t>c. Maintain secure medication storage and adhere to best practices and state and federal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Handling &amp; Storage Policy (pharmacist-approved)</w:t>
      </w:r>
    </w:p>
    <w:p>
      <w:pPr>
        <w:pStyle w:val="ListParagraph"/>
        <w:numPr>
          <w:ilvl w:val="0"/>
          <w:numId w:val="1"/>
        </w:numPr>
        <w:spacing w:lineRule="exact" w:line="264" w:before="0" w:after="60"/>
        <w:rPr/>
      </w:pPr>
      <w:r>
        <w:rPr>
          <w:rFonts w:eastAsia="Arial" w:cs="Arial"/>
          <w:sz w:val="21"/>
          <w:szCs w:val="21"/>
        </w:rPr>
        <w:t>Consultant Pharmacist Annual Review Record</w:t>
      </w:r>
    </w:p>
    <w:p>
      <w:pPr>
        <w:pStyle w:val="ListParagraph"/>
        <w:numPr>
          <w:ilvl w:val="0"/>
          <w:numId w:val="1"/>
        </w:numPr>
        <w:spacing w:lineRule="exact" w:line="264" w:before="0" w:after="60"/>
        <w:rPr/>
      </w:pPr>
      <w:r>
        <w:rPr>
          <w:rFonts w:eastAsia="Arial" w:cs="Arial"/>
          <w:sz w:val="21"/>
          <w:szCs w:val="21"/>
        </w:rPr>
        <w:t>Medication Inventory &amp; Storage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Supervision of Self-Administration of Medication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Supervision of Self-Administration of Medication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&amp; Medical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65D-30.004(7)(c); 65D-30.0046(1)(f)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any supervision of self-administration of medication is conducted safely by trained personnel and documented as the rule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provider supervises self-administration of medication, including at community housing locations.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Supervision of self-administration of medication may be provided, including at the community housing location, under the following conditions: a secure, locked storage for medications is maintained; individuals receive prescription medication in accordance with the prescriptions of appropriate licensed practitioners as required by law; supervision of self-administration is provided by trained personnel in accordance with the staff-qualification rule; and a record of all instances of supervision of self-administration is maintained in a medication observation record including the date, time, and dosage in accordance with the prescription, signed and dated by the personnel who witnessed the self-administration.</w:t>
      </w:r>
    </w:p>
    <w:p>
      <w:pPr>
        <w:pStyle w:val="Normal"/>
        <w:pBdr>
          <w:bottom w:val="single" w:sz="4" w:space="1" w:color="2E5E45"/>
        </w:pBdr>
        <w:spacing w:before="160" w:after="80"/>
        <w:rPr/>
      </w:pPr>
      <w:r>
        <w:rPr>
          <w:rFonts w:eastAsia="Arial" w:cs="Arial"/>
          <w:b/>
          <w:bCs/>
          <w:color w:val="1A4731"/>
          <w:sz w:val="20"/>
          <w:szCs w:val="20"/>
        </w:rPr>
        <w:t>PROCEDURE — SUPERVISING SELF-ADMINISTRATION</w:t>
      </w:r>
    </w:p>
    <w:p>
      <w:pPr>
        <w:pStyle w:val="Normal"/>
        <w:tabs>
          <w:tab w:val="left" w:pos="720" w:leader="none"/>
        </w:tabs>
        <w:spacing w:lineRule="exact" w:line="264" w:before="0" w:after="80"/>
        <w:ind w:hanging="360" w:start="720"/>
        <w:rPr/>
      </w:pPr>
      <w:r>
        <w:rPr>
          <w:rFonts w:eastAsia="Arial" w:cs="Arial"/>
          <w:sz w:val="21"/>
          <w:szCs w:val="21"/>
        </w:rPr>
        <w:t>a. Maintain secure, locked medication storage and ensure individuals receive medication per the prescriptions of licensed practitioners.</w:t>
      </w:r>
    </w:p>
    <w:p>
      <w:pPr>
        <w:pStyle w:val="Normal"/>
        <w:tabs>
          <w:tab w:val="left" w:pos="720" w:leader="none"/>
        </w:tabs>
        <w:spacing w:lineRule="exact" w:line="264" w:before="0" w:after="80"/>
        <w:ind w:hanging="360" w:start="720"/>
        <w:rPr/>
      </w:pPr>
      <w:r>
        <w:rPr>
          <w:rFonts w:eastAsia="Arial" w:cs="Arial"/>
          <w:sz w:val="21"/>
          <w:szCs w:val="21"/>
        </w:rPr>
        <w:t>b. Use trained personnel to supervise self-administration in accordance with the staff-qualification rule.</w:t>
      </w:r>
    </w:p>
    <w:p>
      <w:pPr>
        <w:pStyle w:val="Normal"/>
        <w:tabs>
          <w:tab w:val="left" w:pos="720" w:leader="none"/>
        </w:tabs>
        <w:spacing w:lineRule="exact" w:line="264" w:before="0" w:after="80"/>
        <w:ind w:hanging="360" w:start="720"/>
        <w:rPr/>
      </w:pPr>
      <w:r>
        <w:rPr>
          <w:rFonts w:eastAsia="Arial" w:cs="Arial"/>
          <w:sz w:val="21"/>
          <w:szCs w:val="21"/>
        </w:rPr>
        <w:t>c. Record each instance in a medication observation record with date, time, and dosage, signed and dated by the witnessing personnel.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Observation Record</w:t>
      </w:r>
    </w:p>
    <w:p>
      <w:pPr>
        <w:pStyle w:val="ListParagraph"/>
        <w:numPr>
          <w:ilvl w:val="0"/>
          <w:numId w:val="1"/>
        </w:numPr>
        <w:spacing w:lineRule="exact" w:line="264" w:before="0" w:after="60"/>
        <w:rPr/>
      </w:pPr>
      <w:r>
        <w:rPr>
          <w:rFonts w:eastAsia="Arial" w:cs="Arial"/>
          <w:sz w:val="21"/>
          <w:szCs w:val="21"/>
        </w:rPr>
        <w:t>Self-Administration Supervision Training Record</w:t>
      </w:r>
    </w:p>
    <w:p>
      <w:pPr>
        <w:pStyle w:val="ListParagraph"/>
        <w:numPr>
          <w:ilvl w:val="0"/>
          <w:numId w:val="1"/>
        </w:numPr>
        <w:spacing w:lineRule="exact" w:line="264" w:before="0" w:after="60"/>
        <w:rPr/>
      </w:pPr>
      <w:r>
        <w:rPr>
          <w:rFonts w:eastAsia="Arial" w:cs="Arial"/>
          <w:sz w:val="21"/>
          <w:szCs w:val="21"/>
        </w:rPr>
        <w:t>Locked Storage Verification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Overdose Prevention &amp; Naloxone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Overdose Prevention &amp; Naloxone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&amp; Medical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65D-30.004(22)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overdose deaths through an overdose prevention plan, staff knowledge of it, and provision of overdose prevention information to individuals.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providers and staff and to individuals receiving services and those on a waitlist.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develops an overdose prevention plan of which all staff have a working knowledge. The plan includes education about the risks of overdose — including the lower opioid tolerance of an individual in an abstinence-based program or being discharged from a medication-assisted treatment program — and information about naloxone, the medication that reverses opioid overdose, including how to use it and where and how to access it. A provider that maintains an emergency overdose prevention kit develops and implements a plan to train staff in the prescribed use and the availability of the kit during all program hours of operation. Overdose prevention information is shared with individuals upon admission and is offered to individuals placed on a waitlist to receive treatment services.</w:t>
      </w:r>
    </w:p>
    <w:p>
      <w:pPr>
        <w:pStyle w:val="Normal"/>
        <w:pBdr>
          <w:bottom w:val="single" w:sz="4" w:space="1" w:color="2E5E45"/>
        </w:pBdr>
        <w:spacing w:before="160" w:after="80"/>
        <w:rPr/>
      </w:pPr>
      <w:r>
        <w:rPr>
          <w:rFonts w:eastAsia="Arial" w:cs="Arial"/>
          <w:b/>
          <w:bCs/>
          <w:color w:val="1A4731"/>
          <w:sz w:val="20"/>
          <w:szCs w:val="20"/>
        </w:rPr>
        <w:t>PROCEDURE — OVERDOSE PREVENTION</w:t>
      </w:r>
    </w:p>
    <w:p>
      <w:pPr>
        <w:pStyle w:val="Normal"/>
        <w:tabs>
          <w:tab w:val="left" w:pos="720" w:leader="none"/>
        </w:tabs>
        <w:spacing w:lineRule="exact" w:line="264" w:before="0" w:after="80"/>
        <w:ind w:hanging="360" w:start="720"/>
        <w:rPr/>
      </w:pPr>
      <w:r>
        <w:rPr>
          <w:rFonts w:eastAsia="Arial" w:cs="Arial"/>
          <w:sz w:val="21"/>
          <w:szCs w:val="21"/>
        </w:rPr>
        <w:t>a. Maintain an overdose prevention plan and ensure all staff have a working knowledge of it.</w:t>
      </w:r>
    </w:p>
    <w:p>
      <w:pPr>
        <w:pStyle w:val="Normal"/>
        <w:tabs>
          <w:tab w:val="left" w:pos="720" w:leader="none"/>
        </w:tabs>
        <w:spacing w:lineRule="exact" w:line="264" w:before="0" w:after="80"/>
        <w:ind w:hanging="360" w:start="720"/>
        <w:rPr/>
      </w:pPr>
      <w:r>
        <w:rPr>
          <w:rFonts w:eastAsia="Arial" w:cs="Arial"/>
          <w:sz w:val="21"/>
          <w:szCs w:val="21"/>
        </w:rPr>
        <w:t>b. Where an overdose prevention kit is maintained, train staff in its prescribed use and availability during all program hours.</w:t>
      </w:r>
    </w:p>
    <w:p>
      <w:pPr>
        <w:pStyle w:val="Normal"/>
        <w:tabs>
          <w:tab w:val="left" w:pos="720" w:leader="none"/>
        </w:tabs>
        <w:spacing w:lineRule="exact" w:line="264" w:before="0" w:after="80"/>
        <w:ind w:hanging="360" w:start="720"/>
        <w:rPr/>
      </w:pPr>
      <w:r>
        <w:rPr>
          <w:rFonts w:eastAsia="Arial" w:cs="Arial"/>
          <w:sz w:val="21"/>
          <w:szCs w:val="21"/>
        </w:rPr>
        <w:t>c. Share overdose prevention information with individuals at admission and offer it to individuals on a waitlist.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Overdose Prevention Plan</w:t>
      </w:r>
    </w:p>
    <w:p>
      <w:pPr>
        <w:pStyle w:val="ListParagraph"/>
        <w:numPr>
          <w:ilvl w:val="0"/>
          <w:numId w:val="1"/>
        </w:numPr>
        <w:spacing w:lineRule="exact" w:line="264" w:before="0" w:after="60"/>
        <w:rPr/>
      </w:pPr>
      <w:r>
        <w:rPr>
          <w:rFonts w:eastAsia="Arial" w:cs="Arial"/>
          <w:sz w:val="21"/>
          <w:szCs w:val="21"/>
        </w:rPr>
        <w:t>Naloxone Kit &amp; Staff Training Record</w:t>
      </w:r>
    </w:p>
    <w:p>
      <w:pPr>
        <w:pStyle w:val="ListParagraph"/>
        <w:numPr>
          <w:ilvl w:val="0"/>
          <w:numId w:val="1"/>
        </w:numPr>
        <w:spacing w:lineRule="exact" w:line="264" w:before="0" w:after="60"/>
        <w:rPr/>
      </w:pPr>
      <w:r>
        <w:rPr>
          <w:rFonts w:eastAsia="Arial" w:cs="Arial"/>
          <w:sz w:val="21"/>
          <w:szCs w:val="21"/>
        </w:rPr>
        <w:t>Overdose Prevention Information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Safety, Facility, Infection Control &amp; Quality</w:t>
      </w:r>
    </w:p>
    <w:p>
      <w:pPr>
        <w:pStyle w:val="Normal"/>
        <w:spacing w:lineRule="exact" w:line="288" w:before="0" w:after="240"/>
        <w:rPr/>
      </w:pPr>
      <w:r>
        <w:rPr>
          <w:rFonts w:eastAsia="Arial" w:cs="Arial"/>
          <w:color w:val="444444"/>
          <w:sz w:val="22"/>
          <w:szCs w:val="22"/>
        </w:rPr>
        <w:t>This section keeps services safe and accountable — the quality improvement program; critical incident reporting to the Department’s statewide system within 24 hours; universal infection and exposure control; verbal de-escalation; facility standards; and meals, nutrition and special in-residence requirements.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Quality Improvement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Critical Incident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Universal Infection Control &amp; Exposure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Verbal De-escalation &amp; Behavior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Facility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Meals, Nutrition &amp; Special In-Residence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Facility, Infection Control &amp; Quality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65D-30.004(2); § 397.4103,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improvement program that uses a continuous quality improvement process to evaluate and improve the quality of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board, CEO, medical director, and all staff who contribute data or corrective actions.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has a quality improvement program that complies with Section 397.4103, F.S., and ensures the use of a continuous quality improvement process. The program collects and evaluates data on services and outcomes, identifies concerns about the quality and delivery of care, makes changes or takes action in response, and verifies effectiveness. The medical director meets at least twice a year with the risk management and quality assurance program to review incident reports, grievances, and complaints, documented in committee minutes. Quality improvement findings inform staff training, policy revision, and corrective action.</w:t>
      </w:r>
    </w:p>
    <w:p>
      <w:pPr>
        <w:pStyle w:val="Normal"/>
        <w:pBdr>
          <w:bottom w:val="single" w:sz="4" w:space="1" w:color="2E5E45"/>
        </w:pBdr>
        <w:spacing w:before="160" w:after="80"/>
        <w:rPr/>
      </w:pPr>
      <w:r>
        <w:rPr>
          <w:rFonts w:eastAsia="Arial" w:cs="Arial"/>
          <w:b/>
          <w:bCs/>
          <w:color w:val="1A4731"/>
          <w:sz w:val="20"/>
          <w:szCs w:val="20"/>
        </w:rPr>
        <w:t>PROCEDURE — CONTINUOUS QUALITY IMPROVEMENT</w:t>
      </w:r>
    </w:p>
    <w:p>
      <w:pPr>
        <w:pStyle w:val="Normal"/>
        <w:tabs>
          <w:tab w:val="left" w:pos="720" w:leader="none"/>
        </w:tabs>
        <w:spacing w:lineRule="exact" w:line="264" w:before="0" w:after="80"/>
        <w:ind w:hanging="360" w:start="720"/>
        <w:rPr/>
      </w:pPr>
      <w:r>
        <w:rPr>
          <w:rFonts w:eastAsia="Arial" w:cs="Arial"/>
          <w:sz w:val="21"/>
          <w:szCs w:val="21"/>
        </w:rPr>
        <w:t>a. Collect and evaluate data on services and outcomes and identify concerns about the quality and delivery of care.</w:t>
      </w:r>
    </w:p>
    <w:p>
      <w:pPr>
        <w:pStyle w:val="Normal"/>
        <w:tabs>
          <w:tab w:val="left" w:pos="720" w:leader="none"/>
        </w:tabs>
        <w:spacing w:lineRule="exact" w:line="264" w:before="0" w:after="80"/>
        <w:ind w:hanging="360" w:start="720"/>
        <w:rPr/>
      </w:pPr>
      <w:r>
        <w:rPr>
          <w:rFonts w:eastAsia="Arial" w:cs="Arial"/>
          <w:sz w:val="21"/>
          <w:szCs w:val="21"/>
        </w:rPr>
        <w:t>b. Make changes or take action in response and verify effectiveness.</w:t>
      </w:r>
    </w:p>
    <w:p>
      <w:pPr>
        <w:pStyle w:val="Normal"/>
        <w:tabs>
          <w:tab w:val="left" w:pos="720" w:leader="none"/>
        </w:tabs>
        <w:spacing w:lineRule="exact" w:line="264" w:before="0" w:after="80"/>
        <w:ind w:hanging="360" w:start="720"/>
        <w:rPr/>
      </w:pPr>
      <w:r>
        <w:rPr>
          <w:rFonts w:eastAsia="Arial" w:cs="Arial"/>
          <w:sz w:val="21"/>
          <w:szCs w:val="21"/>
        </w:rPr>
        <w:t>c. Convene the medical director with risk management / quality assurance at least twice a year to review incidents, grievances, and complaints, documented in minutes.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QI Data Collection &amp; Analysis Tools</w:t>
      </w:r>
    </w:p>
    <w:p>
      <w:pPr>
        <w:pStyle w:val="ListParagraph"/>
        <w:numPr>
          <w:ilvl w:val="0"/>
          <w:numId w:val="1"/>
        </w:numPr>
        <w:spacing w:lineRule="exact" w:line="264" w:before="0" w:after="60"/>
        <w:rPr/>
      </w:pPr>
      <w:r>
        <w:rPr>
          <w:rFonts w:eastAsia="Arial" w:cs="Arial"/>
          <w:sz w:val="21"/>
          <w:szCs w:val="21"/>
        </w:rPr>
        <w:t>Risk Management / QA Committee Minutes</w:t>
      </w:r>
    </w:p>
    <w:p>
      <w:pPr>
        <w:pStyle w:val="ListParagraph"/>
        <w:numPr>
          <w:ilvl w:val="0"/>
          <w:numId w:val="1"/>
        </w:numPr>
        <w:spacing w:lineRule="exact" w:line="264" w:before="0" w:after="60"/>
        <w:rPr/>
      </w:pPr>
      <w:r>
        <w:rPr>
          <w:rFonts w:eastAsia="Arial" w:cs="Arial"/>
          <w:sz w:val="21"/>
          <w:szCs w:val="21"/>
        </w:rPr>
        <w:t>Corrective Action &amp; Effectiveness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Critical Incident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Critical Incident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Facility, Infection Control &amp; Quality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65D-30.004(17); § 397.4103,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critical incidents are identified and reported into the Department’s statewide electronic system within required timeframes and used to improve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critical incidents affecting individuals receiving services, staff, or the provider, and to the staff responsible for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develops policies and procedures for submitting critical incidents into the Department’s statewide designated electronic system specific to critical incident reporting, and reports required critical incidents within 24 hours of the incident. Reportable critical incidents include an adult or adolescent death (with the interim manner of death classified as the rule provides and the final classification determined by the medical examiner), adolescent arrest, adolescent-on-adolescent sexual abuse, elopement (an unauthorized absence of any individual), employee arrest, employee misconduct, missing adolescent, security incidents, sexual abuse or sexual battery, significant injury to an individual or staff, suicide attempt, and other major events that have or are likely to have a significant impact. The provider reviews incidents through risk management and quality improvement to identify contributing factors and prevent recurrence.</w:t>
      </w:r>
    </w:p>
    <w:p>
      <w:pPr>
        <w:pStyle w:val="Normal"/>
        <w:spacing w:lineRule="exact" w:line="276" w:before="0" w:after="120"/>
        <w:rPr/>
      </w:pPr>
      <w:r>
        <w:rPr>
          <w:rFonts w:eastAsia="Arial" w:cs="Arial"/>
          <w:sz w:val="21"/>
          <w:szCs w:val="21"/>
        </w:rPr>
        <w:t>Deaths are reported consistent with this policy and the abuse/neglect/death-reporting policy, and documentation is retained.</w:t>
      </w:r>
    </w:p>
    <w:p>
      <w:pPr>
        <w:pStyle w:val="Normal"/>
        <w:pBdr>
          <w:bottom w:val="single" w:sz="4" w:space="1" w:color="2E5E45"/>
        </w:pBdr>
        <w:spacing w:before="160" w:after="80"/>
        <w:rPr/>
      </w:pPr>
      <w:r>
        <w:rPr>
          <w:rFonts w:eastAsia="Arial" w:cs="Arial"/>
          <w:b/>
          <w:bCs/>
          <w:color w:val="1A4731"/>
          <w:sz w:val="20"/>
          <w:szCs w:val="20"/>
        </w:rPr>
        <w:t>PROCEDURE — REPORTING CRITICAL INCIDENTS</w:t>
      </w:r>
    </w:p>
    <w:p>
      <w:pPr>
        <w:pStyle w:val="Normal"/>
        <w:tabs>
          <w:tab w:val="left" w:pos="720" w:leader="none"/>
        </w:tabs>
        <w:spacing w:lineRule="exact" w:line="264" w:before="0" w:after="80"/>
        <w:ind w:hanging="360" w:start="720"/>
        <w:rPr/>
      </w:pPr>
      <w:r>
        <w:rPr>
          <w:rFonts w:eastAsia="Arial" w:cs="Arial"/>
          <w:sz w:val="21"/>
          <w:szCs w:val="21"/>
        </w:rPr>
        <w:t>a. Identify reportable critical incidents and submit them into the Department’s statewide electronic system within 24 hours.</w:t>
      </w:r>
    </w:p>
    <w:p>
      <w:pPr>
        <w:pStyle w:val="Normal"/>
        <w:tabs>
          <w:tab w:val="left" w:pos="720" w:leader="none"/>
        </w:tabs>
        <w:spacing w:lineRule="exact" w:line="264" w:before="0" w:after="80"/>
        <w:ind w:hanging="360" w:start="720"/>
        <w:rPr/>
      </w:pPr>
      <w:r>
        <w:rPr>
          <w:rFonts w:eastAsia="Arial" w:cs="Arial"/>
          <w:sz w:val="21"/>
          <w:szCs w:val="21"/>
        </w:rPr>
        <w:t>b. Classify the interim manner of a death as the rule provides pending the medical examiner’s final classification.</w:t>
      </w:r>
    </w:p>
    <w:p>
      <w:pPr>
        <w:pStyle w:val="Normal"/>
        <w:tabs>
          <w:tab w:val="left" w:pos="720" w:leader="none"/>
        </w:tabs>
        <w:spacing w:lineRule="exact" w:line="264" w:before="0" w:after="80"/>
        <w:ind w:hanging="360" w:start="720"/>
        <w:rPr/>
      </w:pPr>
      <w:r>
        <w:rPr>
          <w:rFonts w:eastAsia="Arial" w:cs="Arial"/>
          <w:sz w:val="21"/>
          <w:szCs w:val="21"/>
        </w:rPr>
        <w:t>c. Retain incident documentation and coordinate death reporting with the abuse/neglect/death-reporting policy.</w:t>
      </w:r>
    </w:p>
    <w:p>
      <w:pPr>
        <w:pStyle w:val="Normal"/>
        <w:pBdr>
          <w:bottom w:val="single" w:sz="4" w:space="1" w:color="2E5E45"/>
        </w:pBdr>
        <w:spacing w:before="160" w:after="80"/>
        <w:rPr/>
      </w:pPr>
      <w:r>
        <w:rPr>
          <w:rFonts w:eastAsia="Arial" w:cs="Arial"/>
          <w:b/>
          <w:bCs/>
          <w:color w:val="1A4731"/>
          <w:sz w:val="20"/>
          <w:szCs w:val="20"/>
        </w:rPr>
        <w:t>PROCEDURE — REVIEW &amp; PREVENTION</w:t>
      </w:r>
    </w:p>
    <w:p>
      <w:pPr>
        <w:pStyle w:val="Normal"/>
        <w:tabs>
          <w:tab w:val="left" w:pos="720" w:leader="none"/>
        </w:tabs>
        <w:spacing w:lineRule="exact" w:line="264" w:before="0" w:after="80"/>
        <w:ind w:hanging="360" w:start="720"/>
        <w:rPr/>
      </w:pPr>
      <w:r>
        <w:rPr>
          <w:rFonts w:eastAsia="Arial" w:cs="Arial"/>
          <w:sz w:val="21"/>
          <w:szCs w:val="21"/>
        </w:rPr>
        <w:t>d. Review critical incidents through risk management and quality improvement to identify causes and trends.</w:t>
      </w:r>
    </w:p>
    <w:p>
      <w:pPr>
        <w:pStyle w:val="Normal"/>
        <w:tabs>
          <w:tab w:val="left" w:pos="720" w:leader="none"/>
        </w:tabs>
        <w:spacing w:lineRule="exact" w:line="264" w:before="0" w:after="80"/>
        <w:ind w:hanging="360" w:start="720"/>
        <w:rPr/>
      </w:pPr>
      <w:r>
        <w:rPr>
          <w:rFonts w:eastAsia="Arial" w:cs="Arial"/>
          <w:sz w:val="21"/>
          <w:szCs w:val="21"/>
        </w:rPr>
        <w:t>e. Implement corrective actions and verify effectiveness.</w:t>
      </w:r>
    </w:p>
    <w:p>
      <w:pPr>
        <w:pStyle w:val="Normal"/>
        <w:tabs>
          <w:tab w:val="left" w:pos="720" w:leader="none"/>
        </w:tabs>
        <w:spacing w:lineRule="exact" w:line="264" w:before="0" w:after="80"/>
        <w:ind w:hanging="360" w:start="720"/>
        <w:rPr/>
      </w:pPr>
      <w:r>
        <w:rPr>
          <w:rFonts w:eastAsia="Arial" w:cs="Arial"/>
          <w:sz w:val="21"/>
          <w:szCs w:val="21"/>
        </w:rPr>
        <w:t>f. Incorporate lessons learned into training and policy.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Critical Incident Report (statewide system)</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Universal Infection Control &amp; Exposure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Universal Infection Control &amp; Exposure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Facility, Infection Control &amp; Quality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65D-30.004(9), (10); Ch. 381, 384, F.S.; 64D-2, 64D-3, F.A.C.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of infection through an exposure control plan and universal infection control services, and to meet infection-control education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volunteers, and individuals receiving services in components required to implement infection control.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Providers licensed to operate the components the rule lists implement an exposure control plan and universal infection control services. A written exposure control plan regarding infectious diseases applies to all staff, volunteers, and individuals, is initially approved and reviewed annually by the medical director or consulting physician (signed and dated), complies with Chapters 381 and 384, F.S., and the Department of Health requirements in Chapters 64D-2 and 64D-3, F.A.C., and is consistent with CDC guidelines. Required universal infection control services include risk assessment and screening for high-risk behavior and communicable disease symptoms with appropriate actions; HIV and TB testing and HIV pre- and post-test counseling for high-risk individuals, directly or by referral; and reporting communicable diseases to the Department of Health under Sections 381.0031 and 384.25, F.S. The provider meets the HIV/AIDS education requirements under Section 381.0035, F.S., and documents all infection prevention and control education.</w:t>
      </w:r>
    </w:p>
    <w:p>
      <w:pPr>
        <w:pStyle w:val="Normal"/>
        <w:pBdr>
          <w:bottom w:val="single" w:sz="4" w:space="1" w:color="2E5E45"/>
        </w:pBdr>
        <w:spacing w:before="160" w:after="80"/>
        <w:rPr/>
      </w:pPr>
      <w:r>
        <w:rPr>
          <w:rFonts w:eastAsia="Arial" w:cs="Arial"/>
          <w:b/>
          <w:bCs/>
          <w:color w:val="1A4731"/>
          <w:sz w:val="20"/>
          <w:szCs w:val="20"/>
        </w:rPr>
        <w:t>PROCEDURE — EXPOSURE CONTROL &amp; SERVICES</w:t>
      </w:r>
    </w:p>
    <w:p>
      <w:pPr>
        <w:pStyle w:val="Normal"/>
        <w:tabs>
          <w:tab w:val="left" w:pos="720" w:leader="none"/>
        </w:tabs>
        <w:spacing w:lineRule="exact" w:line="264" w:before="0" w:after="80"/>
        <w:ind w:hanging="360" w:start="720"/>
        <w:rPr/>
      </w:pPr>
      <w:r>
        <w:rPr>
          <w:rFonts w:eastAsia="Arial" w:cs="Arial"/>
          <w:sz w:val="21"/>
          <w:szCs w:val="21"/>
        </w:rPr>
        <w:t>a. Maintain a written exposure control plan approved and reviewed annually by the medical director or consulting physician, consistent with Florida law and CDC guidelines.</w:t>
      </w:r>
    </w:p>
    <w:p>
      <w:pPr>
        <w:pStyle w:val="Normal"/>
        <w:tabs>
          <w:tab w:val="left" w:pos="720" w:leader="none"/>
        </w:tabs>
        <w:spacing w:lineRule="exact" w:line="264" w:before="0" w:after="80"/>
        <w:ind w:hanging="360" w:start="720"/>
        <w:rPr/>
      </w:pPr>
      <w:r>
        <w:rPr>
          <w:rFonts w:eastAsia="Arial" w:cs="Arial"/>
          <w:sz w:val="21"/>
          <w:szCs w:val="21"/>
        </w:rPr>
        <w:t>b. Provide universal infection control services, including risk screening, HIV/TB testing and counseling directly or by referral, and communicable-disease reporting.</w:t>
      </w:r>
    </w:p>
    <w:p>
      <w:pPr>
        <w:pStyle w:val="Normal"/>
        <w:tabs>
          <w:tab w:val="left" w:pos="720" w:leader="none"/>
        </w:tabs>
        <w:spacing w:lineRule="exact" w:line="264" w:before="0" w:after="80"/>
        <w:ind w:hanging="360" w:start="720"/>
        <w:rPr/>
      </w:pPr>
      <w:r>
        <w:rPr>
          <w:rFonts w:eastAsia="Arial" w:cs="Arial"/>
          <w:sz w:val="21"/>
          <w:szCs w:val="21"/>
        </w:rPr>
        <w:t>c. Meet and document HIV/AIDS and infection-control education requirements for employees and individuals.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Exposure Control Plan (annually reviewed)</w:t>
      </w:r>
    </w:p>
    <w:p>
      <w:pPr>
        <w:pStyle w:val="ListParagraph"/>
        <w:numPr>
          <w:ilvl w:val="0"/>
          <w:numId w:val="1"/>
        </w:numPr>
        <w:spacing w:lineRule="exact" w:line="264" w:before="0" w:after="60"/>
        <w:rPr/>
      </w:pPr>
      <w:r>
        <w:rPr>
          <w:rFonts w:eastAsia="Arial" w:cs="Arial"/>
          <w:sz w:val="21"/>
          <w:szCs w:val="21"/>
        </w:rPr>
        <w:t>Infection Control Screening &amp; Referral Log</w:t>
      </w:r>
    </w:p>
    <w:p>
      <w:pPr>
        <w:pStyle w:val="ListParagraph"/>
        <w:numPr>
          <w:ilvl w:val="0"/>
          <w:numId w:val="1"/>
        </w:numPr>
        <w:spacing w:lineRule="exact" w:line="264" w:before="0" w:after="60"/>
        <w:rPr/>
      </w:pPr>
      <w:r>
        <w:rPr>
          <w:rFonts w:eastAsia="Arial" w:cs="Arial"/>
          <w:sz w:val="21"/>
          <w:szCs w:val="21"/>
        </w:rPr>
        <w:t>Infection Control / HIV-AIDS Education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Verbal De-escalation &amp; Behavior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Verbal De-escalation &amp; Behavior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Facility, Infection Control &amp; Quality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65D-30.004(12); 65D-30.0046(1)(b)</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manage escalating behavior safely using trained verbal de-escalation techniques.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direct care staff in all components except universal direct prevention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has written policies and procedures for the specific verbal de-escalation technique(s) to be used. Direct care staff are trained in verbal de-escalation techniques as required by the staff-training rule, and the provider provides proof to the Department that affected staff have completed training in those techniques. Restraint and seclusion are not used in DCF-licensed substance abuse components except where separately authorized and governed for a designated secure component under applicable law; the provider relies on verbal de-escalation and, when needed, summons emergency assistance.</w:t>
      </w:r>
    </w:p>
    <w:p>
      <w:pPr>
        <w:pStyle w:val="Normal"/>
        <w:pBdr>
          <w:bottom w:val="single" w:sz="4" w:space="1" w:color="2E5E45"/>
        </w:pBdr>
        <w:spacing w:before="160" w:after="80"/>
        <w:rPr/>
      </w:pPr>
      <w:r>
        <w:rPr>
          <w:rFonts w:eastAsia="Arial" w:cs="Arial"/>
          <w:b/>
          <w:bCs/>
          <w:color w:val="1A4731"/>
          <w:sz w:val="20"/>
          <w:szCs w:val="20"/>
        </w:rPr>
        <w:t>PROCEDURE — DE-ESCALATION</w:t>
      </w:r>
    </w:p>
    <w:p>
      <w:pPr>
        <w:pStyle w:val="Normal"/>
        <w:tabs>
          <w:tab w:val="left" w:pos="720" w:leader="none"/>
        </w:tabs>
        <w:spacing w:lineRule="exact" w:line="264" w:before="0" w:after="80"/>
        <w:ind w:hanging="360" w:start="720"/>
        <w:rPr/>
      </w:pPr>
      <w:r>
        <w:rPr>
          <w:rFonts w:eastAsia="Arial" w:cs="Arial"/>
          <w:sz w:val="21"/>
          <w:szCs w:val="21"/>
        </w:rPr>
        <w:t>a. Adopt written policies specifying the verbal de-escalation technique(s) used.</w:t>
      </w:r>
    </w:p>
    <w:p>
      <w:pPr>
        <w:pStyle w:val="Normal"/>
        <w:tabs>
          <w:tab w:val="left" w:pos="720" w:leader="none"/>
        </w:tabs>
        <w:spacing w:lineRule="exact" w:line="264" w:before="0" w:after="80"/>
        <w:ind w:hanging="360" w:start="720"/>
        <w:rPr/>
      </w:pPr>
      <w:r>
        <w:rPr>
          <w:rFonts w:eastAsia="Arial" w:cs="Arial"/>
          <w:sz w:val="21"/>
          <w:szCs w:val="21"/>
        </w:rPr>
        <w:t>b. Train direct care staff in those techniques and maintain proof of training for the Department.</w:t>
      </w:r>
    </w:p>
    <w:p>
      <w:pPr>
        <w:pStyle w:val="Normal"/>
        <w:tabs>
          <w:tab w:val="left" w:pos="720" w:leader="none"/>
        </w:tabs>
        <w:spacing w:lineRule="exact" w:line="264" w:before="0" w:after="80"/>
        <w:ind w:hanging="360" w:start="720"/>
        <w:rPr/>
      </w:pPr>
      <w:r>
        <w:rPr>
          <w:rFonts w:eastAsia="Arial" w:cs="Arial"/>
          <w:sz w:val="21"/>
          <w:szCs w:val="21"/>
        </w:rPr>
        <w:t>c. Use verbal de-escalation to manage escalating behavior and summon emergency assistance when needed.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Verbal De-escalation Policy &amp; Technique Description</w:t>
      </w:r>
    </w:p>
    <w:p>
      <w:pPr>
        <w:pStyle w:val="ListParagraph"/>
        <w:numPr>
          <w:ilvl w:val="0"/>
          <w:numId w:val="1"/>
        </w:numPr>
        <w:spacing w:lineRule="exact" w:line="264" w:before="0" w:after="60"/>
        <w:rPr/>
      </w:pPr>
      <w:r>
        <w:rPr>
          <w:rFonts w:eastAsia="Arial" w:cs="Arial"/>
          <w:sz w:val="21"/>
          <w:szCs w:val="21"/>
        </w:rPr>
        <w:t>De-escalation Training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Facility Standards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Facility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Facility, Infection Control &amp; Quality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physical facility is safe, clean, and suitable for the services provided, meeting the facility standards in Rule 65D-30.0047.</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premises where services are provided.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the facility in accordance with Rule 65D-30.0047, F.A.C., keeping buildings safe, clean, and sanitary with adequate space for the services provided, including space for counseling and, where applicable, group therapy, private counseling, and, for detoxification or residential services, appropriate observation and living areas. The provider maintains secure storage for medications, locked storage for confidential records, first-aid equipment, and appropriate furniture and bedding, and meets applicable fire-safety and physical-plant requirements. Beds and living arrangements meet the rule’s standards, and the environment supports individual safety and dignity.</w:t>
      </w:r>
    </w:p>
    <w:p>
      <w:pPr>
        <w:pStyle w:val="Normal"/>
        <w:pBdr>
          <w:bottom w:val="single" w:sz="4" w:space="1" w:color="2E5E45"/>
        </w:pBdr>
        <w:spacing w:before="160" w:after="80"/>
        <w:rPr/>
      </w:pPr>
      <w:r>
        <w:rPr>
          <w:rFonts w:eastAsia="Arial" w:cs="Arial"/>
          <w:b/>
          <w:bCs/>
          <w:color w:val="1A4731"/>
          <w:sz w:val="20"/>
          <w:szCs w:val="20"/>
        </w:rPr>
        <w:t>PROCEDURE — FACILITY MAINTENANCE</w:t>
      </w:r>
    </w:p>
    <w:p>
      <w:pPr>
        <w:pStyle w:val="Normal"/>
        <w:tabs>
          <w:tab w:val="left" w:pos="720" w:leader="none"/>
        </w:tabs>
        <w:spacing w:lineRule="exact" w:line="264" w:before="0" w:after="80"/>
        <w:ind w:hanging="360" w:start="720"/>
        <w:rPr/>
      </w:pPr>
      <w:r>
        <w:rPr>
          <w:rFonts w:eastAsia="Arial" w:cs="Arial"/>
          <w:sz w:val="21"/>
          <w:szCs w:val="21"/>
        </w:rPr>
        <w:t>a. Maintain safe, clean, sanitary premises with adequate space for the services provided, including counseling and, where applicable, group and residential areas.</w:t>
      </w:r>
    </w:p>
    <w:p>
      <w:pPr>
        <w:pStyle w:val="Normal"/>
        <w:tabs>
          <w:tab w:val="left" w:pos="720" w:leader="none"/>
        </w:tabs>
        <w:spacing w:lineRule="exact" w:line="264" w:before="0" w:after="80"/>
        <w:ind w:hanging="360" w:start="720"/>
        <w:rPr/>
      </w:pPr>
      <w:r>
        <w:rPr>
          <w:rFonts w:eastAsia="Arial" w:cs="Arial"/>
          <w:sz w:val="21"/>
          <w:szCs w:val="21"/>
        </w:rPr>
        <w:t>b. Maintain secure medication storage, locked record storage, first-aid equipment, and appropriate furniture and bedding, and meet fire-safety and physical-plant requirements.</w:t>
      </w:r>
    </w:p>
    <w:p>
      <w:pPr>
        <w:pStyle w:val="Normal"/>
        <w:tabs>
          <w:tab w:val="left" w:pos="720" w:leader="none"/>
        </w:tabs>
        <w:spacing w:lineRule="exact" w:line="264" w:before="0" w:after="80"/>
        <w:ind w:hanging="360" w:start="720"/>
        <w:rPr/>
      </w:pPr>
      <w:r>
        <w:rPr>
          <w:rFonts w:eastAsia="Arial" w:cs="Arial"/>
          <w:sz w:val="21"/>
          <w:szCs w:val="21"/>
        </w:rPr>
        <w:t>c. Conduct environmental rounds, correct deficiencies promptly, and track them through quality improvement.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Facility Standards Checklist</w:t>
      </w:r>
    </w:p>
    <w:p>
      <w:pPr>
        <w:pStyle w:val="ListParagraph"/>
        <w:numPr>
          <w:ilvl w:val="0"/>
          <w:numId w:val="1"/>
        </w:numPr>
        <w:spacing w:lineRule="exact" w:line="264" w:before="0" w:after="60"/>
        <w:rPr/>
      </w:pPr>
      <w:r>
        <w:rPr>
          <w:rFonts w:eastAsia="Arial" w:cs="Arial"/>
          <w:sz w:val="21"/>
          <w:szCs w:val="21"/>
        </w:rPr>
        <w:t>Environmental Rounds &amp; Maintenance Log</w:t>
      </w:r>
    </w:p>
    <w:p>
      <w:pPr>
        <w:pStyle w:val="ListParagraph"/>
        <w:numPr>
          <w:ilvl w:val="0"/>
          <w:numId w:val="1"/>
        </w:numPr>
        <w:spacing w:lineRule="exact" w:line="264" w:before="0" w:after="60"/>
        <w:rPr/>
      </w:pPr>
      <w:r>
        <w:rPr>
          <w:rFonts w:eastAsia="Arial" w:cs="Arial"/>
          <w:sz w:val="21"/>
          <w:szCs w:val="21"/>
        </w:rPr>
        <w:t>Fire-Safety &amp; Physical-Plant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Meals, Nutrition &amp; Special In-Residence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Meals, Nutrition &amp; Special In-Residence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Facility, Infection Control &amp; Quality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65D-30.004(11), (13), (15); § 468.509, F.S.; Ch. 1003,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residential and day/night components provide adequate meals and nutrition and meet the special requirements for housing individuals, including protections for minors.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components that provide meals or house individuals and to the staff responsible.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Providers licensed to operate addictions receiving facilities, inpatient detoxification, intensive inpatient treatment, and residential treatment provide at least three meals per calendar day plus at least one snack. Providers of day or night treatment with community housing and day or night treatment arrange to serve a meal to individuals involved in services a minimum of five hours at one time. Individuals with special dietary needs are reasonably accommodated, food is never withheld for disciplinary reasons, and nutrition and dietary plans are reviewed and approved at least annually by a licensed dietitian/nutritionist under Section 468.509, F.S. Where food service is contracted, the contract and the company’s current health inspection are provided to the Department on application and renewal.</w:t>
      </w:r>
    </w:p>
    <w:p>
      <w:pPr>
        <w:pStyle w:val="Normal"/>
        <w:spacing w:lineRule="exact" w:line="276" w:before="0" w:after="120"/>
        <w:rPr/>
      </w:pPr>
      <w:r>
        <w:rPr>
          <w:rFonts w:eastAsia="Arial" w:cs="Arial"/>
          <w:sz w:val="21"/>
          <w:szCs w:val="21"/>
        </w:rPr>
        <w:t>Service providers housing individuals furnish beds only to individuals admitted for the specific level of care for which they meet criteria; providers housing males and females together provide separate sleeping arrangements with at least one staff member present at all times; and providers serving adults and persons under 18 in the same facility ensure safety with one-on-one supervision, separate bedrooms, and age-appropriate programming, and do not collocate children or adolescents with adults except as the rule allows. A seventeen-year-old who turns 18 during treatment may stay only if clinically indicated with one-on-one supervision and a separate bedroom. Providers admitting juveniles between the ages of 6 and 16 comply with the compulsory school attendance requirements of Chapter 1003, Part III, F.S.</w:t>
      </w:r>
    </w:p>
    <w:p>
      <w:pPr>
        <w:pStyle w:val="Normal"/>
        <w:pBdr>
          <w:bottom w:val="single" w:sz="4" w:space="1" w:color="2E5E45"/>
        </w:pBdr>
        <w:spacing w:before="160" w:after="80"/>
        <w:rPr/>
      </w:pPr>
      <w:r>
        <w:rPr>
          <w:rFonts w:eastAsia="Arial" w:cs="Arial"/>
          <w:b/>
          <w:bCs/>
          <w:color w:val="1A4731"/>
          <w:sz w:val="20"/>
          <w:szCs w:val="20"/>
        </w:rPr>
        <w:t>PROCEDURE — MEALS &amp; NUTRITION</w:t>
      </w:r>
    </w:p>
    <w:p>
      <w:pPr>
        <w:pStyle w:val="Normal"/>
        <w:tabs>
          <w:tab w:val="left" w:pos="720" w:leader="none"/>
        </w:tabs>
        <w:spacing w:lineRule="exact" w:line="264" w:before="0" w:after="80"/>
        <w:ind w:hanging="360" w:start="720"/>
        <w:rPr/>
      </w:pPr>
      <w:r>
        <w:rPr>
          <w:rFonts w:eastAsia="Arial" w:cs="Arial"/>
          <w:sz w:val="21"/>
          <w:szCs w:val="21"/>
        </w:rPr>
        <w:t>a. Provide the required meals and snacks by component, accommodate special dietary needs, and never withhold food for discipline.</w:t>
      </w:r>
    </w:p>
    <w:p>
      <w:pPr>
        <w:pStyle w:val="Normal"/>
        <w:tabs>
          <w:tab w:val="left" w:pos="720" w:leader="none"/>
        </w:tabs>
        <w:spacing w:lineRule="exact" w:line="264" w:before="0" w:after="80"/>
        <w:ind w:hanging="360" w:start="720"/>
        <w:rPr/>
      </w:pPr>
      <w:r>
        <w:rPr>
          <w:rFonts w:eastAsia="Arial" w:cs="Arial"/>
          <w:sz w:val="21"/>
          <w:szCs w:val="21"/>
        </w:rPr>
        <w:t>b. Have nutrition and dietary plans reviewed and approved at least annually by a licensed dietitian/nutritionist, and provide any food-service contract and health inspection to the Department.</w:t>
      </w:r>
    </w:p>
    <w:p>
      <w:pPr>
        <w:pStyle w:val="Normal"/>
        <w:pBdr>
          <w:bottom w:val="single" w:sz="4" w:space="1" w:color="2E5E45"/>
        </w:pBdr>
        <w:spacing w:before="160" w:after="80"/>
        <w:rPr/>
      </w:pPr>
      <w:r>
        <w:rPr>
          <w:rFonts w:eastAsia="Arial" w:cs="Arial"/>
          <w:b/>
          <w:bCs/>
          <w:color w:val="1A4731"/>
          <w:sz w:val="20"/>
          <w:szCs w:val="20"/>
        </w:rPr>
        <w:t>PROCEDURE — IN-RESIDENCE &amp; MINOR PROTECTIONS</w:t>
      </w:r>
    </w:p>
    <w:p>
      <w:pPr>
        <w:pStyle w:val="Normal"/>
        <w:tabs>
          <w:tab w:val="left" w:pos="720" w:leader="none"/>
        </w:tabs>
        <w:spacing w:lineRule="exact" w:line="264" w:before="0" w:after="80"/>
        <w:ind w:hanging="360" w:start="720"/>
        <w:rPr/>
      </w:pPr>
      <w:r>
        <w:rPr>
          <w:rFonts w:eastAsia="Arial" w:cs="Arial"/>
          <w:sz w:val="21"/>
          <w:szCs w:val="21"/>
        </w:rPr>
        <w:t>c. Furnish beds only to individuals meeting criteria for the level of care, and provide separate sleeping arrangements with staff present when housing males and females together.</w:t>
      </w:r>
    </w:p>
    <w:p>
      <w:pPr>
        <w:pStyle w:val="Normal"/>
        <w:tabs>
          <w:tab w:val="left" w:pos="720" w:leader="none"/>
        </w:tabs>
        <w:spacing w:lineRule="exact" w:line="264" w:before="0" w:after="80"/>
        <w:ind w:hanging="360" w:start="720"/>
        <w:rPr/>
      </w:pPr>
      <w:r>
        <w:rPr>
          <w:rFonts w:eastAsia="Arial" w:cs="Arial"/>
          <w:sz w:val="21"/>
          <w:szCs w:val="21"/>
        </w:rPr>
        <w:t>d. Protect minors with one-on-one supervision, separate bedrooms, and age-appropriate programming, and do not collocate minors with adults except as allowed.</w:t>
      </w:r>
    </w:p>
    <w:p>
      <w:pPr>
        <w:pStyle w:val="Normal"/>
        <w:tabs>
          <w:tab w:val="left" w:pos="720" w:leader="none"/>
        </w:tabs>
        <w:spacing w:lineRule="exact" w:line="264" w:before="0" w:after="80"/>
        <w:ind w:hanging="360" w:start="720"/>
        <w:rPr/>
      </w:pPr>
      <w:r>
        <w:rPr>
          <w:rFonts w:eastAsia="Arial" w:cs="Arial"/>
          <w:sz w:val="21"/>
          <w:szCs w:val="21"/>
        </w:rPr>
        <w:t>e. Comply with compulsory school attendance requirements for juveniles ages 6 to 16.</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Nutrition Plan (dietitian-approved)</w:t>
      </w:r>
    </w:p>
    <w:p>
      <w:pPr>
        <w:pStyle w:val="ListParagraph"/>
        <w:numPr>
          <w:ilvl w:val="0"/>
          <w:numId w:val="1"/>
        </w:numPr>
        <w:spacing w:lineRule="exact" w:line="264" w:before="0" w:after="60"/>
        <w:rPr/>
      </w:pPr>
      <w:r>
        <w:rPr>
          <w:rFonts w:eastAsia="Arial" w:cs="Arial"/>
          <w:sz w:val="21"/>
          <w:szCs w:val="21"/>
        </w:rPr>
        <w:t>Food-Service Contract &amp; Health Inspection Record</w:t>
      </w:r>
    </w:p>
    <w:p>
      <w:pPr>
        <w:pStyle w:val="ListParagraph"/>
        <w:numPr>
          <w:ilvl w:val="0"/>
          <w:numId w:val="1"/>
        </w:numPr>
        <w:spacing w:lineRule="exact" w:line="264" w:before="0" w:after="60"/>
        <w:rPr/>
      </w:pPr>
      <w:r>
        <w:rPr>
          <w:rFonts w:eastAsia="Arial" w:cs="Arial"/>
          <w:sz w:val="21"/>
          <w:szCs w:val="21"/>
        </w:rPr>
        <w:t>In-Residence Housing &amp; Supervision Log</w:t>
      </w:r>
    </w:p>
    <w:p>
      <w:pPr>
        <w:pStyle w:val="ListParagraph"/>
        <w:numPr>
          <w:ilvl w:val="0"/>
          <w:numId w:val="1"/>
        </w:numPr>
        <w:spacing w:lineRule="exact" w:line="264" w:before="0" w:after="60"/>
        <w:rPr/>
      </w:pPr>
      <w:r>
        <w:rPr>
          <w:rFonts w:eastAsia="Arial" w:cs="Arial"/>
          <w:sz w:val="21"/>
          <w:szCs w:val="21"/>
        </w:rPr>
        <w:t>Minor Programming &amp; School Attendance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Service Component Standards</w:t>
      </w:r>
    </w:p>
    <w:p>
      <w:pPr>
        <w:pStyle w:val="Normal"/>
        <w:spacing w:lineRule="exact" w:line="288" w:before="0" w:after="240"/>
        <w:rPr/>
      </w:pPr>
      <w:r>
        <w:rPr>
          <w:rFonts w:eastAsia="Arial" w:cs="Arial"/>
          <w:color w:val="444444"/>
          <w:sz w:val="22"/>
          <w:szCs w:val="22"/>
        </w:rPr>
        <w:t>This section applies only to the service components the provider is licensed to deliver. Adopt each policy only for a component on your DCF license — each component carries additional Chapter 65D-30 (and, for medication-assisted treatment, federal) requirements on top of the common standards in Sections A through F.</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7.00  Addictions Receiving Facility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7.01  Detoxification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7.02  Intensive Inpatient Treatment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7.03  Residential Treatment (Levels 1–4)</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7.04  Day or Night Treatment with Community Housing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7.05  Day or Night Treatment (Partial Hospitalization)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7.06  Intensive Outpatient Treatment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7.07  Outpatient Treatment &amp; Aftercare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7.08  Medication-Assisted Treatment for Opioid Use Disorders</w:t>
      </w:r>
    </w:p>
    <w:p>
      <w:pPr>
        <w:pStyle w:val="Normal"/>
        <w:rPr/>
      </w:pPr>
      <w:r>
        <w:rPr/>
      </w:r>
      <w:r>
        <w:br w:type="page"/>
      </w:r>
    </w:p>
    <w:p>
      <w:pPr>
        <w:pStyle w:val="Heading2"/>
        <w:spacing w:before="0" w:after="120"/>
        <w:rPr/>
      </w:pPr>
      <w:r>
        <w:rPr>
          <w:rFonts w:eastAsia="Arial" w:cs="Arial" w:ascii="Arial" w:hAnsi="Arial"/>
          <w:b/>
          <w:bCs/>
          <w:color w:val="1A4731"/>
          <w:sz w:val="26"/>
          <w:szCs w:val="26"/>
        </w:rPr>
        <w:t>7.00  Addictions Receiving Facility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7.00  Addictions Receiving Facility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Component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65D-30.005; §§ 397.675, 397.6751,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Rule 65D-30.005 standards that apply when the provider is licensed and designated to operate an addictions receiving facility (ARF).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and Department-designated to operate an addictions receiving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addictions receiving facility is a secure, acute-care or sub-acute, residential facility operated 24 hours a day, 7 days a week, designated by the Department to serve individuals found to be substance use impaired as described in Section 397.675, F.S., who meet the placement criteria for this component. In addition to Rule 65D-30.004, F.A.C., the ARF standards apply. The Department designates addictions receiving facilities; the provider requests designation on the licensure application, and designation follows the Department’s review process, including at least 80 percent compliance with applicable licensing standards, capability to provide a secure acute-care facility including compliance with seclusion and restraint, and a regional director’s written recommendation.</w:t>
      </w:r>
    </w:p>
    <w:p>
      <w:pPr>
        <w:pStyle w:val="Normal"/>
        <w:spacing w:lineRule="exact" w:line="276" w:before="0" w:after="120"/>
        <w:rPr/>
      </w:pPr>
      <w:r>
        <w:rPr>
          <w:rFonts w:eastAsia="Arial" w:cs="Arial"/>
          <w:sz w:val="21"/>
          <w:szCs w:val="21"/>
        </w:rPr>
        <w:t>The ARF serves individuals admitted voluntarily who display behaviors indicating potential harm to self or others due to a substance use issue or who meet medical criteria for a secure facility, individuals who meet the criteria for involuntary admission under Section 397.675, F.S., adult or juvenile offenders ordered for assessment or treatment under Sections 397.705 and 397.706, F.S., and juveniles found in contempt as authorized by law, and applies the exclusionary criteria the rule specifies. An involuntary assessment is completed by a qualified professional under the clinical and medical guidelines, and a disposition is made within the assessment period. Each individual is offered supportive counseling on a daily basis unless not sufficiently stabilized, and a daily schedule including recreational and educational activities is posted and documented in the clinical record.</w:t>
      </w:r>
    </w:p>
    <w:p>
      <w:pPr>
        <w:pStyle w:val="Normal"/>
        <w:pBdr>
          <w:bottom w:val="single" w:sz="4" w:space="1" w:color="2E5E45"/>
        </w:pBdr>
        <w:spacing w:before="160" w:after="80"/>
        <w:rPr/>
      </w:pPr>
      <w:r>
        <w:rPr>
          <w:rFonts w:eastAsia="Arial" w:cs="Arial"/>
          <w:b/>
          <w:bCs/>
          <w:color w:val="1A4731"/>
          <w:sz w:val="20"/>
          <w:szCs w:val="20"/>
        </w:rPr>
        <w:t>PROCEDURE — DESIGNATION &amp; ADMISSION</w:t>
      </w:r>
    </w:p>
    <w:p>
      <w:pPr>
        <w:pStyle w:val="Normal"/>
        <w:tabs>
          <w:tab w:val="left" w:pos="720" w:leader="none"/>
        </w:tabs>
        <w:spacing w:lineRule="exact" w:line="264" w:before="0" w:after="80"/>
        <w:ind w:hanging="360" w:start="720"/>
        <w:rPr/>
      </w:pPr>
      <w:r>
        <w:rPr>
          <w:rFonts w:eastAsia="Arial" w:cs="Arial"/>
          <w:sz w:val="21"/>
          <w:szCs w:val="21"/>
        </w:rPr>
        <w:t>a. Request Department designation on the licensure application and meet the designation criteria, including secure-facility capability and seclusion/restraint compliance.</w:t>
      </w:r>
    </w:p>
    <w:p>
      <w:pPr>
        <w:pStyle w:val="Normal"/>
        <w:tabs>
          <w:tab w:val="left" w:pos="720" w:leader="none"/>
        </w:tabs>
        <w:spacing w:lineRule="exact" w:line="264" w:before="0" w:after="80"/>
        <w:ind w:hanging="360" w:start="720"/>
        <w:rPr/>
      </w:pPr>
      <w:r>
        <w:rPr>
          <w:rFonts w:eastAsia="Arial" w:cs="Arial"/>
          <w:sz w:val="21"/>
          <w:szCs w:val="21"/>
        </w:rPr>
        <w:t>b. Admit individuals meeting the voluntary, involuntary, or court-ordered criteria and apply the exclusionary criteria.</w:t>
      </w:r>
    </w:p>
    <w:p>
      <w:pPr>
        <w:pStyle w:val="Normal"/>
        <w:tabs>
          <w:tab w:val="left" w:pos="720" w:leader="none"/>
        </w:tabs>
        <w:spacing w:lineRule="exact" w:line="264" w:before="0" w:after="80"/>
        <w:ind w:hanging="360" w:start="720"/>
        <w:rPr/>
      </w:pPr>
      <w:r>
        <w:rPr>
          <w:rFonts w:eastAsia="Arial" w:cs="Arial"/>
          <w:sz w:val="21"/>
          <w:szCs w:val="21"/>
        </w:rPr>
        <w:t>c. Complete an involuntary assessment by a qualified professional and make a disposition within the assessment period.</w:t>
      </w:r>
    </w:p>
    <w:p>
      <w:pPr>
        <w:pStyle w:val="Normal"/>
        <w:pBdr>
          <w:bottom w:val="single" w:sz="4" w:space="1" w:color="2E5E45"/>
        </w:pBdr>
        <w:spacing w:before="160" w:after="80"/>
        <w:rPr/>
      </w:pPr>
      <w:r>
        <w:rPr>
          <w:rFonts w:eastAsia="Arial" w:cs="Arial"/>
          <w:b/>
          <w:bCs/>
          <w:color w:val="1A4731"/>
          <w:sz w:val="20"/>
          <w:szCs w:val="20"/>
        </w:rPr>
        <w:t>PROCEDURE — SERVICES &amp; SCHEDULE</w:t>
      </w:r>
    </w:p>
    <w:p>
      <w:pPr>
        <w:pStyle w:val="Normal"/>
        <w:tabs>
          <w:tab w:val="left" w:pos="720" w:leader="none"/>
        </w:tabs>
        <w:spacing w:lineRule="exact" w:line="264" w:before="0" w:after="80"/>
        <w:ind w:hanging="360" w:start="720"/>
        <w:rPr/>
      </w:pPr>
      <w:r>
        <w:rPr>
          <w:rFonts w:eastAsia="Arial" w:cs="Arial"/>
          <w:sz w:val="21"/>
          <w:szCs w:val="21"/>
        </w:rPr>
        <w:t>d. Offer supportive counseling daily unless the individual is not sufficiently stabilized.</w:t>
      </w:r>
    </w:p>
    <w:p>
      <w:pPr>
        <w:pStyle w:val="Normal"/>
        <w:tabs>
          <w:tab w:val="left" w:pos="720" w:leader="none"/>
        </w:tabs>
        <w:spacing w:lineRule="exact" w:line="264" w:before="0" w:after="80"/>
        <w:ind w:hanging="360" w:start="720"/>
        <w:rPr/>
      </w:pPr>
      <w:r>
        <w:rPr>
          <w:rFonts w:eastAsia="Arial" w:cs="Arial"/>
          <w:sz w:val="21"/>
          <w:szCs w:val="21"/>
        </w:rPr>
        <w:t>e. Post a daily schedule including recreational and educational activities and document participation in the clinical record.</w:t>
      </w:r>
    </w:p>
    <w:p>
      <w:pPr>
        <w:pStyle w:val="Normal"/>
        <w:tabs>
          <w:tab w:val="left" w:pos="720" w:leader="none"/>
        </w:tabs>
        <w:spacing w:lineRule="exact" w:line="264" w:before="0" w:after="80"/>
        <w:ind w:hanging="360" w:start="720"/>
        <w:rPr/>
      </w:pPr>
      <w:r>
        <w:rPr>
          <w:rFonts w:eastAsia="Arial" w:cs="Arial"/>
          <w:sz w:val="21"/>
          <w:szCs w:val="21"/>
        </w:rPr>
        <w:t>f. Operate the secure facility 24/7 with the required staffing and safety measures.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ARF Designation Request &amp; Approval</w:t>
      </w:r>
    </w:p>
    <w:p>
      <w:pPr>
        <w:pStyle w:val="ListParagraph"/>
        <w:numPr>
          <w:ilvl w:val="0"/>
          <w:numId w:val="1"/>
        </w:numPr>
        <w:spacing w:lineRule="exact" w:line="264" w:before="0" w:after="60"/>
        <w:rPr/>
      </w:pPr>
      <w:r>
        <w:rPr>
          <w:rFonts w:eastAsia="Arial" w:cs="Arial"/>
          <w:sz w:val="21"/>
          <w:szCs w:val="21"/>
        </w:rPr>
        <w:t>Involuntary Assessment &amp; Disposition Record</w:t>
      </w:r>
    </w:p>
    <w:p>
      <w:pPr>
        <w:pStyle w:val="ListParagraph"/>
        <w:numPr>
          <w:ilvl w:val="0"/>
          <w:numId w:val="1"/>
        </w:numPr>
        <w:spacing w:lineRule="exact" w:line="264" w:before="0" w:after="60"/>
        <w:rPr/>
      </w:pPr>
      <w:r>
        <w:rPr>
          <w:rFonts w:eastAsia="Arial" w:cs="Arial"/>
          <w:sz w:val="21"/>
          <w:szCs w:val="21"/>
        </w:rPr>
        <w:t>Daily Schedule &amp; Participation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7.01  Detoxification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7.01  Detoxification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Component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Rule 65D-30.006 standards that apply when the provider is licensed to operate detoxification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to operate detoxification (inpatient or outpatient detoxification).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Detoxification uses medical and clinical procedures to assist an individual in withdrawing from the physiological and psychological effects of substances. In addition to Rule 65D-30.004, F.A.C., the detoxification standards apply. Detoxification is provided under the direction of the medical director with a physician available as required, with nursing and clinical staffing appropriate to the acuity of individuals, medical monitoring and protocols for withdrawal management, and prompt access to emergency medical services. Placement, assessment, treatment planning, progress notes, medication, and clinical records follow the common standards, and the provider addresses transfer to a higher or lower level of care based on the individual’s condition.</w:t>
      </w:r>
    </w:p>
    <w:p>
      <w:pPr>
        <w:pStyle w:val="Normal"/>
        <w:pBdr>
          <w:bottom w:val="single" w:sz="4" w:space="1" w:color="2E5E45"/>
        </w:pBdr>
        <w:spacing w:before="160" w:after="80"/>
        <w:rPr/>
      </w:pPr>
      <w:r>
        <w:rPr>
          <w:rFonts w:eastAsia="Arial" w:cs="Arial"/>
          <w:b/>
          <w:bCs/>
          <w:color w:val="1A4731"/>
          <w:sz w:val="20"/>
          <w:szCs w:val="20"/>
        </w:rPr>
        <w:t>PROCEDURE — DETOXIFICATION SERVICES</w:t>
      </w:r>
    </w:p>
    <w:p>
      <w:pPr>
        <w:pStyle w:val="Normal"/>
        <w:tabs>
          <w:tab w:val="left" w:pos="720" w:leader="none"/>
        </w:tabs>
        <w:spacing w:lineRule="exact" w:line="264" w:before="0" w:after="80"/>
        <w:ind w:hanging="360" w:start="720"/>
        <w:rPr/>
      </w:pPr>
      <w:r>
        <w:rPr>
          <w:rFonts w:eastAsia="Arial" w:cs="Arial"/>
          <w:sz w:val="21"/>
          <w:szCs w:val="21"/>
        </w:rPr>
        <w:t>a. Provide detoxification under medical direction with staffing and monitoring appropriate to individual acuity and withdrawal-management protocols.</w:t>
      </w:r>
    </w:p>
    <w:p>
      <w:pPr>
        <w:pStyle w:val="Normal"/>
        <w:tabs>
          <w:tab w:val="left" w:pos="720" w:leader="none"/>
        </w:tabs>
        <w:spacing w:lineRule="exact" w:line="264" w:before="0" w:after="80"/>
        <w:ind w:hanging="360" w:start="720"/>
        <w:rPr/>
      </w:pPr>
      <w:r>
        <w:rPr>
          <w:rFonts w:eastAsia="Arial" w:cs="Arial"/>
          <w:sz w:val="21"/>
          <w:szCs w:val="21"/>
        </w:rPr>
        <w:t>b. Assess, plan, monitor, and document care under the common clinical standards, and maintain access to emergency medical services.</w:t>
      </w:r>
    </w:p>
    <w:p>
      <w:pPr>
        <w:pStyle w:val="Normal"/>
        <w:tabs>
          <w:tab w:val="left" w:pos="720" w:leader="none"/>
        </w:tabs>
        <w:spacing w:lineRule="exact" w:line="264" w:before="0" w:after="80"/>
        <w:ind w:hanging="360" w:start="720"/>
        <w:rPr/>
      </w:pPr>
      <w:r>
        <w:rPr>
          <w:rFonts w:eastAsia="Arial" w:cs="Arial"/>
          <w:sz w:val="21"/>
          <w:szCs w:val="21"/>
        </w:rPr>
        <w:t>c. Transfer individuals to a higher or lower level of care based on condition and document the transfer.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Detoxification Admission &amp; Withdrawal Assessment</w:t>
      </w:r>
    </w:p>
    <w:p>
      <w:pPr>
        <w:pStyle w:val="ListParagraph"/>
        <w:numPr>
          <w:ilvl w:val="0"/>
          <w:numId w:val="1"/>
        </w:numPr>
        <w:spacing w:lineRule="exact" w:line="264" w:before="0" w:after="60"/>
        <w:rPr/>
      </w:pPr>
      <w:r>
        <w:rPr>
          <w:rFonts w:eastAsia="Arial" w:cs="Arial"/>
          <w:sz w:val="21"/>
          <w:szCs w:val="21"/>
        </w:rPr>
        <w:t>Medical Monitoring / Withdrawal Management Record</w:t>
      </w:r>
    </w:p>
    <w:p>
      <w:pPr>
        <w:pStyle w:val="ListParagraph"/>
        <w:numPr>
          <w:ilvl w:val="0"/>
          <w:numId w:val="1"/>
        </w:numPr>
        <w:spacing w:lineRule="exact" w:line="264" w:before="0" w:after="60"/>
        <w:rPr/>
      </w:pPr>
      <w:r>
        <w:rPr>
          <w:rFonts w:eastAsia="Arial" w:cs="Arial"/>
          <w:sz w:val="21"/>
          <w:szCs w:val="21"/>
        </w:rPr>
        <w:t>Level-of-Care Transfer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7.02  Intensive Inpatient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7.02  Intensive Inpatient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Component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65D-30.0061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Rule 65D-30.0061 standards that apply when the provider is licensed to operate intensive inpatient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to operate intensive inpatient treatment.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Intensive inpatient treatment provides a planned regimen of evaluation, care, and treatment in a 24-hour residential setting for individuals with substance use disorders, often with co-occurring conditions or medical needs, who require intensive services. In addition to Rule 65D-30.004, F.A.C., the intensive inpatient standards apply, including medical direction, staffing appropriate to acuity, and the required frequency and intensity of clinical services. Assessment, placement, treatment planning, counseling, medication, medical services, and clinical records follow the common standards, and the provider coordinates step-down to lower levels of care.</w:t>
      </w:r>
    </w:p>
    <w:p>
      <w:pPr>
        <w:pStyle w:val="Normal"/>
        <w:pBdr>
          <w:bottom w:val="single" w:sz="4" w:space="1" w:color="2E5E45"/>
        </w:pBdr>
        <w:spacing w:before="160" w:after="80"/>
        <w:rPr/>
      </w:pPr>
      <w:r>
        <w:rPr>
          <w:rFonts w:eastAsia="Arial" w:cs="Arial"/>
          <w:b/>
          <w:bCs/>
          <w:color w:val="1A4731"/>
          <w:sz w:val="20"/>
          <w:szCs w:val="20"/>
        </w:rPr>
        <w:t>PROCEDURE — INTENSIVE INPATIENT SERVICES</w:t>
      </w:r>
    </w:p>
    <w:p>
      <w:pPr>
        <w:pStyle w:val="Normal"/>
        <w:tabs>
          <w:tab w:val="left" w:pos="720" w:leader="none"/>
        </w:tabs>
        <w:spacing w:lineRule="exact" w:line="264" w:before="0" w:after="80"/>
        <w:ind w:hanging="360" w:start="720"/>
        <w:rPr/>
      </w:pPr>
      <w:r>
        <w:rPr>
          <w:rFonts w:eastAsia="Arial" w:cs="Arial"/>
          <w:sz w:val="21"/>
          <w:szCs w:val="21"/>
        </w:rPr>
        <w:t>a. Provide intensive inpatient treatment under medical direction with staffing and clinical intensity appropriate to individual acuity.</w:t>
      </w:r>
    </w:p>
    <w:p>
      <w:pPr>
        <w:pStyle w:val="Normal"/>
        <w:tabs>
          <w:tab w:val="left" w:pos="720" w:leader="none"/>
        </w:tabs>
        <w:spacing w:lineRule="exact" w:line="264" w:before="0" w:after="80"/>
        <w:ind w:hanging="360" w:start="720"/>
        <w:rPr/>
      </w:pPr>
      <w:r>
        <w:rPr>
          <w:rFonts w:eastAsia="Arial" w:cs="Arial"/>
          <w:sz w:val="21"/>
          <w:szCs w:val="21"/>
        </w:rPr>
        <w:t>b. Assess, plan, treat, and document care under the common clinical standards.</w:t>
      </w:r>
    </w:p>
    <w:p>
      <w:pPr>
        <w:pStyle w:val="Normal"/>
        <w:tabs>
          <w:tab w:val="left" w:pos="720" w:leader="none"/>
        </w:tabs>
        <w:spacing w:lineRule="exact" w:line="264" w:before="0" w:after="80"/>
        <w:ind w:hanging="360" w:start="720"/>
        <w:rPr/>
      </w:pPr>
      <w:r>
        <w:rPr>
          <w:rFonts w:eastAsia="Arial" w:cs="Arial"/>
          <w:sz w:val="21"/>
          <w:szCs w:val="21"/>
        </w:rPr>
        <w:t>c. Coordinate step-down to lower levels of care and document transitions.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Intensive Inpatient Admission &amp; Assessment</w:t>
      </w:r>
    </w:p>
    <w:p>
      <w:pPr>
        <w:pStyle w:val="ListParagraph"/>
        <w:numPr>
          <w:ilvl w:val="0"/>
          <w:numId w:val="1"/>
        </w:numPr>
        <w:spacing w:lineRule="exact" w:line="264" w:before="0" w:after="60"/>
        <w:rPr/>
      </w:pPr>
      <w:r>
        <w:rPr>
          <w:rFonts w:eastAsia="Arial" w:cs="Arial"/>
          <w:sz w:val="21"/>
          <w:szCs w:val="21"/>
        </w:rPr>
        <w:t>Service Intensity &amp; Staffing Record</w:t>
      </w:r>
    </w:p>
    <w:p>
      <w:pPr>
        <w:pStyle w:val="ListParagraph"/>
        <w:numPr>
          <w:ilvl w:val="0"/>
          <w:numId w:val="1"/>
        </w:numPr>
        <w:spacing w:lineRule="exact" w:line="264" w:before="0" w:after="60"/>
        <w:rPr/>
      </w:pPr>
      <w:r>
        <w:rPr>
          <w:rFonts w:eastAsia="Arial" w:cs="Arial"/>
          <w:sz w:val="21"/>
          <w:szCs w:val="21"/>
        </w:rPr>
        <w:t>Step-Down /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7.03  Residential Treatment (Levels 1–4)</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7.03  Residential Treatment (Levels 1–4)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Component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Rule 65D-30.007 standards that apply when the provider is licensed to operate residential treatment, at the level(s) for which it is licensed.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to operate residential treatment and to the specific level(s) (1, 2, 3, or 4) authorized on the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Residential treatment is provided in a structured and supervised live-in environment in a nonhospital or free-standing setting 24 hours a day, 7 days a week, for individuals who meet the placement criteria for this component. In addition to Rule 65D-30.004, F.A.C., the residential treatment standards apply. There are four levels of residential treatment that vary by the type, frequency, and duration of services: broadly, higher-intensity levels for individuals with more severe impairment and lower-intensity, supportive levels (such as Level 4) that emphasize recovery skills, relapse prevention, and reintegration into work, education, and family life for individuals who have completed other levels. Adolescent-specific levels apply to individuals under 18. Facilities that only provide housing, meals, or housing and meals without clinical services are not licensed as residential treatment under this component.</w:t>
      </w:r>
    </w:p>
    <w:p>
      <w:pPr>
        <w:pStyle w:val="Normal"/>
        <w:spacing w:lineRule="exact" w:line="276" w:before="0" w:after="120"/>
        <w:rPr/>
      </w:pPr>
      <w:r>
        <w:rPr>
          <w:rFonts w:eastAsia="Arial" w:cs="Arial"/>
          <w:sz w:val="21"/>
          <w:szCs w:val="21"/>
        </w:rPr>
        <w:t>Each individual receives services each week, including counseling, as the level requires, delivered by qualified clinical staff and documented in the clinical record. Assessment, placement, treatment planning, progress notes, medication, medical services, meals and in-residence requirements, and clinical records follow the common standards. The provider serves each individual at the level for which the individual meets criteria and transfers between levels or to another component as the individual’s needs change.</w:t>
      </w:r>
    </w:p>
    <w:p>
      <w:pPr>
        <w:pStyle w:val="Normal"/>
        <w:pBdr>
          <w:bottom w:val="single" w:sz="4" w:space="1" w:color="2E5E45"/>
        </w:pBdr>
        <w:spacing w:before="160" w:after="80"/>
        <w:rPr/>
      </w:pPr>
      <w:r>
        <w:rPr>
          <w:rFonts w:eastAsia="Arial" w:cs="Arial"/>
          <w:b/>
          <w:bCs/>
          <w:color w:val="1A4731"/>
          <w:sz w:val="20"/>
          <w:szCs w:val="20"/>
        </w:rPr>
        <w:t>PROCEDURE — RESIDENTIAL SERVICES BY LEVEL</w:t>
      </w:r>
    </w:p>
    <w:p>
      <w:pPr>
        <w:pStyle w:val="Normal"/>
        <w:tabs>
          <w:tab w:val="left" w:pos="720" w:leader="none"/>
        </w:tabs>
        <w:spacing w:lineRule="exact" w:line="264" w:before="0" w:after="80"/>
        <w:ind w:hanging="360" w:start="720"/>
        <w:rPr/>
      </w:pPr>
      <w:r>
        <w:rPr>
          <w:rFonts w:eastAsia="Arial" w:cs="Arial"/>
          <w:sz w:val="21"/>
          <w:szCs w:val="21"/>
        </w:rPr>
        <w:t>a. Serve each individual at the residential level for which the individual meets placement criteria and for which the provider is licensed.</w:t>
      </w:r>
    </w:p>
    <w:p>
      <w:pPr>
        <w:pStyle w:val="Normal"/>
        <w:tabs>
          <w:tab w:val="left" w:pos="720" w:leader="none"/>
        </w:tabs>
        <w:spacing w:lineRule="exact" w:line="264" w:before="0" w:after="80"/>
        <w:ind w:hanging="360" w:start="720"/>
        <w:rPr/>
      </w:pPr>
      <w:r>
        <w:rPr>
          <w:rFonts w:eastAsia="Arial" w:cs="Arial"/>
          <w:sz w:val="21"/>
          <w:szCs w:val="21"/>
        </w:rPr>
        <w:t>b. Provide the weekly services, including counseling, required for the level, delivered by qualified clinical staff and documented.</w:t>
      </w:r>
    </w:p>
    <w:p>
      <w:pPr>
        <w:pStyle w:val="Normal"/>
        <w:tabs>
          <w:tab w:val="left" w:pos="720" w:leader="none"/>
        </w:tabs>
        <w:spacing w:lineRule="exact" w:line="264" w:before="0" w:after="80"/>
        <w:ind w:hanging="360" w:start="720"/>
        <w:rPr/>
      </w:pPr>
      <w:r>
        <w:rPr>
          <w:rFonts w:eastAsia="Arial" w:cs="Arial"/>
          <w:sz w:val="21"/>
          <w:szCs w:val="21"/>
        </w:rPr>
        <w:t>c. Apply adolescent-specific requirements for individuals under 18 and the in-residence and minor-protection standards.</w:t>
      </w:r>
    </w:p>
    <w:p>
      <w:pPr>
        <w:pStyle w:val="Normal"/>
        <w:pBdr>
          <w:bottom w:val="single" w:sz="4" w:space="1" w:color="2E5E45"/>
        </w:pBdr>
        <w:spacing w:before="160" w:after="80"/>
        <w:rPr/>
      </w:pPr>
      <w:r>
        <w:rPr>
          <w:rFonts w:eastAsia="Arial" w:cs="Arial"/>
          <w:b/>
          <w:bCs/>
          <w:color w:val="1A4731"/>
          <w:sz w:val="20"/>
          <w:szCs w:val="20"/>
        </w:rPr>
        <w:t>PROCEDURE — LEVEL TRANSITIONS</w:t>
      </w:r>
    </w:p>
    <w:p>
      <w:pPr>
        <w:pStyle w:val="Normal"/>
        <w:tabs>
          <w:tab w:val="left" w:pos="720" w:leader="none"/>
        </w:tabs>
        <w:spacing w:lineRule="exact" w:line="264" w:before="0" w:after="80"/>
        <w:ind w:hanging="360" w:start="720"/>
        <w:rPr/>
      </w:pPr>
      <w:r>
        <w:rPr>
          <w:rFonts w:eastAsia="Arial" w:cs="Arial"/>
          <w:sz w:val="21"/>
          <w:szCs w:val="21"/>
        </w:rPr>
        <w:t>d. Reassess and transfer individuals between residential levels or to another component as needs change.</w:t>
      </w:r>
    </w:p>
    <w:p>
      <w:pPr>
        <w:pStyle w:val="Normal"/>
        <w:tabs>
          <w:tab w:val="left" w:pos="720" w:leader="none"/>
        </w:tabs>
        <w:spacing w:lineRule="exact" w:line="264" w:before="0" w:after="80"/>
        <w:ind w:hanging="360" w:start="720"/>
        <w:rPr/>
      </w:pPr>
      <w:r>
        <w:rPr>
          <w:rFonts w:eastAsia="Arial" w:cs="Arial"/>
          <w:sz w:val="21"/>
          <w:szCs w:val="21"/>
        </w:rPr>
        <w:t>e. Document level transitions and the clinical basis for them.</w:t>
      </w:r>
    </w:p>
    <w:p>
      <w:pPr>
        <w:pStyle w:val="Normal"/>
        <w:tabs>
          <w:tab w:val="left" w:pos="720" w:leader="none"/>
        </w:tabs>
        <w:spacing w:lineRule="exact" w:line="264" w:before="0" w:after="80"/>
        <w:ind w:hanging="360" w:start="720"/>
        <w:rPr/>
      </w:pPr>
      <w:r>
        <w:rPr>
          <w:rFonts w:eastAsia="Arial" w:cs="Arial"/>
          <w:sz w:val="21"/>
          <w:szCs w:val="21"/>
        </w:rPr>
        <w:t>f. Do not represent housing-only or housing-and-meals arrangements as licensed residential treatment.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Residential Admission &amp; Level Placement Record</w:t>
      </w:r>
    </w:p>
    <w:p>
      <w:pPr>
        <w:pStyle w:val="ListParagraph"/>
        <w:numPr>
          <w:ilvl w:val="0"/>
          <w:numId w:val="1"/>
        </w:numPr>
        <w:spacing w:lineRule="exact" w:line="264" w:before="0" w:after="60"/>
        <w:rPr/>
      </w:pPr>
      <w:r>
        <w:rPr>
          <w:rFonts w:eastAsia="Arial" w:cs="Arial"/>
          <w:sz w:val="21"/>
          <w:szCs w:val="21"/>
        </w:rPr>
        <w:t>Weekly Service &amp; Counseling Log (by level)</w:t>
      </w:r>
    </w:p>
    <w:p>
      <w:pPr>
        <w:pStyle w:val="ListParagraph"/>
        <w:numPr>
          <w:ilvl w:val="0"/>
          <w:numId w:val="1"/>
        </w:numPr>
        <w:spacing w:lineRule="exact" w:line="264" w:before="0" w:after="60"/>
        <w:rPr/>
      </w:pPr>
      <w:r>
        <w:rPr>
          <w:rFonts w:eastAsia="Arial" w:cs="Arial"/>
          <w:sz w:val="21"/>
          <w:szCs w:val="21"/>
        </w:rPr>
        <w:t>Level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7.04  Day or Night Treatment with Community Housing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7.04  Day or Night Treatment with Community Housing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Component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65D-30.0081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Rule 65D-30.0081 standards that apply when the provider is licensed to operate day or night treatment with community housing.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to operate day or night treatment with community housing.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Day or night treatment with community housing provides a structured schedule of treatment and clinical services while individuals live in community housing associated with the provider. In addition to Rule 65D-30.004, F.A.C., the standards for this component apply, including the schedule and intensity of services, the relationship between the treatment program and the community housing, meal provision for individuals in services at least five hours at one time, supervision of self-administration of medication at the community housing location under the medication policy, and clinical documentation. Assessment, placement, treatment planning, counseling, and clinical records follow the common standards.</w:t>
      </w:r>
    </w:p>
    <w:p>
      <w:pPr>
        <w:pStyle w:val="Normal"/>
        <w:pBdr>
          <w:bottom w:val="single" w:sz="4" w:space="1" w:color="2E5E45"/>
        </w:pBdr>
        <w:spacing w:before="160" w:after="80"/>
        <w:rPr/>
      </w:pPr>
      <w:r>
        <w:rPr>
          <w:rFonts w:eastAsia="Arial" w:cs="Arial"/>
          <w:b/>
          <w:bCs/>
          <w:color w:val="1A4731"/>
          <w:sz w:val="20"/>
          <w:szCs w:val="20"/>
        </w:rPr>
        <w:t>PROCEDURE — DAY/NIGHT TREATMENT WITH COMMUNITY HOUSING</w:t>
      </w:r>
    </w:p>
    <w:p>
      <w:pPr>
        <w:pStyle w:val="Normal"/>
        <w:tabs>
          <w:tab w:val="left" w:pos="720" w:leader="none"/>
        </w:tabs>
        <w:spacing w:lineRule="exact" w:line="264" w:before="0" w:after="80"/>
        <w:ind w:hanging="360" w:start="720"/>
        <w:rPr/>
      </w:pPr>
      <w:r>
        <w:rPr>
          <w:rFonts w:eastAsia="Arial" w:cs="Arial"/>
          <w:sz w:val="21"/>
          <w:szCs w:val="21"/>
        </w:rPr>
        <w:t>a. Provide the structured treatment schedule and clinical services with associated community housing as the component requires.</w:t>
      </w:r>
    </w:p>
    <w:p>
      <w:pPr>
        <w:pStyle w:val="Normal"/>
        <w:tabs>
          <w:tab w:val="left" w:pos="720" w:leader="none"/>
        </w:tabs>
        <w:spacing w:lineRule="exact" w:line="264" w:before="0" w:after="80"/>
        <w:ind w:hanging="360" w:start="720"/>
        <w:rPr/>
      </w:pPr>
      <w:r>
        <w:rPr>
          <w:rFonts w:eastAsia="Arial" w:cs="Arial"/>
          <w:sz w:val="21"/>
          <w:szCs w:val="21"/>
        </w:rPr>
        <w:t>b. Provide meals to individuals in services at least five hours at one time and supervise self-administration of medication at community housing under the medication policy.</w:t>
      </w:r>
    </w:p>
    <w:p>
      <w:pPr>
        <w:pStyle w:val="Normal"/>
        <w:tabs>
          <w:tab w:val="left" w:pos="720" w:leader="none"/>
        </w:tabs>
        <w:spacing w:lineRule="exact" w:line="264" w:before="0" w:after="80"/>
        <w:ind w:hanging="360" w:start="720"/>
        <w:rPr/>
      </w:pPr>
      <w:r>
        <w:rPr>
          <w:rFonts w:eastAsia="Arial" w:cs="Arial"/>
          <w:sz w:val="21"/>
          <w:szCs w:val="21"/>
        </w:rPr>
        <w:t>c. Assess, plan, treat, and document care under the common clinical standards.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Day/Night + Community Housing Service Schedule</w:t>
      </w:r>
    </w:p>
    <w:p>
      <w:pPr>
        <w:pStyle w:val="ListParagraph"/>
        <w:numPr>
          <w:ilvl w:val="0"/>
          <w:numId w:val="1"/>
        </w:numPr>
        <w:spacing w:lineRule="exact" w:line="264" w:before="0" w:after="60"/>
        <w:rPr/>
      </w:pPr>
      <w:r>
        <w:rPr>
          <w:rFonts w:eastAsia="Arial" w:cs="Arial"/>
          <w:sz w:val="21"/>
          <w:szCs w:val="21"/>
        </w:rPr>
        <w:t>Community Housing Medication Observation Record</w:t>
      </w:r>
    </w:p>
    <w:p>
      <w:pPr>
        <w:pStyle w:val="ListParagraph"/>
        <w:numPr>
          <w:ilvl w:val="0"/>
          <w:numId w:val="1"/>
        </w:numPr>
        <w:spacing w:lineRule="exact" w:line="264" w:before="0" w:after="60"/>
        <w:rPr/>
      </w:pPr>
      <w:r>
        <w:rPr>
          <w:rFonts w:eastAsia="Arial" w:cs="Arial"/>
          <w:sz w:val="21"/>
          <w:szCs w:val="21"/>
        </w:rPr>
        <w:t>Service Participation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7.05  Day or Night Treatment (Partial Hospitalization)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7.05  Day or Night Treatment (Partial Hospitalization)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Component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Rule 65D-30.009 standards that apply when the provider is licensed to operate day or night treatment (partial-hospitalization-style programming).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to operate day or night treatment.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Day or night treatment provides an intensive, structured schedule of treatment and clinical services for a substantial portion of the day for individuals who do not require a 24-hour residential setting. In addition to Rule 65D-30.004, F.A.C., the standards for this component apply, including the required schedule and intensity of services, meal provision for individuals in services at least five hours at one time, and clinical documentation. Assessment, placement, treatment planning, counseling, and clinical records follow the common standards, and the provider coordinates step-up or step-down as the individual’s needs change.</w:t>
      </w:r>
    </w:p>
    <w:p>
      <w:pPr>
        <w:pStyle w:val="Normal"/>
        <w:pBdr>
          <w:bottom w:val="single" w:sz="4" w:space="1" w:color="2E5E45"/>
        </w:pBdr>
        <w:spacing w:before="160" w:after="80"/>
        <w:rPr/>
      </w:pPr>
      <w:r>
        <w:rPr>
          <w:rFonts w:eastAsia="Arial" w:cs="Arial"/>
          <w:b/>
          <w:bCs/>
          <w:color w:val="1A4731"/>
          <w:sz w:val="20"/>
          <w:szCs w:val="20"/>
        </w:rPr>
        <w:t>PROCEDURE — DAY/NIGHT TREATMENT</w:t>
      </w:r>
    </w:p>
    <w:p>
      <w:pPr>
        <w:pStyle w:val="Normal"/>
        <w:tabs>
          <w:tab w:val="left" w:pos="720" w:leader="none"/>
        </w:tabs>
        <w:spacing w:lineRule="exact" w:line="264" w:before="0" w:after="80"/>
        <w:ind w:hanging="360" w:start="720"/>
        <w:rPr/>
      </w:pPr>
      <w:r>
        <w:rPr>
          <w:rFonts w:eastAsia="Arial" w:cs="Arial"/>
          <w:sz w:val="21"/>
          <w:szCs w:val="21"/>
        </w:rPr>
        <w:t>a. Provide the intensive, structured schedule of services the component requires and provide meals to individuals in services at least five hours at one time.</w:t>
      </w:r>
    </w:p>
    <w:p>
      <w:pPr>
        <w:pStyle w:val="Normal"/>
        <w:tabs>
          <w:tab w:val="left" w:pos="720" w:leader="none"/>
        </w:tabs>
        <w:spacing w:lineRule="exact" w:line="264" w:before="0" w:after="80"/>
        <w:ind w:hanging="360" w:start="720"/>
        <w:rPr/>
      </w:pPr>
      <w:r>
        <w:rPr>
          <w:rFonts w:eastAsia="Arial" w:cs="Arial"/>
          <w:sz w:val="21"/>
          <w:szCs w:val="21"/>
        </w:rPr>
        <w:t>b. Assess, plan, treat, and document care under the common clinical standards.</w:t>
      </w:r>
    </w:p>
    <w:p>
      <w:pPr>
        <w:pStyle w:val="Normal"/>
        <w:tabs>
          <w:tab w:val="left" w:pos="720" w:leader="none"/>
        </w:tabs>
        <w:spacing w:lineRule="exact" w:line="264" w:before="0" w:after="80"/>
        <w:ind w:hanging="360" w:start="720"/>
        <w:rPr/>
      </w:pPr>
      <w:r>
        <w:rPr>
          <w:rFonts w:eastAsia="Arial" w:cs="Arial"/>
          <w:sz w:val="21"/>
          <w:szCs w:val="21"/>
        </w:rPr>
        <w:t>c. Coordinate step-up or step-down as needs change and document transitions.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Day/Night Treatment Service Schedule</w:t>
      </w:r>
    </w:p>
    <w:p>
      <w:pPr>
        <w:pStyle w:val="ListParagraph"/>
        <w:numPr>
          <w:ilvl w:val="0"/>
          <w:numId w:val="1"/>
        </w:numPr>
        <w:spacing w:lineRule="exact" w:line="264" w:before="0" w:after="60"/>
        <w:rPr/>
      </w:pPr>
      <w:r>
        <w:rPr>
          <w:rFonts w:eastAsia="Arial" w:cs="Arial"/>
          <w:sz w:val="21"/>
          <w:szCs w:val="21"/>
        </w:rPr>
        <w:t>Service Participation &amp; Meal Log</w:t>
      </w:r>
    </w:p>
    <w:p>
      <w:pPr>
        <w:pStyle w:val="ListParagraph"/>
        <w:numPr>
          <w:ilvl w:val="0"/>
          <w:numId w:val="1"/>
        </w:numPr>
        <w:spacing w:lineRule="exact" w:line="264" w:before="0" w:after="60"/>
        <w:rPr/>
      </w:pPr>
      <w:r>
        <w:rPr>
          <w:rFonts w:eastAsia="Arial" w:cs="Arial"/>
          <w:sz w:val="21"/>
          <w:szCs w:val="21"/>
        </w:rPr>
        <w:t>Level-of-Care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7.06  Intensive Outpatient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7.06  Intensive Outpatient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Component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65D-30.0091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Rule 65D-30.0091 standards that apply when the provider is licensed to operate intensive outpatient treatment (IOP).</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to operate intensive outpatient treatment.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Intensive outpatient treatment is non-residential, structured treatment providing counseling and education focusing mainly on addiction-related and mental health issues, allowing the individual to apply skills in real-world environments. In addition to Rule 65D-30.004, F.A.C., the IOP standards apply. Each individual receives at least nine hours of services per week, including counseling. The need for psychiatric and other medical services is addressed through consultation or referral when the provider cannot supply them. No full-time counselor has a caseload exceeding 50 individuals. The provider posts its hours of operation visible to the public, and assessment, placement, treatment planning, counseling, and clinical records follow the common standards.</w:t>
      </w:r>
    </w:p>
    <w:p>
      <w:pPr>
        <w:pStyle w:val="Normal"/>
        <w:pBdr>
          <w:bottom w:val="single" w:sz="4" w:space="1" w:color="2E5E45"/>
        </w:pBdr>
        <w:spacing w:before="160" w:after="80"/>
        <w:rPr/>
      </w:pPr>
      <w:r>
        <w:rPr>
          <w:rFonts w:eastAsia="Arial" w:cs="Arial"/>
          <w:b/>
          <w:bCs/>
          <w:color w:val="1A4731"/>
          <w:sz w:val="20"/>
          <w:szCs w:val="20"/>
        </w:rPr>
        <w:t>PROCEDURE — IOP SERVICES</w:t>
      </w:r>
    </w:p>
    <w:p>
      <w:pPr>
        <w:pStyle w:val="Normal"/>
        <w:tabs>
          <w:tab w:val="left" w:pos="720" w:leader="none"/>
        </w:tabs>
        <w:spacing w:lineRule="exact" w:line="264" w:before="0" w:after="80"/>
        <w:ind w:hanging="360" w:start="720"/>
        <w:rPr/>
      </w:pPr>
      <w:r>
        <w:rPr>
          <w:rFonts w:eastAsia="Arial" w:cs="Arial"/>
          <w:sz w:val="21"/>
          <w:szCs w:val="21"/>
        </w:rPr>
        <w:t>a. Provide at least nine hours of services per week per individual, including counseling.</w:t>
      </w:r>
    </w:p>
    <w:p>
      <w:pPr>
        <w:pStyle w:val="Normal"/>
        <w:tabs>
          <w:tab w:val="left" w:pos="720" w:leader="none"/>
        </w:tabs>
        <w:spacing w:lineRule="exact" w:line="264" w:before="0" w:after="80"/>
        <w:ind w:hanging="360" w:start="720"/>
        <w:rPr/>
      </w:pPr>
      <w:r>
        <w:rPr>
          <w:rFonts w:eastAsia="Arial" w:cs="Arial"/>
          <w:sz w:val="21"/>
          <w:szCs w:val="21"/>
        </w:rPr>
        <w:t>b. Address psychiatric and medical needs through consultation or referral and keep full-time counselor caseloads at or below 50 individuals.</w:t>
      </w:r>
    </w:p>
    <w:p>
      <w:pPr>
        <w:pStyle w:val="Normal"/>
        <w:tabs>
          <w:tab w:val="left" w:pos="720" w:leader="none"/>
        </w:tabs>
        <w:spacing w:lineRule="exact" w:line="264" w:before="0" w:after="80"/>
        <w:ind w:hanging="360" w:start="720"/>
        <w:rPr/>
      </w:pPr>
      <w:r>
        <w:rPr>
          <w:rFonts w:eastAsia="Arial" w:cs="Arial"/>
          <w:sz w:val="21"/>
          <w:szCs w:val="21"/>
        </w:rPr>
        <w:t>c. Post hours of operation and document services under the common clinical standards.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IOP Weekly Service &amp; Counseling Log</w:t>
      </w:r>
    </w:p>
    <w:p>
      <w:pPr>
        <w:pStyle w:val="ListParagraph"/>
        <w:numPr>
          <w:ilvl w:val="0"/>
          <w:numId w:val="1"/>
        </w:numPr>
        <w:spacing w:lineRule="exact" w:line="264" w:before="0" w:after="60"/>
        <w:rPr/>
      </w:pPr>
      <w:r>
        <w:rPr>
          <w:rFonts w:eastAsia="Arial" w:cs="Arial"/>
          <w:sz w:val="21"/>
          <w:szCs w:val="21"/>
        </w:rPr>
        <w:t>Counselor Caseload Record</w:t>
      </w:r>
    </w:p>
    <w:p>
      <w:pPr>
        <w:pStyle w:val="ListParagraph"/>
        <w:numPr>
          <w:ilvl w:val="0"/>
          <w:numId w:val="1"/>
        </w:numPr>
        <w:spacing w:lineRule="exact" w:line="264" w:before="0" w:after="60"/>
        <w:rPr/>
      </w:pPr>
      <w:r>
        <w:rPr>
          <w:rFonts w:eastAsia="Arial" w:cs="Arial"/>
          <w:sz w:val="21"/>
          <w:szCs w:val="21"/>
        </w:rPr>
        <w:t>Psychiatric / Medical 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7.07  Outpatient Treatment &amp; Aftercare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7.07  Outpatient Treatment &amp; Aftercare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Component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65D-30.010, 65D-30.011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Rule 65D-30.010 standards for outpatient treatment and the Rule 65D-30.011 standards for aftercare, where the provider is licensed for these components.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to operate outpatient treatment or aftercare.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Outpatient treatment provides counseling and related services on a scheduled basis for individuals who do not require a more intensive level of care, in addition to Rule 65D-30.004, F.A.C. Services are provided according to the needs of the individual as identified in the assessment and treatment plan, delivered by qualified clinical staff, and documented; the provider addresses psychiatric and medical needs through consultation or referral and posts its hours of operation. Aftercare provides continuing support to individuals who have completed a treatment component to help maintain recovery, in addition to Rule 65D-30.004, F.A.C.; aftercare planning connects the individual to appropriate continuing-care services and supports. Assessment, treatment planning, counseling, and clinical records follow the common standards.</w:t>
      </w:r>
    </w:p>
    <w:p>
      <w:pPr>
        <w:pStyle w:val="Normal"/>
        <w:pBdr>
          <w:bottom w:val="single" w:sz="4" w:space="1" w:color="2E5E45"/>
        </w:pBdr>
        <w:spacing w:before="160" w:after="80"/>
        <w:rPr/>
      </w:pPr>
      <w:r>
        <w:rPr>
          <w:rFonts w:eastAsia="Arial" w:cs="Arial"/>
          <w:b/>
          <w:bCs/>
          <w:color w:val="1A4731"/>
          <w:sz w:val="20"/>
          <w:szCs w:val="20"/>
        </w:rPr>
        <w:t>PROCEDURE — OUTPATIENT &amp; AFTERCARE SERVICES</w:t>
      </w:r>
    </w:p>
    <w:p>
      <w:pPr>
        <w:pStyle w:val="Normal"/>
        <w:tabs>
          <w:tab w:val="left" w:pos="720" w:leader="none"/>
        </w:tabs>
        <w:spacing w:lineRule="exact" w:line="264" w:before="0" w:after="80"/>
        <w:ind w:hanging="360" w:start="720"/>
        <w:rPr/>
      </w:pPr>
      <w:r>
        <w:rPr>
          <w:rFonts w:eastAsia="Arial" w:cs="Arial"/>
          <w:sz w:val="21"/>
          <w:szCs w:val="21"/>
        </w:rPr>
        <w:t>a. Provide outpatient services according to the individual’s assessed needs and treatment plan, delivered by qualified staff and documented.</w:t>
      </w:r>
    </w:p>
    <w:p>
      <w:pPr>
        <w:pStyle w:val="Normal"/>
        <w:tabs>
          <w:tab w:val="left" w:pos="720" w:leader="none"/>
        </w:tabs>
        <w:spacing w:lineRule="exact" w:line="264" w:before="0" w:after="80"/>
        <w:ind w:hanging="360" w:start="720"/>
        <w:rPr/>
      </w:pPr>
      <w:r>
        <w:rPr>
          <w:rFonts w:eastAsia="Arial" w:cs="Arial"/>
          <w:sz w:val="21"/>
          <w:szCs w:val="21"/>
        </w:rPr>
        <w:t>b. Address psychiatric and medical needs through consultation or referral and post hours of operation.</w:t>
      </w:r>
    </w:p>
    <w:p>
      <w:pPr>
        <w:pStyle w:val="Normal"/>
        <w:tabs>
          <w:tab w:val="left" w:pos="720" w:leader="none"/>
        </w:tabs>
        <w:spacing w:lineRule="exact" w:line="264" w:before="0" w:after="80"/>
        <w:ind w:hanging="360" w:start="720"/>
        <w:rPr/>
      </w:pPr>
      <w:r>
        <w:rPr>
          <w:rFonts w:eastAsia="Arial" w:cs="Arial"/>
          <w:sz w:val="21"/>
          <w:szCs w:val="21"/>
        </w:rPr>
        <w:t>c. Provide aftercare and continuing-care connections for individuals who have completed a treatment component.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Outpatient Service Log</w:t>
      </w:r>
    </w:p>
    <w:p>
      <w:pPr>
        <w:pStyle w:val="ListParagraph"/>
        <w:numPr>
          <w:ilvl w:val="0"/>
          <w:numId w:val="1"/>
        </w:numPr>
        <w:spacing w:lineRule="exact" w:line="264" w:before="0" w:after="60"/>
        <w:rPr/>
      </w:pPr>
      <w:r>
        <w:rPr>
          <w:rFonts w:eastAsia="Arial" w:cs="Arial"/>
          <w:sz w:val="21"/>
          <w:szCs w:val="21"/>
        </w:rPr>
        <w:t>Aftercare / Continuing-Care Plan</w:t>
      </w:r>
    </w:p>
    <w:p>
      <w:pPr>
        <w:pStyle w:val="ListParagraph"/>
        <w:numPr>
          <w:ilvl w:val="0"/>
          <w:numId w:val="1"/>
        </w:numPr>
        <w:spacing w:lineRule="exact" w:line="264" w:before="0" w:after="60"/>
        <w:rPr/>
      </w:pPr>
      <w:r>
        <w:rPr>
          <w:rFonts w:eastAsia="Arial" w:cs="Arial"/>
          <w:sz w:val="21"/>
          <w:szCs w:val="21"/>
        </w:rPr>
        <w:t>Psychiatric / Medical 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7.08  Medication-Assisted Treatment for Opioid Use Disorders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7.08  Medication-Assisted Treatment for Opioid Use Disorders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Component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65D-30.014, 65D-30.0141, 65D-30.0142; 42 CFR Part 8 (SAMHSA); 21 CFR Part 1301 (DEA)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Rule 65D-30.014, 65D-30.0141, and 65D-30.0142 standards, and applicable federal requirements, that apply when the provider is licensed to operate medication-assisted treatment (MAT) for opioid use disorders.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to operate medication-assisted treatment for opioid use disorders (including methadone medication-assisted treatment).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Medication-assisted treatment for opioid use disorders combines FDA-approved medication with counseling and behavioral therapies. In addition to Rule 65D-30.004, F.A.C., the MAT standards in Rules 65D-30.014, 65D-30.0141 (needs assessment), and 65D-30.0142 (clinical and operational standards) apply, and the provider complies with applicable federal requirements, including SAMHSA opioid treatment program certification (42 CFR Part 8) and DEA registration for controlled substances. A medical director oversees medical services and the caseload methodology applies. The provider conducts the needs assessment the rule requires, and the clinical and operational standards govern admission criteria, medication dosing and management, take-home medication, diversion control, counseling requirements, drug testing, and documentation.</w:t>
      </w:r>
    </w:p>
    <w:p>
      <w:pPr>
        <w:pStyle w:val="Normal"/>
        <w:spacing w:lineRule="exact" w:line="276" w:before="0" w:after="120"/>
        <w:rPr/>
      </w:pPr>
      <w:r>
        <w:rPr>
          <w:rFonts w:eastAsia="Arial" w:cs="Arial"/>
          <w:sz w:val="21"/>
          <w:szCs w:val="21"/>
        </w:rPr>
        <w:t>Because these are federally regulated substance use disorder records, 42 CFR Part 2 applies with particular force. Medication is purchased, handled, dispensed, administered, and stored under the medication and pharmacy policy, with the required security and controlled-substance controls, and overdose prevention information addresses the elevated risk on discharge from MAT.</w:t>
      </w:r>
    </w:p>
    <w:p>
      <w:pPr>
        <w:pStyle w:val="Normal"/>
        <w:pBdr>
          <w:bottom w:val="single" w:sz="4" w:space="1" w:color="2E5E45"/>
        </w:pBdr>
        <w:spacing w:before="160" w:after="80"/>
        <w:rPr/>
      </w:pPr>
      <w:r>
        <w:rPr>
          <w:rFonts w:eastAsia="Arial" w:cs="Arial"/>
          <w:b/>
          <w:bCs/>
          <w:color w:val="1A4731"/>
          <w:sz w:val="20"/>
          <w:szCs w:val="20"/>
        </w:rPr>
        <w:t>PROCEDURE — MAT CERTIFICATION &amp; OPERATION</w:t>
      </w:r>
    </w:p>
    <w:p>
      <w:pPr>
        <w:pStyle w:val="Normal"/>
        <w:tabs>
          <w:tab w:val="left" w:pos="720" w:leader="none"/>
        </w:tabs>
        <w:spacing w:lineRule="exact" w:line="264" w:before="0" w:after="80"/>
        <w:ind w:hanging="360" w:start="720"/>
        <w:rPr/>
      </w:pPr>
      <w:r>
        <w:rPr>
          <w:rFonts w:eastAsia="Arial" w:cs="Arial"/>
          <w:sz w:val="21"/>
          <w:szCs w:val="21"/>
        </w:rPr>
        <w:t>a. Obtain and maintain SAMHSA opioid treatment program certification and DEA registration and comply with 42 CFR Parts 8 and 2 and Rules 65D-30.014, .0141, and .0142.</w:t>
      </w:r>
    </w:p>
    <w:p>
      <w:pPr>
        <w:pStyle w:val="Normal"/>
        <w:tabs>
          <w:tab w:val="left" w:pos="720" w:leader="none"/>
        </w:tabs>
        <w:spacing w:lineRule="exact" w:line="264" w:before="0" w:after="80"/>
        <w:ind w:hanging="360" w:start="720"/>
        <w:rPr/>
      </w:pPr>
      <w:r>
        <w:rPr>
          <w:rFonts w:eastAsia="Arial" w:cs="Arial"/>
          <w:sz w:val="21"/>
          <w:szCs w:val="21"/>
        </w:rPr>
        <w:t>b. Conduct the required needs assessment and apply the clinical and operational standards for admission, dosing, take-home medication, diversion control, counseling, and drug testing.</w:t>
      </w:r>
    </w:p>
    <w:p>
      <w:pPr>
        <w:pStyle w:val="Normal"/>
        <w:tabs>
          <w:tab w:val="left" w:pos="720" w:leader="none"/>
        </w:tabs>
        <w:spacing w:lineRule="exact" w:line="264" w:before="0" w:after="80"/>
        <w:ind w:hanging="360" w:start="720"/>
        <w:rPr/>
      </w:pPr>
      <w:r>
        <w:rPr>
          <w:rFonts w:eastAsia="Arial" w:cs="Arial"/>
          <w:sz w:val="21"/>
          <w:szCs w:val="21"/>
        </w:rPr>
        <w:t>c. Manage medication under the medication and pharmacy policy with required security and controlled-substance controls.</w:t>
      </w:r>
    </w:p>
    <w:p>
      <w:pPr>
        <w:pStyle w:val="Normal"/>
        <w:pBdr>
          <w:bottom w:val="single" w:sz="4" w:space="1" w:color="2E5E45"/>
        </w:pBdr>
        <w:spacing w:before="160" w:after="80"/>
        <w:rPr/>
      </w:pPr>
      <w:r>
        <w:rPr>
          <w:rFonts w:eastAsia="Arial" w:cs="Arial"/>
          <w:b/>
          <w:bCs/>
          <w:color w:val="1A4731"/>
          <w:sz w:val="20"/>
          <w:szCs w:val="20"/>
        </w:rPr>
        <w:t>PROCEDURE — CONFIDENTIALITY &amp; OVERDOSE PREVENTION</w:t>
      </w:r>
    </w:p>
    <w:p>
      <w:pPr>
        <w:pStyle w:val="Normal"/>
        <w:tabs>
          <w:tab w:val="left" w:pos="720" w:leader="none"/>
        </w:tabs>
        <w:spacing w:lineRule="exact" w:line="264" w:before="0" w:after="80"/>
        <w:ind w:hanging="360" w:start="720"/>
        <w:rPr/>
      </w:pPr>
      <w:r>
        <w:rPr>
          <w:rFonts w:eastAsia="Arial" w:cs="Arial"/>
          <w:sz w:val="21"/>
          <w:szCs w:val="21"/>
        </w:rPr>
        <w:t>d. Apply 42 CFR Part 2 rigorously to MAT records, including specific written consent and re-disclosure limits.</w:t>
      </w:r>
    </w:p>
    <w:p>
      <w:pPr>
        <w:pStyle w:val="Normal"/>
        <w:tabs>
          <w:tab w:val="left" w:pos="720" w:leader="none"/>
        </w:tabs>
        <w:spacing w:lineRule="exact" w:line="264" w:before="0" w:after="80"/>
        <w:ind w:hanging="360" w:start="720"/>
        <w:rPr/>
      </w:pPr>
      <w:r>
        <w:rPr>
          <w:rFonts w:eastAsia="Arial" w:cs="Arial"/>
          <w:sz w:val="21"/>
          <w:szCs w:val="21"/>
        </w:rPr>
        <w:t>e. Provide overdose prevention information addressing the elevated risk on discharge from MAT.</w:t>
      </w:r>
    </w:p>
    <w:p>
      <w:pPr>
        <w:pStyle w:val="Normal"/>
        <w:tabs>
          <w:tab w:val="left" w:pos="720" w:leader="none"/>
        </w:tabs>
        <w:spacing w:lineRule="exact" w:line="264" w:before="0" w:after="80"/>
        <w:ind w:hanging="360" w:start="720"/>
        <w:rPr/>
      </w:pPr>
      <w:r>
        <w:rPr>
          <w:rFonts w:eastAsia="Arial" w:cs="Arial"/>
          <w:sz w:val="21"/>
          <w:szCs w:val="21"/>
        </w:rPr>
        <w:t>f. Document dosing, counseling, drug testing, and clinical progress in the clinical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SAMHSA OTP Certification &amp; DEA Registration Record</w:t>
      </w:r>
    </w:p>
    <w:p>
      <w:pPr>
        <w:pStyle w:val="ListParagraph"/>
        <w:numPr>
          <w:ilvl w:val="0"/>
          <w:numId w:val="1"/>
        </w:numPr>
        <w:spacing w:lineRule="exact" w:line="264" w:before="0" w:after="60"/>
        <w:rPr/>
      </w:pPr>
      <w:r>
        <w:rPr>
          <w:rFonts w:eastAsia="Arial" w:cs="Arial"/>
          <w:sz w:val="21"/>
          <w:szCs w:val="21"/>
        </w:rPr>
        <w:t>MAT Needs Assessment &amp; Admission Record</w:t>
      </w:r>
    </w:p>
    <w:p>
      <w:pPr>
        <w:pStyle w:val="ListParagraph"/>
        <w:numPr>
          <w:ilvl w:val="0"/>
          <w:numId w:val="1"/>
        </w:numPr>
        <w:spacing w:lineRule="exact" w:line="264" w:before="0" w:after="60"/>
        <w:rPr/>
      </w:pPr>
      <w:r>
        <w:rPr>
          <w:rFonts w:eastAsia="Arial" w:cs="Arial"/>
          <w:sz w:val="21"/>
          <w:szCs w:val="21"/>
        </w:rPr>
        <w:t>Dosing, Take-Home &amp; Diversion Control Log</w:t>
      </w:r>
    </w:p>
    <w:p>
      <w:pPr>
        <w:pStyle w:val="ListParagraph"/>
        <w:numPr>
          <w:ilvl w:val="0"/>
          <w:numId w:val="1"/>
        </w:numPr>
        <w:spacing w:lineRule="exact" w:line="264" w:before="0" w:after="60"/>
        <w:rPr/>
      </w:pPr>
      <w:r>
        <w:rPr>
          <w:rFonts w:eastAsia="Arial" w:cs="Arial"/>
          <w:sz w:val="21"/>
          <w:szCs w:val="21"/>
        </w:rPr>
        <w:t>Drug Testing &amp; Counseling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H</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Florida agencies and resources, guidance on customizing the manual and matching it to the provider’s licensed components, and a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Florida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provider should maintain a current copy of each and customize as needed. Where a form corresponds to an official DCF form, use the current DCF version.</w:t>
      </w:r>
    </w:p>
    <w:p>
      <w:pPr>
        <w:pStyle w:val="Normal"/>
        <w:spacing w:before="140" w:after="40"/>
        <w:rPr/>
      </w:pPr>
      <w:r>
        <w:rPr>
          <w:rFonts w:eastAsia="Arial" w:cs="Arial"/>
          <w:b/>
          <w:bCs/>
          <w:color w:val="333333"/>
          <w:sz w:val="21"/>
          <w:szCs w:val="21"/>
        </w:rPr>
        <w:t>Section A — Governance, Licensing &amp; Administration</w:t>
      </w:r>
    </w:p>
    <w:p>
      <w:pPr>
        <w:pStyle w:val="ListParagraph"/>
        <w:numPr>
          <w:ilvl w:val="0"/>
          <w:numId w:val="1"/>
        </w:numPr>
        <w:spacing w:lineRule="exact" w:line="264" w:before="0" w:after="60"/>
        <w:rPr/>
      </w:pPr>
      <w:r>
        <w:rPr>
          <w:rFonts w:eastAsia="Arial" w:cs="Arial"/>
          <w:sz w:val="21"/>
          <w:szCs w:val="21"/>
        </w:rPr>
        <w:t>Governing Board Charter &amp; Meeting Minutes</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CEO Qualifications &amp; Appointment Record</w:t>
      </w:r>
    </w:p>
    <w:p>
      <w:pPr>
        <w:pStyle w:val="ListParagraph"/>
        <w:numPr>
          <w:ilvl w:val="0"/>
          <w:numId w:val="1"/>
        </w:numPr>
        <w:spacing w:lineRule="exact" w:line="264" w:before="0" w:after="60"/>
        <w:rPr/>
      </w:pPr>
      <w:r>
        <w:rPr>
          <w:rFonts w:eastAsia="Arial" w:cs="Arial"/>
          <w:sz w:val="21"/>
          <w:szCs w:val="21"/>
        </w:rPr>
        <w:t>CEO Background Screening Documentation</w:t>
      </w:r>
    </w:p>
    <w:p>
      <w:pPr>
        <w:pStyle w:val="ListParagraph"/>
        <w:numPr>
          <w:ilvl w:val="0"/>
          <w:numId w:val="1"/>
        </w:numPr>
        <w:spacing w:lineRule="exact" w:line="264" w:before="0" w:after="60"/>
        <w:rPr/>
      </w:pPr>
      <w:r>
        <w:rPr>
          <w:rFonts w:eastAsia="Arial" w:cs="Arial"/>
          <w:sz w:val="21"/>
          <w:szCs w:val="21"/>
        </w:rPr>
        <w:t>Liability Insurance Record</w:t>
      </w:r>
    </w:p>
    <w:p>
      <w:pPr>
        <w:pStyle w:val="ListParagraph"/>
        <w:numPr>
          <w:ilvl w:val="0"/>
          <w:numId w:val="1"/>
        </w:numPr>
        <w:spacing w:lineRule="exact" w:line="264" w:before="0" w:after="60"/>
        <w:rPr/>
      </w:pPr>
      <w:r>
        <w:rPr>
          <w:rFonts w:eastAsia="Arial" w:cs="Arial"/>
          <w:sz w:val="21"/>
          <w:szCs w:val="21"/>
        </w:rPr>
        <w:t>License &amp; Component Register</w:t>
      </w:r>
    </w:p>
    <w:p>
      <w:pPr>
        <w:pStyle w:val="ListParagraph"/>
        <w:numPr>
          <w:ilvl w:val="0"/>
          <w:numId w:val="1"/>
        </w:numPr>
        <w:spacing w:lineRule="exact" w:line="264" w:before="0" w:after="60"/>
        <w:rPr/>
      </w:pPr>
      <w:r>
        <w:rPr>
          <w:rFonts w:eastAsia="Arial" w:cs="Arial"/>
          <w:sz w:val="21"/>
          <w:szCs w:val="21"/>
        </w:rPr>
        <w:t>License Application &amp; Renewal Checklist</w:t>
      </w:r>
    </w:p>
    <w:p>
      <w:pPr>
        <w:pStyle w:val="ListParagraph"/>
        <w:numPr>
          <w:ilvl w:val="0"/>
          <w:numId w:val="1"/>
        </w:numPr>
        <w:spacing w:lineRule="exact" w:line="264" w:before="0" w:after="60"/>
        <w:rPr/>
      </w:pPr>
      <w:r>
        <w:rPr>
          <w:rFonts w:eastAsia="Arial" w:cs="Arial"/>
          <w:sz w:val="21"/>
          <w:szCs w:val="21"/>
        </w:rPr>
        <w:t>License Display Record</w:t>
      </w:r>
    </w:p>
    <w:p>
      <w:pPr>
        <w:pStyle w:val="ListParagraph"/>
        <w:numPr>
          <w:ilvl w:val="0"/>
          <w:numId w:val="1"/>
        </w:numPr>
        <w:spacing w:lineRule="exact" w:line="264" w:before="0" w:after="60"/>
        <w:rPr/>
      </w:pPr>
      <w:r>
        <w:rPr>
          <w:rFonts w:eastAsia="Arial" w:cs="Arial"/>
          <w:sz w:val="21"/>
          <w:szCs w:val="21"/>
        </w:rPr>
        <w:t>Change-of-Status Notification Log</w:t>
      </w:r>
    </w:p>
    <w:p>
      <w:pPr>
        <w:pStyle w:val="ListParagraph"/>
        <w:numPr>
          <w:ilvl w:val="0"/>
          <w:numId w:val="1"/>
        </w:numPr>
        <w:spacing w:lineRule="exact" w:line="264" w:before="0" w:after="60"/>
        <w:rPr/>
      </w:pPr>
      <w:r>
        <w:rPr>
          <w:rFonts w:eastAsia="Arial" w:cs="Arial"/>
          <w:sz w:val="21"/>
          <w:szCs w:val="21"/>
        </w:rPr>
        <w:t>Corrective Action Plan Template</w:t>
      </w:r>
    </w:p>
    <w:p>
      <w:pPr>
        <w:pStyle w:val="ListParagraph"/>
        <w:numPr>
          <w:ilvl w:val="0"/>
          <w:numId w:val="1"/>
        </w:numPr>
        <w:spacing w:lineRule="exact" w:line="264" w:before="0" w:after="60"/>
        <w:rPr/>
      </w:pPr>
      <w:r>
        <w:rPr>
          <w:rFonts w:eastAsia="Arial" w:cs="Arial"/>
          <w:sz w:val="21"/>
          <w:szCs w:val="21"/>
        </w:rPr>
        <w:t>Master Operating-Procedures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Statutory Certification Register</w:t>
      </w:r>
    </w:p>
    <w:p>
      <w:pPr>
        <w:pStyle w:val="ListParagraph"/>
        <w:numPr>
          <w:ilvl w:val="0"/>
          <w:numId w:val="1"/>
        </w:numPr>
        <w:spacing w:lineRule="exact" w:line="264" w:before="0" w:after="60"/>
        <w:rPr/>
      </w:pPr>
      <w:r>
        <w:rPr>
          <w:rFonts w:eastAsia="Arial" w:cs="Arial"/>
          <w:sz w:val="21"/>
          <w:szCs w:val="21"/>
        </w:rPr>
        <w:t>Certified Recovery Residence Referral Log</w:t>
      </w:r>
    </w:p>
    <w:p>
      <w:pPr>
        <w:pStyle w:val="ListParagraph"/>
        <w:numPr>
          <w:ilvl w:val="0"/>
          <w:numId w:val="1"/>
        </w:numPr>
        <w:spacing w:lineRule="exact" w:line="264" w:before="0" w:after="60"/>
        <w:rPr/>
      </w:pPr>
      <w:r>
        <w:rPr>
          <w:rFonts w:eastAsia="Arial" w:cs="Arial"/>
          <w:sz w:val="21"/>
          <w:szCs w:val="21"/>
        </w:rPr>
        <w:t>Recovery Residence Admission Record</w:t>
      </w:r>
    </w:p>
    <w:p>
      <w:pPr>
        <w:pStyle w:val="ListParagraph"/>
        <w:numPr>
          <w:ilvl w:val="0"/>
          <w:numId w:val="1"/>
        </w:numPr>
        <w:spacing w:lineRule="exact" w:line="264" w:before="0" w:after="60"/>
        <w:rPr/>
      </w:pPr>
      <w:r>
        <w:rPr>
          <w:rFonts w:eastAsia="Arial" w:cs="Arial"/>
          <w:sz w:val="21"/>
          <w:szCs w:val="21"/>
        </w:rPr>
        <w:t>Data Reporting Calendar &amp; Log</w:t>
      </w:r>
    </w:p>
    <w:p>
      <w:pPr>
        <w:pStyle w:val="ListParagraph"/>
        <w:numPr>
          <w:ilvl w:val="0"/>
          <w:numId w:val="1"/>
        </w:numPr>
        <w:spacing w:lineRule="exact" w:line="264" w:before="0" w:after="60"/>
        <w:rPr/>
      </w:pPr>
      <w:r>
        <w:rPr>
          <w:rFonts w:eastAsia="Arial" w:cs="Arial"/>
          <w:sz w:val="21"/>
          <w:szCs w:val="21"/>
        </w:rPr>
        <w:t>Medical Director Designation &amp; Responsibilities Record</w:t>
      </w:r>
    </w:p>
    <w:p>
      <w:pPr>
        <w:pStyle w:val="ListParagraph"/>
        <w:numPr>
          <w:ilvl w:val="0"/>
          <w:numId w:val="1"/>
        </w:numPr>
        <w:spacing w:lineRule="exact" w:line="264" w:before="0" w:after="60"/>
        <w:rPr/>
      </w:pPr>
      <w:r>
        <w:rPr>
          <w:rFonts w:eastAsia="Arial" w:cs="Arial"/>
          <w:sz w:val="21"/>
          <w:szCs w:val="21"/>
        </w:rPr>
        <w:t>Medical Director Caseload Calculation</w:t>
      </w:r>
    </w:p>
    <w:p>
      <w:pPr>
        <w:pStyle w:val="ListParagraph"/>
        <w:numPr>
          <w:ilvl w:val="0"/>
          <w:numId w:val="1"/>
        </w:numPr>
        <w:spacing w:lineRule="exact" w:line="264" w:before="0" w:after="60"/>
        <w:rPr/>
      </w:pPr>
      <w:r>
        <w:rPr>
          <w:rFonts w:eastAsia="Arial" w:cs="Arial"/>
          <w:sz w:val="21"/>
          <w:szCs w:val="21"/>
        </w:rPr>
        <w:t>Medical Consultant Written Agreement</w:t>
      </w:r>
    </w:p>
    <w:p>
      <w:pPr>
        <w:pStyle w:val="ListParagraph"/>
        <w:numPr>
          <w:ilvl w:val="0"/>
          <w:numId w:val="1"/>
        </w:numPr>
        <w:spacing w:lineRule="exact" w:line="264" w:before="0" w:after="60"/>
        <w:rPr/>
      </w:pPr>
      <w:r>
        <w:rPr>
          <w:rFonts w:eastAsia="Arial" w:cs="Arial"/>
          <w:sz w:val="21"/>
          <w:szCs w:val="21"/>
        </w:rPr>
        <w:t>Medical Director Change Notification Log</w:t>
      </w:r>
    </w:p>
    <w:p>
      <w:pPr>
        <w:pStyle w:val="Normal"/>
        <w:spacing w:before="140" w:after="40"/>
        <w:rPr/>
      </w:pPr>
      <w:r>
        <w:rPr>
          <w:rFonts w:eastAsia="Arial" w:cs="Arial"/>
          <w:b/>
          <w:bCs/>
          <w:color w:val="333333"/>
          <w:sz w:val="21"/>
          <w:szCs w:val="21"/>
        </w:rPr>
        <w:t>Section B — Personnel &amp; Workforce</w:t>
      </w:r>
    </w:p>
    <w:p>
      <w:pPr>
        <w:pStyle w:val="ListParagraph"/>
        <w:numPr>
          <w:ilvl w:val="0"/>
          <w:numId w:val="1"/>
        </w:numPr>
        <w:spacing w:lineRule="exact" w:line="264" w:before="0" w:after="60"/>
        <w:rPr/>
      </w:pPr>
      <w:r>
        <w:rPr>
          <w:rFonts w:eastAsia="Arial" w:cs="Arial"/>
          <w:sz w:val="21"/>
          <w:szCs w:val="21"/>
        </w:rPr>
        <w:t>Personnel Policy Manual</w:t>
      </w:r>
    </w:p>
    <w:p>
      <w:pPr>
        <w:pStyle w:val="ListParagraph"/>
        <w:numPr>
          <w:ilvl w:val="0"/>
          <w:numId w:val="1"/>
        </w:numPr>
        <w:spacing w:lineRule="exact" w:line="264" w:before="0" w:after="60"/>
        <w:rPr/>
      </w:pPr>
      <w:r>
        <w:rPr>
          <w:rFonts w:eastAsia="Arial" w:cs="Arial"/>
          <w:sz w:val="21"/>
          <w:szCs w:val="21"/>
        </w:rPr>
        <w:t>Code of Ethical Conduct &amp; Acknowledgment</w:t>
      </w:r>
    </w:p>
    <w:p>
      <w:pPr>
        <w:pStyle w:val="ListParagraph"/>
        <w:numPr>
          <w:ilvl w:val="0"/>
          <w:numId w:val="1"/>
        </w:numPr>
        <w:spacing w:lineRule="exact" w:line="264" w:before="0" w:after="60"/>
        <w:rPr/>
      </w:pPr>
      <w:r>
        <w:rPr>
          <w:rFonts w:eastAsia="Arial" w:cs="Arial"/>
          <w:sz w:val="21"/>
          <w:szCs w:val="21"/>
        </w:rPr>
        <w:t>Drug-Free Workplace Policy &amp; Acknowledgment</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Employment History &amp; Reference Check Record</w:t>
      </w:r>
    </w:p>
    <w:p>
      <w:pPr>
        <w:pStyle w:val="ListParagraph"/>
        <w:numPr>
          <w:ilvl w:val="0"/>
          <w:numId w:val="1"/>
        </w:numPr>
        <w:spacing w:lineRule="exact" w:line="264" w:before="0" w:after="60"/>
        <w:rPr/>
      </w:pPr>
      <w:r>
        <w:rPr>
          <w:rFonts w:eastAsia="Arial" w:cs="Arial"/>
          <w:sz w:val="21"/>
          <w:szCs w:val="21"/>
        </w:rPr>
        <w:t>Background Screening Tracking Log (Clearinghouse)</w:t>
      </w:r>
    </w:p>
    <w:p>
      <w:pPr>
        <w:pStyle w:val="ListParagraph"/>
        <w:numPr>
          <w:ilvl w:val="0"/>
          <w:numId w:val="1"/>
        </w:numPr>
        <w:spacing w:lineRule="exact" w:line="264" w:before="0" w:after="60"/>
        <w:rPr/>
      </w:pPr>
      <w:r>
        <w:rPr>
          <w:rFonts w:eastAsia="Arial" w:cs="Arial"/>
          <w:sz w:val="21"/>
          <w:szCs w:val="21"/>
        </w:rPr>
        <w:t>Affidavit of Good Moral Character (CF 1649)</w:t>
      </w:r>
    </w:p>
    <w:p>
      <w:pPr>
        <w:pStyle w:val="ListParagraph"/>
        <w:numPr>
          <w:ilvl w:val="0"/>
          <w:numId w:val="1"/>
        </w:numPr>
        <w:spacing w:lineRule="exact" w:line="264" w:before="0" w:after="60"/>
        <w:rPr/>
      </w:pPr>
      <w:r>
        <w:rPr>
          <w:rFonts w:eastAsia="Arial" w:cs="Arial"/>
          <w:sz w:val="21"/>
          <w:szCs w:val="21"/>
        </w:rPr>
        <w:t>Exemption from Disqualification Record</w:t>
      </w:r>
    </w:p>
    <w:p>
      <w:pPr>
        <w:pStyle w:val="ListParagraph"/>
        <w:numPr>
          <w:ilvl w:val="0"/>
          <w:numId w:val="1"/>
        </w:numPr>
        <w:spacing w:lineRule="exact" w:line="264" w:before="0" w:after="60"/>
        <w:rPr/>
      </w:pPr>
      <w:r>
        <w:rPr>
          <w:rFonts w:eastAsia="Arial" w:cs="Arial"/>
          <w:sz w:val="21"/>
          <w:szCs w:val="21"/>
        </w:rPr>
        <w:t>Peer Specialist Screening Record</w:t>
      </w:r>
    </w:p>
    <w:p>
      <w:pPr>
        <w:pStyle w:val="ListParagraph"/>
        <w:numPr>
          <w:ilvl w:val="0"/>
          <w:numId w:val="1"/>
        </w:numPr>
        <w:spacing w:lineRule="exact" w:line="264" w:before="0" w:after="60"/>
        <w:rPr/>
      </w:pPr>
      <w:r>
        <w:rPr>
          <w:rFonts w:eastAsia="Arial" w:cs="Arial"/>
          <w:sz w:val="21"/>
          <w:szCs w:val="21"/>
        </w:rPr>
        <w:t>Staff Development Plan</w:t>
      </w:r>
    </w:p>
    <w:p>
      <w:pPr>
        <w:pStyle w:val="ListParagraph"/>
        <w:numPr>
          <w:ilvl w:val="0"/>
          <w:numId w:val="1"/>
        </w:numPr>
        <w:spacing w:lineRule="exact" w:line="264" w:before="0" w:after="60"/>
        <w:rPr/>
      </w:pPr>
      <w:r>
        <w:rPr>
          <w:rFonts w:eastAsia="Arial" w:cs="Arial"/>
          <w:sz w:val="21"/>
          <w:szCs w:val="21"/>
        </w:rPr>
        <w:t>Orientation Completion Record</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ListParagraph"/>
        <w:numPr>
          <w:ilvl w:val="0"/>
          <w:numId w:val="1"/>
        </w:numPr>
        <w:spacing w:lineRule="exact" w:line="264" w:before="0" w:after="60"/>
        <w:rPr/>
      </w:pPr>
      <w:r>
        <w:rPr>
          <w:rFonts w:eastAsia="Arial" w:cs="Arial"/>
          <w:sz w:val="21"/>
          <w:szCs w:val="21"/>
        </w:rPr>
        <w:t>Competency-Based Training Tracker</w:t>
      </w:r>
    </w:p>
    <w:p>
      <w:pPr>
        <w:pStyle w:val="ListParagraph"/>
        <w:numPr>
          <w:ilvl w:val="0"/>
          <w:numId w:val="1"/>
        </w:numPr>
        <w:spacing w:lineRule="exact" w:line="264" w:before="0" w:after="60"/>
        <w:rPr/>
      </w:pPr>
      <w:r>
        <w:rPr>
          <w:rFonts w:eastAsia="Arial" w:cs="Arial"/>
          <w:sz w:val="21"/>
          <w:szCs w:val="21"/>
        </w:rPr>
        <w:t>Credential &amp; Scope-of-Practice Verification Record</w:t>
      </w:r>
    </w:p>
    <w:p>
      <w:pPr>
        <w:pStyle w:val="ListParagraph"/>
        <w:numPr>
          <w:ilvl w:val="0"/>
          <w:numId w:val="1"/>
        </w:numPr>
        <w:spacing w:lineRule="exact" w:line="264" w:before="0" w:after="60"/>
        <w:rPr/>
      </w:pPr>
      <w:r>
        <w:rPr>
          <w:rFonts w:eastAsia="Arial" w:cs="Arial"/>
          <w:sz w:val="21"/>
          <w:szCs w:val="21"/>
        </w:rPr>
        <w:t>Qualified Professional Designation &amp; Review Log</w:t>
      </w:r>
    </w:p>
    <w:p>
      <w:pPr>
        <w:pStyle w:val="ListParagraph"/>
        <w:numPr>
          <w:ilvl w:val="0"/>
          <w:numId w:val="1"/>
        </w:numPr>
        <w:spacing w:lineRule="exact" w:line="264" w:before="0" w:after="60"/>
        <w:rPr/>
      </w:pPr>
      <w:r>
        <w:rPr>
          <w:rFonts w:eastAsia="Arial" w:cs="Arial"/>
          <w:sz w:val="21"/>
          <w:szCs w:val="21"/>
        </w:rPr>
        <w:t>Counselor Credential Record (CAC / CAP / MCAP)</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Clinical Supervision Log</w:t>
      </w:r>
    </w:p>
    <w:p>
      <w:pPr>
        <w:pStyle w:val="ListParagraph"/>
        <w:numPr>
          <w:ilvl w:val="0"/>
          <w:numId w:val="1"/>
        </w:numPr>
        <w:spacing w:lineRule="exact" w:line="264" w:before="0" w:after="60"/>
        <w:rPr/>
      </w:pPr>
      <w:r>
        <w:rPr>
          <w:rFonts w:eastAsia="Arial" w:cs="Arial"/>
          <w:sz w:val="21"/>
          <w:szCs w:val="21"/>
        </w:rPr>
        <w:t>Peer Specialist Certification &amp; Screening Record</w:t>
      </w:r>
    </w:p>
    <w:p>
      <w:pPr>
        <w:pStyle w:val="Normal"/>
        <w:spacing w:before="140" w:after="40"/>
        <w:rPr/>
      </w:pPr>
      <w:r>
        <w:rPr>
          <w:rFonts w:eastAsia="Arial" w:cs="Arial"/>
          <w:b/>
          <w:bCs/>
          <w:color w:val="333333"/>
          <w:sz w:val="21"/>
          <w:szCs w:val="21"/>
        </w:rPr>
        <w:t>Section C — Rights, Conduct &amp; Confidentiality</w:t>
      </w:r>
    </w:p>
    <w:p>
      <w:pPr>
        <w:pStyle w:val="ListParagraph"/>
        <w:numPr>
          <w:ilvl w:val="0"/>
          <w:numId w:val="1"/>
        </w:numPr>
        <w:spacing w:lineRule="exact" w:line="264" w:before="0" w:after="60"/>
        <w:rPr/>
      </w:pPr>
      <w:r>
        <w:rPr>
          <w:rFonts w:eastAsia="Arial" w:cs="Arial"/>
          <w:sz w:val="21"/>
          <w:szCs w:val="21"/>
        </w:rPr>
        <w:t>Rights of Individuals Poster</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Rights Explanation &amp; Language-Access Record</w:t>
      </w:r>
    </w:p>
    <w:p>
      <w:pPr>
        <w:pStyle w:val="ListParagraph"/>
        <w:numPr>
          <w:ilvl w:val="0"/>
          <w:numId w:val="1"/>
        </w:numPr>
        <w:spacing w:lineRule="exact" w:line="264" w:before="0" w:after="60"/>
        <w:rPr/>
      </w:pPr>
      <w:r>
        <w:rPr>
          <w:rFonts w:eastAsia="Arial" w:cs="Arial"/>
          <w:sz w:val="21"/>
          <w:szCs w:val="21"/>
        </w:rPr>
        <w:t>Rules of Conduct for Individuals &amp; Acknowledgment</w:t>
      </w:r>
    </w:p>
    <w:p>
      <w:pPr>
        <w:pStyle w:val="ListParagraph"/>
        <w:numPr>
          <w:ilvl w:val="0"/>
          <w:numId w:val="1"/>
        </w:numPr>
        <w:spacing w:lineRule="exact" w:line="264" w:before="0" w:after="60"/>
        <w:rPr/>
      </w:pPr>
      <w:r>
        <w:rPr>
          <w:rFonts w:eastAsia="Arial" w:cs="Arial"/>
          <w:sz w:val="21"/>
          <w:szCs w:val="21"/>
        </w:rPr>
        <w:t>Code of Ethical Conduct &amp; Staff Acknowledgment</w:t>
      </w:r>
    </w:p>
    <w:p>
      <w:pPr>
        <w:pStyle w:val="ListParagraph"/>
        <w:numPr>
          <w:ilvl w:val="0"/>
          <w:numId w:val="1"/>
        </w:numPr>
        <w:spacing w:lineRule="exact" w:line="264" w:before="0" w:after="60"/>
        <w:rPr/>
      </w:pPr>
      <w:r>
        <w:rPr>
          <w:rFonts w:eastAsia="Arial" w:cs="Arial"/>
          <w:sz w:val="21"/>
          <w:szCs w:val="21"/>
        </w:rPr>
        <w:t>Boundary / Ethics Violation Report</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Mandatory-Reporter Acknowledgment</w:t>
      </w:r>
    </w:p>
    <w:p>
      <w:pPr>
        <w:pStyle w:val="ListParagraph"/>
        <w:numPr>
          <w:ilvl w:val="0"/>
          <w:numId w:val="1"/>
        </w:numPr>
        <w:spacing w:lineRule="exact" w:line="264" w:before="0" w:after="60"/>
        <w:rPr/>
      </w:pPr>
      <w:r>
        <w:rPr>
          <w:rFonts w:eastAsia="Arial" w:cs="Arial"/>
          <w:sz w:val="21"/>
          <w:szCs w:val="21"/>
        </w:rPr>
        <w:t>Individual Grievance Form</w:t>
      </w:r>
    </w:p>
    <w:p>
      <w:pPr>
        <w:pStyle w:val="ListParagraph"/>
        <w:numPr>
          <w:ilvl w:val="0"/>
          <w:numId w:val="1"/>
        </w:numPr>
        <w:spacing w:lineRule="exact" w:line="264" w:before="0" w:after="60"/>
        <w:rPr/>
      </w:pPr>
      <w:r>
        <w:rPr>
          <w:rFonts w:eastAsia="Arial" w:cs="Arial"/>
          <w:sz w:val="21"/>
          <w:szCs w:val="21"/>
        </w:rPr>
        <w:t>Grievance Response &amp; Resolution Log</w:t>
      </w:r>
    </w:p>
    <w:p>
      <w:pPr>
        <w:pStyle w:val="ListParagraph"/>
        <w:numPr>
          <w:ilvl w:val="0"/>
          <w:numId w:val="1"/>
        </w:numPr>
        <w:spacing w:lineRule="exact" w:line="264" w:before="0" w:after="60"/>
        <w:rPr/>
      </w:pPr>
      <w:r>
        <w:rPr>
          <w:rFonts w:eastAsia="Arial" w:cs="Arial"/>
          <w:sz w:val="21"/>
          <w:szCs w:val="21"/>
        </w:rPr>
        <w:t>Employee Grievance Form</w:t>
      </w:r>
    </w:p>
    <w:p>
      <w:pPr>
        <w:pStyle w:val="Normal"/>
        <w:spacing w:before="140" w:after="40"/>
        <w:rPr/>
      </w:pPr>
      <w:r>
        <w:rPr>
          <w:rFonts w:eastAsia="Arial" w:cs="Arial"/>
          <w:b/>
          <w:bCs/>
          <w:color w:val="333333"/>
          <w:sz w:val="21"/>
          <w:szCs w:val="21"/>
        </w:rPr>
        <w:t>Section D — Clinical Process</w:t>
      </w:r>
    </w:p>
    <w:p>
      <w:pPr>
        <w:pStyle w:val="ListParagraph"/>
        <w:numPr>
          <w:ilvl w:val="0"/>
          <w:numId w:val="1"/>
        </w:numPr>
        <w:spacing w:lineRule="exact" w:line="264" w:before="0" w:after="60"/>
        <w:rPr/>
      </w:pPr>
      <w:r>
        <w:rPr>
          <w:rFonts w:eastAsia="Arial" w:cs="Arial"/>
          <w:sz w:val="21"/>
          <w:szCs w:val="21"/>
        </w:rPr>
        <w:t>Screening &amp; Placement Determination</w:t>
      </w:r>
    </w:p>
    <w:p>
      <w:pPr>
        <w:pStyle w:val="ListParagraph"/>
        <w:numPr>
          <w:ilvl w:val="0"/>
          <w:numId w:val="1"/>
        </w:numPr>
        <w:spacing w:lineRule="exact" w:line="264" w:before="0" w:after="60"/>
        <w:rPr/>
      </w:pPr>
      <w:r>
        <w:rPr>
          <w:rFonts w:eastAsia="Arial" w:cs="Arial"/>
          <w:sz w:val="21"/>
          <w:szCs w:val="21"/>
        </w:rPr>
        <w:t>Admission Record</w:t>
      </w:r>
    </w:p>
    <w:p>
      <w:pPr>
        <w:pStyle w:val="ListParagraph"/>
        <w:numPr>
          <w:ilvl w:val="0"/>
          <w:numId w:val="1"/>
        </w:numPr>
        <w:spacing w:lineRule="exact" w:line="264" w:before="0" w:after="60"/>
        <w:rPr/>
      </w:pPr>
      <w:r>
        <w:rPr>
          <w:rFonts w:eastAsia="Arial" w:cs="Arial"/>
          <w:sz w:val="21"/>
          <w:szCs w:val="21"/>
        </w:rPr>
        <w:t>Involuntary Admission / Marchman Act Documentation</w:t>
      </w:r>
    </w:p>
    <w:p>
      <w:pPr>
        <w:pStyle w:val="ListParagraph"/>
        <w:numPr>
          <w:ilvl w:val="0"/>
          <w:numId w:val="1"/>
        </w:numPr>
        <w:spacing w:lineRule="exact" w:line="264" w:before="0" w:after="60"/>
        <w:rPr/>
      </w:pPr>
      <w:r>
        <w:rPr>
          <w:rFonts w:eastAsia="Arial" w:cs="Arial"/>
          <w:sz w:val="21"/>
          <w:szCs w:val="21"/>
        </w:rPr>
        <w:t>Referral Record</w:t>
      </w:r>
    </w:p>
    <w:p>
      <w:pPr>
        <w:pStyle w:val="ListParagraph"/>
        <w:numPr>
          <w:ilvl w:val="0"/>
          <w:numId w:val="1"/>
        </w:numPr>
        <w:spacing w:lineRule="exact" w:line="264" w:before="0" w:after="60"/>
        <w:rPr/>
      </w:pPr>
      <w:r>
        <w:rPr>
          <w:rFonts w:eastAsia="Arial" w:cs="Arial"/>
          <w:sz w:val="21"/>
          <w:szCs w:val="21"/>
        </w:rPr>
        <w:t>Psychosocial / Comprehensive Assessment Form</w:t>
      </w:r>
    </w:p>
    <w:p>
      <w:pPr>
        <w:pStyle w:val="ListParagraph"/>
        <w:numPr>
          <w:ilvl w:val="0"/>
          <w:numId w:val="1"/>
        </w:numPr>
        <w:spacing w:lineRule="exact" w:line="264" w:before="0" w:after="60"/>
        <w:rPr/>
      </w:pPr>
      <w:r>
        <w:rPr>
          <w:rFonts w:eastAsia="Arial" w:cs="Arial"/>
          <w:sz w:val="21"/>
          <w:szCs w:val="21"/>
        </w:rPr>
        <w:t>Qualified Professional Review &amp; Signature Record</w:t>
      </w:r>
    </w:p>
    <w:p>
      <w:pPr>
        <w:pStyle w:val="ListParagraph"/>
        <w:numPr>
          <w:ilvl w:val="0"/>
          <w:numId w:val="1"/>
        </w:numPr>
        <w:spacing w:lineRule="exact" w:line="264" w:before="0" w:after="60"/>
        <w:rPr/>
      </w:pPr>
      <w:r>
        <w:rPr>
          <w:rFonts w:eastAsia="Arial" w:cs="Arial"/>
          <w:sz w:val="21"/>
          <w:szCs w:val="21"/>
        </w:rPr>
        <w:t>Referral for Medical / Psychiatric Services</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Treatment Plan Review Record</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Transfer / Discharge Summary</w:t>
      </w:r>
    </w:p>
    <w:p>
      <w:pPr>
        <w:pStyle w:val="ListParagraph"/>
        <w:numPr>
          <w:ilvl w:val="0"/>
          <w:numId w:val="1"/>
        </w:numPr>
        <w:spacing w:lineRule="exact" w:line="264" w:before="0" w:after="60"/>
        <w:rPr/>
      </w:pPr>
      <w:r>
        <w:rPr>
          <w:rFonts w:eastAsia="Arial" w:cs="Arial"/>
          <w:sz w:val="21"/>
          <w:szCs w:val="21"/>
        </w:rPr>
        <w:t>Clinical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Authorization Log</w:t>
      </w:r>
    </w:p>
    <w:p>
      <w:pPr>
        <w:pStyle w:val="ListParagraph"/>
        <w:numPr>
          <w:ilvl w:val="0"/>
          <w:numId w:val="1"/>
        </w:numPr>
        <w:spacing w:lineRule="exact" w:line="264" w:before="0" w:after="60"/>
        <w:rPr/>
      </w:pPr>
      <w:r>
        <w:rPr>
          <w:rFonts w:eastAsia="Arial" w:cs="Arial"/>
          <w:sz w:val="21"/>
          <w:szCs w:val="21"/>
        </w:rPr>
        <w:t>Counseling Session Note</w:t>
      </w:r>
    </w:p>
    <w:p>
      <w:pPr>
        <w:pStyle w:val="ListParagraph"/>
        <w:numPr>
          <w:ilvl w:val="0"/>
          <w:numId w:val="1"/>
        </w:numPr>
        <w:spacing w:lineRule="exact" w:line="264" w:before="0" w:after="60"/>
        <w:rPr/>
      </w:pPr>
      <w:r>
        <w:rPr>
          <w:rFonts w:eastAsia="Arial" w:cs="Arial"/>
          <w:sz w:val="21"/>
          <w:szCs w:val="21"/>
        </w:rPr>
        <w:t>Group Session Roster &amp; Note</w:t>
      </w:r>
    </w:p>
    <w:p>
      <w:pPr>
        <w:pStyle w:val="ListParagraph"/>
        <w:numPr>
          <w:ilvl w:val="0"/>
          <w:numId w:val="1"/>
        </w:numPr>
        <w:spacing w:lineRule="exact" w:line="264" w:before="0" w:after="60"/>
        <w:rPr/>
      </w:pPr>
      <w:r>
        <w:rPr>
          <w:rFonts w:eastAsia="Arial" w:cs="Arial"/>
          <w:sz w:val="21"/>
          <w:szCs w:val="21"/>
        </w:rPr>
        <w:t>Service-Hours Tracking Record</w:t>
      </w:r>
    </w:p>
    <w:p>
      <w:pPr>
        <w:pStyle w:val="ListParagraph"/>
        <w:numPr>
          <w:ilvl w:val="0"/>
          <w:numId w:val="1"/>
        </w:numPr>
        <w:spacing w:lineRule="exact" w:line="264" w:before="0" w:after="60"/>
        <w:rPr/>
      </w:pPr>
      <w:r>
        <w:rPr>
          <w:rFonts w:eastAsia="Arial" w:cs="Arial"/>
          <w:sz w:val="21"/>
          <w:szCs w:val="21"/>
        </w:rPr>
        <w:t>Discharge / Transfer Plan</w:t>
      </w:r>
    </w:p>
    <w:p>
      <w:pPr>
        <w:pStyle w:val="ListParagraph"/>
        <w:numPr>
          <w:ilvl w:val="0"/>
          <w:numId w:val="1"/>
        </w:numPr>
        <w:spacing w:lineRule="exact" w:line="264" w:before="0" w:after="60"/>
        <w:rPr/>
      </w:pPr>
      <w:r>
        <w:rPr>
          <w:rFonts w:eastAsia="Arial" w:cs="Arial"/>
          <w:sz w:val="21"/>
          <w:szCs w:val="21"/>
        </w:rPr>
        <w:t>Aftercare / Continuing-Care Plan</w:t>
      </w:r>
    </w:p>
    <w:p>
      <w:pPr>
        <w:pStyle w:val="Normal"/>
        <w:spacing w:before="140" w:after="40"/>
        <w:rPr/>
      </w:pPr>
      <w:r>
        <w:rPr>
          <w:rFonts w:eastAsia="Arial" w:cs="Arial"/>
          <w:b/>
          <w:bCs/>
          <w:color w:val="333333"/>
          <w:sz w:val="21"/>
          <w:szCs w:val="21"/>
        </w:rPr>
        <w:t>Section E — Medication &amp; Medical Services</w:t>
      </w:r>
    </w:p>
    <w:p>
      <w:pPr>
        <w:pStyle w:val="ListParagraph"/>
        <w:numPr>
          <w:ilvl w:val="0"/>
          <w:numId w:val="1"/>
        </w:numPr>
        <w:spacing w:lineRule="exact" w:line="264" w:before="0" w:after="60"/>
        <w:rPr/>
      </w:pPr>
      <w:r>
        <w:rPr>
          <w:rFonts w:eastAsia="Arial" w:cs="Arial"/>
          <w:sz w:val="21"/>
          <w:szCs w:val="21"/>
        </w:rPr>
        <w:t>Written Medical Protocols (physician)</w:t>
      </w:r>
    </w:p>
    <w:p>
      <w:pPr>
        <w:pStyle w:val="ListParagraph"/>
        <w:numPr>
          <w:ilvl w:val="0"/>
          <w:numId w:val="1"/>
        </w:numPr>
        <w:spacing w:lineRule="exact" w:line="264" w:before="0" w:after="60"/>
        <w:rPr/>
      </w:pPr>
      <w:r>
        <w:rPr>
          <w:rFonts w:eastAsia="Arial" w:cs="Arial"/>
          <w:sz w:val="21"/>
          <w:szCs w:val="21"/>
        </w:rPr>
        <w:t>Annual Medical Protocol Review &amp; Approval</w:t>
      </w:r>
    </w:p>
    <w:p>
      <w:pPr>
        <w:pStyle w:val="ListParagraph"/>
        <w:numPr>
          <w:ilvl w:val="0"/>
          <w:numId w:val="1"/>
        </w:numPr>
        <w:spacing w:lineRule="exact" w:line="264" w:before="0" w:after="60"/>
        <w:rPr/>
      </w:pPr>
      <w:r>
        <w:rPr>
          <w:rFonts w:eastAsia="Arial" w:cs="Arial"/>
          <w:sz w:val="21"/>
          <w:szCs w:val="21"/>
        </w:rPr>
        <w:t>Medical Emergency Response Procedure</w:t>
      </w:r>
    </w:p>
    <w:p>
      <w:pPr>
        <w:pStyle w:val="ListParagraph"/>
        <w:numPr>
          <w:ilvl w:val="0"/>
          <w:numId w:val="1"/>
        </w:numPr>
        <w:spacing w:lineRule="exact" w:line="264" w:before="0" w:after="60"/>
        <w:rPr/>
      </w:pPr>
      <w:r>
        <w:rPr>
          <w:rFonts w:eastAsia="Arial" w:cs="Arial"/>
          <w:sz w:val="21"/>
          <w:szCs w:val="21"/>
        </w:rPr>
        <w:t>Medication Handling &amp; Storage Policy (pharmacist-approved)</w:t>
      </w:r>
    </w:p>
    <w:p>
      <w:pPr>
        <w:pStyle w:val="ListParagraph"/>
        <w:numPr>
          <w:ilvl w:val="0"/>
          <w:numId w:val="1"/>
        </w:numPr>
        <w:spacing w:lineRule="exact" w:line="264" w:before="0" w:after="60"/>
        <w:rPr/>
      </w:pPr>
      <w:r>
        <w:rPr>
          <w:rFonts w:eastAsia="Arial" w:cs="Arial"/>
          <w:sz w:val="21"/>
          <w:szCs w:val="21"/>
        </w:rPr>
        <w:t>Consultant Pharmacist Annual Review Record</w:t>
      </w:r>
    </w:p>
    <w:p>
      <w:pPr>
        <w:pStyle w:val="ListParagraph"/>
        <w:numPr>
          <w:ilvl w:val="0"/>
          <w:numId w:val="1"/>
        </w:numPr>
        <w:spacing w:lineRule="exact" w:line="264" w:before="0" w:after="60"/>
        <w:rPr/>
      </w:pPr>
      <w:r>
        <w:rPr>
          <w:rFonts w:eastAsia="Arial" w:cs="Arial"/>
          <w:sz w:val="21"/>
          <w:szCs w:val="21"/>
        </w:rPr>
        <w:t>Medication Inventory &amp; Storage Log</w:t>
      </w:r>
    </w:p>
    <w:p>
      <w:pPr>
        <w:pStyle w:val="ListParagraph"/>
        <w:numPr>
          <w:ilvl w:val="0"/>
          <w:numId w:val="1"/>
        </w:numPr>
        <w:spacing w:lineRule="exact" w:line="264" w:before="0" w:after="60"/>
        <w:rPr/>
      </w:pPr>
      <w:r>
        <w:rPr>
          <w:rFonts w:eastAsia="Arial" w:cs="Arial"/>
          <w:sz w:val="21"/>
          <w:szCs w:val="21"/>
        </w:rPr>
        <w:t>Medication Observation Record</w:t>
      </w:r>
    </w:p>
    <w:p>
      <w:pPr>
        <w:pStyle w:val="ListParagraph"/>
        <w:numPr>
          <w:ilvl w:val="0"/>
          <w:numId w:val="1"/>
        </w:numPr>
        <w:spacing w:lineRule="exact" w:line="264" w:before="0" w:after="60"/>
        <w:rPr/>
      </w:pPr>
      <w:r>
        <w:rPr>
          <w:rFonts w:eastAsia="Arial" w:cs="Arial"/>
          <w:sz w:val="21"/>
          <w:szCs w:val="21"/>
        </w:rPr>
        <w:t>Self-Administration Supervision Training Record</w:t>
      </w:r>
    </w:p>
    <w:p>
      <w:pPr>
        <w:pStyle w:val="ListParagraph"/>
        <w:numPr>
          <w:ilvl w:val="0"/>
          <w:numId w:val="1"/>
        </w:numPr>
        <w:spacing w:lineRule="exact" w:line="264" w:before="0" w:after="60"/>
        <w:rPr/>
      </w:pPr>
      <w:r>
        <w:rPr>
          <w:rFonts w:eastAsia="Arial" w:cs="Arial"/>
          <w:sz w:val="21"/>
          <w:szCs w:val="21"/>
        </w:rPr>
        <w:t>Locked Storage Verification</w:t>
      </w:r>
    </w:p>
    <w:p>
      <w:pPr>
        <w:pStyle w:val="ListParagraph"/>
        <w:numPr>
          <w:ilvl w:val="0"/>
          <w:numId w:val="1"/>
        </w:numPr>
        <w:spacing w:lineRule="exact" w:line="264" w:before="0" w:after="60"/>
        <w:rPr/>
      </w:pPr>
      <w:r>
        <w:rPr>
          <w:rFonts w:eastAsia="Arial" w:cs="Arial"/>
          <w:sz w:val="21"/>
          <w:szCs w:val="21"/>
        </w:rPr>
        <w:t>Overdose Prevention Plan</w:t>
      </w:r>
    </w:p>
    <w:p>
      <w:pPr>
        <w:pStyle w:val="ListParagraph"/>
        <w:numPr>
          <w:ilvl w:val="0"/>
          <w:numId w:val="1"/>
        </w:numPr>
        <w:spacing w:lineRule="exact" w:line="264" w:before="0" w:after="60"/>
        <w:rPr/>
      </w:pPr>
      <w:r>
        <w:rPr>
          <w:rFonts w:eastAsia="Arial" w:cs="Arial"/>
          <w:sz w:val="21"/>
          <w:szCs w:val="21"/>
        </w:rPr>
        <w:t>Naloxone Kit &amp; Staff Training Record</w:t>
      </w:r>
    </w:p>
    <w:p>
      <w:pPr>
        <w:pStyle w:val="ListParagraph"/>
        <w:numPr>
          <w:ilvl w:val="0"/>
          <w:numId w:val="1"/>
        </w:numPr>
        <w:spacing w:lineRule="exact" w:line="264" w:before="0" w:after="60"/>
        <w:rPr/>
      </w:pPr>
      <w:r>
        <w:rPr>
          <w:rFonts w:eastAsia="Arial" w:cs="Arial"/>
          <w:sz w:val="21"/>
          <w:szCs w:val="21"/>
        </w:rPr>
        <w:t>Overdose Prevention Information Acknowledgment</w:t>
      </w:r>
    </w:p>
    <w:p>
      <w:pPr>
        <w:pStyle w:val="Normal"/>
        <w:spacing w:before="140" w:after="40"/>
        <w:rPr/>
      </w:pPr>
      <w:r>
        <w:rPr>
          <w:rFonts w:eastAsia="Arial" w:cs="Arial"/>
          <w:b/>
          <w:bCs/>
          <w:color w:val="333333"/>
          <w:sz w:val="21"/>
          <w:szCs w:val="21"/>
        </w:rPr>
        <w:t>Section F — Safety, Facility, Infection Control &amp; Quality</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QI Data Collection &amp; Analysis Tools</w:t>
      </w:r>
    </w:p>
    <w:p>
      <w:pPr>
        <w:pStyle w:val="ListParagraph"/>
        <w:numPr>
          <w:ilvl w:val="0"/>
          <w:numId w:val="1"/>
        </w:numPr>
        <w:spacing w:lineRule="exact" w:line="264" w:before="0" w:after="60"/>
        <w:rPr/>
      </w:pPr>
      <w:r>
        <w:rPr>
          <w:rFonts w:eastAsia="Arial" w:cs="Arial"/>
          <w:sz w:val="21"/>
          <w:szCs w:val="21"/>
        </w:rPr>
        <w:t>Risk Management / QA Committee Minutes</w:t>
      </w:r>
    </w:p>
    <w:p>
      <w:pPr>
        <w:pStyle w:val="ListParagraph"/>
        <w:numPr>
          <w:ilvl w:val="0"/>
          <w:numId w:val="1"/>
        </w:numPr>
        <w:spacing w:lineRule="exact" w:line="264" w:before="0" w:after="60"/>
        <w:rPr/>
      </w:pPr>
      <w:r>
        <w:rPr>
          <w:rFonts w:eastAsia="Arial" w:cs="Arial"/>
          <w:sz w:val="21"/>
          <w:szCs w:val="21"/>
        </w:rPr>
        <w:t>Corrective Action &amp; Effectiveness Record</w:t>
      </w:r>
    </w:p>
    <w:p>
      <w:pPr>
        <w:pStyle w:val="ListParagraph"/>
        <w:numPr>
          <w:ilvl w:val="0"/>
          <w:numId w:val="1"/>
        </w:numPr>
        <w:spacing w:lineRule="exact" w:line="264" w:before="0" w:after="60"/>
        <w:rPr/>
      </w:pPr>
      <w:r>
        <w:rPr>
          <w:rFonts w:eastAsia="Arial" w:cs="Arial"/>
          <w:sz w:val="21"/>
          <w:szCs w:val="21"/>
        </w:rPr>
        <w:t>Critical Incident Report (statewide system)</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Exposure Control Plan (annually reviewed)</w:t>
      </w:r>
    </w:p>
    <w:p>
      <w:pPr>
        <w:pStyle w:val="ListParagraph"/>
        <w:numPr>
          <w:ilvl w:val="0"/>
          <w:numId w:val="1"/>
        </w:numPr>
        <w:spacing w:lineRule="exact" w:line="264" w:before="0" w:after="60"/>
        <w:rPr/>
      </w:pPr>
      <w:r>
        <w:rPr>
          <w:rFonts w:eastAsia="Arial" w:cs="Arial"/>
          <w:sz w:val="21"/>
          <w:szCs w:val="21"/>
        </w:rPr>
        <w:t>Infection Control Screening &amp; Referral Log</w:t>
      </w:r>
    </w:p>
    <w:p>
      <w:pPr>
        <w:pStyle w:val="ListParagraph"/>
        <w:numPr>
          <w:ilvl w:val="0"/>
          <w:numId w:val="1"/>
        </w:numPr>
        <w:spacing w:lineRule="exact" w:line="264" w:before="0" w:after="60"/>
        <w:rPr/>
      </w:pPr>
      <w:r>
        <w:rPr>
          <w:rFonts w:eastAsia="Arial" w:cs="Arial"/>
          <w:sz w:val="21"/>
          <w:szCs w:val="21"/>
        </w:rPr>
        <w:t>Infection Control / HIV-AIDS Education Record</w:t>
      </w:r>
    </w:p>
    <w:p>
      <w:pPr>
        <w:pStyle w:val="ListParagraph"/>
        <w:numPr>
          <w:ilvl w:val="0"/>
          <w:numId w:val="1"/>
        </w:numPr>
        <w:spacing w:lineRule="exact" w:line="264" w:before="0" w:after="60"/>
        <w:rPr/>
      </w:pPr>
      <w:r>
        <w:rPr>
          <w:rFonts w:eastAsia="Arial" w:cs="Arial"/>
          <w:sz w:val="21"/>
          <w:szCs w:val="21"/>
        </w:rPr>
        <w:t>Verbal De-escalation Policy &amp; Technique Description</w:t>
      </w:r>
    </w:p>
    <w:p>
      <w:pPr>
        <w:pStyle w:val="ListParagraph"/>
        <w:numPr>
          <w:ilvl w:val="0"/>
          <w:numId w:val="1"/>
        </w:numPr>
        <w:spacing w:lineRule="exact" w:line="264" w:before="0" w:after="60"/>
        <w:rPr/>
      </w:pPr>
      <w:r>
        <w:rPr>
          <w:rFonts w:eastAsia="Arial" w:cs="Arial"/>
          <w:sz w:val="21"/>
          <w:szCs w:val="21"/>
        </w:rPr>
        <w:t>De-escalation Training Record</w:t>
      </w:r>
    </w:p>
    <w:p>
      <w:pPr>
        <w:pStyle w:val="ListParagraph"/>
        <w:numPr>
          <w:ilvl w:val="0"/>
          <w:numId w:val="1"/>
        </w:numPr>
        <w:spacing w:lineRule="exact" w:line="264" w:before="0" w:after="60"/>
        <w:rPr/>
      </w:pPr>
      <w:r>
        <w:rPr>
          <w:rFonts w:eastAsia="Arial" w:cs="Arial"/>
          <w:sz w:val="21"/>
          <w:szCs w:val="21"/>
        </w:rPr>
        <w:t>Facility Standards Checklist</w:t>
      </w:r>
    </w:p>
    <w:p>
      <w:pPr>
        <w:pStyle w:val="ListParagraph"/>
        <w:numPr>
          <w:ilvl w:val="0"/>
          <w:numId w:val="1"/>
        </w:numPr>
        <w:spacing w:lineRule="exact" w:line="264" w:before="0" w:after="60"/>
        <w:rPr/>
      </w:pPr>
      <w:r>
        <w:rPr>
          <w:rFonts w:eastAsia="Arial" w:cs="Arial"/>
          <w:sz w:val="21"/>
          <w:szCs w:val="21"/>
        </w:rPr>
        <w:t>Environmental Rounds &amp; Maintenance Log</w:t>
      </w:r>
    </w:p>
    <w:p>
      <w:pPr>
        <w:pStyle w:val="ListParagraph"/>
        <w:numPr>
          <w:ilvl w:val="0"/>
          <w:numId w:val="1"/>
        </w:numPr>
        <w:spacing w:lineRule="exact" w:line="264" w:before="0" w:after="60"/>
        <w:rPr/>
      </w:pPr>
      <w:r>
        <w:rPr>
          <w:rFonts w:eastAsia="Arial" w:cs="Arial"/>
          <w:sz w:val="21"/>
          <w:szCs w:val="21"/>
        </w:rPr>
        <w:t>Fire-Safety &amp; Physical-Plant Record</w:t>
      </w:r>
    </w:p>
    <w:p>
      <w:pPr>
        <w:pStyle w:val="ListParagraph"/>
        <w:numPr>
          <w:ilvl w:val="0"/>
          <w:numId w:val="1"/>
        </w:numPr>
        <w:spacing w:lineRule="exact" w:line="264" w:before="0" w:after="60"/>
        <w:rPr/>
      </w:pPr>
      <w:r>
        <w:rPr>
          <w:rFonts w:eastAsia="Arial" w:cs="Arial"/>
          <w:sz w:val="21"/>
          <w:szCs w:val="21"/>
        </w:rPr>
        <w:t>Menu &amp; Nutrition Plan (dietitian-approved)</w:t>
      </w:r>
    </w:p>
    <w:p>
      <w:pPr>
        <w:pStyle w:val="ListParagraph"/>
        <w:numPr>
          <w:ilvl w:val="0"/>
          <w:numId w:val="1"/>
        </w:numPr>
        <w:spacing w:lineRule="exact" w:line="264" w:before="0" w:after="60"/>
        <w:rPr/>
      </w:pPr>
      <w:r>
        <w:rPr>
          <w:rFonts w:eastAsia="Arial" w:cs="Arial"/>
          <w:sz w:val="21"/>
          <w:szCs w:val="21"/>
        </w:rPr>
        <w:t>Food-Service Contract &amp; Health Inspection Record</w:t>
      </w:r>
    </w:p>
    <w:p>
      <w:pPr>
        <w:pStyle w:val="ListParagraph"/>
        <w:numPr>
          <w:ilvl w:val="0"/>
          <w:numId w:val="1"/>
        </w:numPr>
        <w:spacing w:lineRule="exact" w:line="264" w:before="0" w:after="60"/>
        <w:rPr/>
      </w:pPr>
      <w:r>
        <w:rPr>
          <w:rFonts w:eastAsia="Arial" w:cs="Arial"/>
          <w:sz w:val="21"/>
          <w:szCs w:val="21"/>
        </w:rPr>
        <w:t>In-Residence Housing &amp; Supervision Log</w:t>
      </w:r>
    </w:p>
    <w:p>
      <w:pPr>
        <w:pStyle w:val="ListParagraph"/>
        <w:numPr>
          <w:ilvl w:val="0"/>
          <w:numId w:val="1"/>
        </w:numPr>
        <w:spacing w:lineRule="exact" w:line="264" w:before="0" w:after="60"/>
        <w:rPr/>
      </w:pPr>
      <w:r>
        <w:rPr>
          <w:rFonts w:eastAsia="Arial" w:cs="Arial"/>
          <w:sz w:val="21"/>
          <w:szCs w:val="21"/>
        </w:rPr>
        <w:t>Minor Programming &amp; School Attendance Record</w:t>
      </w:r>
    </w:p>
    <w:p>
      <w:pPr>
        <w:pStyle w:val="Normal"/>
        <w:spacing w:before="140" w:after="40"/>
        <w:rPr/>
      </w:pPr>
      <w:r>
        <w:rPr>
          <w:rFonts w:eastAsia="Arial" w:cs="Arial"/>
          <w:b/>
          <w:bCs/>
          <w:color w:val="333333"/>
          <w:sz w:val="21"/>
          <w:szCs w:val="21"/>
        </w:rPr>
        <w:t>Section G — Service Component Standards</w:t>
      </w:r>
    </w:p>
    <w:p>
      <w:pPr>
        <w:pStyle w:val="ListParagraph"/>
        <w:numPr>
          <w:ilvl w:val="0"/>
          <w:numId w:val="1"/>
        </w:numPr>
        <w:spacing w:lineRule="exact" w:line="264" w:before="0" w:after="60"/>
        <w:rPr/>
      </w:pPr>
      <w:r>
        <w:rPr>
          <w:rFonts w:eastAsia="Arial" w:cs="Arial"/>
          <w:sz w:val="21"/>
          <w:szCs w:val="21"/>
        </w:rPr>
        <w:t>ARF Designation Request &amp; Approval</w:t>
      </w:r>
    </w:p>
    <w:p>
      <w:pPr>
        <w:pStyle w:val="ListParagraph"/>
        <w:numPr>
          <w:ilvl w:val="0"/>
          <w:numId w:val="1"/>
        </w:numPr>
        <w:spacing w:lineRule="exact" w:line="264" w:before="0" w:after="60"/>
        <w:rPr/>
      </w:pPr>
      <w:r>
        <w:rPr>
          <w:rFonts w:eastAsia="Arial" w:cs="Arial"/>
          <w:sz w:val="21"/>
          <w:szCs w:val="21"/>
        </w:rPr>
        <w:t>Involuntary Assessment &amp; Disposition Record</w:t>
      </w:r>
    </w:p>
    <w:p>
      <w:pPr>
        <w:pStyle w:val="ListParagraph"/>
        <w:numPr>
          <w:ilvl w:val="0"/>
          <w:numId w:val="1"/>
        </w:numPr>
        <w:spacing w:lineRule="exact" w:line="264" w:before="0" w:after="60"/>
        <w:rPr/>
      </w:pPr>
      <w:r>
        <w:rPr>
          <w:rFonts w:eastAsia="Arial" w:cs="Arial"/>
          <w:sz w:val="21"/>
          <w:szCs w:val="21"/>
        </w:rPr>
        <w:t>Daily Schedule &amp; Participation Log</w:t>
      </w:r>
    </w:p>
    <w:p>
      <w:pPr>
        <w:pStyle w:val="ListParagraph"/>
        <w:numPr>
          <w:ilvl w:val="0"/>
          <w:numId w:val="1"/>
        </w:numPr>
        <w:spacing w:lineRule="exact" w:line="264" w:before="0" w:after="60"/>
        <w:rPr/>
      </w:pPr>
      <w:r>
        <w:rPr>
          <w:rFonts w:eastAsia="Arial" w:cs="Arial"/>
          <w:sz w:val="21"/>
          <w:szCs w:val="21"/>
        </w:rPr>
        <w:t>Detoxification Admission &amp; Withdrawal Assessment</w:t>
      </w:r>
    </w:p>
    <w:p>
      <w:pPr>
        <w:pStyle w:val="ListParagraph"/>
        <w:numPr>
          <w:ilvl w:val="0"/>
          <w:numId w:val="1"/>
        </w:numPr>
        <w:spacing w:lineRule="exact" w:line="264" w:before="0" w:after="60"/>
        <w:rPr/>
      </w:pPr>
      <w:r>
        <w:rPr>
          <w:rFonts w:eastAsia="Arial" w:cs="Arial"/>
          <w:sz w:val="21"/>
          <w:szCs w:val="21"/>
        </w:rPr>
        <w:t>Medical Monitoring / Withdrawal Management Record</w:t>
      </w:r>
    </w:p>
    <w:p>
      <w:pPr>
        <w:pStyle w:val="ListParagraph"/>
        <w:numPr>
          <w:ilvl w:val="0"/>
          <w:numId w:val="1"/>
        </w:numPr>
        <w:spacing w:lineRule="exact" w:line="264" w:before="0" w:after="60"/>
        <w:rPr/>
      </w:pPr>
      <w:r>
        <w:rPr>
          <w:rFonts w:eastAsia="Arial" w:cs="Arial"/>
          <w:sz w:val="21"/>
          <w:szCs w:val="21"/>
        </w:rPr>
        <w:t>Level-of-Care Transfer Record</w:t>
      </w:r>
    </w:p>
    <w:p>
      <w:pPr>
        <w:pStyle w:val="ListParagraph"/>
        <w:numPr>
          <w:ilvl w:val="0"/>
          <w:numId w:val="1"/>
        </w:numPr>
        <w:spacing w:lineRule="exact" w:line="264" w:before="0" w:after="60"/>
        <w:rPr/>
      </w:pPr>
      <w:r>
        <w:rPr>
          <w:rFonts w:eastAsia="Arial" w:cs="Arial"/>
          <w:sz w:val="21"/>
          <w:szCs w:val="21"/>
        </w:rPr>
        <w:t>Intensive Inpatient Admission &amp; Assessment</w:t>
      </w:r>
    </w:p>
    <w:p>
      <w:pPr>
        <w:pStyle w:val="ListParagraph"/>
        <w:numPr>
          <w:ilvl w:val="0"/>
          <w:numId w:val="1"/>
        </w:numPr>
        <w:spacing w:lineRule="exact" w:line="264" w:before="0" w:after="60"/>
        <w:rPr/>
      </w:pPr>
      <w:r>
        <w:rPr>
          <w:rFonts w:eastAsia="Arial" w:cs="Arial"/>
          <w:sz w:val="21"/>
          <w:szCs w:val="21"/>
        </w:rPr>
        <w:t>Service Intensity &amp; Staffing Record</w:t>
      </w:r>
    </w:p>
    <w:p>
      <w:pPr>
        <w:pStyle w:val="ListParagraph"/>
        <w:numPr>
          <w:ilvl w:val="0"/>
          <w:numId w:val="1"/>
        </w:numPr>
        <w:spacing w:lineRule="exact" w:line="264" w:before="0" w:after="60"/>
        <w:rPr/>
      </w:pPr>
      <w:r>
        <w:rPr>
          <w:rFonts w:eastAsia="Arial" w:cs="Arial"/>
          <w:sz w:val="21"/>
          <w:szCs w:val="21"/>
        </w:rPr>
        <w:t>Residential Admission &amp; Level Placement Record</w:t>
      </w:r>
    </w:p>
    <w:p>
      <w:pPr>
        <w:pStyle w:val="ListParagraph"/>
        <w:numPr>
          <w:ilvl w:val="0"/>
          <w:numId w:val="1"/>
        </w:numPr>
        <w:spacing w:lineRule="exact" w:line="264" w:before="0" w:after="60"/>
        <w:rPr/>
      </w:pPr>
      <w:r>
        <w:rPr>
          <w:rFonts w:eastAsia="Arial" w:cs="Arial"/>
          <w:sz w:val="21"/>
          <w:szCs w:val="21"/>
        </w:rPr>
        <w:t>Weekly Service &amp; Counseling Log (by level)</w:t>
      </w:r>
    </w:p>
    <w:p>
      <w:pPr>
        <w:pStyle w:val="ListParagraph"/>
        <w:numPr>
          <w:ilvl w:val="0"/>
          <w:numId w:val="1"/>
        </w:numPr>
        <w:spacing w:lineRule="exact" w:line="264" w:before="0" w:after="60"/>
        <w:rPr/>
      </w:pPr>
      <w:r>
        <w:rPr>
          <w:rFonts w:eastAsia="Arial" w:cs="Arial"/>
          <w:sz w:val="21"/>
          <w:szCs w:val="21"/>
        </w:rPr>
        <w:t>Level Transition Record</w:t>
      </w:r>
    </w:p>
    <w:p>
      <w:pPr>
        <w:pStyle w:val="ListParagraph"/>
        <w:numPr>
          <w:ilvl w:val="0"/>
          <w:numId w:val="1"/>
        </w:numPr>
        <w:spacing w:lineRule="exact" w:line="264" w:before="0" w:after="60"/>
        <w:rPr/>
      </w:pPr>
      <w:r>
        <w:rPr>
          <w:rFonts w:eastAsia="Arial" w:cs="Arial"/>
          <w:sz w:val="21"/>
          <w:szCs w:val="21"/>
        </w:rPr>
        <w:t>Day/Night + Community Housing Service Schedule</w:t>
      </w:r>
    </w:p>
    <w:p>
      <w:pPr>
        <w:pStyle w:val="ListParagraph"/>
        <w:numPr>
          <w:ilvl w:val="0"/>
          <w:numId w:val="1"/>
        </w:numPr>
        <w:spacing w:lineRule="exact" w:line="264" w:before="0" w:after="60"/>
        <w:rPr/>
      </w:pPr>
      <w:r>
        <w:rPr>
          <w:rFonts w:eastAsia="Arial" w:cs="Arial"/>
          <w:sz w:val="21"/>
          <w:szCs w:val="21"/>
        </w:rPr>
        <w:t>Community Housing Medication Observation Record</w:t>
      </w:r>
    </w:p>
    <w:p>
      <w:pPr>
        <w:pStyle w:val="ListParagraph"/>
        <w:numPr>
          <w:ilvl w:val="0"/>
          <w:numId w:val="1"/>
        </w:numPr>
        <w:spacing w:lineRule="exact" w:line="264" w:before="0" w:after="60"/>
        <w:rPr/>
      </w:pPr>
      <w:r>
        <w:rPr>
          <w:rFonts w:eastAsia="Arial" w:cs="Arial"/>
          <w:sz w:val="21"/>
          <w:szCs w:val="21"/>
        </w:rPr>
        <w:t>Day/Night Treatment Service Schedule</w:t>
      </w:r>
    </w:p>
    <w:p>
      <w:pPr>
        <w:pStyle w:val="ListParagraph"/>
        <w:numPr>
          <w:ilvl w:val="0"/>
          <w:numId w:val="1"/>
        </w:numPr>
        <w:spacing w:lineRule="exact" w:line="264" w:before="0" w:after="60"/>
        <w:rPr/>
      </w:pPr>
      <w:r>
        <w:rPr>
          <w:rFonts w:eastAsia="Arial" w:cs="Arial"/>
          <w:sz w:val="21"/>
          <w:szCs w:val="21"/>
        </w:rPr>
        <w:t>IOP Weekly Service &amp; Counseling Log</w:t>
      </w:r>
    </w:p>
    <w:p>
      <w:pPr>
        <w:pStyle w:val="ListParagraph"/>
        <w:numPr>
          <w:ilvl w:val="0"/>
          <w:numId w:val="1"/>
        </w:numPr>
        <w:spacing w:lineRule="exact" w:line="264" w:before="0" w:after="60"/>
        <w:rPr/>
      </w:pPr>
      <w:r>
        <w:rPr>
          <w:rFonts w:eastAsia="Arial" w:cs="Arial"/>
          <w:sz w:val="21"/>
          <w:szCs w:val="21"/>
        </w:rPr>
        <w:t>Counselor Caseload Record</w:t>
      </w:r>
    </w:p>
    <w:p>
      <w:pPr>
        <w:pStyle w:val="ListParagraph"/>
        <w:numPr>
          <w:ilvl w:val="0"/>
          <w:numId w:val="1"/>
        </w:numPr>
        <w:spacing w:lineRule="exact" w:line="264" w:before="0" w:after="60"/>
        <w:rPr/>
      </w:pPr>
      <w:r>
        <w:rPr>
          <w:rFonts w:eastAsia="Arial" w:cs="Arial"/>
          <w:sz w:val="21"/>
          <w:szCs w:val="21"/>
        </w:rPr>
        <w:t>Outpatient Service Log</w:t>
      </w:r>
    </w:p>
    <w:p>
      <w:pPr>
        <w:pStyle w:val="ListParagraph"/>
        <w:numPr>
          <w:ilvl w:val="0"/>
          <w:numId w:val="1"/>
        </w:numPr>
        <w:spacing w:lineRule="exact" w:line="264" w:before="0" w:after="60"/>
        <w:rPr/>
      </w:pPr>
      <w:r>
        <w:rPr>
          <w:rFonts w:eastAsia="Arial" w:cs="Arial"/>
          <w:sz w:val="21"/>
          <w:szCs w:val="21"/>
        </w:rPr>
        <w:t>Aftercare / Continuing-Care Plan (component)</w:t>
      </w:r>
    </w:p>
    <w:p>
      <w:pPr>
        <w:pStyle w:val="ListParagraph"/>
        <w:numPr>
          <w:ilvl w:val="0"/>
          <w:numId w:val="1"/>
        </w:numPr>
        <w:spacing w:lineRule="exact" w:line="264" w:before="0" w:after="60"/>
        <w:rPr/>
      </w:pPr>
      <w:r>
        <w:rPr>
          <w:rFonts w:eastAsia="Arial" w:cs="Arial"/>
          <w:sz w:val="21"/>
          <w:szCs w:val="21"/>
        </w:rPr>
        <w:t>SAMHSA OTP Certification &amp; DEA Registration Record</w:t>
      </w:r>
    </w:p>
    <w:p>
      <w:pPr>
        <w:pStyle w:val="ListParagraph"/>
        <w:numPr>
          <w:ilvl w:val="0"/>
          <w:numId w:val="1"/>
        </w:numPr>
        <w:spacing w:lineRule="exact" w:line="264" w:before="0" w:after="60"/>
        <w:rPr/>
      </w:pPr>
      <w:r>
        <w:rPr>
          <w:rFonts w:eastAsia="Arial" w:cs="Arial"/>
          <w:sz w:val="21"/>
          <w:szCs w:val="21"/>
        </w:rPr>
        <w:t>MAT Needs Assessment &amp; Admission Record</w:t>
      </w:r>
    </w:p>
    <w:p>
      <w:pPr>
        <w:pStyle w:val="ListParagraph"/>
        <w:numPr>
          <w:ilvl w:val="0"/>
          <w:numId w:val="1"/>
        </w:numPr>
        <w:spacing w:lineRule="exact" w:line="264" w:before="0" w:after="60"/>
        <w:rPr/>
      </w:pPr>
      <w:r>
        <w:rPr>
          <w:rFonts w:eastAsia="Arial" w:cs="Arial"/>
          <w:sz w:val="21"/>
          <w:szCs w:val="21"/>
        </w:rPr>
        <w:t>Dosing, Take-Home &amp; Diversion Control Log</w:t>
      </w:r>
    </w:p>
    <w:p>
      <w:pPr>
        <w:pStyle w:val="ListParagraph"/>
        <w:numPr>
          <w:ilvl w:val="0"/>
          <w:numId w:val="1"/>
        </w:numPr>
        <w:spacing w:lineRule="exact" w:line="264" w:before="0" w:after="60"/>
        <w:rPr/>
      </w:pPr>
      <w:r>
        <w:rPr>
          <w:rFonts w:eastAsia="Arial" w:cs="Arial"/>
          <w:sz w:val="21"/>
          <w:szCs w:val="21"/>
        </w:rPr>
        <w:t>Drug Testing &amp; Counseling Record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Florida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Florida Department of Children and Families (DCF), Office of Substance Abuse and Mental Health — licenses and monitors substance abuse service providers.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Florida Administrative Code Chapter 65D-30 — Substance Abuse Services Office; common licensing standards (65D-30.004) and component standards (65D-30.005–.014).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397, F.S. — Hal S. Marchman Alcohol and Other Drug Services Act; involuntary assessment/stabilization/treatment (Part V).</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Clinical documentation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65D-30.0041 (clinical records), 65D-30.0042 (clinical and medical guidelines), 65D-30.0043 (placement), 65D-30.0044 (plans, progress notes, summaries), 65D-30.0045 (rights), 65D-30.0046 (staff), 65D-30.0047 (facility).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screening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Care Provider Background Screening Clearinghouse; § 397.4073, F.S. (screening), § 397.417, F.S. (peer specialists), § 435.07, F.S. (exemptions); Affidavit of Good Moral Character (CF 1649).</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42 CFR Part 2 (Confidentiality of Substance Use Disorder Patient Records); HIPAA (45 CFR Parts 160, 164); §§ 397.501(7), 397.752, F.S.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Abuse/neglect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Florida Abuse Hotline; Chapter 39, F.S. (children); §§ 415.1034, 415.1051, F.S. (vulnerable adults).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Critical incidents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DCF statewide critical incident reporting system; § 397.4103, F.S. (report within 24 hours).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Medication &amp; pharmacy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Florida Board of Pharmacy (Modified Class II Institutional Permit); Chapter 465, F.S.; consultant pharmacist requirements.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Opioid treatment (MAT)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SAMHSA opioid treatment program certification (42 CFR Part 8); U.S. DEA registration (21 CFR Part 1301); 65D-30.014, .0141, .0142, F.A.C.</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Infection control</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 381.0031, 381.0035, 384.25, F.S.; Chapters 64D-2 and 64D-3, F.A.C.; CDC guidelines.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Professional credentialing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Florida Certification Board (CAC, CAP, MCAP); § 397.311, F.S. (qualified professional); Chapters 458, 459, 490, 491, F.S.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Nutrition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 468.509, F.S. — licensed dietitian/nutritionist review of nutrition and dietary plans.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School attendance (minors)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1003, Part III, F.S. — compulsory school attendance for juveniles ages 6–16.</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Accreditation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CARF, The Joint Commission (TJC), or COA — DCF-recognized accreditation required within statutory timeframes under Chapter 397, F.S.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Medicaid</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Florida Medicaid / Statewide Medicaid Managed Care (SMMC) — coverage, provider enrollment, and medical-necessity standards.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Mental health (separate)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Agency for Health Care Administration (AHCA), Chapter 394, F.S., and Chapter 65E-4, F.A.C. — mental health facilities are licensed separately (see the companion AHCA manual).</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Florida DCF-licensed substance abuse service provider. Follow the steps below to adopt it as your provider’s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provider name, address, license and component numbers, effective date, and role titles — with your provider’s information. Set the effective date on each policy when it is adopted.</w:t>
      </w:r>
    </w:p>
    <w:p>
      <w:pPr>
        <w:pStyle w:val="Normal"/>
        <w:spacing w:before="140" w:after="40"/>
        <w:rPr/>
      </w:pPr>
      <w:r>
        <w:rPr>
          <w:rFonts w:eastAsia="Arial" w:cs="Arial"/>
          <w:b/>
          <w:bCs/>
          <w:color w:val="333333"/>
          <w:sz w:val="21"/>
          <w:szCs w:val="21"/>
        </w:rPr>
        <w:t>2. Match the manual to your licensed components</w:t>
      </w:r>
    </w:p>
    <w:p>
      <w:pPr>
        <w:pStyle w:val="Normal"/>
        <w:spacing w:lineRule="exact" w:line="276" w:before="0" w:after="120"/>
        <w:rPr/>
      </w:pPr>
      <w:r>
        <w:rPr>
          <w:rFonts w:eastAsia="Arial" w:cs="Arial"/>
          <w:sz w:val="21"/>
          <w:szCs w:val="21"/>
        </w:rPr>
        <w:t>Sections A through F apply to the provider regardless of component. Keep the Section G policies only for the components your provider is licensed to deliver — addictions receiving facility, detoxification, intensive inpatient, residential treatment (and the specific levels), day or night treatment with community housing, day or night treatment, intensive outpatient, outpatient, aftercare, and medication-assisted treatment for opioid use disorders. Mark any component you are not licensed for as not applicable, or remove that policy.</w:t>
      </w:r>
    </w:p>
    <w:p>
      <w:pPr>
        <w:pStyle w:val="Normal"/>
        <w:spacing w:before="140" w:after="40"/>
        <w:rPr/>
      </w:pPr>
      <w:r>
        <w:rPr>
          <w:rFonts w:eastAsia="Arial" w:cs="Arial"/>
          <w:b/>
          <w:bCs/>
          <w:color w:val="333333"/>
          <w:sz w:val="21"/>
          <w:szCs w:val="21"/>
        </w:rPr>
        <w:t>3.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4. Review, approve, and version-control</w:t>
      </w:r>
    </w:p>
    <w:p>
      <w:pPr>
        <w:pStyle w:val="Normal"/>
        <w:spacing w:lineRule="exact" w:line="276" w:before="0" w:after="120"/>
        <w:rPr/>
      </w:pPr>
      <w:r>
        <w:rPr>
          <w:rFonts w:eastAsia="Arial" w:cs="Arial"/>
          <w:sz w:val="21"/>
          <w:szCs w:val="21"/>
        </w:rPr>
        <w:t>Have the governing board and qualified Florida counsel or a compliance professional review the manual before adoption. Record each revision in the document-history table at the end of each policy, and review operating procedures at least annually through quality improvement and update as needed.</w:t>
      </w:r>
    </w:p>
    <w:p>
      <w:pPr>
        <w:pStyle w:val="Normal"/>
        <w:spacing w:before="140" w:after="40"/>
        <w:rPr/>
      </w:pPr>
      <w:r>
        <w:rPr>
          <w:rFonts w:eastAsia="Arial" w:cs="Arial"/>
          <w:b/>
          <w:bCs/>
          <w:color w:val="333333"/>
          <w:sz w:val="21"/>
          <w:szCs w:val="21"/>
        </w:rPr>
        <w:t>5. Confirm currency and accreditation</w:t>
      </w:r>
    </w:p>
    <w:p>
      <w:pPr>
        <w:pStyle w:val="Normal"/>
        <w:spacing w:lineRule="exact" w:line="276" w:before="0" w:after="120"/>
        <w:rPr/>
      </w:pPr>
      <w:r>
        <w:rPr>
          <w:rFonts w:eastAsia="Arial" w:cs="Arial"/>
          <w:sz w:val="21"/>
          <w:szCs w:val="21"/>
        </w:rPr>
        <w:t>Chapter 65D-30 has been substantially revised and continues to be amended — the Definitions were amended in October 2025 and many core sections in October 2024. Confirm the current version of Chapter 65D-30 and Chapter 397, current DCF forms, current Florida Medicaid / SMMC requirements, and your accreditation obligations (CARF, TJC, or COA) before adopting and periodically thereafter. Official forms are referenced by name only; obtain current versions from DCF.</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Rights Acknowledgment</w:t>
      </w:r>
    </w:p>
    <w:p>
      <w:pPr>
        <w:pStyle w:val="Normal"/>
        <w:spacing w:lineRule="exact" w:line="276" w:before="0" w:after="120"/>
        <w:rPr/>
      </w:pPr>
      <w:r>
        <w:rPr>
          <w:rFonts w:eastAsia="Arial" w:cs="Arial"/>
          <w:sz w:val="21"/>
          <w:szCs w:val="21"/>
        </w:rPr>
        <w:t>This acknowledgment may be provided to an individual or the individual’s representative at admission, together with the written copy of the rights of individuals required by Rule 65D-30.0045, F.A.C.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an individual receiving services from [Organization Name], that these rights have been explained to me in a manner I can understand, and that I have been informed of the grievance process and my right to file a complaint with the provider and with the Florida Department of Children and Families without retaliation.</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Individual name (print): ______________________________________________</w:t>
      </w:r>
    </w:p>
    <w:p>
      <w:pPr>
        <w:pStyle w:val="Normal"/>
        <w:spacing w:lineRule="exact" w:line="276" w:before="0" w:after="120"/>
        <w:rPr/>
      </w:pPr>
      <w:r>
        <w:rPr>
          <w:rFonts w:eastAsia="Arial" w:cs="Arial"/>
          <w:sz w:val="21"/>
          <w:szCs w:val="21"/>
        </w:rPr>
        <w:t>Individual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Florida — Substance Abuse Services (DCF 65D-30)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82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Florida — Substance Abuse Services (DCF 65D-30)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82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2026-07-02T04:30:54Z</dcterms:created>
  <dc:creator>PolicyReady.org</dc:creator>
  <dc:description/>
  <dc:language>en-US</dc:language>
  <cp:lastModifiedBy>Un-named</cp:lastModifiedBy>
  <dcterms:modified xsi:type="dcterms:W3CDTF">2026-07-02T04:30:54Z</dcterms:modified>
  <cp:revision>1</cp:revision>
  <dc:subject/>
  <dc:title>Florida Substance Abuse Services (DCF 65D-30) Policy &amp; Procedure Manual</dc:title>
</cp:coreProperties>
</file>