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GEORGIA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8"/>
          <w:szCs w:val="28"/>
        </w:rPr>
        <w:t>Assisted Living Community (ALC) — 25+ Residents</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[Community Name]</w:t>
      </w:r>
    </w:p>
    <w:p>
      <w:pPr>
        <w:pStyle w:val="Normal"/>
        <w:spacing w:before="60" w:after="0"/>
        <w:jc w:val="center"/>
        <w:rPr/>
      </w:pPr>
      <w:r>
        <w:rPr>
          <w:rFonts w:eastAsia="Arial" w:cs="Arial"/>
          <w:color w:val="666666"/>
          <w:sz w:val="20"/>
          <w:szCs w:val="20"/>
        </w:rPr>
        <w:t>[Address]   •   [DCH License Number]</w:t>
      </w:r>
    </w:p>
    <w:p>
      <w:pPr>
        <w:pStyle w:val="Normal"/>
        <w:spacing w:before="1600" w:after="0"/>
        <w:jc w:val="center"/>
        <w:rPr/>
      </w:pPr>
      <w:r>
        <w:rPr>
          <w:rFonts w:eastAsia="Arial" w:cs="Arial"/>
          <w:color w:val="666666"/>
          <w:sz w:val="18"/>
          <w:szCs w:val="18"/>
        </w:rPr>
        <w:t>Aligned to Rule Chapter 111-8-63 (Assisted Living Communities)</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Community is governed and how it admits, protects, and resolves concerns for the residents it serves under its DCH license. It covers admission and discharge, resident rights, mandatory abuse reporting under Georgia’s Long-Term Care Resident Abuse Reporting Act, resident funds and financial stability, and zoning, community design, and fire-safety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Continued Residency &amp; Discharge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&amp;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Financial Stability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Community Design &amp; Fire Safety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Continued Residency &amp; Discharge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Continued Residency &amp;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O.C.G.A. Title 31, Chapter 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Community admits, retains, and discharges residents, consistent with the Rules and Regulations for Assisted Living Communities, Chapter 111-8-63.</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Community is licensed by the Georgia Department of Community Health (DCH), Healthcare Facility Regulation Division (HFRD), as an Assisted Living Community (ALC) under Chapter 111-8-63. An assisted living community is a personal care home serving twenty-five (25) or more residents that is licensed to provide assisted living care — assistance with activities of daily living, assistance with or administration of medications, and related services — to adults who do not require continuous medical or nursing care. A Community that holds itself out as providing specialized memory care must meet the additional requirements in the Memory Care Center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admit and retain only residents whose needs it can meet within its license, based on a physician’s medical evaluation and an assessment, and shall provide a written residency agreement and resident rights at admission.</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Obtain a physician’s or authorized practitioner’s medical evaluation on the Department’s medical evaluation form, completed within the timeframe required by rule, documenting the resident’s diagnoses, medications, and care needs.</w:t>
      </w:r>
    </w:p>
    <w:p>
      <w:pPr>
        <w:pStyle w:val="Normal"/>
        <w:tabs>
          <w:tab w:val="left" w:pos="720" w:leader="none"/>
        </w:tabs>
        <w:spacing w:lineRule="exact" w:line="264" w:before="0" w:after="80"/>
        <w:ind w:hanging="360" w:start="720"/>
        <w:rPr/>
      </w:pPr>
      <w:r>
        <w:rPr>
          <w:rFonts w:eastAsia="Arial" w:cs="Arial"/>
          <w:sz w:val="21"/>
          <w:szCs w:val="21"/>
        </w:rPr>
        <w:t>b. Complete an assessment of the resident’s needs and preferences and determine that the Community can meet those needs within its license and scope of service.</w:t>
      </w:r>
    </w:p>
    <w:p>
      <w:pPr>
        <w:pStyle w:val="Normal"/>
        <w:tabs>
          <w:tab w:val="left" w:pos="720" w:leader="none"/>
        </w:tabs>
        <w:spacing w:lineRule="exact" w:line="264" w:before="0" w:after="80"/>
        <w:ind w:hanging="360" w:start="720"/>
        <w:rPr/>
      </w:pPr>
      <w:r>
        <w:rPr>
          <w:rFonts w:eastAsia="Arial" w:cs="Arial"/>
          <w:sz w:val="21"/>
          <w:szCs w:val="21"/>
        </w:rPr>
        <w:t>c. Execute a written residency agreement describing services, charges, and the rights and obligations of the parties, and provide the resident a copy.</w:t>
      </w:r>
    </w:p>
    <w:p>
      <w:pPr>
        <w:pStyle w:val="Normal"/>
        <w:tabs>
          <w:tab w:val="left" w:pos="720" w:leader="none"/>
        </w:tabs>
        <w:spacing w:lineRule="exact" w:line="264" w:before="0" w:after="80"/>
        <w:ind w:hanging="360" w:start="720"/>
        <w:rPr/>
      </w:pPr>
      <w:r>
        <w:rPr>
          <w:rFonts w:eastAsia="Arial" w:cs="Arial"/>
          <w:sz w:val="21"/>
          <w:szCs w:val="21"/>
        </w:rPr>
        <w:t>d. Provide each resident, at or before admission, a written statement of resident rights and the Community’s policies on services and grievances.</w:t>
      </w:r>
    </w:p>
    <w:p>
      <w:pPr>
        <w:pStyle w:val="Normal"/>
        <w:pBdr>
          <w:bottom w:val="single" w:sz="4" w:space="1" w:color="2E5E45"/>
        </w:pBdr>
        <w:spacing w:before="160" w:after="80"/>
        <w:rPr/>
      </w:pPr>
      <w:r>
        <w:rPr>
          <w:rFonts w:eastAsia="Arial" w:cs="Arial"/>
          <w:b/>
          <w:bCs/>
          <w:color w:val="1A4731"/>
          <w:sz w:val="20"/>
          <w:szCs w:val="20"/>
        </w:rPr>
        <w:t>PROCEDURE — CONTINUED RESIDENCY &amp; DISCHARGE</w:t>
      </w:r>
    </w:p>
    <w:p>
      <w:pPr>
        <w:pStyle w:val="Normal"/>
        <w:tabs>
          <w:tab w:val="left" w:pos="720" w:leader="none"/>
        </w:tabs>
        <w:spacing w:lineRule="exact" w:line="264" w:before="0" w:after="80"/>
        <w:ind w:hanging="360" w:start="720"/>
        <w:rPr/>
      </w:pPr>
      <w:r>
        <w:rPr>
          <w:rFonts w:eastAsia="Arial" w:cs="Arial"/>
          <w:sz w:val="21"/>
          <w:szCs w:val="21"/>
        </w:rPr>
        <w:t>e. Monitor each resident’s continued appropriateness for the Community, including whether the resident has come to require continuous medical or nursing care beyond the ALC’s scope.</w:t>
      </w:r>
    </w:p>
    <w:p>
      <w:pPr>
        <w:pStyle w:val="Normal"/>
        <w:tabs>
          <w:tab w:val="left" w:pos="720" w:leader="none"/>
        </w:tabs>
        <w:spacing w:lineRule="exact" w:line="264" w:before="0" w:after="80"/>
        <w:ind w:hanging="360" w:start="720"/>
        <w:rPr/>
      </w:pPr>
      <w:r>
        <w:rPr>
          <w:rFonts w:eastAsia="Arial" w:cs="Arial"/>
          <w:sz w:val="21"/>
          <w:szCs w:val="21"/>
        </w:rPr>
        <w:t>f. Where the Community can no longer meet the resident’s needs or other grounds under rule apply, provide the written notice required by Chapter 111-8-63 and coordinate a safe transfer or discharge.</w:t>
      </w:r>
    </w:p>
    <w:p>
      <w:pPr>
        <w:pStyle w:val="Normal"/>
        <w:tabs>
          <w:tab w:val="left" w:pos="720" w:leader="none"/>
        </w:tabs>
        <w:spacing w:lineRule="exact" w:line="264" w:before="0" w:after="80"/>
        <w:ind w:hanging="360" w:start="720"/>
        <w:rPr/>
      </w:pPr>
      <w:r>
        <w:rPr>
          <w:rFonts w:eastAsia="Arial" w:cs="Arial"/>
          <w:sz w:val="21"/>
          <w:szCs w:val="21"/>
        </w:rPr>
        <w:t>g. Document the basis for discharge or transfer and the coordination of continuing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DCH Medical Evaluation / Physician’s Report</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O.C.G.A. Title 31, Chapter 8 (resident abuse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required by Chapter 111-8-63,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observe and protect the rights of each resident, provide each resident a written copy of resident rights at admission, and post the Long-Term Care Ombudsman and complaint contact information.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and exploitation.</w:t>
      </w:r>
    </w:p>
    <w:p>
      <w:pPr>
        <w:pStyle w:val="Normal"/>
        <w:tabs>
          <w:tab w:val="left" w:pos="720" w:leader="none"/>
        </w:tabs>
        <w:spacing w:lineRule="exact" w:line="264" w:before="0" w:after="80"/>
        <w:ind w:hanging="360" w:start="720"/>
        <w:rPr/>
      </w:pPr>
      <w:r>
        <w:rPr>
          <w:rFonts w:eastAsia="Arial" w:cs="Arial"/>
          <w:sz w:val="21"/>
          <w:szCs w:val="21"/>
        </w:rPr>
        <w:t>b. Ensure the right to privacy, to manage or receive an accounting of personal funds, to retain and use personal possessions, and to private communication and visitation.</w:t>
      </w:r>
    </w:p>
    <w:p>
      <w:pPr>
        <w:pStyle w:val="Normal"/>
        <w:tabs>
          <w:tab w:val="left" w:pos="720" w:leader="none"/>
        </w:tabs>
        <w:spacing w:lineRule="exact" w:line="264" w:before="0" w:after="80"/>
        <w:ind w:hanging="360" w:start="720"/>
        <w:rPr/>
      </w:pPr>
      <w:r>
        <w:rPr>
          <w:rFonts w:eastAsia="Arial" w:cs="Arial"/>
          <w:sz w:val="21"/>
          <w:szCs w:val="21"/>
        </w:rPr>
        <w:t>c. Ensure the right to participate in decisions about services and care and to make meaningful choices,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Ensure the right to access the Long-Term Care Ombudsman, and provide each resident a written copy of resident rights upon admission with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present a grievance, and post the Long-Term Care Ombudsman and the DCH/HFRD complaint contact information.</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the Department.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&amp;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&amp;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Long-Term Care Resident Abuse Reporting Act, O.C.G.A. § 31-8-80 et seq.; Rule 111-8-63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Georgia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requires immediate reporting of suspected abuse, neglect, and exploitation under the Long-Term Care Resident Abuse Reporting Act, and reports and investigates incidents as required by Chapter 111-8-63.</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that they are mandatory reporters under the Long-Term Care Resident Abuse Reporting Act (O.C.G.A. § 31-8-80 et seq.) and must immediately report suspected abuse, neglect, or exploitation,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the Department and to law enforcement or adult protective services as required, and report deaths and other reportable incidents within the required timeframes.</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witnesses,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Financial Stability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Financial Stability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HB 987 (financial stability &amp; notice of closure)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Community manages them, and to meet Georgia’s financial-stability and closure-notice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Community holds or manages a resident’s funds or property, it shall do so under written authorization with a separate accounting. The Community shall maintain the financial-stability documentation required by law and provide the required advance written notice of any impending closure.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receiving, holding, or managing resident funds or property, maintain a separate accounting for each resident, and return funds and property with a final accounting on discharge or death.</w:t>
      </w:r>
    </w:p>
    <w:p>
      <w:pPr>
        <w:pStyle w:val="Normal"/>
        <w:tabs>
          <w:tab w:val="left" w:pos="720" w:leader="none"/>
        </w:tabs>
        <w:spacing w:lineRule="exact" w:line="264" w:before="0" w:after="80"/>
        <w:ind w:hanging="360" w:start="720"/>
        <w:rPr/>
      </w:pPr>
      <w:r>
        <w:rPr>
          <w:rFonts w:eastAsia="Arial" w:cs="Arial"/>
          <w:sz w:val="21"/>
          <w:szCs w:val="21"/>
        </w:rPr>
        <w:t>b. Maintain the financial-stability documentation required for licensure (for example, an accountant’s financial stability affidavit where required by law).</w:t>
      </w:r>
    </w:p>
    <w:p>
      <w:pPr>
        <w:pStyle w:val="Normal"/>
        <w:tabs>
          <w:tab w:val="left" w:pos="720" w:leader="none"/>
        </w:tabs>
        <w:spacing w:lineRule="exact" w:line="264" w:before="0" w:after="80"/>
        <w:ind w:hanging="360" w:start="720"/>
        <w:rPr/>
      </w:pPr>
      <w:r>
        <w:rPr>
          <w:rFonts w:eastAsia="Arial" w:cs="Arial"/>
          <w:sz w:val="21"/>
          <w:szCs w:val="21"/>
        </w:rPr>
        <w:t>c. Provide a minimum of sixty (60) days’ written notice to the Department and to all residents of any impending closure, consistent with Georgia law.</w:t>
      </w:r>
    </w:p>
    <w:p>
      <w:pPr>
        <w:pStyle w:val="Normal"/>
        <w:tabs>
          <w:tab w:val="left" w:pos="720" w:leader="none"/>
        </w:tabs>
        <w:spacing w:lineRule="exact" w:line="264" w:before="0" w:after="80"/>
        <w:ind w:hanging="360" w:start="720"/>
        <w:rPr/>
      </w:pPr>
      <w:r>
        <w:rPr>
          <w:rFonts w:eastAsia="Arial" w:cs="Arial"/>
          <w:sz w:val="21"/>
          <w:szCs w:val="21"/>
        </w:rPr>
        <w:t>d. Provide the resident or representative access to the accounting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Financial Stability Documentation</w:t>
      </w:r>
    </w:p>
    <w:p>
      <w:pPr>
        <w:pStyle w:val="ListParagraph"/>
        <w:numPr>
          <w:ilvl w:val="0"/>
          <w:numId w:val="1"/>
        </w:numPr>
        <w:spacing w:lineRule="exact" w:line="264" w:before="0" w:after="60"/>
        <w:rPr/>
      </w:pPr>
      <w:r>
        <w:rPr>
          <w:rFonts w:eastAsia="Arial" w:cs="Arial"/>
          <w:sz w:val="21"/>
          <w:szCs w:val="21"/>
        </w:rPr>
        <w:t>Notice of Closure (60-day)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Community Design &amp; Fire Safety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Community Design &amp; Fire Safety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111-8-63-.11; local zoning; State Fire Marshal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Community operates in a permitted location and meets the design, use, and fire-safety requirements of Chapter 111-8-63, in addition to its DCH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DCH license does not by itself authorize operation at a given location. The Community shall confirm its use is permitted under local zoning, meet the community design and use requirements of Rule 111-8-63-.11, and maintain the required fire-safety approvals.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Confirm the property’s zoning permits an assisted living community of the intended size, and obtain a zoning verification from the local planning department before establishing or relocating.</w:t>
      </w:r>
    </w:p>
    <w:p>
      <w:pPr>
        <w:pStyle w:val="Normal"/>
        <w:tabs>
          <w:tab w:val="left" w:pos="720" w:leader="none"/>
        </w:tabs>
        <w:spacing w:lineRule="exact" w:line="264" w:before="0" w:after="80"/>
        <w:ind w:hanging="360" w:start="720"/>
        <w:rPr/>
      </w:pPr>
      <w:r>
        <w:rPr>
          <w:rFonts w:eastAsia="Arial" w:cs="Arial"/>
          <w:sz w:val="21"/>
          <w:szCs w:val="21"/>
        </w:rPr>
        <w:t>b. Meet the community design and use requirements of Rule 111-8-63-.11, including required common areas (such as separate and distinct living and dining areas sized to accommodate residents), resident room standards, and accessibility.</w:t>
      </w:r>
    </w:p>
    <w:p>
      <w:pPr>
        <w:pStyle w:val="Normal"/>
        <w:tabs>
          <w:tab w:val="left" w:pos="720" w:leader="none"/>
        </w:tabs>
        <w:spacing w:lineRule="exact" w:line="264" w:before="0" w:after="80"/>
        <w:ind w:hanging="360" w:start="720"/>
        <w:rPr/>
      </w:pPr>
      <w:r>
        <w:rPr>
          <w:rFonts w:eastAsia="Arial" w:cs="Arial"/>
          <w:sz w:val="21"/>
          <w:szCs w:val="21"/>
        </w:rPr>
        <w:t>c. Obtain and maintain fire-safety approvals from the Office of the Safety Fire Commissioner and comply with local fire-safety ordinances; obtain a repeat fire-safety inspection after substantial repair, renovation, or additions.</w:t>
      </w:r>
    </w:p>
    <w:p>
      <w:pPr>
        <w:pStyle w:val="Normal"/>
        <w:tabs>
          <w:tab w:val="left" w:pos="720" w:leader="none"/>
        </w:tabs>
        <w:spacing w:lineRule="exact" w:line="264" w:before="0" w:after="80"/>
        <w:ind w:hanging="360" w:start="720"/>
        <w:rPr/>
      </w:pPr>
      <w:r>
        <w:rPr>
          <w:rFonts w:eastAsia="Arial" w:cs="Arial"/>
          <w:sz w:val="21"/>
          <w:szCs w:val="21"/>
        </w:rPr>
        <w:t>d. Where the Department has concerns about residents’ ability to evacuate, address self-preservation and staffing consistent with rule, and retain all approvals in the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w:t>
      </w:r>
    </w:p>
    <w:p>
      <w:pPr>
        <w:pStyle w:val="ListParagraph"/>
        <w:numPr>
          <w:ilvl w:val="0"/>
          <w:numId w:val="1"/>
        </w:numPr>
        <w:spacing w:lineRule="exact" w:line="264" w:before="0" w:after="60"/>
        <w:rPr/>
      </w:pPr>
      <w:r>
        <w:rPr>
          <w:rFonts w:eastAsia="Arial" w:cs="Arial"/>
          <w:sz w:val="21"/>
          <w:szCs w:val="21"/>
        </w:rPr>
        <w:t>Fire Safety Inspection Approvals</w:t>
      </w:r>
    </w:p>
    <w:p>
      <w:pPr>
        <w:pStyle w:val="ListParagraph"/>
        <w:numPr>
          <w:ilvl w:val="0"/>
          <w:numId w:val="1"/>
        </w:numPr>
        <w:spacing w:lineRule="exact" w:line="264" w:before="0" w:after="60"/>
        <w:rPr/>
      </w:pPr>
      <w:r>
        <w:rPr>
          <w:rFonts w:eastAsia="Arial" w:cs="Arial"/>
          <w:sz w:val="21"/>
          <w:szCs w:val="21"/>
        </w:rPr>
        <w:t>Community Design Compliance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criminal background and fingerprint checks, health documentation, Georgia’s initial and continuing training requirements, and the qualifications of the licensed administrator together with the direct-care staffing ratios and RN/LPN coverage required by law.</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Workforce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 Director Qualifications &amp; Staffing Levels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Chapter 111-8-12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director, administrator, on-site manager, and direct access employee is screened and suitable to work with residents through the required criminal background checks.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complete criminal background checks in compliance with the Rules and Regulations for Criminal Background Checks, Chapter 111-8-12, before an individual serves as a director, administrator, on-site manager, or direct access employee, and shall maintain health documentation for staff.</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Before serving as a director, administrator, or on-site manager, obtain the required background check determination consistent with Chapter 111-8-12.</w:t>
      </w:r>
    </w:p>
    <w:p>
      <w:pPr>
        <w:pStyle w:val="Normal"/>
        <w:tabs>
          <w:tab w:val="left" w:pos="720" w:leader="none"/>
        </w:tabs>
        <w:spacing w:lineRule="exact" w:line="264" w:before="0" w:after="80"/>
        <w:ind w:hanging="360" w:start="720"/>
        <w:rPr/>
      </w:pPr>
      <w:r>
        <w:rPr>
          <w:rFonts w:eastAsia="Arial" w:cs="Arial"/>
          <w:sz w:val="21"/>
          <w:szCs w:val="21"/>
        </w:rPr>
        <w:t>b. Before a direct access employee is hired, obtain a satisfactory fingerprint records check determination in compliance with Chapter 111-8-12.</w:t>
      </w:r>
    </w:p>
    <w:p>
      <w:pPr>
        <w:pStyle w:val="Normal"/>
        <w:tabs>
          <w:tab w:val="left" w:pos="720" w:leader="none"/>
        </w:tabs>
        <w:spacing w:lineRule="exact" w:line="264" w:before="0" w:after="80"/>
        <w:ind w:hanging="360" w:start="720"/>
        <w:rPr/>
      </w:pPr>
      <w:r>
        <w:rPr>
          <w:rFonts w:eastAsia="Arial" w:cs="Arial"/>
          <w:sz w:val="21"/>
          <w:szCs w:val="21"/>
        </w:rPr>
        <w:t>c. Do not employ or retain any individual with a disqualifying determination, and maintain background check records in a readily retrievable format.</w:t>
      </w:r>
    </w:p>
    <w:p>
      <w:pPr>
        <w:pStyle w:val="Normal"/>
        <w:pBdr>
          <w:bottom w:val="single" w:sz="4" w:space="1" w:color="2E5E45"/>
        </w:pBdr>
        <w:spacing w:before="160" w:after="80"/>
        <w:rPr/>
      </w:pPr>
      <w:r>
        <w:rPr>
          <w:rFonts w:eastAsia="Arial" w:cs="Arial"/>
          <w:b/>
          <w:bCs/>
          <w:color w:val="1A4731"/>
          <w:sz w:val="20"/>
          <w:szCs w:val="20"/>
        </w:rPr>
        <w:t>PROCEDURE — HEALTH &amp; PERSONNEL RECORDS</w:t>
      </w:r>
    </w:p>
    <w:p>
      <w:pPr>
        <w:pStyle w:val="Normal"/>
        <w:tabs>
          <w:tab w:val="left" w:pos="720" w:leader="none"/>
        </w:tabs>
        <w:spacing w:lineRule="exact" w:line="264" w:before="0" w:after="80"/>
        <w:ind w:hanging="360" w:start="720"/>
        <w:rPr/>
      </w:pPr>
      <w:r>
        <w:rPr>
          <w:rFonts w:eastAsia="Arial" w:cs="Arial"/>
          <w:sz w:val="21"/>
          <w:szCs w:val="21"/>
        </w:rPr>
        <w:t>d. Obtain documentation that each staff member is free of communicable disease, including tuberculosis screening as required, and retain health assessments and medical releases in a readily retrievable format.</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that includes job description, qualifications, background check results,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Department representatives for review and copying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Background Check / Fingerprint Determination</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Workforce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Workforce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111-8-63-.09; O.C.G.A. § 31-8-81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the initial training, first-year continuing education, and ongoing annual education Georgia requires, and demonstrate competency, consistent with Rule 111-8-63-.09.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ensure each staff member completes required initial training within the first 60 days, that hands-on direct-care staff complete at least 24 hours of continuing education in the first year and at least 16 hours annually thereafter, and that at least two trained staff are present whenever residents are present.</w:t>
      </w:r>
    </w:p>
    <w:p>
      <w:pPr>
        <w:pStyle w:val="Normal"/>
        <w:pBdr>
          <w:bottom w:val="single" w:sz="4" w:space="1" w:color="2E5E45"/>
        </w:pBdr>
        <w:spacing w:before="160" w:after="80"/>
        <w:rPr/>
      </w:pPr>
      <w:r>
        <w:rPr>
          <w:rFonts w:eastAsia="Arial" w:cs="Arial"/>
          <w:b/>
          <w:bCs/>
          <w:color w:val="1A4731"/>
          <w:sz w:val="20"/>
          <w:szCs w:val="20"/>
        </w:rPr>
        <w:t>PROCEDURE — INITIAL TRAINING (WITHIN 60 DAYS)</w:t>
      </w:r>
    </w:p>
    <w:p>
      <w:pPr>
        <w:pStyle w:val="Normal"/>
        <w:tabs>
          <w:tab w:val="left" w:pos="720" w:leader="none"/>
        </w:tabs>
        <w:spacing w:lineRule="exact" w:line="264" w:before="0" w:after="80"/>
        <w:ind w:hanging="360" w:start="720"/>
        <w:rPr/>
      </w:pPr>
      <w:r>
        <w:rPr>
          <w:rFonts w:eastAsia="Arial" w:cs="Arial"/>
          <w:sz w:val="21"/>
          <w:szCs w:val="21"/>
        </w:rPr>
        <w:t>a. Ensure all staff receive initial training within the first 60 days of employment covering the Long-Term Care Resident Abuse Reporting Act (O.C.G.A. § 31-8-81 et seq.), general infection control including hand hygiene and ill-staff attendance policies, and training necessary to carry out assigned duties.</w:t>
      </w:r>
    </w:p>
    <w:p>
      <w:pPr>
        <w:pStyle w:val="Normal"/>
        <w:tabs>
          <w:tab w:val="left" w:pos="720" w:leader="none"/>
        </w:tabs>
        <w:spacing w:lineRule="exact" w:line="264" w:before="0" w:after="80"/>
        <w:ind w:hanging="360" w:start="720"/>
        <w:rPr/>
      </w:pPr>
      <w:r>
        <w:rPr>
          <w:rFonts w:eastAsia="Arial" w:cs="Arial"/>
          <w:sz w:val="21"/>
          <w:szCs w:val="21"/>
        </w:rPr>
        <w:t>b. Ensure staff hired to provide hands-on personal services also receive, within 60 days, first aid and CPR certification (with return demonstration for CPR), and training in the medical and social needs and characteristics of the resident population.</w:t>
      </w:r>
    </w:p>
    <w:p>
      <w:pPr>
        <w:pStyle w:val="Normal"/>
        <w:tabs>
          <w:tab w:val="left" w:pos="720" w:leader="none"/>
        </w:tabs>
        <w:spacing w:lineRule="exact" w:line="264" w:before="0" w:after="80"/>
        <w:ind w:hanging="360" w:start="720"/>
        <w:rPr/>
      </w:pPr>
      <w:r>
        <w:rPr>
          <w:rFonts w:eastAsia="Arial" w:cs="Arial"/>
          <w:sz w:val="21"/>
          <w:szCs w:val="21"/>
        </w:rPr>
        <w:t>c. Ensure required fire-safety training is completed within the timeframe required by rule.</w:t>
      </w:r>
    </w:p>
    <w:p>
      <w:pPr>
        <w:pStyle w:val="Normal"/>
        <w:tabs>
          <w:tab w:val="left" w:pos="720" w:leader="none"/>
        </w:tabs>
        <w:spacing w:lineRule="exact" w:line="264" w:before="0" w:after="80"/>
        <w:ind w:hanging="360" w:start="720"/>
        <w:rPr/>
      </w:pPr>
      <w:r>
        <w:rPr>
          <w:rFonts w:eastAsia="Arial" w:cs="Arial"/>
          <w:sz w:val="21"/>
          <w:szCs w:val="21"/>
        </w:rPr>
        <w:t>d. Ensure at least two staff who have completed the required training are present in the Community at all times any residents are present.</w:t>
      </w:r>
    </w:p>
    <w:p>
      <w:pPr>
        <w:pStyle w:val="Normal"/>
        <w:pBdr>
          <w:bottom w:val="single" w:sz="4" w:space="1" w:color="2E5E45"/>
        </w:pBdr>
        <w:spacing w:before="160" w:after="80"/>
        <w:rPr/>
      </w:pPr>
      <w:r>
        <w:rPr>
          <w:rFonts w:eastAsia="Arial" w:cs="Arial"/>
          <w:b/>
          <w:bCs/>
          <w:color w:val="1A4731"/>
          <w:sz w:val="20"/>
          <w:szCs w:val="20"/>
        </w:rPr>
        <w:t>PROCEDURE — CONTINUING EDUCATION &amp; RECORDS</w:t>
      </w:r>
    </w:p>
    <w:p>
      <w:pPr>
        <w:pStyle w:val="Normal"/>
        <w:tabs>
          <w:tab w:val="left" w:pos="720" w:leader="none"/>
        </w:tabs>
        <w:spacing w:lineRule="exact" w:line="264" w:before="0" w:after="80"/>
        <w:ind w:hanging="360" w:start="720"/>
        <w:rPr/>
      </w:pPr>
      <w:r>
        <w:rPr>
          <w:rFonts w:eastAsia="Arial" w:cs="Arial"/>
          <w:sz w:val="21"/>
          <w:szCs w:val="21"/>
        </w:rPr>
        <w:t>e. Ensure hands-on direct-care staff (including the administrator or on-site manager) complete at least 24 hours of continuing education in the first year of employment, on topics relevant to their duties.</w:t>
      </w:r>
    </w:p>
    <w:p>
      <w:pPr>
        <w:pStyle w:val="Normal"/>
        <w:tabs>
          <w:tab w:val="left" w:pos="720" w:leader="none"/>
        </w:tabs>
        <w:spacing w:lineRule="exact" w:line="264" w:before="0" w:after="80"/>
        <w:ind w:hanging="360" w:start="720"/>
        <w:rPr/>
      </w:pPr>
      <w:r>
        <w:rPr>
          <w:rFonts w:eastAsia="Arial" w:cs="Arial"/>
          <w:sz w:val="21"/>
          <w:szCs w:val="21"/>
        </w:rPr>
        <w:t>f. Beginning in the second year, ensure hands-on direct-care staff complete at least 16 hours of job-related continuing education annually.</w:t>
      </w:r>
    </w:p>
    <w:p>
      <w:pPr>
        <w:pStyle w:val="Normal"/>
        <w:tabs>
          <w:tab w:val="left" w:pos="720" w:leader="none"/>
        </w:tabs>
        <w:spacing w:lineRule="exact" w:line="264" w:before="0" w:after="80"/>
        <w:ind w:hanging="360" w:start="720"/>
        <w:rPr/>
      </w:pPr>
      <w:r>
        <w:rPr>
          <w:rFonts w:eastAsia="Arial" w:cs="Arial"/>
          <w:sz w:val="21"/>
          <w:szCs w:val="21"/>
        </w:rPr>
        <w:t>g. Provide proxy-caregiver training consistent with Chapter 111-8-100 where the Community employs proxy caregivers, and provide hospice-specific training to any medication aide who will administer liquid morphine to a hospice resident.</w:t>
      </w:r>
    </w:p>
    <w:p>
      <w:pPr>
        <w:pStyle w:val="Normal"/>
        <w:tabs>
          <w:tab w:val="left" w:pos="720" w:leader="none"/>
        </w:tabs>
        <w:spacing w:lineRule="exact" w:line="264" w:before="0" w:after="80"/>
        <w:ind w:hanging="360" w:start="720"/>
        <w:rPr/>
      </w:pPr>
      <w:r>
        <w:rPr>
          <w:rFonts w:eastAsia="Arial" w:cs="Arial"/>
          <w:sz w:val="21"/>
          <w:szCs w:val="21"/>
        </w:rPr>
        <w:t>h. Maintain training documentation reflecting course content, instructor qualifications, agenda, and attendance rosters.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Initial Training (60-Day) Checklist</w:t>
      </w:r>
    </w:p>
    <w:p>
      <w:pPr>
        <w:pStyle w:val="ListParagraph"/>
        <w:numPr>
          <w:ilvl w:val="0"/>
          <w:numId w:val="1"/>
        </w:numPr>
        <w:spacing w:lineRule="exact" w:line="264" w:before="0" w:after="60"/>
        <w:rPr/>
      </w:pPr>
      <w:r>
        <w:rPr>
          <w:rFonts w:eastAsia="Arial" w:cs="Arial"/>
          <w:sz w:val="21"/>
          <w:szCs w:val="21"/>
        </w:rPr>
        <w:t>First-Year (24-Hour) &amp; Annual (16-Hour) CE Log</w:t>
      </w:r>
    </w:p>
    <w:p>
      <w:pPr>
        <w:pStyle w:val="ListParagraph"/>
        <w:numPr>
          <w:ilvl w:val="0"/>
          <w:numId w:val="1"/>
        </w:numPr>
        <w:spacing w:lineRule="exact" w:line="264" w:before="0" w:after="60"/>
        <w:rPr/>
      </w:pPr>
      <w:r>
        <w:rPr>
          <w:rFonts w:eastAsia="Arial" w:cs="Arial"/>
          <w:sz w:val="21"/>
          <w:szCs w:val="21"/>
        </w:rPr>
        <w:t>Proxy Caregiver / Hospice Morphine Training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 Director Qualifications &amp; Staffing Levels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 Director Qualifications &amp; Staffing Levels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111-8-63-.09; HB 987 staffing; State Board of Long Term Care Facility Administrators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Community is led by a qualified, licensed administrator and staffed at the levels Georgia requires, including RN/LPN coverage, consistent with Chapter 111-8-63.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be operated by a licensed administrator, maintain the required direct-care staffing ratios and at least two on-site direct care staff at all times, and provide RN or LPN coverage on the schedule required by law.</w:t>
      </w:r>
    </w:p>
    <w:p>
      <w:pPr>
        <w:pStyle w:val="Normal"/>
        <w:pBdr>
          <w:bottom w:val="single" w:sz="4" w:space="1" w:color="2E5E45"/>
        </w:pBdr>
        <w:spacing w:before="160" w:after="80"/>
        <w:rPr/>
      </w:pPr>
      <w:r>
        <w:rPr>
          <w:rFonts w:eastAsia="Arial" w:cs="Arial"/>
          <w:b/>
          <w:bCs/>
          <w:color w:val="1A4731"/>
          <w:sz w:val="20"/>
          <w:szCs w:val="20"/>
        </w:rPr>
        <w:t>PROCEDURE — ADMINISTRATOR</w:t>
      </w:r>
    </w:p>
    <w:p>
      <w:pPr>
        <w:pStyle w:val="Normal"/>
        <w:tabs>
          <w:tab w:val="left" w:pos="720" w:leader="none"/>
        </w:tabs>
        <w:spacing w:lineRule="exact" w:line="264" w:before="0" w:after="80"/>
        <w:ind w:hanging="360" w:start="720"/>
        <w:rPr/>
      </w:pPr>
      <w:r>
        <w:rPr>
          <w:rFonts w:eastAsia="Arial" w:cs="Arial"/>
          <w:sz w:val="21"/>
          <w:szCs w:val="21"/>
        </w:rPr>
        <w:t>a. Ensure the administrator (director) of the Community holds a valid license from the Georgia State Board of Long Term Care Facility Administrators, obtained within the timeframe required by rule.</w:t>
      </w:r>
    </w:p>
    <w:p>
      <w:pPr>
        <w:pStyle w:val="Normal"/>
        <w:tabs>
          <w:tab w:val="left" w:pos="720" w:leader="none"/>
        </w:tabs>
        <w:spacing w:lineRule="exact" w:line="264" w:before="0" w:after="80"/>
        <w:ind w:hanging="360" w:start="720"/>
        <w:rPr/>
      </w:pPr>
      <w:r>
        <w:rPr>
          <w:rFonts w:eastAsia="Arial" w:cs="Arial"/>
          <w:sz w:val="21"/>
          <w:szCs w:val="21"/>
        </w:rPr>
        <w:t>b. Designate an on-site manager responsible for day-to-day operation, and ensure an administrator, on-site manager, or responsible staff person is on the premises 24 hours a day.</w:t>
      </w:r>
    </w:p>
    <w:p>
      <w:pPr>
        <w:pStyle w:val="Normal"/>
        <w:tabs>
          <w:tab w:val="left" w:pos="720" w:leader="none"/>
        </w:tabs>
        <w:spacing w:lineRule="exact" w:line="264" w:before="0" w:after="80"/>
        <w:ind w:hanging="360" w:start="720"/>
        <w:rPr/>
      </w:pPr>
      <w:r>
        <w:rPr>
          <w:rFonts w:eastAsia="Arial" w:cs="Arial"/>
          <w:sz w:val="21"/>
          <w:szCs w:val="21"/>
        </w:rPr>
        <w:t>c. Maintain documentation of administrator licensure and continuing education, including verification through the applicable CEU tracking system.</w:t>
      </w:r>
    </w:p>
    <w:p>
      <w:pPr>
        <w:pStyle w:val="Normal"/>
        <w:pBdr>
          <w:bottom w:val="single" w:sz="4" w:space="1" w:color="2E5E45"/>
        </w:pBdr>
        <w:spacing w:before="160" w:after="80"/>
        <w:rPr/>
      </w:pPr>
      <w:r>
        <w:rPr>
          <w:rFonts w:eastAsia="Arial" w:cs="Arial"/>
          <w:b/>
          <w:bCs/>
          <w:color w:val="1A4731"/>
          <w:sz w:val="20"/>
          <w:szCs w:val="20"/>
        </w:rPr>
        <w:t>PROCEDURE — STAFFING LEVELS &amp; NURSE COVERAGE</w:t>
      </w:r>
    </w:p>
    <w:p>
      <w:pPr>
        <w:pStyle w:val="Normal"/>
        <w:tabs>
          <w:tab w:val="left" w:pos="720" w:leader="none"/>
        </w:tabs>
        <w:spacing w:lineRule="exact" w:line="264" w:before="0" w:after="80"/>
        <w:ind w:hanging="360" w:start="720"/>
        <w:rPr/>
      </w:pPr>
      <w:r>
        <w:rPr>
          <w:rFonts w:eastAsia="Arial" w:cs="Arial"/>
          <w:sz w:val="21"/>
          <w:szCs w:val="21"/>
        </w:rPr>
        <w:t>d. Maintain an average monthly minimum on-site direct-care staffing ratio of one direct care staff person per 15 residents during waking hours and one per 20 residents during non-waking hours, and exceed these minimums where residents’ needs require.</w:t>
      </w:r>
    </w:p>
    <w:p>
      <w:pPr>
        <w:pStyle w:val="Normal"/>
        <w:tabs>
          <w:tab w:val="left" w:pos="720" w:leader="none"/>
        </w:tabs>
        <w:spacing w:lineRule="exact" w:line="264" w:before="0" w:after="80"/>
        <w:ind w:hanging="360" w:start="720"/>
        <w:rPr/>
      </w:pPr>
      <w:r>
        <w:rPr>
          <w:rFonts w:eastAsia="Arial" w:cs="Arial"/>
          <w:sz w:val="21"/>
          <w:szCs w:val="21"/>
        </w:rPr>
        <w:t>e. Ensure at least two on-site direct care staff persons are present at all times.</w:t>
      </w:r>
    </w:p>
    <w:p>
      <w:pPr>
        <w:pStyle w:val="Normal"/>
        <w:tabs>
          <w:tab w:val="left" w:pos="720" w:leader="none"/>
        </w:tabs>
        <w:spacing w:lineRule="exact" w:line="264" w:before="0" w:after="80"/>
        <w:ind w:hanging="360" w:start="720"/>
        <w:rPr/>
      </w:pPr>
      <w:r>
        <w:rPr>
          <w:rFonts w:eastAsia="Arial" w:cs="Arial"/>
          <w:sz w:val="21"/>
          <w:szCs w:val="21"/>
        </w:rPr>
        <w:t>f. Provide a registered nurse or licensed practical nurse on-site or available in the building according to the schedule required by law (for example, based on resident census: minimums scaled from 8 hours per week up to 40 hours per week as the census increases).</w:t>
      </w:r>
    </w:p>
    <w:p>
      <w:pPr>
        <w:pStyle w:val="Normal"/>
        <w:tabs>
          <w:tab w:val="left" w:pos="720" w:leader="none"/>
        </w:tabs>
        <w:spacing w:lineRule="exact" w:line="264" w:before="0" w:after="80"/>
        <w:ind w:hanging="360" w:start="720"/>
        <w:rPr/>
      </w:pPr>
      <w:r>
        <w:rPr>
          <w:rFonts w:eastAsia="Arial" w:cs="Arial"/>
          <w:sz w:val="21"/>
          <w:szCs w:val="21"/>
        </w:rPr>
        <w:t>g. Maintain a written staffing schedule reflecting the 24-hour staffing pattern and make it available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License &amp; CEU Verification</w:t>
      </w:r>
    </w:p>
    <w:p>
      <w:pPr>
        <w:pStyle w:val="ListParagraph"/>
        <w:numPr>
          <w:ilvl w:val="0"/>
          <w:numId w:val="1"/>
        </w:numPr>
        <w:spacing w:lineRule="exact" w:line="264" w:before="0" w:after="60"/>
        <w:rPr/>
      </w:pPr>
      <w:r>
        <w:rPr>
          <w:rFonts w:eastAsia="Arial" w:cs="Arial"/>
          <w:sz w:val="21"/>
          <w:szCs w:val="21"/>
        </w:rPr>
        <w:t>Staffing Schedule (ratios &amp; nurse coverage)</w:t>
      </w:r>
    </w:p>
    <w:p>
      <w:pPr>
        <w:pStyle w:val="ListParagraph"/>
        <w:numPr>
          <w:ilvl w:val="0"/>
          <w:numId w:val="1"/>
        </w:numPr>
        <w:spacing w:lineRule="exact" w:line="264" w:before="0" w:after="60"/>
        <w:rPr/>
      </w:pPr>
      <w:r>
        <w:rPr>
          <w:rFonts w:eastAsia="Arial" w:cs="Arial"/>
          <w:sz w:val="21"/>
          <w:szCs w:val="21"/>
        </w:rPr>
        <w:t>On-Site Manager Designation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Community delivers personal services and supports aging in place — assistance with activities of daily living, the use of proxy caregivers within Georgia’s limits, fall management, and, where the Community operates a memory care center, the additional requirements of Rule 111-8-63-.19.</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Care, Personal Services &amp; Aging in Place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Fall Management &amp; Resident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Memory Care Center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Care, Personal Services &amp; Aging in Place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Care, Personal Services &amp; Aging in Place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Rule 111-8-100 (proxy caregivers)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assistance with activities of daily living and related personal services that meet each resident’s needs and support aging in place, consistent with Chapter 111-8-63.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provide assistance with activities of daily living and personal services identified for each resident, arrange for health services as needed, and use proxy caregivers only within the limits of the Rules for the Use of Proxy Caregivers (Chapter 111-8-100).</w:t>
      </w:r>
    </w:p>
    <w:p>
      <w:pPr>
        <w:pStyle w:val="Normal"/>
        <w:pBdr>
          <w:bottom w:val="single" w:sz="4" w:space="1" w:color="2E5E45"/>
        </w:pBdr>
        <w:spacing w:before="160" w:after="80"/>
        <w:rPr/>
      </w:pPr>
      <w:r>
        <w:rPr>
          <w:rFonts w:eastAsia="Arial" w:cs="Arial"/>
          <w:b/>
          <w:bCs/>
          <w:color w:val="1A4731"/>
          <w:sz w:val="20"/>
          <w:szCs w:val="20"/>
        </w:rPr>
        <w:t>PROCEDURE — PERSONAL SERVICES</w:t>
      </w:r>
    </w:p>
    <w:p>
      <w:pPr>
        <w:pStyle w:val="Normal"/>
        <w:tabs>
          <w:tab w:val="left" w:pos="720" w:leader="none"/>
        </w:tabs>
        <w:spacing w:lineRule="exact" w:line="264" w:before="0" w:after="80"/>
        <w:ind w:hanging="360" w:start="720"/>
        <w:rPr/>
      </w:pPr>
      <w:r>
        <w:rPr>
          <w:rFonts w:eastAsia="Arial" w:cs="Arial"/>
          <w:sz w:val="21"/>
          <w:szCs w:val="21"/>
        </w:rPr>
        <w:t>a. Provide assistance with activities of daily living — eating, bathing, grooming, dressing, toileting, transferring, and mobility — and supervision appropriate to each resident.</w:t>
      </w:r>
    </w:p>
    <w:p>
      <w:pPr>
        <w:pStyle w:val="Normal"/>
        <w:tabs>
          <w:tab w:val="left" w:pos="720" w:leader="none"/>
        </w:tabs>
        <w:spacing w:lineRule="exact" w:line="264" w:before="0" w:after="80"/>
        <w:ind w:hanging="360" w:start="720"/>
        <w:rPr/>
      </w:pPr>
      <w:r>
        <w:rPr>
          <w:rFonts w:eastAsia="Arial" w:cs="Arial"/>
          <w:sz w:val="21"/>
          <w:szCs w:val="21"/>
        </w:rPr>
        <w:t>b. Provide meals meeting residents’ nutritional needs and any therapeutic diet, and provide social and recreational activities.</w:t>
      </w:r>
    </w:p>
    <w:p>
      <w:pPr>
        <w:pStyle w:val="Normal"/>
        <w:tabs>
          <w:tab w:val="left" w:pos="720" w:leader="none"/>
        </w:tabs>
        <w:spacing w:lineRule="exact" w:line="264" w:before="0" w:after="80"/>
        <w:ind w:hanging="360" w:start="720"/>
        <w:rPr/>
      </w:pPr>
      <w:r>
        <w:rPr>
          <w:rFonts w:eastAsia="Arial" w:cs="Arial"/>
          <w:sz w:val="21"/>
          <w:szCs w:val="21"/>
        </w:rPr>
        <w:t>c. Arrange for or coordinate access to health care and report changes in a resident’s condition to the resident’s health care provider and representative.</w:t>
      </w:r>
    </w:p>
    <w:p>
      <w:pPr>
        <w:pStyle w:val="Normal"/>
        <w:pBdr>
          <w:bottom w:val="single" w:sz="4" w:space="1" w:color="2E5E45"/>
        </w:pBdr>
        <w:spacing w:before="160" w:after="80"/>
        <w:rPr/>
      </w:pPr>
      <w:r>
        <w:rPr>
          <w:rFonts w:eastAsia="Arial" w:cs="Arial"/>
          <w:b/>
          <w:bCs/>
          <w:color w:val="1A4731"/>
          <w:sz w:val="20"/>
          <w:szCs w:val="20"/>
        </w:rPr>
        <w:t>PROCEDURE — PROXY CAREGIVERS &amp; HEALTH MAINTENANCE</w:t>
      </w:r>
    </w:p>
    <w:p>
      <w:pPr>
        <w:pStyle w:val="Normal"/>
        <w:tabs>
          <w:tab w:val="left" w:pos="720" w:leader="none"/>
        </w:tabs>
        <w:spacing w:lineRule="exact" w:line="264" w:before="0" w:after="80"/>
        <w:ind w:hanging="360" w:start="720"/>
        <w:rPr/>
      </w:pPr>
      <w:r>
        <w:rPr>
          <w:rFonts w:eastAsia="Arial" w:cs="Arial"/>
          <w:sz w:val="21"/>
          <w:szCs w:val="21"/>
        </w:rPr>
        <w:t>d. Where the Community uses proxy caregivers to perform health maintenance activities, comply with the Rules for the Use of Proxy Caregivers (Chapter 111-8-100), including the required authorization, training, and documentation.</w:t>
      </w:r>
    </w:p>
    <w:p>
      <w:pPr>
        <w:pStyle w:val="Normal"/>
        <w:tabs>
          <w:tab w:val="left" w:pos="720" w:leader="none"/>
        </w:tabs>
        <w:spacing w:lineRule="exact" w:line="264" w:before="0" w:after="80"/>
        <w:ind w:hanging="360" w:start="720"/>
        <w:rPr/>
      </w:pPr>
      <w:r>
        <w:rPr>
          <w:rFonts w:eastAsia="Arial" w:cs="Arial"/>
          <w:sz w:val="21"/>
          <w:szCs w:val="21"/>
        </w:rPr>
        <w:t>e. Ensure that only certified medication aides administer medications on behalf of the Community, and that proxy caregivers do not exceed the limits of their authorization.</w:t>
      </w:r>
    </w:p>
    <w:p>
      <w:pPr>
        <w:pStyle w:val="Normal"/>
        <w:tabs>
          <w:tab w:val="left" w:pos="720" w:leader="none"/>
        </w:tabs>
        <w:spacing w:lineRule="exact" w:line="264" w:before="0" w:after="80"/>
        <w:ind w:hanging="360" w:start="720"/>
        <w:rPr/>
      </w:pPr>
      <w:r>
        <w:rPr>
          <w:rFonts w:eastAsia="Arial" w:cs="Arial"/>
          <w:sz w:val="21"/>
          <w:szCs w:val="21"/>
        </w:rPr>
        <w:t>f. Coordinate hospice and home health services where a resident receives them, consistent with the Community’s license.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Proxy Caregiver Authorization &amp; Training (111-8-100)</w:t>
      </w:r>
    </w:p>
    <w:p>
      <w:pPr>
        <w:pStyle w:val="ListParagraph"/>
        <w:numPr>
          <w:ilvl w:val="0"/>
          <w:numId w:val="1"/>
        </w:numPr>
        <w:spacing w:lineRule="exact" w:line="264" w:before="0" w:after="60"/>
        <w:rPr/>
      </w:pPr>
      <w:r>
        <w:rPr>
          <w:rFonts w:eastAsia="Arial" w:cs="Arial"/>
          <w:sz w:val="21"/>
          <w:szCs w:val="21"/>
        </w:rPr>
        <w:t>Change of Condition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assess fall risk, address it in the resident’s service record,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resident’s service record,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the evaluation and response, notifications to the representative and provider,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Memory Care Center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Memory Care Center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111-8-63-.19; HB 987 (memory care staffing/training)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Community holds itself out as providing specialized care to residents with probable Alzheimer’s disease or other dementia, or charges a differential rate for cognitive-deficit care, consistent with Rule 111-8-63-.19. This policy applies only where the Community operates such a memory care center.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Community operates a memory care center, it shall maintain a written description of the center, meet the physical design and security requirements, provide specialized dementia staffing and training, and follow the memory care admission requirements,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WRITTEN DESCRIPTION, DESIGN &amp; SECURITY</w:t>
      </w:r>
    </w:p>
    <w:p>
      <w:pPr>
        <w:pStyle w:val="Normal"/>
        <w:tabs>
          <w:tab w:val="left" w:pos="720" w:leader="none"/>
        </w:tabs>
        <w:spacing w:lineRule="exact" w:line="264" w:before="0" w:after="80"/>
        <w:ind w:hanging="360" w:start="720"/>
        <w:rPr/>
      </w:pPr>
      <w:r>
        <w:rPr>
          <w:rFonts w:eastAsia="Arial" w:cs="Arial"/>
          <w:sz w:val="21"/>
          <w:szCs w:val="21"/>
        </w:rPr>
        <w:t>a. Maintain in the licensed residential care profile an accurate written description of the memory care center, including how its services and activities differ from the rest of the Community, staffing and training, admission procedures, and the activity program.</w:t>
      </w:r>
    </w:p>
    <w:p>
      <w:pPr>
        <w:pStyle w:val="Normal"/>
        <w:tabs>
          <w:tab w:val="left" w:pos="720" w:leader="none"/>
        </w:tabs>
        <w:spacing w:lineRule="exact" w:line="264" w:before="0" w:after="80"/>
        <w:ind w:hanging="360" w:start="720"/>
        <w:rPr/>
      </w:pPr>
      <w:r>
        <w:rPr>
          <w:rFonts w:eastAsia="Arial" w:cs="Arial"/>
          <w:sz w:val="21"/>
          <w:szCs w:val="21"/>
        </w:rPr>
        <w:t>b. Design the memory care center to accommodate residents with severe dementia or Alzheimer’s disease in a home-like environment, with wandering and egress control and a secured means of egress consistent with fire-safety code.</w:t>
      </w:r>
    </w:p>
    <w:p>
      <w:pPr>
        <w:pStyle w:val="Normal"/>
        <w:tabs>
          <w:tab w:val="left" w:pos="720" w:leader="none"/>
        </w:tabs>
        <w:spacing w:lineRule="exact" w:line="264" w:before="0" w:after="80"/>
        <w:ind w:hanging="360" w:start="720"/>
        <w:rPr/>
      </w:pPr>
      <w:r>
        <w:rPr>
          <w:rFonts w:eastAsia="Arial" w:cs="Arial"/>
          <w:sz w:val="21"/>
          <w:szCs w:val="21"/>
        </w:rPr>
        <w:t>c. Provide an activity program appropriate to residents with dementia, including opportunities for outdoor activity where appropriate.</w:t>
      </w:r>
    </w:p>
    <w:p>
      <w:pPr>
        <w:pStyle w:val="Normal"/>
        <w:pBdr>
          <w:bottom w:val="single" w:sz="4" w:space="1" w:color="2E5E45"/>
        </w:pBdr>
        <w:spacing w:before="160" w:after="80"/>
        <w:rPr/>
      </w:pPr>
      <w:r>
        <w:rPr>
          <w:rFonts w:eastAsia="Arial" w:cs="Arial"/>
          <w:b/>
          <w:bCs/>
          <w:color w:val="1A4731"/>
          <w:sz w:val="20"/>
          <w:szCs w:val="20"/>
        </w:rPr>
        <w:t>PROCEDURE — STAFFING, TRAINING &amp; ADMISSION</w:t>
      </w:r>
    </w:p>
    <w:p>
      <w:pPr>
        <w:pStyle w:val="Normal"/>
        <w:tabs>
          <w:tab w:val="left" w:pos="720" w:leader="none"/>
        </w:tabs>
        <w:spacing w:lineRule="exact" w:line="264" w:before="0" w:after="80"/>
        <w:ind w:hanging="360" w:start="720"/>
        <w:rPr/>
      </w:pPr>
      <w:r>
        <w:rPr>
          <w:rFonts w:eastAsia="Arial" w:cs="Arial"/>
          <w:sz w:val="21"/>
          <w:szCs w:val="21"/>
        </w:rPr>
        <w:t>d. Ensure the memory care center is staffed with sufficient specially trained staff to meet residents’ needs, with at least one staff member awake and supervising the unit at all times, and, at a minimum, certified medication aides to administer certain medications.</w:t>
      </w:r>
    </w:p>
    <w:p>
      <w:pPr>
        <w:pStyle w:val="Normal"/>
        <w:tabs>
          <w:tab w:val="left" w:pos="720" w:leader="none"/>
        </w:tabs>
        <w:spacing w:lineRule="exact" w:line="264" w:before="0" w:after="80"/>
        <w:ind w:hanging="360" w:start="720"/>
        <w:rPr/>
      </w:pPr>
      <w:r>
        <w:rPr>
          <w:rFonts w:eastAsia="Arial" w:cs="Arial"/>
          <w:sz w:val="21"/>
          <w:szCs w:val="21"/>
        </w:rPr>
        <w:t>e. Ensure staff assigned to the unit complete an orientation covering the Community’s dementia-care philosophy, the unit’s policies including wandering and egress control, and behavior-management techniques, and complete the required specialized dementia-care training (a minimum of 16 hours) within the required timeframe.</w:t>
      </w:r>
    </w:p>
    <w:p>
      <w:pPr>
        <w:pStyle w:val="Normal"/>
        <w:tabs>
          <w:tab w:val="left" w:pos="720" w:leader="none"/>
        </w:tabs>
        <w:spacing w:lineRule="exact" w:line="264" w:before="0" w:after="80"/>
        <w:ind w:hanging="360" w:start="720"/>
        <w:rPr/>
      </w:pPr>
      <w:r>
        <w:rPr>
          <w:rFonts w:eastAsia="Arial" w:cs="Arial"/>
          <w:sz w:val="21"/>
          <w:szCs w:val="21"/>
        </w:rPr>
        <w:t>f. Before admission to the memory care center, obtain a physician’s physical examination completed within 30 days prior to admission reflecting a diagnosis of dementia (or the resident’s voluntary written choice to reside in the more restrictive environment), and complete the required post-admission assessment.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Memory Care Center Written Description</w:t>
      </w:r>
    </w:p>
    <w:p>
      <w:pPr>
        <w:pStyle w:val="ListParagraph"/>
        <w:numPr>
          <w:ilvl w:val="0"/>
          <w:numId w:val="1"/>
        </w:numPr>
        <w:spacing w:lineRule="exact" w:line="264" w:before="0" w:after="60"/>
        <w:rPr/>
      </w:pPr>
      <w:r>
        <w:rPr>
          <w:rFonts w:eastAsia="Arial" w:cs="Arial"/>
          <w:sz w:val="21"/>
          <w:szCs w:val="21"/>
        </w:rPr>
        <w:t>Dementia Training Records (16-hour specialized)</w:t>
      </w:r>
    </w:p>
    <w:p>
      <w:pPr>
        <w:pStyle w:val="ListParagraph"/>
        <w:numPr>
          <w:ilvl w:val="0"/>
          <w:numId w:val="1"/>
        </w:numPr>
        <w:spacing w:lineRule="exact" w:line="264" w:before="0" w:after="60"/>
        <w:rPr/>
      </w:pPr>
      <w:r>
        <w:rPr>
          <w:rFonts w:eastAsia="Arial" w:cs="Arial"/>
          <w:sz w:val="21"/>
          <w:szCs w:val="21"/>
        </w:rPr>
        <w:t>Memory Care Pre-Admission Physical (30-day) &amp; Post-Admission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Rule 111-8-63-.20 — administration by certified medication aides verified on the Georgia CMA Registry (with annual competency review and a licensed pharmacist), basic training for unlicensed staff who assist with self-administration, the Medication Assistance Record, hospice liquid-morphine documentation, and the safe handling of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Administration &amp; Certified Medication Aides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Administration &amp; Certified Medication Aides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Administration &amp; Certified Medication Aides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111-8-63-.20; Georgia Certified Medication Aide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administered safely by certified medication aides (CMAs) or licensed staff, that unlicensed staff assisting with self-administration are trained, and that records are maintained, consistent with Rule 111-8-63-.20.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assisted living community offering medication administration must employ certified medication aides, at a minimum, to administer medications. The Community shall verify each CMA on the Georgia Certified Medication Aide Registry, conduct competency checks, secure a licensed pharmacist for required duties, and maintain a Medication Assistance Record (MAR) for each resident who receives assistance or administration.</w:t>
      </w:r>
    </w:p>
    <w:p>
      <w:pPr>
        <w:pStyle w:val="Normal"/>
        <w:pBdr>
          <w:bottom w:val="single" w:sz="4" w:space="1" w:color="2E5E45"/>
        </w:pBdr>
        <w:spacing w:before="160" w:after="80"/>
        <w:rPr/>
      </w:pPr>
      <w:r>
        <w:rPr>
          <w:rFonts w:eastAsia="Arial" w:cs="Arial"/>
          <w:b/>
          <w:bCs/>
          <w:color w:val="1A4731"/>
          <w:sz w:val="20"/>
          <w:szCs w:val="20"/>
        </w:rPr>
        <w:t>PROCEDURE — CERTIFIED MEDICATION AIDES</w:t>
      </w:r>
    </w:p>
    <w:p>
      <w:pPr>
        <w:pStyle w:val="Normal"/>
        <w:tabs>
          <w:tab w:val="left" w:pos="720" w:leader="none"/>
        </w:tabs>
        <w:spacing w:lineRule="exact" w:line="264" w:before="0" w:after="80"/>
        <w:ind w:hanging="360" w:start="720"/>
        <w:rPr/>
      </w:pPr>
      <w:r>
        <w:rPr>
          <w:rFonts w:eastAsia="Arial" w:cs="Arial"/>
          <w:sz w:val="21"/>
          <w:szCs w:val="21"/>
        </w:rPr>
        <w:t>a. Employ certified medication aides (at a minimum) to administer medications, and ensure each CMA is listed in good standing on the Georgia Certified Medication Aide Registry with no record of termination for cause relating to medication aide tasks before permitting administration.</w:t>
      </w:r>
    </w:p>
    <w:p>
      <w:pPr>
        <w:pStyle w:val="Normal"/>
        <w:tabs>
          <w:tab w:val="left" w:pos="720" w:leader="none"/>
        </w:tabs>
        <w:spacing w:lineRule="exact" w:line="264" w:before="0" w:after="80"/>
        <w:ind w:hanging="360" w:start="720"/>
        <w:rPr/>
      </w:pPr>
      <w:r>
        <w:rPr>
          <w:rFonts w:eastAsia="Arial" w:cs="Arial"/>
          <w:sz w:val="21"/>
          <w:szCs w:val="21"/>
        </w:rPr>
        <w:t>b. Administer skills competency checks for CMAs certified more than one year at hire, and conduct an annual competency review of each medication aide, documenting the results.</w:t>
      </w:r>
    </w:p>
    <w:p>
      <w:pPr>
        <w:pStyle w:val="Normal"/>
        <w:tabs>
          <w:tab w:val="left" w:pos="720" w:leader="none"/>
        </w:tabs>
        <w:spacing w:lineRule="exact" w:line="264" w:before="0" w:after="80"/>
        <w:ind w:hanging="360" w:start="720"/>
        <w:rPr/>
      </w:pPr>
      <w:r>
        <w:rPr>
          <w:rFonts w:eastAsia="Arial" w:cs="Arial"/>
          <w:sz w:val="21"/>
          <w:szCs w:val="21"/>
        </w:rPr>
        <w:t>c. Secure the services of a licensed pharmacist to perform the pharmacist duties required by rule (such as review of medications and consultation).</w:t>
      </w:r>
    </w:p>
    <w:p>
      <w:pPr>
        <w:pStyle w:val="Normal"/>
        <w:tabs>
          <w:tab w:val="left" w:pos="720" w:leader="none"/>
        </w:tabs>
        <w:spacing w:lineRule="exact" w:line="264" w:before="0" w:after="80"/>
        <w:ind w:hanging="360" w:start="720"/>
        <w:rPr/>
      </w:pPr>
      <w:r>
        <w:rPr>
          <w:rFonts w:eastAsia="Arial" w:cs="Arial"/>
          <w:sz w:val="21"/>
          <w:szCs w:val="21"/>
        </w:rPr>
        <w:t>d. Do not permit an aide to administer medications independently unless the aide is listed on the Georgia CMA Registry in good standing.</w:t>
      </w:r>
    </w:p>
    <w:p>
      <w:pPr>
        <w:pStyle w:val="Normal"/>
        <w:pBdr>
          <w:bottom w:val="single" w:sz="4" w:space="1" w:color="2E5E45"/>
        </w:pBdr>
        <w:spacing w:before="160" w:after="80"/>
        <w:rPr/>
      </w:pPr>
      <w:r>
        <w:rPr>
          <w:rFonts w:eastAsia="Arial" w:cs="Arial"/>
          <w:b/>
          <w:bCs/>
          <w:color w:val="1A4731"/>
          <w:sz w:val="20"/>
          <w:szCs w:val="20"/>
        </w:rPr>
        <w:t>PROCEDURE — ASSISTANCE WITH SELF-ADMINISTRATION &amp; MAR</w:t>
      </w:r>
    </w:p>
    <w:p>
      <w:pPr>
        <w:pStyle w:val="Normal"/>
        <w:tabs>
          <w:tab w:val="left" w:pos="720" w:leader="none"/>
        </w:tabs>
        <w:spacing w:lineRule="exact" w:line="264" w:before="0" w:after="80"/>
        <w:ind w:hanging="360" w:start="720"/>
        <w:rPr/>
      </w:pPr>
      <w:r>
        <w:rPr>
          <w:rFonts w:eastAsia="Arial" w:cs="Arial"/>
          <w:sz w:val="21"/>
          <w:szCs w:val="21"/>
        </w:rPr>
        <w:t>e. Provide and document basic medication training for unlicensed staff who are not CMAs but who assist with or supervise self-administration of medications for capable residents, and ensure they demonstrate competency at hire and at least annually via skills competency checklists.</w:t>
      </w:r>
    </w:p>
    <w:p>
      <w:pPr>
        <w:pStyle w:val="Normal"/>
        <w:tabs>
          <w:tab w:val="left" w:pos="720" w:leader="none"/>
        </w:tabs>
        <w:spacing w:lineRule="exact" w:line="264" w:before="0" w:after="80"/>
        <w:ind w:hanging="360" w:start="720"/>
        <w:rPr/>
      </w:pPr>
      <w:r>
        <w:rPr>
          <w:rFonts w:eastAsia="Arial" w:cs="Arial"/>
          <w:sz w:val="21"/>
          <w:szCs w:val="21"/>
        </w:rPr>
        <w:t>f. Maintain a daily Medication Assistance Record (MAR) for each resident who receives assistance with, supervision of, or administration of medications, and document any unusual reactions and provide the information to the resident, representative, and health care provider as appropriate.</w:t>
      </w:r>
    </w:p>
    <w:p>
      <w:pPr>
        <w:pStyle w:val="Normal"/>
        <w:tabs>
          <w:tab w:val="left" w:pos="720" w:leader="none"/>
        </w:tabs>
        <w:spacing w:lineRule="exact" w:line="264" w:before="0" w:after="80"/>
        <w:ind w:hanging="360" w:start="720"/>
        <w:rPr/>
      </w:pPr>
      <w:r>
        <w:rPr>
          <w:rFonts w:eastAsia="Arial" w:cs="Arial"/>
          <w:sz w:val="21"/>
          <w:szCs w:val="21"/>
        </w:rPr>
        <w:t>g. For any administration of liquid morphine by a CMA to a hospice resident, ensure the CMA has received hospice training and document the resident’s need for PRN morphine, the dosage/time/route, the initial dose administered by the hospice professional, and the circumstances under which hospice was unavailable.</w:t>
      </w:r>
    </w:p>
    <w:p>
      <w:pPr>
        <w:pStyle w:val="Normal"/>
        <w:tabs>
          <w:tab w:val="left" w:pos="720" w:leader="none"/>
        </w:tabs>
        <w:spacing w:lineRule="exact" w:line="264" w:before="0" w:after="80"/>
        <w:ind w:hanging="360" w:start="720"/>
        <w:rPr/>
      </w:pPr>
      <w:r>
        <w:rPr>
          <w:rFonts w:eastAsia="Arial" w:cs="Arial"/>
          <w:sz w:val="21"/>
          <w:szCs w:val="21"/>
        </w:rPr>
        <w:t>h. Store medications securely, separate from hazardous chemicals, with controlled substances secured and access limited to authorized staff, and keep each resident’s medications in properly labeled containers.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CMA Registry Verification &amp; Annual Competency Review</w:t>
      </w:r>
    </w:p>
    <w:p>
      <w:pPr>
        <w:pStyle w:val="ListParagraph"/>
        <w:numPr>
          <w:ilvl w:val="0"/>
          <w:numId w:val="1"/>
        </w:numPr>
        <w:spacing w:lineRule="exact" w:line="264" w:before="0" w:after="60"/>
        <w:rPr/>
      </w:pPr>
      <w:r>
        <w:rPr>
          <w:rFonts w:eastAsia="Arial" w:cs="Arial"/>
          <w:sz w:val="21"/>
          <w:szCs w:val="21"/>
        </w:rPr>
        <w:t>Licensed Pharmacist Agreement</w:t>
      </w:r>
    </w:p>
    <w:p>
      <w:pPr>
        <w:pStyle w:val="ListParagraph"/>
        <w:numPr>
          <w:ilvl w:val="0"/>
          <w:numId w:val="1"/>
        </w:numPr>
        <w:spacing w:lineRule="exact" w:line="264" w:before="0" w:after="60"/>
        <w:rPr/>
      </w:pPr>
      <w:r>
        <w:rPr>
          <w:rFonts w:eastAsia="Arial" w:cs="Arial"/>
          <w:sz w:val="21"/>
          <w:szCs w:val="21"/>
        </w:rPr>
        <w:t>Medication Assistance Record (MAR)</w:t>
      </w:r>
    </w:p>
    <w:p>
      <w:pPr>
        <w:pStyle w:val="ListParagraph"/>
        <w:numPr>
          <w:ilvl w:val="0"/>
          <w:numId w:val="1"/>
        </w:numPr>
        <w:spacing w:lineRule="exact" w:line="264" w:before="0" w:after="60"/>
        <w:rPr/>
      </w:pPr>
      <w:r>
        <w:rPr>
          <w:rFonts w:eastAsia="Arial" w:cs="Arial"/>
          <w:sz w:val="21"/>
          <w:szCs w:val="21"/>
        </w:rPr>
        <w:t>Hospice Liquid Morphine Administration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health care provider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community-held medications by a non-retrievable method within the timeframe required by Community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pandemic response, infection prevention and control (including COVID-19 and communicable-disease outbreak response and reporting), hazardous-chemical safety, and physical plant, environmental safety, and food service.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Pandemic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Physical Plant, Environmental Safety &amp; Food Service</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Pandemic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Pandemic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HB 987 (pandemic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Community and its staff to protect residents during and after an emergency, disaster, or infectious-disease pandemic, consistent with Chapter 111-8-63 and Georgia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maintain a written emergency preparedness plan that addresses natural and man-made disasters and infectious-disease/pandemic response, train staff, conduct drills, and coordinate with local emergency services.</w:t>
      </w:r>
    </w:p>
    <w:p>
      <w:pPr>
        <w:pStyle w:val="Normal"/>
        <w:pBdr>
          <w:bottom w:val="single" w:sz="4" w:space="1" w:color="2E5E45"/>
        </w:pBdr>
        <w:spacing w:before="160" w:after="80"/>
        <w:rPr/>
      </w:pPr>
      <w:r>
        <w:rPr>
          <w:rFonts w:eastAsia="Arial" w:cs="Arial"/>
          <w:b/>
          <w:bCs/>
          <w:color w:val="1A4731"/>
          <w:sz w:val="20"/>
          <w:szCs w:val="20"/>
        </w:rPr>
        <w:t>PROCEDURE — EMERGENCY PLAN</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plan addressing fire, severe weather, utility failure, evacuation and relocation, and continuity of resident care, appropriate to the Community and its residents’ self-preservation abilities.</w:t>
      </w:r>
    </w:p>
    <w:p>
      <w:pPr>
        <w:pStyle w:val="Normal"/>
        <w:tabs>
          <w:tab w:val="left" w:pos="720" w:leader="none"/>
        </w:tabs>
        <w:spacing w:lineRule="exact" w:line="264" w:before="0" w:after="80"/>
        <w:ind w:hanging="360" w:start="720"/>
        <w:rPr/>
      </w:pPr>
      <w:r>
        <w:rPr>
          <w:rFonts w:eastAsia="Arial" w:cs="Arial"/>
          <w:sz w:val="21"/>
          <w:szCs w:val="21"/>
        </w:rPr>
        <w:t>b. Include an infectious-disease and pandemic-preparedness component consistent with Georgia’s requirements, addressing surveillance, PPE and supplies, cohorting/isolation, communication with residents and families, and coordination with public health.</w:t>
      </w:r>
    </w:p>
    <w:p>
      <w:pPr>
        <w:pStyle w:val="Normal"/>
        <w:tabs>
          <w:tab w:val="left" w:pos="720" w:leader="none"/>
        </w:tabs>
        <w:spacing w:lineRule="exact" w:line="264" w:before="0" w:after="80"/>
        <w:ind w:hanging="360" w:start="720"/>
        <w:rPr/>
      </w:pPr>
      <w:r>
        <w:rPr>
          <w:rFonts w:eastAsia="Arial" w:cs="Arial"/>
          <w:sz w:val="21"/>
          <w:szCs w:val="21"/>
        </w:rPr>
        <w:t>c. Ensure staff capable of responding to an emergency are present whenever residents are present, and maintain first-aid capability.</w:t>
      </w:r>
    </w:p>
    <w:p>
      <w:pPr>
        <w:pStyle w:val="Normal"/>
        <w:pBdr>
          <w:bottom w:val="single" w:sz="4" w:space="1" w:color="2E5E45"/>
        </w:pBdr>
        <w:spacing w:before="160" w:after="80"/>
        <w:rPr/>
      </w:pPr>
      <w:r>
        <w:rPr>
          <w:rFonts w:eastAsia="Arial" w:cs="Arial"/>
          <w:b/>
          <w:bCs/>
          <w:color w:val="1A4731"/>
          <w:sz w:val="20"/>
          <w:szCs w:val="20"/>
        </w:rPr>
        <w:t>PROCEDURE — DRILLS &amp; COORDINATION</w:t>
      </w:r>
    </w:p>
    <w:p>
      <w:pPr>
        <w:pStyle w:val="Normal"/>
        <w:tabs>
          <w:tab w:val="left" w:pos="720" w:leader="none"/>
        </w:tabs>
        <w:spacing w:lineRule="exact" w:line="264" w:before="0" w:after="80"/>
        <w:ind w:hanging="360" w:start="720"/>
        <w:rPr/>
      </w:pPr>
      <w:r>
        <w:rPr>
          <w:rFonts w:eastAsia="Arial" w:cs="Arial"/>
          <w:sz w:val="21"/>
          <w:szCs w:val="21"/>
        </w:rPr>
        <w:t>d. Conduct fire and emergency drills on the schedule required by rule, and document each drill and any corrective action.</w:t>
      </w:r>
    </w:p>
    <w:p>
      <w:pPr>
        <w:pStyle w:val="Normal"/>
        <w:tabs>
          <w:tab w:val="left" w:pos="720" w:leader="none"/>
        </w:tabs>
        <w:spacing w:lineRule="exact" w:line="264" w:before="0" w:after="80"/>
        <w:ind w:hanging="360" w:start="720"/>
        <w:rPr/>
      </w:pPr>
      <w:r>
        <w:rPr>
          <w:rFonts w:eastAsia="Arial" w:cs="Arial"/>
          <w:sz w:val="21"/>
          <w:szCs w:val="21"/>
        </w:rPr>
        <w:t>e. Train all staff on their emergency roles as part of orientation and on an ongoing basis, including fire-safety training and refreshers.</w:t>
      </w:r>
    </w:p>
    <w:p>
      <w:pPr>
        <w:pStyle w:val="Normal"/>
        <w:tabs>
          <w:tab w:val="left" w:pos="720" w:leader="none"/>
        </w:tabs>
        <w:spacing w:lineRule="exact" w:line="264" w:before="0" w:after="80"/>
        <w:ind w:hanging="360" w:start="720"/>
        <w:rPr/>
      </w:pPr>
      <w:r>
        <w:rPr>
          <w:rFonts w:eastAsia="Arial" w:cs="Arial"/>
          <w:sz w:val="21"/>
          <w:szCs w:val="21"/>
        </w:rPr>
        <w:t>f. Coordinate with local fire, police, public health, and emergency management, and maintain a plan for safe temperatures and continuity of care during a power outage.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Pandemic Plan</w:t>
      </w:r>
    </w:p>
    <w:p>
      <w:pPr>
        <w:pStyle w:val="ListParagraph"/>
        <w:numPr>
          <w:ilvl w:val="0"/>
          <w:numId w:val="1"/>
        </w:numPr>
        <w:spacing w:lineRule="exact" w:line="264" w:before="0" w:after="60"/>
        <w:rPr/>
      </w:pPr>
      <w:r>
        <w:rPr>
          <w:rFonts w:eastAsia="Arial" w:cs="Arial"/>
          <w:sz w:val="21"/>
          <w:szCs w:val="21"/>
        </w:rPr>
        <w:t>Fire &amp; Emergency Drill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CDC/APIC guidelines; Georgia DPH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maintain an infection prevention and control program based on nationally recognized guidelines (such as CDC and APIC), including standard precautions, surveillance, staff training, and an outbreak-response protocol for communicable diseases including COVID-19, and shall report reportable and communicable diseases to public health authorities as required.</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infection control and PPE use, maintain attendance policies for ill staff, and support resident and staff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Maintain an environmental hygiene schedule specifying cleaning and disinfection frequency for high-touch surfaces and shared equipment, and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reportable conditions and communicable-disease outbreaks (including COVID-19) to the local health authority and the Georgia Department of Public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Community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Physical Plant, Environmental Safety &amp;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Physical Plant, Environmental Safety &amp;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111-8-63-.11; Rule 111-8-63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 consistent with Chapter 111-8-63.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maintain the premises, resident living areas, bathrooms, and common areas in a safe and sanitary condition consistent with the community design and use requirements, and provide food service that meets residents’ nutritional needs under sanitary conditions.</w:t>
      </w:r>
    </w:p>
    <w:p>
      <w:pPr>
        <w:pStyle w:val="Normal"/>
        <w:pBdr>
          <w:bottom w:val="single" w:sz="4" w:space="1" w:color="2E5E45"/>
        </w:pBdr>
        <w:spacing w:before="160" w:after="80"/>
        <w:rPr/>
      </w:pPr>
      <w:r>
        <w:rPr>
          <w:rFonts w:eastAsia="Arial" w:cs="Arial"/>
          <w:b/>
          <w:bCs/>
          <w:color w:val="1A4731"/>
          <w:sz w:val="20"/>
          <w:szCs w:val="20"/>
        </w:rPr>
        <w:t>PROCEDURE — PHYSICAL PLANT &amp; ENVIRONMENT</w:t>
      </w:r>
    </w:p>
    <w:p>
      <w:pPr>
        <w:pStyle w:val="Normal"/>
        <w:tabs>
          <w:tab w:val="left" w:pos="720" w:leader="none"/>
        </w:tabs>
        <w:spacing w:lineRule="exact" w:line="264" w:before="0" w:after="80"/>
        <w:ind w:hanging="360" w:start="720"/>
        <w:rPr/>
      </w:pPr>
      <w:r>
        <w:rPr>
          <w:rFonts w:eastAsia="Arial" w:cs="Arial"/>
          <w:sz w:val="21"/>
          <w:szCs w:val="21"/>
        </w:rPr>
        <w:t>a. Maintain the premises and equipment in good repair and in a safe, clean, and sanitary condition,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b. Maintain the required common areas and resident room standards under Rule 111-8-63-.11, and maintain life-safety and fire-safety systems and documentation.</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d. Provide meals that meet residents’ nutritional needs and any therapeutic diet,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consistent with applicable food-service standards, and ensure food staff meet applicable food-handler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Housekeeping &amp; Maintenance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Community records, measures, and improves the care it provides — resident records and documentation, and the quality improvement program aligned with Joint Commission Assisted Living Community principles.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Chapter 111-8-63.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maintain a record for each resident, protect the confidentiality and security of resident information consistent with HIPAA and Georgia law, and make records available to the resident and the Department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residency agreement; the medical evaluation and assessment; the Medication Assistance Record; records of services provided;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Retain records for the period required by rule and make them available to the Department on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111-8-63;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Community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ownership and the administrator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ownership/administration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Georgia agencies and resources, guidance on customizing the manual (including which facility type this manual is for),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Georgia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Community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DCH Medical Evaluation / Physician’s Report</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 &amp; Investigation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Financial Stability Documentation</w:t>
      </w:r>
    </w:p>
    <w:p>
      <w:pPr>
        <w:pStyle w:val="ListParagraph"/>
        <w:numPr>
          <w:ilvl w:val="0"/>
          <w:numId w:val="1"/>
        </w:numPr>
        <w:spacing w:lineRule="exact" w:line="264" w:before="0" w:after="60"/>
        <w:rPr/>
      </w:pPr>
      <w:r>
        <w:rPr>
          <w:rFonts w:eastAsia="Arial" w:cs="Arial"/>
          <w:sz w:val="21"/>
          <w:szCs w:val="21"/>
        </w:rPr>
        <w:t>Notice of Closure (60-day)</w:t>
      </w:r>
    </w:p>
    <w:p>
      <w:pPr>
        <w:pStyle w:val="ListParagraph"/>
        <w:numPr>
          <w:ilvl w:val="0"/>
          <w:numId w:val="1"/>
        </w:numPr>
        <w:spacing w:lineRule="exact" w:line="264" w:before="0" w:after="60"/>
        <w:rPr/>
      </w:pPr>
      <w:r>
        <w:rPr>
          <w:rFonts w:eastAsia="Arial" w:cs="Arial"/>
          <w:sz w:val="21"/>
          <w:szCs w:val="21"/>
        </w:rPr>
        <w:t>Zoning / Use Confirmation</w:t>
      </w:r>
    </w:p>
    <w:p>
      <w:pPr>
        <w:pStyle w:val="ListParagraph"/>
        <w:numPr>
          <w:ilvl w:val="0"/>
          <w:numId w:val="1"/>
        </w:numPr>
        <w:spacing w:lineRule="exact" w:line="264" w:before="0" w:after="60"/>
        <w:rPr/>
      </w:pPr>
      <w:r>
        <w:rPr>
          <w:rFonts w:eastAsia="Arial" w:cs="Arial"/>
          <w:sz w:val="21"/>
          <w:szCs w:val="21"/>
        </w:rPr>
        <w:t>Fire Safety Inspection Approvals</w:t>
      </w:r>
    </w:p>
    <w:p>
      <w:pPr>
        <w:pStyle w:val="ListParagraph"/>
        <w:numPr>
          <w:ilvl w:val="0"/>
          <w:numId w:val="1"/>
        </w:numPr>
        <w:spacing w:lineRule="exact" w:line="264" w:before="0" w:after="60"/>
        <w:rPr/>
      </w:pPr>
      <w:r>
        <w:rPr>
          <w:rFonts w:eastAsia="Arial" w:cs="Arial"/>
          <w:sz w:val="21"/>
          <w:szCs w:val="21"/>
        </w:rPr>
        <w:t>Community Design Compliance Record</w:t>
      </w:r>
    </w:p>
    <w:p>
      <w:pPr>
        <w:pStyle w:val="ListParagraph"/>
        <w:numPr>
          <w:ilvl w:val="0"/>
          <w:numId w:val="1"/>
        </w:numPr>
        <w:spacing w:lineRule="exact" w:line="264" w:before="0" w:after="60"/>
        <w:rPr/>
      </w:pPr>
      <w:r>
        <w:rPr>
          <w:rFonts w:eastAsia="Arial" w:cs="Arial"/>
          <w:sz w:val="21"/>
          <w:szCs w:val="21"/>
        </w:rPr>
        <w:t>Criminal Background Check / Fingerprint Determination (111-8-12)</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Initial Training (60-Day) Checklist</w:t>
      </w:r>
    </w:p>
    <w:p>
      <w:pPr>
        <w:pStyle w:val="ListParagraph"/>
        <w:numPr>
          <w:ilvl w:val="0"/>
          <w:numId w:val="1"/>
        </w:numPr>
        <w:spacing w:lineRule="exact" w:line="264" w:before="0" w:after="60"/>
        <w:rPr/>
      </w:pPr>
      <w:r>
        <w:rPr>
          <w:rFonts w:eastAsia="Arial" w:cs="Arial"/>
          <w:sz w:val="21"/>
          <w:szCs w:val="21"/>
        </w:rPr>
        <w:t>First-Year (24-Hour) &amp; Annual (16-Hour) CE Log</w:t>
      </w:r>
    </w:p>
    <w:p>
      <w:pPr>
        <w:pStyle w:val="ListParagraph"/>
        <w:numPr>
          <w:ilvl w:val="0"/>
          <w:numId w:val="1"/>
        </w:numPr>
        <w:spacing w:lineRule="exact" w:line="264" w:before="0" w:after="60"/>
        <w:rPr/>
      </w:pPr>
      <w:r>
        <w:rPr>
          <w:rFonts w:eastAsia="Arial" w:cs="Arial"/>
          <w:sz w:val="21"/>
          <w:szCs w:val="21"/>
        </w:rPr>
        <w:t>Proxy Caregiver / Hospice Morphine Training Records</w:t>
      </w:r>
    </w:p>
    <w:p>
      <w:pPr>
        <w:pStyle w:val="ListParagraph"/>
        <w:numPr>
          <w:ilvl w:val="0"/>
          <w:numId w:val="1"/>
        </w:numPr>
        <w:spacing w:lineRule="exact" w:line="264" w:before="0" w:after="60"/>
        <w:rPr/>
      </w:pPr>
      <w:r>
        <w:rPr>
          <w:rFonts w:eastAsia="Arial" w:cs="Arial"/>
          <w:sz w:val="21"/>
          <w:szCs w:val="21"/>
        </w:rPr>
        <w:t>Administrator License &amp; CEU Verification</w:t>
      </w:r>
    </w:p>
    <w:p>
      <w:pPr>
        <w:pStyle w:val="ListParagraph"/>
        <w:numPr>
          <w:ilvl w:val="0"/>
          <w:numId w:val="1"/>
        </w:numPr>
        <w:spacing w:lineRule="exact" w:line="264" w:before="0" w:after="60"/>
        <w:rPr/>
      </w:pPr>
      <w:r>
        <w:rPr>
          <w:rFonts w:eastAsia="Arial" w:cs="Arial"/>
          <w:sz w:val="21"/>
          <w:szCs w:val="21"/>
        </w:rPr>
        <w:t>Staffing Schedule (ratios &amp; nurse coverage)</w:t>
      </w:r>
    </w:p>
    <w:p>
      <w:pPr>
        <w:pStyle w:val="ListParagraph"/>
        <w:numPr>
          <w:ilvl w:val="0"/>
          <w:numId w:val="1"/>
        </w:numPr>
        <w:spacing w:lineRule="exact" w:line="264" w:before="0" w:after="60"/>
        <w:rPr/>
      </w:pPr>
      <w:r>
        <w:rPr>
          <w:rFonts w:eastAsia="Arial" w:cs="Arial"/>
          <w:sz w:val="21"/>
          <w:szCs w:val="21"/>
        </w:rPr>
        <w:t>On-Site Manager Designation</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Proxy Caregiver Authorization &amp; Training (111-8-100)</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Memory Care Center Written Description</w:t>
      </w:r>
    </w:p>
    <w:p>
      <w:pPr>
        <w:pStyle w:val="ListParagraph"/>
        <w:numPr>
          <w:ilvl w:val="0"/>
          <w:numId w:val="1"/>
        </w:numPr>
        <w:spacing w:lineRule="exact" w:line="264" w:before="0" w:after="60"/>
        <w:rPr/>
      </w:pPr>
      <w:r>
        <w:rPr>
          <w:rFonts w:eastAsia="Arial" w:cs="Arial"/>
          <w:sz w:val="21"/>
          <w:szCs w:val="21"/>
        </w:rPr>
        <w:t>Dementia Training Records (16-hour)</w:t>
      </w:r>
    </w:p>
    <w:p>
      <w:pPr>
        <w:pStyle w:val="ListParagraph"/>
        <w:numPr>
          <w:ilvl w:val="0"/>
          <w:numId w:val="1"/>
        </w:numPr>
        <w:spacing w:lineRule="exact" w:line="264" w:before="0" w:after="60"/>
        <w:rPr/>
      </w:pPr>
      <w:r>
        <w:rPr>
          <w:rFonts w:eastAsia="Arial" w:cs="Arial"/>
          <w:sz w:val="21"/>
          <w:szCs w:val="21"/>
        </w:rPr>
        <w:t>Memory Care Pre-Admission Physical (30-day) &amp; Post-Admission Assessment</w:t>
      </w:r>
    </w:p>
    <w:p>
      <w:pPr>
        <w:pStyle w:val="ListParagraph"/>
        <w:numPr>
          <w:ilvl w:val="0"/>
          <w:numId w:val="1"/>
        </w:numPr>
        <w:spacing w:lineRule="exact" w:line="264" w:before="0" w:after="60"/>
        <w:rPr/>
      </w:pPr>
      <w:r>
        <w:rPr>
          <w:rFonts w:eastAsia="Arial" w:cs="Arial"/>
          <w:sz w:val="21"/>
          <w:szCs w:val="21"/>
        </w:rPr>
        <w:t>CMA Registry Verification &amp; Annual Competency Review</w:t>
      </w:r>
    </w:p>
    <w:p>
      <w:pPr>
        <w:pStyle w:val="ListParagraph"/>
        <w:numPr>
          <w:ilvl w:val="0"/>
          <w:numId w:val="1"/>
        </w:numPr>
        <w:spacing w:lineRule="exact" w:line="264" w:before="0" w:after="60"/>
        <w:rPr/>
      </w:pPr>
      <w:r>
        <w:rPr>
          <w:rFonts w:eastAsia="Arial" w:cs="Arial"/>
          <w:sz w:val="21"/>
          <w:szCs w:val="21"/>
        </w:rPr>
        <w:t>Licensed Pharmacist Agreement</w:t>
      </w:r>
    </w:p>
    <w:p>
      <w:pPr>
        <w:pStyle w:val="ListParagraph"/>
        <w:numPr>
          <w:ilvl w:val="0"/>
          <w:numId w:val="1"/>
        </w:numPr>
        <w:spacing w:lineRule="exact" w:line="264" w:before="0" w:after="60"/>
        <w:rPr/>
      </w:pPr>
      <w:r>
        <w:rPr>
          <w:rFonts w:eastAsia="Arial" w:cs="Arial"/>
          <w:sz w:val="21"/>
          <w:szCs w:val="21"/>
        </w:rPr>
        <w:t>Medication Assistance Record (MAR)</w:t>
      </w:r>
    </w:p>
    <w:p>
      <w:pPr>
        <w:pStyle w:val="ListParagraph"/>
        <w:numPr>
          <w:ilvl w:val="0"/>
          <w:numId w:val="1"/>
        </w:numPr>
        <w:spacing w:lineRule="exact" w:line="264" w:before="0" w:after="60"/>
        <w:rPr/>
      </w:pPr>
      <w:r>
        <w:rPr>
          <w:rFonts w:eastAsia="Arial" w:cs="Arial"/>
          <w:sz w:val="21"/>
          <w:szCs w:val="21"/>
        </w:rPr>
        <w:t>Hospice Liquid Morphine Administration Log</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Preparedness &amp; Pandemic Plan</w:t>
      </w:r>
    </w:p>
    <w:p>
      <w:pPr>
        <w:pStyle w:val="ListParagraph"/>
        <w:numPr>
          <w:ilvl w:val="0"/>
          <w:numId w:val="1"/>
        </w:numPr>
        <w:spacing w:lineRule="exact" w:line="264" w:before="0" w:after="60"/>
        <w:rPr/>
      </w:pPr>
      <w:r>
        <w:rPr>
          <w:rFonts w:eastAsia="Arial" w:cs="Arial"/>
          <w:sz w:val="21"/>
          <w:szCs w:val="21"/>
        </w:rPr>
        <w:t>Fire &amp; Emergency Drill Records</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Georgia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Department of Community Health (DCH), Healthcare Facility Regulation Division (HFRD) — Personal Care Home / ALC Program</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Rule Chapter 111-8-63 — Assisted Living Communities (25+ residents)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Related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111-8-100 (Proxy Caregivers); 111-8-25 (General Licensing &amp; Enforcement); 111-8-12 (Criminal Background Checks)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 Aides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Certified Medication Aide Registry (DCH)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Administrator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State Board of Long Term Care Facility Administrators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Long-Term Care Resident Abuse Reporting Act, O.C.G.A. § 31-8-80 et seq.; DCH/HFRD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health authority and Georgia Department of Public Health (DPH)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Facility Verification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GaMap2Care (facility licensure &amp; inspection reports)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 /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planning department and Office of the Safety Fire Commissioner</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Georgia’s Rules and Regulations for Assisted Living Communities (Chapter 111-8-63) and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an ASSISTED LIVING COMMUNITY (ALC) — a personal care home serving 25 or more residents licensed under Chapter 111-8-63. If your facility is a personal care home that is not licensed as an assisted living community, use the Georgia Personal Care Home (PCH) manual (Chapter 111-8-62) instead.</w:t>
      </w:r>
    </w:p>
    <w:p>
      <w:pPr>
        <w:pStyle w:val="Normal"/>
        <w:spacing w:lineRule="exact" w:line="276" w:before="0" w:after="120"/>
        <w:rPr/>
      </w:pPr>
      <w:r>
        <w:rPr>
          <w:rFonts w:eastAsia="Arial" w:cs="Arial"/>
          <w:sz w:val="21"/>
          <w:szCs w:val="21"/>
        </w:rPr>
        <w:t>Memory care. Where the Community holds itself out as providing specialized dementia care (or charges a differential rate for cognitive-deficit care), the Memory Care Center policy applies the additional requirements of Rule 111-8-63-.19; use it only if you operate such a center.</w:t>
      </w:r>
    </w:p>
    <w:p>
      <w:pPr>
        <w:pStyle w:val="Normal"/>
        <w:spacing w:lineRule="exact" w:line="276" w:before="0" w:after="120"/>
        <w:rPr/>
      </w:pPr>
      <w:r>
        <w:rPr>
          <w:rFonts w:eastAsia="Arial" w:cs="Arial"/>
          <w:sz w:val="21"/>
          <w:szCs w:val="21"/>
        </w:rPr>
        <w:t>Before adopting: replace every [bracketed] placeholder (Community name, effective date, administrator) with your own information; review each policy against your current operations and your most recent HFRD survey; confirm your administrator licensure, CMA registry checks, and RN/LPN coverage; confirm your zoning, community design, and fire-safety approvals;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 living community under Chapter 111-8-63, including the Community’s obligations, the procedures for raising a grievance, and the contact information for the Long-Term Care Ombudsman and the Department of Community Health.</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Georgia — Assisted Living Community (ALC)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Georgia — Assisted Living Community (ALC)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2026-07-01T13:09:49Z</dcterms:created>
  <dc:creator>PolicyReady.org</dc:creator>
  <dc:description/>
  <dc:language>en-US</dc:language>
  <cp:lastModifiedBy>Un-named</cp:lastModifiedBy>
  <dcterms:modified xsi:type="dcterms:W3CDTF">2026-07-01T13:09:49Z</dcterms:modified>
  <cp:revision>1</cp:revision>
  <dc:subject/>
  <dc:title>Georgia Assisted Living Community (ALC) Policy &amp; Procedure Manual</dc:title>
</cp:coreProperties>
</file>