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GEORGIA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Personal Care Home (PCH)</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[Home Name]</w:t>
      </w:r>
    </w:p>
    <w:p>
      <w:pPr>
        <w:pStyle w:val="Normal"/>
        <w:spacing w:before="60" w:after="0"/>
        <w:jc w:val="center"/>
        <w:rPr/>
      </w:pPr>
      <w:r>
        <w:rPr>
          <w:rFonts w:eastAsia="Arial" w:cs="Arial"/>
          <w:color w:val="666666"/>
          <w:sz w:val="20"/>
          <w:szCs w:val="20"/>
        </w:rPr>
        <w:t>[Address]   •   [DCH License Number]</w:t>
      </w:r>
    </w:p>
    <w:p>
      <w:pPr>
        <w:pStyle w:val="Normal"/>
        <w:spacing w:before="1600" w:after="0"/>
        <w:jc w:val="center"/>
        <w:rPr/>
      </w:pPr>
      <w:r>
        <w:rPr>
          <w:rFonts w:eastAsia="Arial" w:cs="Arial"/>
          <w:color w:val="666666"/>
          <w:sz w:val="18"/>
          <w:szCs w:val="18"/>
        </w:rPr>
        <w:t>Aligned to Rule Chapter 111-8-62 (Personal Care Homes)</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Home is governed and how it admits, protects, and resolves concerns for the residents it serves under its DCH license. It covers admission and the admission agreement, supporting residents’ rights, mandatory abuse reporting under Georgia’s Long-Term Care Resident Abuse Reporting Act, resident funds and financial stability, and zoning, home design, and physical plant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Admission Agreement &amp; Continued Residency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Supporting Residents’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&amp;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Financial Stability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Home Design &amp; Physical Plant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Admission Agreement &amp; Continued Residency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Admission Agreement &amp; Continued Residency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111-8-62-.15, -.16; O.C.G.A. Title 31, Chapter 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Home admits, retains, and discharges residents, consistent with the Rules and Regulations for Personal Care Homes, Chapter 111-8-62.</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Home is licensed by the Georgia Department of Community Health (DCH), Healthcare Facility Regulation Division (HFRD), as a Personal Care Home (PCH) under Chapter 111-8-62. A personal care home provides housing, food service, and one or more personal services to two or more adults who require varying degrees of supervision and care but who do not require continuous medical or nursing care. A Home that holds itself out as providing specialized memory care must meet the additional requirements in the Memory Care Center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admit and retain only residents whose needs it can meet within its license, based on a physician’s medical evaluation and an assessment, and shall provide a written admission agreement and resident rights at admission.</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Obtain a physician’s or authorized practitioner’s medical evaluation on the Department’s form, completed within the timeframe required by rule, documenting the resident’s diagnoses, medications, and care needs.</w:t>
      </w:r>
    </w:p>
    <w:p>
      <w:pPr>
        <w:pStyle w:val="Normal"/>
        <w:tabs>
          <w:tab w:val="left" w:pos="720" w:leader="none"/>
        </w:tabs>
        <w:spacing w:lineRule="exact" w:line="264" w:before="0" w:after="80"/>
        <w:ind w:hanging="360" w:start="720"/>
        <w:rPr/>
      </w:pPr>
      <w:r>
        <w:rPr>
          <w:rFonts w:eastAsia="Arial" w:cs="Arial"/>
          <w:sz w:val="21"/>
          <w:szCs w:val="21"/>
        </w:rPr>
        <w:t>b. Complete an assessment of the resident’s needs and preferences and determine that the Home can meet those needs within its license and scope of service.</w:t>
      </w:r>
    </w:p>
    <w:p>
      <w:pPr>
        <w:pStyle w:val="Normal"/>
        <w:tabs>
          <w:tab w:val="left" w:pos="720" w:leader="none"/>
        </w:tabs>
        <w:spacing w:lineRule="exact" w:line="264" w:before="0" w:after="80"/>
        <w:ind w:hanging="360" w:start="720"/>
        <w:rPr/>
      </w:pPr>
      <w:r>
        <w:rPr>
          <w:rFonts w:eastAsia="Arial" w:cs="Arial"/>
          <w:sz w:val="21"/>
          <w:szCs w:val="21"/>
        </w:rPr>
        <w:t>c. Execute a written admission agreement consistent with Rule 111-8-62-.16 describing services, charges, refund terms, and the rights and obligations of the parties, and provide the resident a copy.</w:t>
      </w:r>
    </w:p>
    <w:p>
      <w:pPr>
        <w:pStyle w:val="Normal"/>
        <w:tabs>
          <w:tab w:val="left" w:pos="720" w:leader="none"/>
        </w:tabs>
        <w:spacing w:lineRule="exact" w:line="264" w:before="0" w:after="80"/>
        <w:ind w:hanging="360" w:start="720"/>
        <w:rPr/>
      </w:pPr>
      <w:r>
        <w:rPr>
          <w:rFonts w:eastAsia="Arial" w:cs="Arial"/>
          <w:sz w:val="21"/>
          <w:szCs w:val="21"/>
        </w:rPr>
        <w:t>d. Provide each resident, at or before admission, a written statement of resident rights and the Home’s policies on services and grievances.</w:t>
      </w:r>
    </w:p>
    <w:p>
      <w:pPr>
        <w:pStyle w:val="Normal"/>
        <w:pBdr>
          <w:bottom w:val="single" w:sz="4" w:space="1" w:color="2E5E45"/>
        </w:pBdr>
        <w:spacing w:before="160" w:after="80"/>
        <w:rPr/>
      </w:pPr>
      <w:r>
        <w:rPr>
          <w:rFonts w:eastAsia="Arial" w:cs="Arial"/>
          <w:b/>
          <w:bCs/>
          <w:color w:val="1A4731"/>
          <w:sz w:val="20"/>
          <w:szCs w:val="20"/>
        </w:rPr>
        <w:t>PROCEDURE — CONTINUED RESIDENCY &amp; DISCHARGE</w:t>
      </w:r>
    </w:p>
    <w:p>
      <w:pPr>
        <w:pStyle w:val="Normal"/>
        <w:tabs>
          <w:tab w:val="left" w:pos="720" w:leader="none"/>
        </w:tabs>
        <w:spacing w:lineRule="exact" w:line="264" w:before="0" w:after="80"/>
        <w:ind w:hanging="360" w:start="720"/>
        <w:rPr/>
      </w:pPr>
      <w:r>
        <w:rPr>
          <w:rFonts w:eastAsia="Arial" w:cs="Arial"/>
          <w:sz w:val="21"/>
          <w:szCs w:val="21"/>
        </w:rPr>
        <w:t>e. Monitor each resident’s continued appropriateness for the Home, including whether the resident has come to require continuous medical or nursing care beyond the Home’s scope.</w:t>
      </w:r>
    </w:p>
    <w:p>
      <w:pPr>
        <w:pStyle w:val="Normal"/>
        <w:tabs>
          <w:tab w:val="left" w:pos="720" w:leader="none"/>
        </w:tabs>
        <w:spacing w:lineRule="exact" w:line="264" w:before="0" w:after="80"/>
        <w:ind w:hanging="360" w:start="720"/>
        <w:rPr/>
      </w:pPr>
      <w:r>
        <w:rPr>
          <w:rFonts w:eastAsia="Arial" w:cs="Arial"/>
          <w:sz w:val="21"/>
          <w:szCs w:val="21"/>
        </w:rPr>
        <w:t>f. Where the Home can no longer meet the resident’s needs or other grounds under rule apply, provide the written notice required by Chapter 111-8-62 and coordinate a safe transfer or discharge.</w:t>
      </w:r>
    </w:p>
    <w:p>
      <w:pPr>
        <w:pStyle w:val="Normal"/>
        <w:tabs>
          <w:tab w:val="left" w:pos="720" w:leader="none"/>
        </w:tabs>
        <w:spacing w:lineRule="exact" w:line="264" w:before="0" w:after="80"/>
        <w:ind w:hanging="360" w:start="720"/>
        <w:rPr/>
      </w:pPr>
      <w:r>
        <w:rPr>
          <w:rFonts w:eastAsia="Arial" w:cs="Arial"/>
          <w:sz w:val="21"/>
          <w:szCs w:val="21"/>
        </w:rPr>
        <w:t>g. Document the basis for discharge or transfer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DCH Medical Evaluation / Physician’s Report</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Admission Agreement (111-8-62-.16)</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Supporting Residents’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Supporting Residents’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111-8-62-.25; O.C.G.A. Title 31, Chapter 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as required by Rule 111-8-62-.25,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observe and protect the rights of each resident, provide each resident a written copy of resident rights at admission, and post the Long-Term Care Ombudsman and complaint contact information.</w:t>
      </w:r>
    </w:p>
    <w:p>
      <w:pPr>
        <w:pStyle w:val="Normal"/>
        <w:pBdr>
          <w:bottom w:val="single" w:sz="4" w:space="1" w:color="2E5E45"/>
        </w:pBdr>
        <w:spacing w:before="160" w:after="80"/>
        <w:rPr/>
      </w:pPr>
      <w:r>
        <w:rPr>
          <w:rFonts w:eastAsia="Arial" w:cs="Arial"/>
          <w:b/>
          <w:bCs/>
          <w:color w:val="1A4731"/>
          <w:sz w:val="20"/>
          <w:szCs w:val="20"/>
        </w:rPr>
        <w:t>PROCEDURE — RESIDENT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and exploitation.</w:t>
      </w:r>
    </w:p>
    <w:p>
      <w:pPr>
        <w:pStyle w:val="Normal"/>
        <w:tabs>
          <w:tab w:val="left" w:pos="720" w:leader="none"/>
        </w:tabs>
        <w:spacing w:lineRule="exact" w:line="264" w:before="0" w:after="80"/>
        <w:ind w:hanging="360" w:start="720"/>
        <w:rPr/>
      </w:pPr>
      <w:r>
        <w:rPr>
          <w:rFonts w:eastAsia="Arial" w:cs="Arial"/>
          <w:sz w:val="21"/>
          <w:szCs w:val="21"/>
        </w:rPr>
        <w:t>b. Ensure the right to privacy, to manage or receive an accounting of personal funds, to retain and use personal possessions, and to private communication and visitation.</w:t>
      </w:r>
    </w:p>
    <w:p>
      <w:pPr>
        <w:pStyle w:val="Normal"/>
        <w:tabs>
          <w:tab w:val="left" w:pos="720" w:leader="none"/>
        </w:tabs>
        <w:spacing w:lineRule="exact" w:line="264" w:before="0" w:after="80"/>
        <w:ind w:hanging="360" w:start="720"/>
        <w:rPr/>
      </w:pPr>
      <w:r>
        <w:rPr>
          <w:rFonts w:eastAsia="Arial" w:cs="Arial"/>
          <w:sz w:val="21"/>
          <w:szCs w:val="21"/>
        </w:rPr>
        <w:t>c. Ensure the right to participate in decisions about services and care and to make meaningful choices, and to voice grievances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d. Ensure the right to access the Long-Term Care Ombudsman, and provide each resident a written copy of resident rights upon admission with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present a grievance, and post the Long-Term Care Ombudsman and the DCH/HFRD complaint contact information.</w:t>
      </w:r>
    </w:p>
    <w:p>
      <w:pPr>
        <w:pStyle w:val="Normal"/>
        <w:tabs>
          <w:tab w:val="left" w:pos="720" w:leader="none"/>
        </w:tabs>
        <w:spacing w:lineRule="exact" w:line="264" w:before="0" w:after="80"/>
        <w:ind w:hanging="360" w:start="720"/>
        <w:rPr/>
      </w:pPr>
      <w:r>
        <w:rPr>
          <w:rFonts w:eastAsia="Arial" w:cs="Arial"/>
          <w:sz w:val="21"/>
          <w:szCs w:val="21"/>
        </w:rPr>
        <w:t>f.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who presents a grievance or contacts the Ombudsman or the Department.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&amp;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&amp;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Long-Term Care Resident Abuse Reporting Act, O.C.G.A. § 31-8-80 et seq.; Rule 111-8-62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Georgia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requires immediate reporting of suspected abuse, neglect, and exploitation under the Long-Term Care Resident Abuse Reporting Act, and reports and investigates incidents as required by Chapter 111-8-62.</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that they are mandatory reporters under the Long-Term Care Resident Abuse Reporting Act (O.C.G.A. § 31-8-80 et seq.) and must immediately report suspected abuse, neglect, or exploitation, protecting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to the Department and to law enforcement or adult protective services as required, and report deaths and other reportable incidents within the required timeframes.</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witnesses,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Financial Stability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Financial Stability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 HB 987 (financial stability &amp; notice of closure)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Home manages them, and to meet Georgia’s financial-stability and closure-notice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Home holds or manages a resident’s funds or property, it shall do so under written authorization with a separate accounting. The Home shall maintain the financial-stability documentation required by law and provide the required advance written notice of any impending closure.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receiving, holding, or managing resident funds or property, maintain a separate accounting for each resident, and return funds and property with a final accounting on discharge or death.</w:t>
      </w:r>
    </w:p>
    <w:p>
      <w:pPr>
        <w:pStyle w:val="Normal"/>
        <w:tabs>
          <w:tab w:val="left" w:pos="720" w:leader="none"/>
        </w:tabs>
        <w:spacing w:lineRule="exact" w:line="264" w:before="0" w:after="80"/>
        <w:ind w:hanging="360" w:start="720"/>
        <w:rPr/>
      </w:pPr>
      <w:r>
        <w:rPr>
          <w:rFonts w:eastAsia="Arial" w:cs="Arial"/>
          <w:sz w:val="21"/>
          <w:szCs w:val="21"/>
        </w:rPr>
        <w:t>b. Maintain the financial-stability documentation required for licensure where applicable to the Home.</w:t>
      </w:r>
    </w:p>
    <w:p>
      <w:pPr>
        <w:pStyle w:val="Normal"/>
        <w:tabs>
          <w:tab w:val="left" w:pos="720" w:leader="none"/>
        </w:tabs>
        <w:spacing w:lineRule="exact" w:line="264" w:before="0" w:after="80"/>
        <w:ind w:hanging="360" w:start="720"/>
        <w:rPr/>
      </w:pPr>
      <w:r>
        <w:rPr>
          <w:rFonts w:eastAsia="Arial" w:cs="Arial"/>
          <w:sz w:val="21"/>
          <w:szCs w:val="21"/>
        </w:rPr>
        <w:t>c. Provide a minimum of sixty (60) days’ written notice to the Department and to all residents of any impending closure, consistent with Georgia law.</w:t>
      </w:r>
    </w:p>
    <w:p>
      <w:pPr>
        <w:pStyle w:val="Normal"/>
        <w:tabs>
          <w:tab w:val="left" w:pos="720" w:leader="none"/>
        </w:tabs>
        <w:spacing w:lineRule="exact" w:line="264" w:before="0" w:after="80"/>
        <w:ind w:hanging="360" w:start="720"/>
        <w:rPr/>
      </w:pPr>
      <w:r>
        <w:rPr>
          <w:rFonts w:eastAsia="Arial" w:cs="Arial"/>
          <w:sz w:val="21"/>
          <w:szCs w:val="21"/>
        </w:rPr>
        <w:t>d. Provide the resident or representative access to the accounting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Financial Stability Documentation</w:t>
      </w:r>
    </w:p>
    <w:p>
      <w:pPr>
        <w:pStyle w:val="ListParagraph"/>
        <w:numPr>
          <w:ilvl w:val="0"/>
          <w:numId w:val="1"/>
        </w:numPr>
        <w:spacing w:lineRule="exact" w:line="264" w:before="0" w:after="60"/>
        <w:rPr/>
      </w:pPr>
      <w:r>
        <w:rPr>
          <w:rFonts w:eastAsia="Arial" w:cs="Arial"/>
          <w:sz w:val="21"/>
          <w:szCs w:val="21"/>
        </w:rPr>
        <w:t>Notice of Closure (60-day)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Home Design &amp; Physical Plant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Home Design &amp; Physical Plant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111-8-62-.12, -.13; local zoning; State Fire Marshal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Home operates in a permitted location and meets the home design and physical plant standards of Chapter 111-8-62, in addition to its DCH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DCH license does not by itself authorize operation at a given location. The Home shall confirm its use is permitted under local zoning, meet the home design requirements of Rule 111-8-62-.12 and the physical plant health and safety standards of Rule 111-8-62-.13, and maintain required fire-safety approvals.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Confirm the property’s zoning permits a personal care home of the intended size, and obtain a zoning verification from the local planning department before establishing or relocating.</w:t>
      </w:r>
    </w:p>
    <w:p>
      <w:pPr>
        <w:pStyle w:val="Normal"/>
        <w:tabs>
          <w:tab w:val="left" w:pos="720" w:leader="none"/>
        </w:tabs>
        <w:spacing w:lineRule="exact" w:line="264" w:before="0" w:after="80"/>
        <w:ind w:hanging="360" w:start="720"/>
        <w:rPr/>
      </w:pPr>
      <w:r>
        <w:rPr>
          <w:rFonts w:eastAsia="Arial" w:cs="Arial"/>
          <w:sz w:val="21"/>
          <w:szCs w:val="21"/>
        </w:rPr>
        <w:t>b. Meet the home design requirements (Rule 111-8-62-.12), including resident room occupancy limits (no more than four residents may share a bedroom, subject to square-footage requirements) and required common areas, and the physical plant health and safety standards (Rule 111-8-62-.13).</w:t>
      </w:r>
    </w:p>
    <w:p>
      <w:pPr>
        <w:pStyle w:val="Normal"/>
        <w:tabs>
          <w:tab w:val="left" w:pos="720" w:leader="none"/>
        </w:tabs>
        <w:spacing w:lineRule="exact" w:line="264" w:before="0" w:after="80"/>
        <w:ind w:hanging="360" w:start="720"/>
        <w:rPr/>
      </w:pPr>
      <w:r>
        <w:rPr>
          <w:rFonts w:eastAsia="Arial" w:cs="Arial"/>
          <w:sz w:val="21"/>
          <w:szCs w:val="21"/>
        </w:rPr>
        <w:t>c. Obtain and maintain fire-safety approvals and comply with local fire-safety ordinances; obtain a repeat fire-safety inspection after substantial repair, renovation, or additions.</w:t>
      </w:r>
    </w:p>
    <w:p>
      <w:pPr>
        <w:pStyle w:val="Normal"/>
        <w:tabs>
          <w:tab w:val="left" w:pos="720" w:leader="none"/>
        </w:tabs>
        <w:spacing w:lineRule="exact" w:line="264" w:before="0" w:after="80"/>
        <w:ind w:hanging="360" w:start="720"/>
        <w:rPr/>
      </w:pPr>
      <w:r>
        <w:rPr>
          <w:rFonts w:eastAsia="Arial" w:cs="Arial"/>
          <w:sz w:val="21"/>
          <w:szCs w:val="21"/>
        </w:rPr>
        <w:t>d. Retain all zoning, design, and fire-safety approvals in the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w:t>
      </w:r>
    </w:p>
    <w:p>
      <w:pPr>
        <w:pStyle w:val="ListParagraph"/>
        <w:numPr>
          <w:ilvl w:val="0"/>
          <w:numId w:val="1"/>
        </w:numPr>
        <w:spacing w:lineRule="exact" w:line="264" w:before="0" w:after="60"/>
        <w:rPr/>
      </w:pPr>
      <w:r>
        <w:rPr>
          <w:rFonts w:eastAsia="Arial" w:cs="Arial"/>
          <w:sz w:val="21"/>
          <w:szCs w:val="21"/>
        </w:rPr>
        <w:t>Fire Safety Inspection Approvals</w:t>
      </w:r>
    </w:p>
    <w:p>
      <w:pPr>
        <w:pStyle w:val="ListParagraph"/>
        <w:numPr>
          <w:ilvl w:val="0"/>
          <w:numId w:val="1"/>
        </w:numPr>
        <w:spacing w:lineRule="exact" w:line="264" w:before="0" w:after="60"/>
        <w:rPr/>
      </w:pPr>
      <w:r>
        <w:rPr>
          <w:rFonts w:eastAsia="Arial" w:cs="Arial"/>
          <w:sz w:val="21"/>
          <w:szCs w:val="21"/>
        </w:rPr>
        <w:t>Home Design / Physical Plant Compliance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criminal background and fingerprint checks with five-year employment history, Georgia’s initial and continuing training requirements, and the administration, on-site manager, and staffing-ratio requirements for personal care homes.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Workforce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Administration, On-Site Manager &amp; Staffing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111-8-62-.08, -.09; Chapter 111-8-12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director, administrator, on-site manager, and direct access employee is screened and suitable to work with residents through the required criminal background checks, and meets the Home’s minimum age and health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complete criminal background checks in compliance with Chapter 111-8-12 before an individual serves as a director, administrator, on-site manager, or direct access employee, verify employment history, and maintain health documentation for staff.</w:t>
      </w:r>
    </w:p>
    <w:p>
      <w:pPr>
        <w:pStyle w:val="Normal"/>
        <w:pBdr>
          <w:bottom w:val="single" w:sz="4" w:space="1" w:color="2E5E45"/>
        </w:pBdr>
        <w:spacing w:before="160" w:after="80"/>
        <w:rPr/>
      </w:pPr>
      <w:r>
        <w:rPr>
          <w:rFonts w:eastAsia="Arial" w:cs="Arial"/>
          <w:b/>
          <w:bCs/>
          <w:color w:val="1A4731"/>
          <w:sz w:val="20"/>
          <w:szCs w:val="20"/>
        </w:rPr>
        <w:t>PROCEDURE — BACKGROUND CHECKS &amp; QUALIFICATIONS</w:t>
      </w:r>
    </w:p>
    <w:p>
      <w:pPr>
        <w:pStyle w:val="Normal"/>
        <w:tabs>
          <w:tab w:val="left" w:pos="720" w:leader="none"/>
        </w:tabs>
        <w:spacing w:lineRule="exact" w:line="264" w:before="0" w:after="80"/>
        <w:ind w:hanging="360" w:start="720"/>
        <w:rPr/>
      </w:pPr>
      <w:r>
        <w:rPr>
          <w:rFonts w:eastAsia="Arial" w:cs="Arial"/>
          <w:sz w:val="21"/>
          <w:szCs w:val="21"/>
        </w:rPr>
        <w:t>a. Before serving as a director, administrator, or on-site manager, obtain a satisfactory fingerprint records check determination consistent with Chapter 111-8-12; supervisory staff must be at least 21 years of age and non-supervisory hands-on staff at least 18.</w:t>
      </w:r>
    </w:p>
    <w:p>
      <w:pPr>
        <w:pStyle w:val="Normal"/>
        <w:tabs>
          <w:tab w:val="left" w:pos="720" w:leader="none"/>
        </w:tabs>
        <w:spacing w:lineRule="exact" w:line="264" w:before="0" w:after="80"/>
        <w:ind w:hanging="360" w:start="720"/>
        <w:rPr/>
      </w:pPr>
      <w:r>
        <w:rPr>
          <w:rFonts w:eastAsia="Arial" w:cs="Arial"/>
          <w:sz w:val="21"/>
          <w:szCs w:val="21"/>
        </w:rPr>
        <w:t>b. Before a direct access employee is hired, obtain a satisfactory fingerprint records check determination in compliance with Chapter 111-8-12, and do not employ or retain any individual with a disqualifying determination.</w:t>
      </w:r>
    </w:p>
    <w:p>
      <w:pPr>
        <w:pStyle w:val="Normal"/>
        <w:tabs>
          <w:tab w:val="left" w:pos="720" w:leader="none"/>
        </w:tabs>
        <w:spacing w:lineRule="exact" w:line="264" w:before="0" w:after="80"/>
        <w:ind w:hanging="360" w:start="720"/>
        <w:rPr/>
      </w:pPr>
      <w:r>
        <w:rPr>
          <w:rFonts w:eastAsia="Arial" w:cs="Arial"/>
          <w:sz w:val="21"/>
          <w:szCs w:val="21"/>
        </w:rPr>
        <w:t>c. Obtain and verify a five-year employment history when possible for each employee, and maintain documentation in the employee’s file.</w:t>
      </w:r>
    </w:p>
    <w:p>
      <w:pPr>
        <w:pStyle w:val="Normal"/>
        <w:pBdr>
          <w:bottom w:val="single" w:sz="4" w:space="1" w:color="2E5E45"/>
        </w:pBdr>
        <w:spacing w:before="160" w:after="80"/>
        <w:rPr/>
      </w:pPr>
      <w:r>
        <w:rPr>
          <w:rFonts w:eastAsia="Arial" w:cs="Arial"/>
          <w:b/>
          <w:bCs/>
          <w:color w:val="1A4731"/>
          <w:sz w:val="20"/>
          <w:szCs w:val="20"/>
        </w:rPr>
        <w:t>PROCEDURE — HEALTH &amp; PERSONNEL RECORDS</w:t>
      </w:r>
    </w:p>
    <w:p>
      <w:pPr>
        <w:pStyle w:val="Normal"/>
        <w:tabs>
          <w:tab w:val="left" w:pos="720" w:leader="none"/>
        </w:tabs>
        <w:spacing w:lineRule="exact" w:line="264" w:before="0" w:after="80"/>
        <w:ind w:hanging="360" w:start="720"/>
        <w:rPr/>
      </w:pPr>
      <w:r>
        <w:rPr>
          <w:rFonts w:eastAsia="Arial" w:cs="Arial"/>
          <w:sz w:val="21"/>
          <w:szCs w:val="21"/>
        </w:rPr>
        <w:t>d. Obtain documentation that each staff member is free of communicable disease, including tuberculosis screening as required.</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that includes job description, qualifications, background check results, employment history, training, and health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Department representatives for review and copying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Background Check / Fingerprint Determination (111-8-12)</w:t>
      </w:r>
    </w:p>
    <w:p>
      <w:pPr>
        <w:pStyle w:val="ListParagraph"/>
        <w:numPr>
          <w:ilvl w:val="0"/>
          <w:numId w:val="1"/>
        </w:numPr>
        <w:spacing w:lineRule="exact" w:line="264" w:before="0" w:after="60"/>
        <w:rPr/>
      </w:pPr>
      <w:r>
        <w:rPr>
          <w:rFonts w:eastAsia="Arial" w:cs="Arial"/>
          <w:sz w:val="21"/>
          <w:szCs w:val="21"/>
        </w:rPr>
        <w:t>Five-Year Employment History Verification</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Workforce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Workforce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111-8-62-.09; O.C.G.A. § 31-8-81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the initial training, first-year continuing education, and ongoing annual education Georgia requires, and demonstrate competency, consistent with Rule 111-8-62-.09.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ensure each staff member completes required initial training within the first 60 days, that hands-on direct-care staff complete the required continuing education in the first year and annually thereafter, and that fire-safety training is completed on schedule.</w:t>
      </w:r>
    </w:p>
    <w:p>
      <w:pPr>
        <w:pStyle w:val="Normal"/>
        <w:pBdr>
          <w:bottom w:val="single" w:sz="4" w:space="1" w:color="2E5E45"/>
        </w:pBdr>
        <w:spacing w:before="160" w:after="80"/>
        <w:rPr/>
      </w:pPr>
      <w:r>
        <w:rPr>
          <w:rFonts w:eastAsia="Arial" w:cs="Arial"/>
          <w:b/>
          <w:bCs/>
          <w:color w:val="1A4731"/>
          <w:sz w:val="20"/>
          <w:szCs w:val="20"/>
        </w:rPr>
        <w:t>PROCEDURE — INITIAL TRAINING (WITHIN 60 DAYS)</w:t>
      </w:r>
    </w:p>
    <w:p>
      <w:pPr>
        <w:pStyle w:val="Normal"/>
        <w:tabs>
          <w:tab w:val="left" w:pos="720" w:leader="none"/>
        </w:tabs>
        <w:spacing w:lineRule="exact" w:line="264" w:before="0" w:after="80"/>
        <w:ind w:hanging="360" w:start="720"/>
        <w:rPr/>
      </w:pPr>
      <w:r>
        <w:rPr>
          <w:rFonts w:eastAsia="Arial" w:cs="Arial"/>
          <w:sz w:val="21"/>
          <w:szCs w:val="21"/>
        </w:rPr>
        <w:t>a. Ensure all staff receive initial training within the first 60 days of employment covering the Long-Term Care Resident Abuse Reporting Act (O.C.G.A. § 31-8-81 et seq.), general infection control including hand hygiene and ill-staff attendance policies, and training necessary to carry out assigned duties.</w:t>
      </w:r>
    </w:p>
    <w:p>
      <w:pPr>
        <w:pStyle w:val="Normal"/>
        <w:tabs>
          <w:tab w:val="left" w:pos="720" w:leader="none"/>
        </w:tabs>
        <w:spacing w:lineRule="exact" w:line="264" w:before="0" w:after="80"/>
        <w:ind w:hanging="360" w:start="720"/>
        <w:rPr/>
      </w:pPr>
      <w:r>
        <w:rPr>
          <w:rFonts w:eastAsia="Arial" w:cs="Arial"/>
          <w:sz w:val="21"/>
          <w:szCs w:val="21"/>
        </w:rPr>
        <w:t>b. Ensure staff hired to provide hands-on personal services also receive first aid and CPR certification (with return demonstration for CPR) and training in the medical and social needs and characteristics of the resident population.</w:t>
      </w:r>
    </w:p>
    <w:p>
      <w:pPr>
        <w:pStyle w:val="Normal"/>
        <w:tabs>
          <w:tab w:val="left" w:pos="720" w:leader="none"/>
        </w:tabs>
        <w:spacing w:lineRule="exact" w:line="264" w:before="0" w:after="80"/>
        <w:ind w:hanging="360" w:start="720"/>
        <w:rPr/>
      </w:pPr>
      <w:r>
        <w:rPr>
          <w:rFonts w:eastAsia="Arial" w:cs="Arial"/>
          <w:sz w:val="21"/>
          <w:szCs w:val="21"/>
        </w:rPr>
        <w:t>c. Ensure required fire-safety training (including the minimum hours and periodic refresher) is completed within the timeframes required by rule.</w:t>
      </w:r>
    </w:p>
    <w:p>
      <w:pPr>
        <w:pStyle w:val="Normal"/>
        <w:pBdr>
          <w:bottom w:val="single" w:sz="4" w:space="1" w:color="2E5E45"/>
        </w:pBdr>
        <w:spacing w:before="160" w:after="80"/>
        <w:rPr/>
      </w:pPr>
      <w:r>
        <w:rPr>
          <w:rFonts w:eastAsia="Arial" w:cs="Arial"/>
          <w:b/>
          <w:bCs/>
          <w:color w:val="1A4731"/>
          <w:sz w:val="20"/>
          <w:szCs w:val="20"/>
        </w:rPr>
        <w:t>PROCEDURE — CONTINUING EDUCATION &amp; RECORDS</w:t>
      </w:r>
    </w:p>
    <w:p>
      <w:pPr>
        <w:pStyle w:val="Normal"/>
        <w:tabs>
          <w:tab w:val="left" w:pos="720" w:leader="none"/>
        </w:tabs>
        <w:spacing w:lineRule="exact" w:line="264" w:before="0" w:after="80"/>
        <w:ind w:hanging="360" w:start="720"/>
        <w:rPr/>
      </w:pPr>
      <w:r>
        <w:rPr>
          <w:rFonts w:eastAsia="Arial" w:cs="Arial"/>
          <w:sz w:val="21"/>
          <w:szCs w:val="21"/>
        </w:rPr>
        <w:t>d. Ensure hands-on direct-care staff (including the administrator or on-site manager) complete the continuing education required in the first year of employment on topics relevant to their duties.</w:t>
      </w:r>
    </w:p>
    <w:p>
      <w:pPr>
        <w:pStyle w:val="Normal"/>
        <w:tabs>
          <w:tab w:val="left" w:pos="720" w:leader="none"/>
        </w:tabs>
        <w:spacing w:lineRule="exact" w:line="264" w:before="0" w:after="80"/>
        <w:ind w:hanging="360" w:start="720"/>
        <w:rPr/>
      </w:pPr>
      <w:r>
        <w:rPr>
          <w:rFonts w:eastAsia="Arial" w:cs="Arial"/>
          <w:sz w:val="21"/>
          <w:szCs w:val="21"/>
        </w:rPr>
        <w:t>e. Ensure hands-on direct-care staff complete the required annual continuing education thereafter.</w:t>
      </w:r>
    </w:p>
    <w:p>
      <w:pPr>
        <w:pStyle w:val="Normal"/>
        <w:tabs>
          <w:tab w:val="left" w:pos="720" w:leader="none"/>
        </w:tabs>
        <w:spacing w:lineRule="exact" w:line="264" w:before="0" w:after="80"/>
        <w:ind w:hanging="360" w:start="720"/>
        <w:rPr/>
      </w:pPr>
      <w:r>
        <w:rPr>
          <w:rFonts w:eastAsia="Arial" w:cs="Arial"/>
          <w:sz w:val="21"/>
          <w:szCs w:val="21"/>
        </w:rPr>
        <w:t>f. Provide proxy-caregiver training consistent with Chapter 111-8-100 where the Home employs proxy caregivers, and provide hospice-specific training to any medication aide who will administer liquid morphine to a hospice resident.</w:t>
      </w:r>
    </w:p>
    <w:p>
      <w:pPr>
        <w:pStyle w:val="Normal"/>
        <w:tabs>
          <w:tab w:val="left" w:pos="720" w:leader="none"/>
        </w:tabs>
        <w:spacing w:lineRule="exact" w:line="264" w:before="0" w:after="80"/>
        <w:ind w:hanging="360" w:start="720"/>
        <w:rPr/>
      </w:pPr>
      <w:r>
        <w:rPr>
          <w:rFonts w:eastAsia="Arial" w:cs="Arial"/>
          <w:sz w:val="21"/>
          <w:szCs w:val="21"/>
        </w:rPr>
        <w:t>g. Maintain training documentation reflecting course content, instructor qualifications, agenda, and attendance.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Training (60-Day) Checklist</w:t>
      </w:r>
    </w:p>
    <w:p>
      <w:pPr>
        <w:pStyle w:val="ListParagraph"/>
        <w:numPr>
          <w:ilvl w:val="0"/>
          <w:numId w:val="1"/>
        </w:numPr>
        <w:spacing w:lineRule="exact" w:line="264" w:before="0" w:after="60"/>
        <w:rPr/>
      </w:pPr>
      <w:r>
        <w:rPr>
          <w:rFonts w:eastAsia="Arial" w:cs="Arial"/>
          <w:sz w:val="21"/>
          <w:szCs w:val="21"/>
        </w:rPr>
        <w:t>First-Year &amp; Annual CE Log</w:t>
      </w:r>
    </w:p>
    <w:p>
      <w:pPr>
        <w:pStyle w:val="ListParagraph"/>
        <w:numPr>
          <w:ilvl w:val="0"/>
          <w:numId w:val="1"/>
        </w:numPr>
        <w:spacing w:lineRule="exact" w:line="264" w:before="0" w:after="60"/>
        <w:rPr/>
      </w:pPr>
      <w:r>
        <w:rPr>
          <w:rFonts w:eastAsia="Arial" w:cs="Arial"/>
          <w:sz w:val="21"/>
          <w:szCs w:val="21"/>
        </w:rPr>
        <w:t>Proxy Caregiver / Hospice Morphine Training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Administration, On-Site Manager &amp;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Administration, On-Site Manager &amp;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111-8-62-.08, -.10; HB 987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Home is administered by a qualified individual and staffed at the levels Georgia requires, consistent with Rules 111-8-62-.08 and 111-8-62-.10.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designate a qualified administrator and on-site manager responsible for daily operation, ensure responsible staff are on the premises whenever residents are present, and maintain the direct-care staffing ratios required by law.</w:t>
      </w:r>
    </w:p>
    <w:p>
      <w:pPr>
        <w:pStyle w:val="Normal"/>
        <w:pBdr>
          <w:bottom w:val="single" w:sz="4" w:space="1" w:color="2E5E45"/>
        </w:pBdr>
        <w:spacing w:before="160" w:after="80"/>
        <w:rPr/>
      </w:pPr>
      <w:r>
        <w:rPr>
          <w:rFonts w:eastAsia="Arial" w:cs="Arial"/>
          <w:b/>
          <w:bCs/>
          <w:color w:val="1A4731"/>
          <w:sz w:val="20"/>
          <w:szCs w:val="20"/>
        </w:rPr>
        <w:t>PROCEDURE — ADMINISTRATION</w:t>
      </w:r>
    </w:p>
    <w:p>
      <w:pPr>
        <w:pStyle w:val="Normal"/>
        <w:tabs>
          <w:tab w:val="left" w:pos="720" w:leader="none"/>
        </w:tabs>
        <w:spacing w:lineRule="exact" w:line="264" w:before="0" w:after="80"/>
        <w:ind w:hanging="360" w:start="720"/>
        <w:rPr/>
      </w:pPr>
      <w:r>
        <w:rPr>
          <w:rFonts w:eastAsia="Arial" w:cs="Arial"/>
          <w:sz w:val="21"/>
          <w:szCs w:val="21"/>
        </w:rPr>
        <w:t>a. Designate an administrator responsible for the Home’s operation and an on-site manager (who may be the administrator) responsible for day-to-day management, and ensure the administrator meets the education/experience qualifications required by Rule 111-8-62-.08.</w:t>
      </w:r>
    </w:p>
    <w:p>
      <w:pPr>
        <w:pStyle w:val="Normal"/>
        <w:tabs>
          <w:tab w:val="left" w:pos="720" w:leader="none"/>
        </w:tabs>
        <w:spacing w:lineRule="exact" w:line="264" w:before="0" w:after="80"/>
        <w:ind w:hanging="360" w:start="720"/>
        <w:rPr/>
      </w:pPr>
      <w:r>
        <w:rPr>
          <w:rFonts w:eastAsia="Arial" w:cs="Arial"/>
          <w:sz w:val="21"/>
          <w:szCs w:val="21"/>
        </w:rPr>
        <w:t>b. Note: a home licensed for twenty-five (25) or more beds is subject to the assisted living / large-home administrator licensure requirement; smaller homes must meet the administrator qualifications specified for personal care homes.</w:t>
      </w:r>
    </w:p>
    <w:p>
      <w:pPr>
        <w:pStyle w:val="Normal"/>
        <w:tabs>
          <w:tab w:val="left" w:pos="720" w:leader="none"/>
        </w:tabs>
        <w:spacing w:lineRule="exact" w:line="264" w:before="0" w:after="80"/>
        <w:ind w:hanging="360" w:start="720"/>
        <w:rPr/>
      </w:pPr>
      <w:r>
        <w:rPr>
          <w:rFonts w:eastAsia="Arial" w:cs="Arial"/>
          <w:sz w:val="21"/>
          <w:szCs w:val="21"/>
        </w:rPr>
        <w:t>c. Ensure an administrator, on-site manager, or responsible staff person is on the premises 24 hours a day whenever residents are present.</w:t>
      </w:r>
    </w:p>
    <w:p>
      <w:pPr>
        <w:pStyle w:val="Normal"/>
        <w:pBdr>
          <w:bottom w:val="single" w:sz="4" w:space="1" w:color="2E5E45"/>
        </w:pBdr>
        <w:spacing w:before="160" w:after="80"/>
        <w:rPr/>
      </w:pPr>
      <w:r>
        <w:rPr>
          <w:rFonts w:eastAsia="Arial" w:cs="Arial"/>
          <w:b/>
          <w:bCs/>
          <w:color w:val="1A4731"/>
          <w:sz w:val="20"/>
          <w:szCs w:val="20"/>
        </w:rPr>
        <w:t>PROCEDURE — STAFFING LEVELS</w:t>
      </w:r>
    </w:p>
    <w:p>
      <w:pPr>
        <w:pStyle w:val="Normal"/>
        <w:tabs>
          <w:tab w:val="left" w:pos="720" w:leader="none"/>
        </w:tabs>
        <w:spacing w:lineRule="exact" w:line="264" w:before="0" w:after="80"/>
        <w:ind w:hanging="360" w:start="720"/>
        <w:rPr/>
      </w:pPr>
      <w:r>
        <w:rPr>
          <w:rFonts w:eastAsia="Arial" w:cs="Arial"/>
          <w:sz w:val="21"/>
          <w:szCs w:val="21"/>
        </w:rPr>
        <w:t>d. Maintain an average monthly minimum on-site direct-care staffing ratio of one direct care staff person per 15 residents during waking hours and one per 20 residents during non-waking hours, and exceed these minimums where residents’ needs require.</w:t>
      </w:r>
    </w:p>
    <w:p>
      <w:pPr>
        <w:pStyle w:val="Normal"/>
        <w:tabs>
          <w:tab w:val="left" w:pos="720" w:leader="none"/>
        </w:tabs>
        <w:spacing w:lineRule="exact" w:line="264" w:before="0" w:after="80"/>
        <w:ind w:hanging="360" w:start="720"/>
        <w:rPr/>
      </w:pPr>
      <w:r>
        <w:rPr>
          <w:rFonts w:eastAsia="Arial" w:cs="Arial"/>
          <w:sz w:val="21"/>
          <w:szCs w:val="21"/>
        </w:rPr>
        <w:t>e. Ensure at least one direct care staff person is on-site at all times on each occupied floor, consistent with rule.</w:t>
      </w:r>
    </w:p>
    <w:p>
      <w:pPr>
        <w:pStyle w:val="Normal"/>
        <w:tabs>
          <w:tab w:val="left" w:pos="720" w:leader="none"/>
        </w:tabs>
        <w:spacing w:lineRule="exact" w:line="264" w:before="0" w:after="80"/>
        <w:ind w:hanging="360" w:start="720"/>
        <w:rPr/>
      </w:pPr>
      <w:r>
        <w:rPr>
          <w:rFonts w:eastAsia="Arial" w:cs="Arial"/>
          <w:sz w:val="21"/>
          <w:szCs w:val="21"/>
        </w:rPr>
        <w:t>f. Maintain a written staffing schedule reflecting the 24-hour staffing pattern and make it available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 On-Site Manager Qualification Record</w:t>
      </w:r>
    </w:p>
    <w:p>
      <w:pPr>
        <w:pStyle w:val="ListParagraph"/>
        <w:numPr>
          <w:ilvl w:val="0"/>
          <w:numId w:val="1"/>
        </w:numPr>
        <w:spacing w:lineRule="exact" w:line="264" w:before="0" w:after="60"/>
        <w:rPr/>
      </w:pPr>
      <w:r>
        <w:rPr>
          <w:rFonts w:eastAsia="Arial" w:cs="Arial"/>
          <w:sz w:val="21"/>
          <w:szCs w:val="21"/>
        </w:rPr>
        <w:t>Staffing Schedule (ratios)</w:t>
      </w:r>
    </w:p>
    <w:p>
      <w:pPr>
        <w:pStyle w:val="ListParagraph"/>
        <w:numPr>
          <w:ilvl w:val="0"/>
          <w:numId w:val="1"/>
        </w:numPr>
        <w:spacing w:lineRule="exact" w:line="264" w:before="0" w:after="60"/>
        <w:rPr/>
      </w:pPr>
      <w:r>
        <w:rPr>
          <w:rFonts w:eastAsia="Arial" w:cs="Arial"/>
          <w:sz w:val="21"/>
          <w:szCs w:val="21"/>
        </w:rPr>
        <w:t>24-Hour Coverage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the services the Home delivers — personal services and assistance with activities of daily living, the use of proxy caregivers within Georgia’s limits, precautions for residents at risk of elopement and fall management, and, where the Home operates a certified memory care center, the additional requirements of Rule 111-8-62-.19.</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Services &amp; Personal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Precautions for Residents at Risk of Elopement &amp; Fall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Memory Care Center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3.00  Services &amp; Personal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Services &amp; Personal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111-8-62-.17; Rule 111-8-100 (proxy caregivers)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housing, food service, and the personal services that meet each resident’s needs, consistent with Rule 111-8-62-.17.</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provide personal services and assistance with activities of daily living identified for each resident, arrange for health services as needed, and use proxy caregivers only within the limits of the Rules for the Use of Proxy Caregivers (Chapter 111-8-100).</w:t>
      </w:r>
    </w:p>
    <w:p>
      <w:pPr>
        <w:pStyle w:val="Normal"/>
        <w:pBdr>
          <w:bottom w:val="single" w:sz="4" w:space="1" w:color="2E5E45"/>
        </w:pBdr>
        <w:spacing w:before="160" w:after="80"/>
        <w:rPr/>
      </w:pPr>
      <w:r>
        <w:rPr>
          <w:rFonts w:eastAsia="Arial" w:cs="Arial"/>
          <w:b/>
          <w:bCs/>
          <w:color w:val="1A4731"/>
          <w:sz w:val="20"/>
          <w:szCs w:val="20"/>
        </w:rPr>
        <w:t>PROCEDURE — PERSONAL SERVICES</w:t>
      </w:r>
    </w:p>
    <w:p>
      <w:pPr>
        <w:pStyle w:val="Normal"/>
        <w:tabs>
          <w:tab w:val="left" w:pos="720" w:leader="none"/>
        </w:tabs>
        <w:spacing w:lineRule="exact" w:line="264" w:before="0" w:after="80"/>
        <w:ind w:hanging="360" w:start="720"/>
        <w:rPr/>
      </w:pPr>
      <w:r>
        <w:rPr>
          <w:rFonts w:eastAsia="Arial" w:cs="Arial"/>
          <w:sz w:val="21"/>
          <w:szCs w:val="21"/>
        </w:rPr>
        <w:t>a. Provide assistance with activities of daily living — eating, bathing, grooming, dressing, toileting, ambulation, and transfer — and supervision appropriate to each resident.</w:t>
      </w:r>
    </w:p>
    <w:p>
      <w:pPr>
        <w:pStyle w:val="Normal"/>
        <w:tabs>
          <w:tab w:val="left" w:pos="720" w:leader="none"/>
        </w:tabs>
        <w:spacing w:lineRule="exact" w:line="264" w:before="0" w:after="80"/>
        <w:ind w:hanging="360" w:start="720"/>
        <w:rPr/>
      </w:pPr>
      <w:r>
        <w:rPr>
          <w:rFonts w:eastAsia="Arial" w:cs="Arial"/>
          <w:sz w:val="21"/>
          <w:szCs w:val="21"/>
        </w:rPr>
        <w:t>b. Provide meals meeting residents’ nutritional needs and any therapeutic diet (Rule 111-8-62-.21), and provide social and recreational opportunities.</w:t>
      </w:r>
    </w:p>
    <w:p>
      <w:pPr>
        <w:pStyle w:val="Normal"/>
        <w:tabs>
          <w:tab w:val="left" w:pos="720" w:leader="none"/>
        </w:tabs>
        <w:spacing w:lineRule="exact" w:line="264" w:before="0" w:after="80"/>
        <w:ind w:hanging="360" w:start="720"/>
        <w:rPr/>
      </w:pPr>
      <w:r>
        <w:rPr>
          <w:rFonts w:eastAsia="Arial" w:cs="Arial"/>
          <w:sz w:val="21"/>
          <w:szCs w:val="21"/>
        </w:rPr>
        <w:t>c. Arrange for or coordinate access to health care and report changes in a resident’s condition to the resident’s health care provider and representative.</w:t>
      </w:r>
    </w:p>
    <w:p>
      <w:pPr>
        <w:pStyle w:val="Normal"/>
        <w:pBdr>
          <w:bottom w:val="single" w:sz="4" w:space="1" w:color="2E5E45"/>
        </w:pBdr>
        <w:spacing w:before="160" w:after="80"/>
        <w:rPr/>
      </w:pPr>
      <w:r>
        <w:rPr>
          <w:rFonts w:eastAsia="Arial" w:cs="Arial"/>
          <w:b/>
          <w:bCs/>
          <w:color w:val="1A4731"/>
          <w:sz w:val="20"/>
          <w:szCs w:val="20"/>
        </w:rPr>
        <w:t>PROCEDURE — PROXY CAREGIVERS &amp; HEALTH MAINTENANCE</w:t>
      </w:r>
    </w:p>
    <w:p>
      <w:pPr>
        <w:pStyle w:val="Normal"/>
        <w:tabs>
          <w:tab w:val="left" w:pos="720" w:leader="none"/>
        </w:tabs>
        <w:spacing w:lineRule="exact" w:line="264" w:before="0" w:after="80"/>
        <w:ind w:hanging="360" w:start="720"/>
        <w:rPr/>
      </w:pPr>
      <w:r>
        <w:rPr>
          <w:rFonts w:eastAsia="Arial" w:cs="Arial"/>
          <w:sz w:val="21"/>
          <w:szCs w:val="21"/>
        </w:rPr>
        <w:t>d. Where the Home uses proxy caregivers to perform health maintenance activities, comply with the Rules for the Use of Proxy Caregivers (Chapter 111-8-100), including the required authorization, training, and documentation.</w:t>
      </w:r>
    </w:p>
    <w:p>
      <w:pPr>
        <w:pStyle w:val="Normal"/>
        <w:tabs>
          <w:tab w:val="left" w:pos="720" w:leader="none"/>
        </w:tabs>
        <w:spacing w:lineRule="exact" w:line="264" w:before="0" w:after="80"/>
        <w:ind w:hanging="360" w:start="720"/>
        <w:rPr/>
      </w:pPr>
      <w:r>
        <w:rPr>
          <w:rFonts w:eastAsia="Arial" w:cs="Arial"/>
          <w:sz w:val="21"/>
          <w:szCs w:val="21"/>
        </w:rPr>
        <w:t>e. Ensure that only appropriately authorized personnel administer medications on behalf of the Home, and that proxy caregivers do not exceed the limits of their authorization.</w:t>
      </w:r>
    </w:p>
    <w:p>
      <w:pPr>
        <w:pStyle w:val="Normal"/>
        <w:tabs>
          <w:tab w:val="left" w:pos="720" w:leader="none"/>
        </w:tabs>
        <w:spacing w:lineRule="exact" w:line="264" w:before="0" w:after="80"/>
        <w:ind w:hanging="360" w:start="720"/>
        <w:rPr/>
      </w:pPr>
      <w:r>
        <w:rPr>
          <w:rFonts w:eastAsia="Arial" w:cs="Arial"/>
          <w:sz w:val="21"/>
          <w:szCs w:val="21"/>
        </w:rPr>
        <w:t>f. Coordinate hospice and home health services where a resident receives them, consistent with the Home’s license.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Service Record</w:t>
      </w:r>
    </w:p>
    <w:p>
      <w:pPr>
        <w:pStyle w:val="ListParagraph"/>
        <w:numPr>
          <w:ilvl w:val="0"/>
          <w:numId w:val="1"/>
        </w:numPr>
        <w:spacing w:lineRule="exact" w:line="264" w:before="0" w:after="60"/>
        <w:rPr/>
      </w:pPr>
      <w:r>
        <w:rPr>
          <w:rFonts w:eastAsia="Arial" w:cs="Arial"/>
          <w:sz w:val="21"/>
          <w:szCs w:val="21"/>
        </w:rPr>
        <w:t>Proxy Caregiver Authorization &amp; Training (111-8-100)</w:t>
      </w:r>
    </w:p>
    <w:p>
      <w:pPr>
        <w:pStyle w:val="ListParagraph"/>
        <w:numPr>
          <w:ilvl w:val="0"/>
          <w:numId w:val="1"/>
        </w:numPr>
        <w:spacing w:lineRule="exact" w:line="264" w:before="0" w:after="60"/>
        <w:rPr/>
      </w:pPr>
      <w:r>
        <w:rPr>
          <w:rFonts w:eastAsia="Arial" w:cs="Arial"/>
          <w:sz w:val="21"/>
          <w:szCs w:val="21"/>
        </w:rPr>
        <w:t>Change of Condition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Precautions for Residents at Risk of Elopement &amp; Fall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Precautions for Residents at Risk of Elopement &amp; Fall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at risk of elopement and to reduce the risk and impact of resident falls, consistent with Rule 111-8-62-.18.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identify residents at risk of elopement and implement precautions to promote their safety, and shall assess fall risk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ELOPEMENT PRECAUTIONS</w:t>
      </w:r>
    </w:p>
    <w:p>
      <w:pPr>
        <w:pStyle w:val="Normal"/>
        <w:tabs>
          <w:tab w:val="left" w:pos="720" w:leader="none"/>
        </w:tabs>
        <w:spacing w:lineRule="exact" w:line="264" w:before="0" w:after="80"/>
        <w:ind w:hanging="360" w:start="720"/>
        <w:rPr/>
      </w:pPr>
      <w:r>
        <w:rPr>
          <w:rFonts w:eastAsia="Arial" w:cs="Arial"/>
          <w:sz w:val="21"/>
          <w:szCs w:val="21"/>
        </w:rPr>
        <w:t>a. Assess each resident for elopement risk at admission and when condition changes, and document risk and protective measures in the resident’s record.</w:t>
      </w:r>
    </w:p>
    <w:p>
      <w:pPr>
        <w:pStyle w:val="Normal"/>
        <w:tabs>
          <w:tab w:val="left" w:pos="720" w:leader="none"/>
        </w:tabs>
        <w:spacing w:lineRule="exact" w:line="264" w:before="0" w:after="80"/>
        <w:ind w:hanging="360" w:start="720"/>
        <w:rPr/>
      </w:pPr>
      <w:r>
        <w:rPr>
          <w:rFonts w:eastAsia="Arial" w:cs="Arial"/>
          <w:sz w:val="21"/>
          <w:szCs w:val="21"/>
        </w:rPr>
        <w:t>b. Maintain a current description and photograph of each at-risk resident to support rapid response, and provide monitoring proportionate to risk.</w:t>
      </w:r>
    </w:p>
    <w:p>
      <w:pPr>
        <w:pStyle w:val="Normal"/>
        <w:tabs>
          <w:tab w:val="left" w:pos="720" w:leader="none"/>
        </w:tabs>
        <w:spacing w:lineRule="exact" w:line="264" w:before="0" w:after="80"/>
        <w:ind w:hanging="360" w:start="720"/>
        <w:rPr/>
      </w:pPr>
      <w:r>
        <w:rPr>
          <w:rFonts w:eastAsia="Arial" w:cs="Arial"/>
          <w:sz w:val="21"/>
          <w:szCs w:val="21"/>
        </w:rPr>
        <w:t>c. On discovering a resident missing, immediately search the Home and grounds, notify 911/law enforcement and the representative if not promptly located, and document the event and review it.</w:t>
      </w:r>
    </w:p>
    <w:p>
      <w:pPr>
        <w:pStyle w:val="Normal"/>
        <w:pBdr>
          <w:bottom w:val="single" w:sz="4" w:space="1" w:color="2E5E45"/>
        </w:pBdr>
        <w:spacing w:before="160" w:after="80"/>
        <w:rPr/>
      </w:pPr>
      <w:r>
        <w:rPr>
          <w:rFonts w:eastAsia="Arial" w:cs="Arial"/>
          <w:b/>
          <w:bCs/>
          <w:color w:val="1A4731"/>
          <w:sz w:val="20"/>
          <w:szCs w:val="20"/>
        </w:rPr>
        <w:t>PROCEDURE — FALL MANAGEMENT</w:t>
      </w:r>
    </w:p>
    <w:p>
      <w:pPr>
        <w:pStyle w:val="Normal"/>
        <w:tabs>
          <w:tab w:val="left" w:pos="720" w:leader="none"/>
        </w:tabs>
        <w:spacing w:lineRule="exact" w:line="264" w:before="0" w:after="80"/>
        <w:ind w:hanging="360" w:start="720"/>
        <w:rPr/>
      </w:pPr>
      <w:r>
        <w:rPr>
          <w:rFonts w:eastAsia="Arial" w:cs="Arial"/>
          <w:sz w:val="21"/>
          <w:szCs w:val="21"/>
        </w:rPr>
        <w:t>d. Assess each resident’s fall risk and address identified risk in the resident’s record, and maintain a safe environment with routine safety checks.</w:t>
      </w:r>
    </w:p>
    <w:p>
      <w:pPr>
        <w:pStyle w:val="Normal"/>
        <w:tabs>
          <w:tab w:val="left" w:pos="720" w:leader="none"/>
        </w:tabs>
        <w:spacing w:lineRule="exact" w:line="264" w:before="0" w:after="80"/>
        <w:ind w:hanging="360" w:start="720"/>
        <w:rPr/>
      </w:pPr>
      <w:r>
        <w:rPr>
          <w:rFonts w:eastAsia="Arial" w:cs="Arial"/>
          <w:sz w:val="21"/>
          <w:szCs w:val="21"/>
        </w:rPr>
        <w:t>e. When a resident has fallen or cannot get up independently, trained staff shall evaluate the resident before assisting; assist only when it is safe (no apparent injury, no change from baseline, resident able to participate); otherwise do not lift and call 911.</w:t>
      </w:r>
    </w:p>
    <w:p>
      <w:pPr>
        <w:pStyle w:val="Normal"/>
        <w:tabs>
          <w:tab w:val="left" w:pos="720" w:leader="none"/>
        </w:tabs>
        <w:spacing w:lineRule="exact" w:line="264" w:before="0" w:after="80"/>
        <w:ind w:hanging="360" w:start="720"/>
        <w:rPr/>
      </w:pPr>
      <w:r>
        <w:rPr>
          <w:rFonts w:eastAsia="Arial" w:cs="Arial"/>
          <w:sz w:val="21"/>
          <w:szCs w:val="21"/>
        </w:rPr>
        <w:t>f. Document each fall and elopement event, the response, and notifications,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Elopement Risk Assessment &amp; Missing Resident Report</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Memory Care Center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Memory Care Center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111-8-62-.19; HB 987 (memory care staffing/training)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Home holds itself out as providing specialized care to residents with probable Alzheimer’s disease or other dementia, or charges a differential rate for cognitive-deficit care, consistent with Rule 111-8-62-.19. This policy applies only where the Home operates a certified memory care center.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Home operates a memory care center, it shall maintain and disclose a written description of the center, meet the physical design and security requirements, provide specialized dementia staffing and training, and follow the memory care admission requirements,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WRITTEN DESCRIPTION, DESIGN &amp; SECURITY</w:t>
      </w:r>
    </w:p>
    <w:p>
      <w:pPr>
        <w:pStyle w:val="Normal"/>
        <w:tabs>
          <w:tab w:val="left" w:pos="720" w:leader="none"/>
        </w:tabs>
        <w:spacing w:lineRule="exact" w:line="264" w:before="0" w:after="80"/>
        <w:ind w:hanging="360" w:start="720"/>
        <w:rPr/>
      </w:pPr>
      <w:r>
        <w:rPr>
          <w:rFonts w:eastAsia="Arial" w:cs="Arial"/>
          <w:sz w:val="21"/>
          <w:szCs w:val="21"/>
        </w:rPr>
        <w:t>a. Develop and disclose (to any person upon request) an accurate written description of the memory care center, including a statement of philosophy and mission, how services differ from the rest of the Home, staffing and training, admission and screening criteria, and the activity program.</w:t>
      </w:r>
    </w:p>
    <w:p>
      <w:pPr>
        <w:pStyle w:val="Normal"/>
        <w:tabs>
          <w:tab w:val="left" w:pos="720" w:leader="none"/>
        </w:tabs>
        <w:spacing w:lineRule="exact" w:line="264" w:before="0" w:after="80"/>
        <w:ind w:hanging="360" w:start="720"/>
        <w:rPr/>
      </w:pPr>
      <w:r>
        <w:rPr>
          <w:rFonts w:eastAsia="Arial" w:cs="Arial"/>
          <w:sz w:val="21"/>
          <w:szCs w:val="21"/>
        </w:rPr>
        <w:t>b. Design the memory care center to accommodate residents with severe dementia or Alzheimer’s disease in a home-like environment, with wandering and egress control and a secured means of egress consistent with fire-safety code.</w:t>
      </w:r>
    </w:p>
    <w:p>
      <w:pPr>
        <w:pStyle w:val="Normal"/>
        <w:tabs>
          <w:tab w:val="left" w:pos="720" w:leader="none"/>
        </w:tabs>
        <w:spacing w:lineRule="exact" w:line="264" w:before="0" w:after="80"/>
        <w:ind w:hanging="360" w:start="720"/>
        <w:rPr/>
      </w:pPr>
      <w:r>
        <w:rPr>
          <w:rFonts w:eastAsia="Arial" w:cs="Arial"/>
          <w:sz w:val="21"/>
          <w:szCs w:val="21"/>
        </w:rPr>
        <w:t>c. Provide an activity program appropriate to residents with dementia.</w:t>
      </w:r>
    </w:p>
    <w:p>
      <w:pPr>
        <w:pStyle w:val="Normal"/>
        <w:pBdr>
          <w:bottom w:val="single" w:sz="4" w:space="1" w:color="2E5E45"/>
        </w:pBdr>
        <w:spacing w:before="160" w:after="80"/>
        <w:rPr/>
      </w:pPr>
      <w:r>
        <w:rPr>
          <w:rFonts w:eastAsia="Arial" w:cs="Arial"/>
          <w:b/>
          <w:bCs/>
          <w:color w:val="1A4731"/>
          <w:sz w:val="20"/>
          <w:szCs w:val="20"/>
        </w:rPr>
        <w:t>PROCEDURE — STAFFING, TRAINING &amp; MEDICATION</w:t>
      </w:r>
    </w:p>
    <w:p>
      <w:pPr>
        <w:pStyle w:val="Normal"/>
        <w:tabs>
          <w:tab w:val="left" w:pos="720" w:leader="none"/>
        </w:tabs>
        <w:spacing w:lineRule="exact" w:line="264" w:before="0" w:after="80"/>
        <w:ind w:hanging="360" w:start="720"/>
        <w:rPr/>
      </w:pPr>
      <w:r>
        <w:rPr>
          <w:rFonts w:eastAsia="Arial" w:cs="Arial"/>
          <w:sz w:val="21"/>
          <w:szCs w:val="21"/>
        </w:rPr>
        <w:t>d. Ensure the memory care center is staffed with sufficient specially trained staff, with at least one staff member awake and supervising at all times, and meet the HB 987 nurse-coverage schedule applicable to memory care (RN or LPN on-site or available on a scale that increases with resident census).</w:t>
      </w:r>
    </w:p>
    <w:p>
      <w:pPr>
        <w:pStyle w:val="Normal"/>
        <w:tabs>
          <w:tab w:val="left" w:pos="720" w:leader="none"/>
        </w:tabs>
        <w:spacing w:lineRule="exact" w:line="264" w:before="0" w:after="80"/>
        <w:ind w:hanging="360" w:start="720"/>
        <w:rPr/>
      </w:pPr>
      <w:r>
        <w:rPr>
          <w:rFonts w:eastAsia="Arial" w:cs="Arial"/>
          <w:sz w:val="21"/>
          <w:szCs w:val="21"/>
        </w:rPr>
        <w:t>e. Ensure all staff receive at least four (4) hours of dementia-specific orientation within the first 30 days of working in the center, direct-care staff complete initial dementia orientation within 30 days of caring for residents independently, and direct-care staff complete at least eight (8) hours of specialized competency-based dementia training annually.</w:t>
      </w:r>
    </w:p>
    <w:p>
      <w:pPr>
        <w:pStyle w:val="Normal"/>
        <w:tabs>
          <w:tab w:val="left" w:pos="720" w:leader="none"/>
        </w:tabs>
        <w:spacing w:lineRule="exact" w:line="264" w:before="0" w:after="80"/>
        <w:ind w:hanging="360" w:start="720"/>
        <w:rPr/>
      </w:pPr>
      <w:r>
        <w:rPr>
          <w:rFonts w:eastAsia="Arial" w:cs="Arial"/>
          <w:sz w:val="21"/>
          <w:szCs w:val="21"/>
        </w:rPr>
        <w:t>f. Ensure medications for memory care residents are provided by a proxy caregiver trained under Chapter 111-8-100, an RN, an LPN working under the supervision of a physician or RN, or a certified medication aide, and that any CMA administering liquid morphine to a hospice resident receives hospice training.</w:t>
      </w:r>
    </w:p>
    <w:p>
      <w:pPr>
        <w:pStyle w:val="Normal"/>
        <w:tabs>
          <w:tab w:val="left" w:pos="720" w:leader="none"/>
        </w:tabs>
        <w:spacing w:lineRule="exact" w:line="264" w:before="0" w:after="80"/>
        <w:ind w:hanging="360" w:start="720"/>
        <w:rPr/>
      </w:pPr>
      <w:r>
        <w:rPr>
          <w:rFonts w:eastAsia="Arial" w:cs="Arial"/>
          <w:sz w:val="21"/>
          <w:szCs w:val="21"/>
        </w:rPr>
        <w:t>g. Before admission to the memory care center, obtain the required physician examination and dementia diagnosis (or the resident’s voluntary written choice to reside in the more restrictive environment) and complete the required screening.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Memory Care Center Written Description &amp; Disclosure</w:t>
      </w:r>
    </w:p>
    <w:p>
      <w:pPr>
        <w:pStyle w:val="ListParagraph"/>
        <w:numPr>
          <w:ilvl w:val="0"/>
          <w:numId w:val="1"/>
        </w:numPr>
        <w:spacing w:lineRule="exact" w:line="264" w:before="0" w:after="60"/>
        <w:rPr/>
      </w:pPr>
      <w:r>
        <w:rPr>
          <w:rFonts w:eastAsia="Arial" w:cs="Arial"/>
          <w:sz w:val="21"/>
          <w:szCs w:val="21"/>
        </w:rPr>
        <w:t>Dementia Orientation (4-hour) &amp; Annual Training (8-hour) Records</w:t>
      </w:r>
    </w:p>
    <w:p>
      <w:pPr>
        <w:pStyle w:val="ListParagraph"/>
        <w:numPr>
          <w:ilvl w:val="0"/>
          <w:numId w:val="1"/>
        </w:numPr>
        <w:spacing w:lineRule="exact" w:line="264" w:before="0" w:after="60"/>
        <w:rPr/>
      </w:pPr>
      <w:r>
        <w:rPr>
          <w:rFonts w:eastAsia="Arial" w:cs="Arial"/>
          <w:sz w:val="21"/>
          <w:szCs w:val="21"/>
        </w:rPr>
        <w:t>Memory Care Admission Screening &amp; Physician Exam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Rule 111-8-62-.20 — competency-checked assistance with self-administration by unlicensed staff, the use of certified medication aides (verified on the Georgia CMA Registry, with a licensed pharmacist) where the Home administers medications, the Medication Assistance Record, and the safe handling of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Medications — Assistance, Administration &amp; Medication Aides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Medications — Assistance, Administration &amp; Medication Aides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Medications — Assistance, Administration &amp; Medication Aides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111-8-62-.20; Georgia Certified Medication Aide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handled safely, that unlicensed staff assisting with self-administration are trained and competency-checked, and that any certified medication aides used are verified and supervised, consistent with Rule 111-8-62-.20.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ensure unlicensed staff who assist with or supervise self-administration of medications are trained and demonstrate competency, and where the Home uses certified medication aides to administer medications, it shall verify each CMA on the Georgia Certified Medication Aide Registry, conduct an annual competency review, and secure a licensed pharmacist for required duties. The Home shall maintain a Medication Assistance Record (MAR) for each resident who receives assistance or administration.</w:t>
      </w:r>
    </w:p>
    <w:p>
      <w:pPr>
        <w:pStyle w:val="Normal"/>
        <w:pBdr>
          <w:bottom w:val="single" w:sz="4" w:space="1" w:color="2E5E45"/>
        </w:pBdr>
        <w:spacing w:before="160" w:after="80"/>
        <w:rPr/>
      </w:pPr>
      <w:r>
        <w:rPr>
          <w:rFonts w:eastAsia="Arial" w:cs="Arial"/>
          <w:b/>
          <w:bCs/>
          <w:color w:val="1A4731"/>
          <w:sz w:val="20"/>
          <w:szCs w:val="20"/>
        </w:rPr>
        <w:t>PROCEDURE — ASSISTANCE WITH SELF-ADMINISTRATION</w:t>
      </w:r>
    </w:p>
    <w:p>
      <w:pPr>
        <w:pStyle w:val="Normal"/>
        <w:tabs>
          <w:tab w:val="left" w:pos="720" w:leader="none"/>
        </w:tabs>
        <w:spacing w:lineRule="exact" w:line="264" w:before="0" w:after="80"/>
        <w:ind w:hanging="360" w:start="720"/>
        <w:rPr/>
      </w:pPr>
      <w:r>
        <w:rPr>
          <w:rFonts w:eastAsia="Arial" w:cs="Arial"/>
          <w:sz w:val="21"/>
          <w:szCs w:val="21"/>
        </w:rPr>
        <w:t>a. Ensure unlicensed staff providing assistance with or supervision of self-administered medications demonstrate to a qualified supervisor, when hired and at least annually thereafter, the necessary skills to perform the medication tasks assigned, using skills competency checklists.</w:t>
      </w:r>
    </w:p>
    <w:p>
      <w:pPr>
        <w:pStyle w:val="Normal"/>
        <w:tabs>
          <w:tab w:val="left" w:pos="720" w:leader="none"/>
        </w:tabs>
        <w:spacing w:lineRule="exact" w:line="264" w:before="0" w:after="80"/>
        <w:ind w:hanging="360" w:start="720"/>
        <w:rPr/>
      </w:pPr>
      <w:r>
        <w:rPr>
          <w:rFonts w:eastAsia="Arial" w:cs="Arial"/>
          <w:sz w:val="21"/>
          <w:szCs w:val="21"/>
        </w:rPr>
        <w:t>b. Maintain a daily Medication Assistance Record (MAR) for each resident who receives assistance with, supervision of, or administration of medications, and document unusual reactions and provide the information to the resident, representative, and health care provider as appropriate.</w:t>
      </w:r>
    </w:p>
    <w:p>
      <w:pPr>
        <w:pStyle w:val="Normal"/>
        <w:tabs>
          <w:tab w:val="left" w:pos="720" w:leader="none"/>
        </w:tabs>
        <w:spacing w:lineRule="exact" w:line="264" w:before="0" w:after="80"/>
        <w:ind w:hanging="360" w:start="720"/>
        <w:rPr/>
      </w:pPr>
      <w:r>
        <w:rPr>
          <w:rFonts w:eastAsia="Arial" w:cs="Arial"/>
          <w:sz w:val="21"/>
          <w:szCs w:val="21"/>
        </w:rPr>
        <w:t>c. Store medications securely, separate from hazardous chemicals, with controlled substances secured and access limited to authorized staff, and keep each resident’s medications in properly labeled containers.</w:t>
      </w:r>
    </w:p>
    <w:p>
      <w:pPr>
        <w:pStyle w:val="Normal"/>
        <w:pBdr>
          <w:bottom w:val="single" w:sz="4" w:space="1" w:color="2E5E45"/>
        </w:pBdr>
        <w:spacing w:before="160" w:after="80"/>
        <w:rPr/>
      </w:pPr>
      <w:r>
        <w:rPr>
          <w:rFonts w:eastAsia="Arial" w:cs="Arial"/>
          <w:b/>
          <w:bCs/>
          <w:color w:val="1A4731"/>
          <w:sz w:val="20"/>
          <w:szCs w:val="20"/>
        </w:rPr>
        <w:t>PROCEDURE — CERTIFIED MEDICATION AIDES (IF USED)</w:t>
      </w:r>
    </w:p>
    <w:p>
      <w:pPr>
        <w:pStyle w:val="Normal"/>
        <w:tabs>
          <w:tab w:val="left" w:pos="720" w:leader="none"/>
        </w:tabs>
        <w:spacing w:lineRule="exact" w:line="264" w:before="0" w:after="80"/>
        <w:ind w:hanging="360" w:start="720"/>
        <w:rPr/>
      </w:pPr>
      <w:r>
        <w:rPr>
          <w:rFonts w:eastAsia="Arial" w:cs="Arial"/>
          <w:sz w:val="21"/>
          <w:szCs w:val="21"/>
        </w:rPr>
        <w:t>d. Where the Home uses certified medication aides to administer medications, ensure each CMA is listed in good standing on the Georgia Certified Medication Aide Registry, and check the registry before permitting administration.</w:t>
      </w:r>
    </w:p>
    <w:p>
      <w:pPr>
        <w:pStyle w:val="Normal"/>
        <w:tabs>
          <w:tab w:val="left" w:pos="720" w:leader="none"/>
        </w:tabs>
        <w:spacing w:lineRule="exact" w:line="264" w:before="0" w:after="80"/>
        <w:ind w:hanging="360" w:start="720"/>
        <w:rPr/>
      </w:pPr>
      <w:r>
        <w:rPr>
          <w:rFonts w:eastAsia="Arial" w:cs="Arial"/>
          <w:sz w:val="21"/>
          <w:szCs w:val="21"/>
        </w:rPr>
        <w:t>e. Conduct an annual competency review of each medication aide, and secure the services of a licensed pharmacist to perform required duties (such as review of drug regimens, proper disposal of drugs, and establishing and monitoring medication policies and procedures).</w:t>
      </w:r>
    </w:p>
    <w:p>
      <w:pPr>
        <w:pStyle w:val="Normal"/>
        <w:tabs>
          <w:tab w:val="left" w:pos="720" w:leader="none"/>
        </w:tabs>
        <w:spacing w:lineRule="exact" w:line="264" w:before="0" w:after="80"/>
        <w:ind w:hanging="360" w:start="720"/>
        <w:rPr/>
      </w:pPr>
      <w:r>
        <w:rPr>
          <w:rFonts w:eastAsia="Arial" w:cs="Arial"/>
          <w:sz w:val="21"/>
          <w:szCs w:val="21"/>
        </w:rPr>
        <w:t>f. For any administration of liquid morphine by a CMA to a hospice resident, ensure the CMA has received hospice training and document the resident’s need for PRN morphine, the dosage/time/route, and the relevant circumstances.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Skills Competency Checklist</w:t>
      </w:r>
    </w:p>
    <w:p>
      <w:pPr>
        <w:pStyle w:val="ListParagraph"/>
        <w:numPr>
          <w:ilvl w:val="0"/>
          <w:numId w:val="1"/>
        </w:numPr>
        <w:spacing w:lineRule="exact" w:line="264" w:before="0" w:after="60"/>
        <w:rPr/>
      </w:pPr>
      <w:r>
        <w:rPr>
          <w:rFonts w:eastAsia="Arial" w:cs="Arial"/>
          <w:sz w:val="21"/>
          <w:szCs w:val="21"/>
        </w:rPr>
        <w:t>Medication Assistance Record (MAR)</w:t>
      </w:r>
    </w:p>
    <w:p>
      <w:pPr>
        <w:pStyle w:val="ListParagraph"/>
        <w:numPr>
          <w:ilvl w:val="0"/>
          <w:numId w:val="1"/>
        </w:numPr>
        <w:spacing w:lineRule="exact" w:line="264" w:before="0" w:after="60"/>
        <w:rPr/>
      </w:pPr>
      <w:r>
        <w:rPr>
          <w:rFonts w:eastAsia="Arial" w:cs="Arial"/>
          <w:sz w:val="21"/>
          <w:szCs w:val="21"/>
        </w:rPr>
        <w:t>CMA Registry Verification &amp; Annual Competency Review</w:t>
      </w:r>
    </w:p>
    <w:p>
      <w:pPr>
        <w:pStyle w:val="ListParagraph"/>
        <w:numPr>
          <w:ilvl w:val="0"/>
          <w:numId w:val="1"/>
        </w:numPr>
        <w:spacing w:lineRule="exact" w:line="264" w:before="0" w:after="60"/>
        <w:rPr/>
      </w:pPr>
      <w:r>
        <w:rPr>
          <w:rFonts w:eastAsia="Arial" w:cs="Arial"/>
          <w:sz w:val="21"/>
          <w:szCs w:val="21"/>
        </w:rPr>
        <w:t>Licensed Pharmacist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health care provider and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home-held medications by a non-retrievable method within the timeframe required by Home policy, with the licensed pharmacist’s involvement where the Home uses CMAs.</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pandemic response, temperature conditions, infection prevention and control (including COVID-19 and communicable-disease outbreak response and reporting), hazardous-chemical safety, and physical plant, furnishings, and nutrition.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Pandemic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Temperature Conditions &amp; Comfortable Environment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Physical Plant, Furnishings &amp; Nutrition</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Pandemic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Pandemic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 HB 987 (pandemic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Home and its staff to protect residents during and after an emergency, disaster, or infectious-disease pandemic, consistent with Chapter 111-8-62 and Georgia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written emergency preparedness plan that addresses natural and man-made disasters and infectious-disease/pandemic response, train staff, conduct drills, and coordinate with local emergency services.</w:t>
      </w:r>
    </w:p>
    <w:p>
      <w:pPr>
        <w:pStyle w:val="Normal"/>
        <w:pBdr>
          <w:bottom w:val="single" w:sz="4" w:space="1" w:color="2E5E45"/>
        </w:pBdr>
        <w:spacing w:before="160" w:after="80"/>
        <w:rPr/>
      </w:pPr>
      <w:r>
        <w:rPr>
          <w:rFonts w:eastAsia="Arial" w:cs="Arial"/>
          <w:b/>
          <w:bCs/>
          <w:color w:val="1A4731"/>
          <w:sz w:val="20"/>
          <w:szCs w:val="20"/>
        </w:rPr>
        <w:t>PROCEDURE — EMERGENCY PLAN</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plan addressing fire, severe weather, utility failure, evacuation and relocation, and continuity of resident care, appropriate to the Home and its residents’ self-preservation abilities.</w:t>
      </w:r>
    </w:p>
    <w:p>
      <w:pPr>
        <w:pStyle w:val="Normal"/>
        <w:tabs>
          <w:tab w:val="left" w:pos="720" w:leader="none"/>
        </w:tabs>
        <w:spacing w:lineRule="exact" w:line="264" w:before="0" w:after="80"/>
        <w:ind w:hanging="360" w:start="720"/>
        <w:rPr/>
      </w:pPr>
      <w:r>
        <w:rPr>
          <w:rFonts w:eastAsia="Arial" w:cs="Arial"/>
          <w:sz w:val="21"/>
          <w:szCs w:val="21"/>
        </w:rPr>
        <w:t>b. Include an infectious-disease and pandemic-preparedness component consistent with Georgia’s requirements, addressing surveillance, PPE and supplies, cohorting/isolation, communication with residents and families, and coordination with public health.</w:t>
      </w:r>
    </w:p>
    <w:p>
      <w:pPr>
        <w:pStyle w:val="Normal"/>
        <w:tabs>
          <w:tab w:val="left" w:pos="720" w:leader="none"/>
        </w:tabs>
        <w:spacing w:lineRule="exact" w:line="264" w:before="0" w:after="80"/>
        <w:ind w:hanging="360" w:start="720"/>
        <w:rPr/>
      </w:pPr>
      <w:r>
        <w:rPr>
          <w:rFonts w:eastAsia="Arial" w:cs="Arial"/>
          <w:sz w:val="21"/>
          <w:szCs w:val="21"/>
        </w:rPr>
        <w:t>c. Ensure staff capable of responding to an emergency are present whenever residents are present, and maintain first-aid capability.</w:t>
      </w:r>
    </w:p>
    <w:p>
      <w:pPr>
        <w:pStyle w:val="Normal"/>
        <w:pBdr>
          <w:bottom w:val="single" w:sz="4" w:space="1" w:color="2E5E45"/>
        </w:pBdr>
        <w:spacing w:before="160" w:after="80"/>
        <w:rPr/>
      </w:pPr>
      <w:r>
        <w:rPr>
          <w:rFonts w:eastAsia="Arial" w:cs="Arial"/>
          <w:b/>
          <w:bCs/>
          <w:color w:val="1A4731"/>
          <w:sz w:val="20"/>
          <w:szCs w:val="20"/>
        </w:rPr>
        <w:t>PROCEDURE — DRILLS &amp; COORDINATION</w:t>
      </w:r>
    </w:p>
    <w:p>
      <w:pPr>
        <w:pStyle w:val="Normal"/>
        <w:tabs>
          <w:tab w:val="left" w:pos="720" w:leader="none"/>
        </w:tabs>
        <w:spacing w:lineRule="exact" w:line="264" w:before="0" w:after="80"/>
        <w:ind w:hanging="360" w:start="720"/>
        <w:rPr/>
      </w:pPr>
      <w:r>
        <w:rPr>
          <w:rFonts w:eastAsia="Arial" w:cs="Arial"/>
          <w:sz w:val="21"/>
          <w:szCs w:val="21"/>
        </w:rPr>
        <w:t>d. Conduct fire and emergency drills on the schedule required by rule, and document each drill and any corrective action.</w:t>
      </w:r>
    </w:p>
    <w:p>
      <w:pPr>
        <w:pStyle w:val="Normal"/>
        <w:tabs>
          <w:tab w:val="left" w:pos="720" w:leader="none"/>
        </w:tabs>
        <w:spacing w:lineRule="exact" w:line="264" w:before="0" w:after="80"/>
        <w:ind w:hanging="360" w:start="720"/>
        <w:rPr/>
      </w:pPr>
      <w:r>
        <w:rPr>
          <w:rFonts w:eastAsia="Arial" w:cs="Arial"/>
          <w:sz w:val="21"/>
          <w:szCs w:val="21"/>
        </w:rPr>
        <w:t>e. Train all staff on their emergency roles as part of orientation and on an ongoing basis, including fire-safety training and refreshers.</w:t>
      </w:r>
    </w:p>
    <w:p>
      <w:pPr>
        <w:pStyle w:val="Normal"/>
        <w:tabs>
          <w:tab w:val="left" w:pos="720" w:leader="none"/>
        </w:tabs>
        <w:spacing w:lineRule="exact" w:line="264" w:before="0" w:after="80"/>
        <w:ind w:hanging="360" w:start="720"/>
        <w:rPr/>
      </w:pPr>
      <w:r>
        <w:rPr>
          <w:rFonts w:eastAsia="Arial" w:cs="Arial"/>
          <w:sz w:val="21"/>
          <w:szCs w:val="21"/>
        </w:rPr>
        <w:t>f. Coordinate with local fire, police, public health,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Pandemic Plan</w:t>
      </w:r>
    </w:p>
    <w:p>
      <w:pPr>
        <w:pStyle w:val="ListParagraph"/>
        <w:numPr>
          <w:ilvl w:val="0"/>
          <w:numId w:val="1"/>
        </w:numPr>
        <w:spacing w:lineRule="exact" w:line="264" w:before="0" w:after="60"/>
        <w:rPr/>
      </w:pPr>
      <w:r>
        <w:rPr>
          <w:rFonts w:eastAsia="Arial" w:cs="Arial"/>
          <w:sz w:val="21"/>
          <w:szCs w:val="21"/>
        </w:rPr>
        <w:t>Fire &amp; Emergency Drill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Temperature Conditions &amp; Comfortable Environment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Temperature Conditions &amp; Comfortable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111-8-62-.22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safe and comfortable indoor temperatures for residents, consistent with Rule 111-8-62-.22.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indoor temperatures within the comfortable and safe range required by rule, and shall have a plan to maintain safe temperatures during a utility or power outage.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heating and cooling systems in good working order and keep indoor temperatures within the range required by Rule 111-8-62-.22 throughout resident-occupied areas.</w:t>
      </w:r>
    </w:p>
    <w:p>
      <w:pPr>
        <w:pStyle w:val="Normal"/>
        <w:tabs>
          <w:tab w:val="left" w:pos="720" w:leader="none"/>
        </w:tabs>
        <w:spacing w:lineRule="exact" w:line="264" w:before="0" w:after="80"/>
        <w:ind w:hanging="360" w:start="720"/>
        <w:rPr/>
      </w:pPr>
      <w:r>
        <w:rPr>
          <w:rFonts w:eastAsia="Arial" w:cs="Arial"/>
          <w:sz w:val="21"/>
          <w:szCs w:val="21"/>
        </w:rPr>
        <w:t>b. Monitor indoor temperatures and respond promptly to complaints or readings outside the safe range.</w:t>
      </w:r>
    </w:p>
    <w:p>
      <w:pPr>
        <w:pStyle w:val="Normal"/>
        <w:tabs>
          <w:tab w:val="left" w:pos="720" w:leader="none"/>
        </w:tabs>
        <w:spacing w:lineRule="exact" w:line="264" w:before="0" w:after="80"/>
        <w:ind w:hanging="360" w:start="720"/>
        <w:rPr/>
      </w:pPr>
      <w:r>
        <w:rPr>
          <w:rFonts w:eastAsia="Arial" w:cs="Arial"/>
          <w:sz w:val="21"/>
          <w:szCs w:val="21"/>
        </w:rPr>
        <w:t>c. Maintain a plan to protect residents and maintain safe temperatures during a power or utility outage, including relocation where necessary.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Temperature Monitoring Log</w:t>
      </w:r>
    </w:p>
    <w:p>
      <w:pPr>
        <w:pStyle w:val="ListParagraph"/>
        <w:numPr>
          <w:ilvl w:val="0"/>
          <w:numId w:val="1"/>
        </w:numPr>
        <w:spacing w:lineRule="exact" w:line="264" w:before="0" w:after="60"/>
        <w:rPr/>
      </w:pPr>
      <w:r>
        <w:rPr>
          <w:rFonts w:eastAsia="Arial" w:cs="Arial"/>
          <w:sz w:val="21"/>
          <w:szCs w:val="21"/>
        </w:rPr>
        <w:t>HVAC Maintenance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111-8-62-.23; CDC/APIC guidelines; Georgia DPH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outbreak response, and required reporting, consistent with Rule 111-8-62-.23.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an infection prevention and control program based on nationally recognized guidelines (such as CDC and APIC), including standard precautions, surveillance, staff training, adequate supplies, and an outbreak-response protocol for communicable diseases including COVID-19, and shall report reportable and communicable diseases to public health authorities as required.</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Maintain the infection-control supplies required by rule (including hand-sanitizing agents or soap and water and first-aid materials), and maintain attendance policies for ill staff.</w:t>
      </w:r>
    </w:p>
    <w:p>
      <w:pPr>
        <w:pStyle w:val="Normal"/>
        <w:tabs>
          <w:tab w:val="left" w:pos="720" w:leader="none"/>
        </w:tabs>
        <w:spacing w:lineRule="exact" w:line="264" w:before="0" w:after="80"/>
        <w:ind w:hanging="360" w:start="720"/>
        <w:rPr/>
      </w:pPr>
      <w:r>
        <w:rPr>
          <w:rFonts w:eastAsia="Arial" w:cs="Arial"/>
          <w:sz w:val="21"/>
          <w:szCs w:val="21"/>
        </w:rPr>
        <w:t>c. Maintain an environmental hygiene schedule specifying cleaning and disinfection frequency for high-touch surfaces and shared equipment, and support resident and staff access to recommended vaccinations (including seasonal influenza and COVID-19).</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reportable conditions and communicable-disease outbreaks (including COVID-19) to the local health authority and the Georgia Department of Public Health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Home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Physical Plant, Furnishings &amp;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Physical Plant, Furnishings &amp;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111-8-62-.13, -.14, -.21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well-furnished physical environment and provide adequate nutrition, consistent with Chapter 111-8-62.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the physical plant, furnishings, and fixtures in a safe and sanitary condition and provide nutritious meals that meet residents’ needs.</w:t>
      </w:r>
    </w:p>
    <w:p>
      <w:pPr>
        <w:pStyle w:val="Normal"/>
        <w:pBdr>
          <w:bottom w:val="single" w:sz="4" w:space="1" w:color="2E5E45"/>
        </w:pBdr>
        <w:spacing w:before="160" w:after="80"/>
        <w:rPr/>
      </w:pPr>
      <w:r>
        <w:rPr>
          <w:rFonts w:eastAsia="Arial" w:cs="Arial"/>
          <w:b/>
          <w:bCs/>
          <w:color w:val="1A4731"/>
          <w:sz w:val="20"/>
          <w:szCs w:val="20"/>
        </w:rPr>
        <w:t>PROCEDURE — PHYSICAL PLANT &amp; FURNISHINGS</w:t>
      </w:r>
    </w:p>
    <w:p>
      <w:pPr>
        <w:pStyle w:val="Normal"/>
        <w:tabs>
          <w:tab w:val="left" w:pos="720" w:leader="none"/>
        </w:tabs>
        <w:spacing w:lineRule="exact" w:line="264" w:before="0" w:after="80"/>
        <w:ind w:hanging="360" w:start="720"/>
        <w:rPr/>
      </w:pPr>
      <w:r>
        <w:rPr>
          <w:rFonts w:eastAsia="Arial" w:cs="Arial"/>
          <w:sz w:val="21"/>
          <w:szCs w:val="21"/>
        </w:rPr>
        <w:t>a. Maintain the premises, furnishings, and fixtures in good repair and in a safe, clean, and sanitary condition consistent with Rules 111-8-62-.13 and 111-8-62-.14, and conduct routine safety inspections and housekeeping.</w:t>
      </w:r>
    </w:p>
    <w:p>
      <w:pPr>
        <w:pStyle w:val="Normal"/>
        <w:tabs>
          <w:tab w:val="left" w:pos="720" w:leader="none"/>
        </w:tabs>
        <w:spacing w:lineRule="exact" w:line="264" w:before="0" w:after="80"/>
        <w:ind w:hanging="360" w:start="720"/>
        <w:rPr/>
      </w:pPr>
      <w:r>
        <w:rPr>
          <w:rFonts w:eastAsia="Arial" w:cs="Arial"/>
          <w:sz w:val="21"/>
          <w:szCs w:val="21"/>
        </w:rPr>
        <w:t>b. Maintain life-safety and fire-safety systems and documentation.</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NUTRITION</w:t>
      </w:r>
    </w:p>
    <w:p>
      <w:pPr>
        <w:pStyle w:val="Normal"/>
        <w:tabs>
          <w:tab w:val="left" w:pos="720" w:leader="none"/>
        </w:tabs>
        <w:spacing w:lineRule="exact" w:line="264" w:before="0" w:after="80"/>
        <w:ind w:hanging="360" w:start="720"/>
        <w:rPr/>
      </w:pPr>
      <w:r>
        <w:rPr>
          <w:rFonts w:eastAsia="Arial" w:cs="Arial"/>
          <w:sz w:val="21"/>
          <w:szCs w:val="21"/>
        </w:rPr>
        <w:t>d. Provide meals that meet residents’ nutritional needs and any therapeutic diet consistent with Rule 111-8-62-.21,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and ensure food staff meet applicable food-handler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Furnishings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Home records, measures, and improves the care it provides — resident files and documentation, and home accountability and the quality improvement program aligned with Joint Commission Assisted Living Community principles.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Files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Home Accountability &amp; Quality Improvement</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Files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Files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111-8-62-.24;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files that support care and demonstrate compliance, consistent with Rule 111-8-62-.24.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file for each resident, protect the confidentiality and security of resident information consistent with HIPAA and Georgia law, and make files available to the resident and the Department as required.</w:t>
      </w:r>
    </w:p>
    <w:p>
      <w:pPr>
        <w:pStyle w:val="Normal"/>
        <w:pBdr>
          <w:bottom w:val="single" w:sz="4" w:space="1" w:color="2E5E45"/>
        </w:pBdr>
        <w:spacing w:before="160" w:after="80"/>
        <w:rPr/>
      </w:pPr>
      <w:r>
        <w:rPr>
          <w:rFonts w:eastAsia="Arial" w:cs="Arial"/>
          <w:b/>
          <w:bCs/>
          <w:color w:val="1A4731"/>
          <w:sz w:val="20"/>
          <w:szCs w:val="20"/>
        </w:rPr>
        <w:t>PROCEDURE — FILE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admission agreement; the medical evaluation and assessment; the Medication Assistance Record; records of services provided; and 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Retain files for the period required by rule and make them available to the Department on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files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file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file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File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Home Accountability &amp; Quality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Home Accountability &amp; Quality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111-8-62-.11;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 and to meet the home accountability and inspection requirements of Rule 111-8-62-.11.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quality improvement program that collects and analyzes data on meaningful measures, implements and sustains improvements, supports non-punitive reporting, maintains leadership accountability for quality and safety, and cooperates with Department inspections.</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ownership and the administrator accountable for quality and safety.</w:t>
      </w:r>
    </w:p>
    <w:p>
      <w:pPr>
        <w:pStyle w:val="Normal"/>
        <w:tabs>
          <w:tab w:val="left" w:pos="720" w:leader="none"/>
        </w:tabs>
        <w:spacing w:lineRule="exact" w:line="264" w:before="0" w:after="80"/>
        <w:ind w:hanging="360" w:start="720"/>
        <w:rPr/>
      </w:pPr>
      <w:r>
        <w:rPr>
          <w:rFonts w:eastAsia="Arial" w:cs="Arial"/>
          <w:sz w:val="21"/>
          <w:szCs w:val="21"/>
        </w:rPr>
        <w:t>c. Cooperate with Department inspections (announced and unannounced) and implement plans of correction as required.</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d.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e.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f.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g. Review falls, medication errors, infections and outbreaks, grievances, drills, and incidents for patterns, and report to ownership/administration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Plan of Correction Tracker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Georgia agencies and resources, guidance on customizing the manual (including which facility type this manual is for),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Georgia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Home should maintain a current copy of each and customize as needed.</w:t>
      </w:r>
    </w:p>
    <w:p>
      <w:pPr>
        <w:pStyle w:val="ListParagraph"/>
        <w:numPr>
          <w:ilvl w:val="0"/>
          <w:numId w:val="1"/>
        </w:numPr>
        <w:spacing w:lineRule="exact" w:line="264" w:before="0" w:after="60"/>
        <w:rPr/>
      </w:pPr>
      <w:r>
        <w:rPr>
          <w:rFonts w:eastAsia="Arial" w:cs="Arial"/>
          <w:sz w:val="21"/>
          <w:szCs w:val="21"/>
        </w:rPr>
        <w:t>DCH Medical Evaluation / Physician’s Report</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Admission Agreement (111-8-62-.16)</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 &amp; Investigation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Financial Stability Documentation</w:t>
      </w:r>
    </w:p>
    <w:p>
      <w:pPr>
        <w:pStyle w:val="ListParagraph"/>
        <w:numPr>
          <w:ilvl w:val="0"/>
          <w:numId w:val="1"/>
        </w:numPr>
        <w:spacing w:lineRule="exact" w:line="264" w:before="0" w:after="60"/>
        <w:rPr/>
      </w:pPr>
      <w:r>
        <w:rPr>
          <w:rFonts w:eastAsia="Arial" w:cs="Arial"/>
          <w:sz w:val="21"/>
          <w:szCs w:val="21"/>
        </w:rPr>
        <w:t>Notice of Closure (60-day)</w:t>
      </w:r>
    </w:p>
    <w:p>
      <w:pPr>
        <w:pStyle w:val="ListParagraph"/>
        <w:numPr>
          <w:ilvl w:val="0"/>
          <w:numId w:val="1"/>
        </w:numPr>
        <w:spacing w:lineRule="exact" w:line="264" w:before="0" w:after="60"/>
        <w:rPr/>
      </w:pPr>
      <w:r>
        <w:rPr>
          <w:rFonts w:eastAsia="Arial" w:cs="Arial"/>
          <w:sz w:val="21"/>
          <w:szCs w:val="21"/>
        </w:rPr>
        <w:t>Zoning / Use Confirmation</w:t>
      </w:r>
    </w:p>
    <w:p>
      <w:pPr>
        <w:pStyle w:val="ListParagraph"/>
        <w:numPr>
          <w:ilvl w:val="0"/>
          <w:numId w:val="1"/>
        </w:numPr>
        <w:spacing w:lineRule="exact" w:line="264" w:before="0" w:after="60"/>
        <w:rPr/>
      </w:pPr>
      <w:r>
        <w:rPr>
          <w:rFonts w:eastAsia="Arial" w:cs="Arial"/>
          <w:sz w:val="21"/>
          <w:szCs w:val="21"/>
        </w:rPr>
        <w:t>Fire Safety Inspection Approvals</w:t>
      </w:r>
    </w:p>
    <w:p>
      <w:pPr>
        <w:pStyle w:val="ListParagraph"/>
        <w:numPr>
          <w:ilvl w:val="0"/>
          <w:numId w:val="1"/>
        </w:numPr>
        <w:spacing w:lineRule="exact" w:line="264" w:before="0" w:after="60"/>
        <w:rPr/>
      </w:pPr>
      <w:r>
        <w:rPr>
          <w:rFonts w:eastAsia="Arial" w:cs="Arial"/>
          <w:sz w:val="21"/>
          <w:szCs w:val="21"/>
        </w:rPr>
        <w:t>Home Design / Physical Plant Compliance Record</w:t>
      </w:r>
    </w:p>
    <w:p>
      <w:pPr>
        <w:pStyle w:val="ListParagraph"/>
        <w:numPr>
          <w:ilvl w:val="0"/>
          <w:numId w:val="1"/>
        </w:numPr>
        <w:spacing w:lineRule="exact" w:line="264" w:before="0" w:after="60"/>
        <w:rPr/>
      </w:pPr>
      <w:r>
        <w:rPr>
          <w:rFonts w:eastAsia="Arial" w:cs="Arial"/>
          <w:sz w:val="21"/>
          <w:szCs w:val="21"/>
        </w:rPr>
        <w:t>Criminal Background Check / Fingerprint Determination (111-8-12)</w:t>
      </w:r>
    </w:p>
    <w:p>
      <w:pPr>
        <w:pStyle w:val="ListParagraph"/>
        <w:numPr>
          <w:ilvl w:val="0"/>
          <w:numId w:val="1"/>
        </w:numPr>
        <w:spacing w:lineRule="exact" w:line="264" w:before="0" w:after="60"/>
        <w:rPr/>
      </w:pPr>
      <w:r>
        <w:rPr>
          <w:rFonts w:eastAsia="Arial" w:cs="Arial"/>
          <w:sz w:val="21"/>
          <w:szCs w:val="21"/>
        </w:rPr>
        <w:t>Five-Year Employment History Verification</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Initial Training (60-Day) Checklist</w:t>
      </w:r>
    </w:p>
    <w:p>
      <w:pPr>
        <w:pStyle w:val="ListParagraph"/>
        <w:numPr>
          <w:ilvl w:val="0"/>
          <w:numId w:val="1"/>
        </w:numPr>
        <w:spacing w:lineRule="exact" w:line="264" w:before="0" w:after="60"/>
        <w:rPr/>
      </w:pPr>
      <w:r>
        <w:rPr>
          <w:rFonts w:eastAsia="Arial" w:cs="Arial"/>
          <w:sz w:val="21"/>
          <w:szCs w:val="21"/>
        </w:rPr>
        <w:t>First-Year &amp; Annual CE Log</w:t>
      </w:r>
    </w:p>
    <w:p>
      <w:pPr>
        <w:pStyle w:val="ListParagraph"/>
        <w:numPr>
          <w:ilvl w:val="0"/>
          <w:numId w:val="1"/>
        </w:numPr>
        <w:spacing w:lineRule="exact" w:line="264" w:before="0" w:after="60"/>
        <w:rPr/>
      </w:pPr>
      <w:r>
        <w:rPr>
          <w:rFonts w:eastAsia="Arial" w:cs="Arial"/>
          <w:sz w:val="21"/>
          <w:szCs w:val="21"/>
        </w:rPr>
        <w:t>Proxy Caregiver / Hospice Morphine Training Records</w:t>
      </w:r>
    </w:p>
    <w:p>
      <w:pPr>
        <w:pStyle w:val="ListParagraph"/>
        <w:numPr>
          <w:ilvl w:val="0"/>
          <w:numId w:val="1"/>
        </w:numPr>
        <w:spacing w:lineRule="exact" w:line="264" w:before="0" w:after="60"/>
        <w:rPr/>
      </w:pPr>
      <w:r>
        <w:rPr>
          <w:rFonts w:eastAsia="Arial" w:cs="Arial"/>
          <w:sz w:val="21"/>
          <w:szCs w:val="21"/>
        </w:rPr>
        <w:t>Administrator / On-Site Manager Qualification Record</w:t>
      </w:r>
    </w:p>
    <w:p>
      <w:pPr>
        <w:pStyle w:val="ListParagraph"/>
        <w:numPr>
          <w:ilvl w:val="0"/>
          <w:numId w:val="1"/>
        </w:numPr>
        <w:spacing w:lineRule="exact" w:line="264" w:before="0" w:after="60"/>
        <w:rPr/>
      </w:pPr>
      <w:r>
        <w:rPr>
          <w:rFonts w:eastAsia="Arial" w:cs="Arial"/>
          <w:sz w:val="21"/>
          <w:szCs w:val="21"/>
        </w:rPr>
        <w:t>Staffing Schedule (ratios)</w:t>
      </w:r>
    </w:p>
    <w:p>
      <w:pPr>
        <w:pStyle w:val="ListParagraph"/>
        <w:numPr>
          <w:ilvl w:val="0"/>
          <w:numId w:val="1"/>
        </w:numPr>
        <w:spacing w:lineRule="exact" w:line="264" w:before="0" w:after="60"/>
        <w:rPr/>
      </w:pPr>
      <w:r>
        <w:rPr>
          <w:rFonts w:eastAsia="Arial" w:cs="Arial"/>
          <w:sz w:val="21"/>
          <w:szCs w:val="21"/>
        </w:rPr>
        <w:t>Resident Service Record</w:t>
      </w:r>
    </w:p>
    <w:p>
      <w:pPr>
        <w:pStyle w:val="ListParagraph"/>
        <w:numPr>
          <w:ilvl w:val="0"/>
          <w:numId w:val="1"/>
        </w:numPr>
        <w:spacing w:lineRule="exact" w:line="264" w:before="0" w:after="60"/>
        <w:rPr/>
      </w:pPr>
      <w:r>
        <w:rPr>
          <w:rFonts w:eastAsia="Arial" w:cs="Arial"/>
          <w:sz w:val="21"/>
          <w:szCs w:val="21"/>
        </w:rPr>
        <w:t>Proxy Caregiver Authorization &amp; Training (111-8-100)</w:t>
      </w:r>
    </w:p>
    <w:p>
      <w:pPr>
        <w:pStyle w:val="ListParagraph"/>
        <w:numPr>
          <w:ilvl w:val="0"/>
          <w:numId w:val="1"/>
        </w:numPr>
        <w:spacing w:lineRule="exact" w:line="264" w:before="0" w:after="60"/>
        <w:rPr/>
      </w:pPr>
      <w:r>
        <w:rPr>
          <w:rFonts w:eastAsia="Arial" w:cs="Arial"/>
          <w:sz w:val="21"/>
          <w:szCs w:val="21"/>
        </w:rPr>
        <w:t>Change of Condition Note</w:t>
      </w:r>
    </w:p>
    <w:p>
      <w:pPr>
        <w:pStyle w:val="ListParagraph"/>
        <w:numPr>
          <w:ilvl w:val="0"/>
          <w:numId w:val="1"/>
        </w:numPr>
        <w:spacing w:lineRule="exact" w:line="264" w:before="0" w:after="60"/>
        <w:rPr/>
      </w:pPr>
      <w:r>
        <w:rPr>
          <w:rFonts w:eastAsia="Arial" w:cs="Arial"/>
          <w:sz w:val="21"/>
          <w:szCs w:val="21"/>
        </w:rPr>
        <w:t>Elopement Risk Assessment &amp; Missing Resident Report</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Memory Care Center Written Description &amp; Disclosure</w:t>
      </w:r>
    </w:p>
    <w:p>
      <w:pPr>
        <w:pStyle w:val="ListParagraph"/>
        <w:numPr>
          <w:ilvl w:val="0"/>
          <w:numId w:val="1"/>
        </w:numPr>
        <w:spacing w:lineRule="exact" w:line="264" w:before="0" w:after="60"/>
        <w:rPr/>
      </w:pPr>
      <w:r>
        <w:rPr>
          <w:rFonts w:eastAsia="Arial" w:cs="Arial"/>
          <w:sz w:val="21"/>
          <w:szCs w:val="21"/>
        </w:rPr>
        <w:t>Dementia Orientation (4-hour) &amp; Annual Training (8-hour) Records</w:t>
      </w:r>
    </w:p>
    <w:p>
      <w:pPr>
        <w:pStyle w:val="ListParagraph"/>
        <w:numPr>
          <w:ilvl w:val="0"/>
          <w:numId w:val="1"/>
        </w:numPr>
        <w:spacing w:lineRule="exact" w:line="264" w:before="0" w:after="60"/>
        <w:rPr/>
      </w:pPr>
      <w:r>
        <w:rPr>
          <w:rFonts w:eastAsia="Arial" w:cs="Arial"/>
          <w:sz w:val="21"/>
          <w:szCs w:val="21"/>
        </w:rPr>
        <w:t>Memory Care Admission Screening &amp; Physician Exam</w:t>
      </w:r>
    </w:p>
    <w:p>
      <w:pPr>
        <w:pStyle w:val="ListParagraph"/>
        <w:numPr>
          <w:ilvl w:val="0"/>
          <w:numId w:val="1"/>
        </w:numPr>
        <w:spacing w:lineRule="exact" w:line="264" w:before="0" w:after="60"/>
        <w:rPr/>
      </w:pPr>
      <w:r>
        <w:rPr>
          <w:rFonts w:eastAsia="Arial" w:cs="Arial"/>
          <w:sz w:val="21"/>
          <w:szCs w:val="21"/>
        </w:rPr>
        <w:t>Medication Skills Competency Checklist</w:t>
      </w:r>
    </w:p>
    <w:p>
      <w:pPr>
        <w:pStyle w:val="ListParagraph"/>
        <w:numPr>
          <w:ilvl w:val="0"/>
          <w:numId w:val="1"/>
        </w:numPr>
        <w:spacing w:lineRule="exact" w:line="264" w:before="0" w:after="60"/>
        <w:rPr/>
      </w:pPr>
      <w:r>
        <w:rPr>
          <w:rFonts w:eastAsia="Arial" w:cs="Arial"/>
          <w:sz w:val="21"/>
          <w:szCs w:val="21"/>
        </w:rPr>
        <w:t>Medication Assistance Record (MAR)</w:t>
      </w:r>
    </w:p>
    <w:p>
      <w:pPr>
        <w:pStyle w:val="ListParagraph"/>
        <w:numPr>
          <w:ilvl w:val="0"/>
          <w:numId w:val="1"/>
        </w:numPr>
        <w:spacing w:lineRule="exact" w:line="264" w:before="0" w:after="60"/>
        <w:rPr/>
      </w:pPr>
      <w:r>
        <w:rPr>
          <w:rFonts w:eastAsia="Arial" w:cs="Arial"/>
          <w:sz w:val="21"/>
          <w:szCs w:val="21"/>
        </w:rPr>
        <w:t>CMA Registry Verification &amp; Annual Competency Review</w:t>
      </w:r>
    </w:p>
    <w:p>
      <w:pPr>
        <w:pStyle w:val="ListParagraph"/>
        <w:numPr>
          <w:ilvl w:val="0"/>
          <w:numId w:val="1"/>
        </w:numPr>
        <w:spacing w:lineRule="exact" w:line="264" w:before="0" w:after="60"/>
        <w:rPr/>
      </w:pPr>
      <w:r>
        <w:rPr>
          <w:rFonts w:eastAsia="Arial" w:cs="Arial"/>
          <w:sz w:val="21"/>
          <w:szCs w:val="21"/>
        </w:rPr>
        <w:t>Licensed Pharmacist Agreement</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Preparedness &amp; Pandemic Plan</w:t>
      </w:r>
    </w:p>
    <w:p>
      <w:pPr>
        <w:pStyle w:val="ListParagraph"/>
        <w:numPr>
          <w:ilvl w:val="0"/>
          <w:numId w:val="1"/>
        </w:numPr>
        <w:spacing w:lineRule="exact" w:line="264" w:before="0" w:after="60"/>
        <w:rPr/>
      </w:pPr>
      <w:r>
        <w:rPr>
          <w:rFonts w:eastAsia="Arial" w:cs="Arial"/>
          <w:sz w:val="21"/>
          <w:szCs w:val="21"/>
        </w:rPr>
        <w:t>Fire &amp; Emergency Drill Records</w:t>
      </w:r>
    </w:p>
    <w:p>
      <w:pPr>
        <w:pStyle w:val="ListParagraph"/>
        <w:numPr>
          <w:ilvl w:val="0"/>
          <w:numId w:val="1"/>
        </w:numPr>
        <w:spacing w:lineRule="exact" w:line="264" w:before="0" w:after="60"/>
        <w:rPr/>
      </w:pPr>
      <w:r>
        <w:rPr>
          <w:rFonts w:eastAsia="Arial" w:cs="Arial"/>
          <w:sz w:val="21"/>
          <w:szCs w:val="21"/>
        </w:rPr>
        <w:t>Temperature Monitoring Log</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Furnishings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Resident File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Georgia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Department of Community Health (DCH), Healthcare Facility Regulation Division (HFRD) — Personal Care Home Program</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Rule Chapter 111-8-62 — Personal Care Homes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Related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111-8-100 (Proxy Caregivers); 111-8-25 (General Licensing &amp; Enforcement); 111-8-12 (Criminal Background Checks)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 Aides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Certified Medication Aide Registry (DCH) — if the Home uses CMAs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Long-Term Care Resident Abuse Reporting Act, O.C.G.A. § 31-8-80 et seq.; DCH/HFRD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health authority and Georgia Department of Public Health (DPH)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Facility Verification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GaMap2Care (facility licensure &amp; inspection reports)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 /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planning department and Office of the Safety Fire Commissioner</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Georgia’s Rules and Regulations for Personal Care Homes (Chapter 111-8-62) and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 PERSONAL CARE HOME (PCH) licensed under Chapter 111-8-62 — a home providing housing, food service, and personal services to two or more adults. If your facility is a personal care home serving 25 or more residents that is licensed as an assisted living community, use the Georgia Assisted Living Community (ALC) manual (Chapter 111-8-63) instead.</w:t>
      </w:r>
    </w:p>
    <w:p>
      <w:pPr>
        <w:pStyle w:val="Normal"/>
        <w:spacing w:lineRule="exact" w:line="276" w:before="0" w:after="120"/>
        <w:rPr/>
      </w:pPr>
      <w:r>
        <w:rPr>
          <w:rFonts w:eastAsia="Arial" w:cs="Arial"/>
          <w:sz w:val="21"/>
          <w:szCs w:val="21"/>
        </w:rPr>
        <w:t>Memory care. Where the Home holds itself out as providing specialized dementia care (or charges a differential rate for cognitive-deficit care), the Memory Care Center policy applies the additional requirements of Rule 111-8-62-.19; use it only if you operate such a center.</w:t>
      </w:r>
    </w:p>
    <w:p>
      <w:pPr>
        <w:pStyle w:val="Normal"/>
        <w:spacing w:lineRule="exact" w:line="276" w:before="0" w:after="120"/>
        <w:rPr/>
      </w:pPr>
      <w:r>
        <w:rPr>
          <w:rFonts w:eastAsia="Arial" w:cs="Arial"/>
          <w:sz w:val="21"/>
          <w:szCs w:val="21"/>
        </w:rPr>
        <w:t>Before adopting: replace every [bracketed] placeholder (Home name, effective date, administrator) with your own information; review each policy against your current operations and your most recent HFRD survey; confirm your background checks, staffing ratios, and (if you use CMAs) registry checks and pharmacist services; confirm your zoning, home design, and fire-safety approvals;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personal care home under Rule 111-8-62-.25, including the Home’s obligations, the procedures for raising a grievance, and the contact information for the Long-Term Care Ombudsman and the Department of Community Health.</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Georgia — Personal Care Home (PCH)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Georgia — Personal Care Home (PCH)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2026-07-01T13:14:56Z</dcterms:created>
  <dc:creator>PolicyReady.org</dc:creator>
  <dc:description/>
  <dc:language>en-US</dc:language>
  <cp:lastModifiedBy>Un-named</cp:lastModifiedBy>
  <dcterms:modified xsi:type="dcterms:W3CDTF">2026-07-01T13:14:56Z</dcterms:modified>
  <cp:revision>1</cp:revision>
  <dc:subject/>
  <dc:title>Georgia Personal Care Home (PCH) Policy &amp; Procedure Manual</dc:title>
</cp:coreProperties>
</file>