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NEW MEXICO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for Adults</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[HCA License Number]</w:t>
      </w:r>
    </w:p>
    <w:p>
      <w:pPr>
        <w:pStyle w:val="Normal"/>
        <w:spacing w:before="1600" w:after="0"/>
        <w:jc w:val="center"/>
        <w:rPr/>
      </w:pPr>
      <w:r>
        <w:rPr>
          <w:rFonts w:eastAsia="Arial" w:cs="Arial"/>
          <w:color w:val="666666"/>
          <w:sz w:val="18"/>
          <w:szCs w:val="18"/>
        </w:rPr>
        <w:t>Aligned to 8.370.14 NMAC (Assisted Living Facilities for Adults)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HCA license. It covers admission, retention, and discharge criteria (including New Mexico’s exclusions and the hospice exception), resident rights, mandatory abuse reporting and the Employee Abuse Registry, resident funds, and land-use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Discharge Criteria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&amp;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Discharge Criteria</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Discharge Criteria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24-1-2 NMSA 1978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8.370.14 NMAC (Assisted Living Facilities for Adults).</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New Mexico Health Care Authority (HCA), Division of Health Improvement, as an assisted living facility for adults under 8.370.14 NMAC. It provides room, board, and assistance with one or more activities of daily living for two or more adults. New Mexico issues a single assisted living facility license; a facility that operates a secured memory care unit for residents with dementia must meet the additional requirements in the Memory Care (Secured Unit)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can appropriately meet within its license and scope of service, based on a documented evaluation and individualized service plan, and shall not admit or retain residents who require a higher level of care except as permitted for hospice.</w:t>
      </w:r>
    </w:p>
    <w:p>
      <w:pPr>
        <w:pStyle w:val="Normal"/>
        <w:pBdr>
          <w:bottom w:val="single" w:sz="4" w:space="1" w:color="2E5E45"/>
        </w:pBdr>
        <w:spacing w:before="160" w:after="80"/>
        <w:rPr/>
      </w:pPr>
      <w:r>
        <w:rPr>
          <w:rFonts w:eastAsia="Arial" w:cs="Arial"/>
          <w:b/>
          <w:bCs/>
          <w:color w:val="1A4731"/>
          <w:sz w:val="20"/>
          <w:szCs w:val="20"/>
        </w:rPr>
        <w:t>PROCEDURE — ADMISSION CRITERIA &amp; EXCLUSIONS</w:t>
      </w:r>
    </w:p>
    <w:p>
      <w:pPr>
        <w:pStyle w:val="Normal"/>
        <w:spacing w:lineRule="exact" w:line="276" w:before="0" w:after="120"/>
        <w:rPr/>
      </w:pPr>
      <w:r>
        <w:rPr>
          <w:rFonts w:eastAsia="Arial" w:cs="Arial"/>
          <w:sz w:val="21"/>
          <w:szCs w:val="21"/>
        </w:rPr>
        <w:t>The Facility shall not admit or retain a resident who:</w:t>
      </w:r>
    </w:p>
    <w:p>
      <w:pPr>
        <w:pStyle w:val="Normal"/>
        <w:tabs>
          <w:tab w:val="left" w:pos="720" w:leader="none"/>
        </w:tabs>
        <w:spacing w:lineRule="exact" w:line="264" w:before="0" w:after="80"/>
        <w:ind w:hanging="360" w:start="720"/>
        <w:rPr/>
      </w:pPr>
      <w:r>
        <w:rPr>
          <w:rFonts w:eastAsia="Arial" w:cs="Arial"/>
          <w:sz w:val="21"/>
          <w:szCs w:val="21"/>
        </w:rPr>
        <w:t>a. Is under eighteen (18) years of age, or for whom the Facility is unable to provide appropriate care;</w:t>
      </w:r>
    </w:p>
    <w:p>
      <w:pPr>
        <w:pStyle w:val="Normal"/>
        <w:tabs>
          <w:tab w:val="left" w:pos="720" w:leader="none"/>
        </w:tabs>
        <w:spacing w:lineRule="exact" w:line="264" w:before="0" w:after="80"/>
        <w:ind w:hanging="360" w:start="720"/>
        <w:rPr/>
      </w:pPr>
      <w:r>
        <w:rPr>
          <w:rFonts w:eastAsia="Arial" w:cs="Arial"/>
          <w:sz w:val="21"/>
          <w:szCs w:val="21"/>
        </w:rPr>
        <w:t>b. Requires twenty-four (24) hour continuous nursing care;</w:t>
      </w:r>
    </w:p>
    <w:p>
      <w:pPr>
        <w:pStyle w:val="Normal"/>
        <w:tabs>
          <w:tab w:val="left" w:pos="720" w:leader="none"/>
        </w:tabs>
        <w:spacing w:lineRule="exact" w:line="264" w:before="0" w:after="80"/>
        <w:ind w:hanging="360" w:start="720"/>
        <w:rPr/>
      </w:pPr>
      <w:r>
        <w:rPr>
          <w:rFonts w:eastAsia="Arial" w:cs="Arial"/>
          <w:sz w:val="21"/>
          <w:szCs w:val="21"/>
        </w:rPr>
        <w:t>c. Is ventilator dependent;</w:t>
      </w:r>
    </w:p>
    <w:p>
      <w:pPr>
        <w:pStyle w:val="Normal"/>
        <w:tabs>
          <w:tab w:val="left" w:pos="720" w:leader="none"/>
        </w:tabs>
        <w:spacing w:lineRule="exact" w:line="264" w:before="0" w:after="80"/>
        <w:ind w:hanging="360" w:start="720"/>
        <w:rPr/>
      </w:pPr>
      <w:r>
        <w:rPr>
          <w:rFonts w:eastAsia="Arial" w:cs="Arial"/>
          <w:sz w:val="21"/>
          <w:szCs w:val="21"/>
        </w:rPr>
        <w:t>d. Has a Stage III or Stage IV pressure sore;</w:t>
      </w:r>
    </w:p>
    <w:p>
      <w:pPr>
        <w:pStyle w:val="Normal"/>
        <w:tabs>
          <w:tab w:val="left" w:pos="720" w:leader="none"/>
        </w:tabs>
        <w:spacing w:lineRule="exact" w:line="264" w:before="0" w:after="80"/>
        <w:ind w:hanging="360" w:start="720"/>
        <w:rPr/>
      </w:pPr>
      <w:r>
        <w:rPr>
          <w:rFonts w:eastAsia="Arial" w:cs="Arial"/>
          <w:sz w:val="21"/>
          <w:szCs w:val="21"/>
        </w:rPr>
        <w:t>e. Requires physical or chemical restraints;</w:t>
      </w:r>
    </w:p>
    <w:p>
      <w:pPr>
        <w:pStyle w:val="Normal"/>
        <w:tabs>
          <w:tab w:val="left" w:pos="720" w:leader="none"/>
        </w:tabs>
        <w:spacing w:lineRule="exact" w:line="264" w:before="0" w:after="80"/>
        <w:ind w:hanging="360" w:start="720"/>
        <w:rPr/>
      </w:pPr>
      <w:r>
        <w:rPr>
          <w:rFonts w:eastAsia="Arial" w:cs="Arial"/>
          <w:sz w:val="21"/>
          <w:szCs w:val="21"/>
        </w:rPr>
        <w:t>f. Requires intravenous (IV) therapy or injections beyond what the Facility may lawfully provide; or</w:t>
      </w:r>
    </w:p>
    <w:p>
      <w:pPr>
        <w:pStyle w:val="Normal"/>
        <w:tabs>
          <w:tab w:val="left" w:pos="720" w:leader="none"/>
        </w:tabs>
        <w:spacing w:lineRule="exact" w:line="264" w:before="0" w:after="80"/>
        <w:ind w:hanging="360" w:start="720"/>
        <w:rPr/>
      </w:pPr>
      <w:r>
        <w:rPr>
          <w:rFonts w:eastAsia="Arial" w:cs="Arial"/>
          <w:sz w:val="21"/>
          <w:szCs w:val="21"/>
        </w:rPr>
        <w:t>g. Has a condition requiring isolation techniques, or whose psychological or physical condition has declined such that placement is no longer appropriate as determined by the primary care provider.</w:t>
      </w:r>
    </w:p>
    <w:p>
      <w:pPr>
        <w:pStyle w:val="Normal"/>
        <w:tabs>
          <w:tab w:val="left" w:pos="720" w:leader="none"/>
        </w:tabs>
        <w:spacing w:lineRule="exact" w:line="264" w:before="0" w:after="80"/>
        <w:ind w:hanging="360" w:start="720"/>
        <w:rPr/>
      </w:pPr>
      <w:r>
        <w:rPr>
          <w:rFonts w:eastAsia="Arial" w:cs="Arial"/>
          <w:sz w:val="21"/>
          <w:szCs w:val="21"/>
        </w:rPr>
        <w:t>h. Exception: a resident receiving hospice care may remain even if the resident’s needs would otherwise exceed what the Facility can provide, where the hospice and the Facility can jointly meet the resident’s needs safely.</w:t>
      </w:r>
    </w:p>
    <w:p>
      <w:pPr>
        <w:pStyle w:val="Normal"/>
        <w:pBdr>
          <w:bottom w:val="single" w:sz="4" w:space="1" w:color="2E5E45"/>
        </w:pBdr>
        <w:spacing w:before="160" w:after="80"/>
        <w:rPr/>
      </w:pPr>
      <w:r>
        <w:rPr>
          <w:rFonts w:eastAsia="Arial" w:cs="Arial"/>
          <w:b/>
          <w:bCs/>
          <w:color w:val="1A4731"/>
          <w:sz w:val="20"/>
          <w:szCs w:val="20"/>
        </w:rPr>
        <w:t>PROCEDURE — RESIDENCY AGREEMENT &amp; DISCHARGE</w:t>
      </w:r>
    </w:p>
    <w:p>
      <w:pPr>
        <w:pStyle w:val="Normal"/>
        <w:tabs>
          <w:tab w:val="left" w:pos="720" w:leader="none"/>
        </w:tabs>
        <w:spacing w:lineRule="exact" w:line="264" w:before="0" w:after="80"/>
        <w:ind w:hanging="360" w:start="720"/>
        <w:rPr/>
      </w:pPr>
      <w:r>
        <w:rPr>
          <w:rFonts w:eastAsia="Arial" w:cs="Arial"/>
          <w:sz w:val="21"/>
          <w:szCs w:val="21"/>
        </w:rPr>
        <w:t>i. Before admission, provide the resident a written residency agreement that states the charges, payment schedule, and services included, and obtain signatures.</w:t>
      </w:r>
    </w:p>
    <w:p>
      <w:pPr>
        <w:pStyle w:val="Normal"/>
        <w:tabs>
          <w:tab w:val="left" w:pos="720" w:leader="none"/>
        </w:tabs>
        <w:spacing w:lineRule="exact" w:line="264" w:before="0" w:after="80"/>
        <w:ind w:hanging="360" w:start="720"/>
        <w:rPr/>
      </w:pPr>
      <w:r>
        <w:rPr>
          <w:rFonts w:eastAsia="Arial" w:cs="Arial"/>
          <w:sz w:val="21"/>
          <w:szCs w:val="21"/>
        </w:rPr>
        <w:t>j. Provide each resident, at or before admission, a written statement of resident rights and the grievance process.</w:t>
      </w:r>
    </w:p>
    <w:p>
      <w:pPr>
        <w:pStyle w:val="Normal"/>
        <w:tabs>
          <w:tab w:val="left" w:pos="720" w:leader="none"/>
        </w:tabs>
        <w:spacing w:lineRule="exact" w:line="264" w:before="0" w:after="80"/>
        <w:ind w:hanging="360" w:start="720"/>
        <w:rPr/>
      </w:pPr>
      <w:r>
        <w:rPr>
          <w:rFonts w:eastAsia="Arial" w:cs="Arial"/>
          <w:sz w:val="21"/>
          <w:szCs w:val="21"/>
        </w:rPr>
        <w:t>k. Discharge or transfer a resident only when the Facility can no longer meet the resident’s needs, the resident endangers the safety of self or others, or other grounds permitted by rule apply; provide the notice required by 8.370.14 NMAC and coordinate the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Pre-Admission Evaluation</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Long-Term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8.370.14 NMAC,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each resident a written copy of resident rights at admission, and post the Long-Term Care Ombudsman and complaint-hotline contact information.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and exploitation.</w:t>
      </w:r>
    </w:p>
    <w:p>
      <w:pPr>
        <w:pStyle w:val="Normal"/>
        <w:tabs>
          <w:tab w:val="left" w:pos="720" w:leader="none"/>
        </w:tabs>
        <w:spacing w:lineRule="exact" w:line="264" w:before="0" w:after="80"/>
        <w:ind w:hanging="360" w:start="720"/>
        <w:rPr/>
      </w:pPr>
      <w:r>
        <w:rPr>
          <w:rFonts w:eastAsia="Arial" w:cs="Arial"/>
          <w:sz w:val="21"/>
          <w:szCs w:val="21"/>
        </w:rPr>
        <w:t>b. Ensure the right to privacy, to manage personal finances or receive an accounting, to retain and use personal possessions, and to private communication and visitation.</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development of and decisions about the resident’s service plan and to make health-care decisions consistent with the Uniform Health-Care Decisions Act.</w:t>
      </w:r>
    </w:p>
    <w:p>
      <w:pPr>
        <w:pStyle w:val="Normal"/>
        <w:tabs>
          <w:tab w:val="left" w:pos="720" w:leader="none"/>
        </w:tabs>
        <w:spacing w:lineRule="exact" w:line="264" w:before="0" w:after="80"/>
        <w:ind w:hanging="360" w:start="720"/>
        <w:rPr/>
      </w:pPr>
      <w:r>
        <w:rPr>
          <w:rFonts w:eastAsia="Arial" w:cs="Arial"/>
          <w:sz w:val="21"/>
          <w:szCs w:val="21"/>
        </w:rPr>
        <w:t>d. Ensure the right to voice grievances and recommend changes without restraint, interference, coercion, discrimination, or reprisal, and the right to access the Long-Term Care Ombudsman.</w:t>
      </w:r>
    </w:p>
    <w:p>
      <w:pPr>
        <w:pStyle w:val="Normal"/>
        <w:tabs>
          <w:tab w:val="left" w:pos="720" w:leader="none"/>
        </w:tabs>
        <w:spacing w:lineRule="exact" w:line="264" w:before="0" w:after="80"/>
        <w:ind w:hanging="360" w:start="720"/>
        <w:rPr/>
      </w:pPr>
      <w:r>
        <w:rPr>
          <w:rFonts w:eastAsia="Arial" w:cs="Arial"/>
          <w:sz w:val="21"/>
          <w:szCs w:val="21"/>
        </w:rPr>
        <w:t>e. Provide each resident a written copy of resident rights upon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f. Provide residents and representatives a documented method to present a grievance, and post the New Mexico Long-Term Care Ombudsman number (1-800-432-2080) and the health facility complaints hotline (1-800-752-8649).</w:t>
      </w:r>
    </w:p>
    <w:p>
      <w:pPr>
        <w:pStyle w:val="Normal"/>
        <w:tabs>
          <w:tab w:val="left" w:pos="720" w:leader="none"/>
        </w:tabs>
        <w:spacing w:lineRule="exact" w:line="264" w:before="0" w:after="80"/>
        <w:ind w:hanging="360" w:start="720"/>
        <w:rPr/>
      </w:pPr>
      <w:r>
        <w:rPr>
          <w:rFonts w:eastAsia="Arial" w:cs="Arial"/>
          <w:sz w:val="21"/>
          <w:szCs w:val="21"/>
        </w:rPr>
        <w:t>g.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h. Do not retaliate against any resident who presents a grievance or contacts the Ombudsman or the HCA.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&amp;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&amp;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8.370.10 NMAC (ANE reporting); Employee Abuse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within the timeframes required by New Mexico rule.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mandatory reporting of suspected abuse, neglect, and exploitation, reports and investigates incidents as required by 8.370.14 NMAC and related rules, and screens and reports through the Employee Abuse Registry.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that they are mandatory reporters and must immediately report suspected abuse, neglect, or exploitation, and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abuse, neglect, or exploitation to the health facility complaints hotline (1-800-752-8649) and to law enforcement as applicable, and report deaths and other reportable incidents as required.</w:t>
      </w:r>
    </w:p>
    <w:p>
      <w:pPr>
        <w:pStyle w:val="Normal"/>
        <w:tabs>
          <w:tab w:val="left" w:pos="720" w:leader="none"/>
        </w:tabs>
        <w:spacing w:lineRule="exact" w:line="264" w:before="0" w:after="80"/>
        <w:ind w:hanging="360" w:start="720"/>
        <w:rPr/>
      </w:pPr>
      <w:r>
        <w:rPr>
          <w:rFonts w:eastAsia="Arial" w:cs="Arial"/>
          <w:sz w:val="21"/>
          <w:szCs w:val="21"/>
        </w:rPr>
        <w:t>c. Check each caregiver against the Employee Abuse Registry (EAR/Consolidated Online Registry) before hire and do not employ or retain any individual disqualified by a substantiated case of ANE; report substantiated caregiver offenses for referral to the registry as required.</w:t>
      </w:r>
    </w:p>
    <w:p>
      <w:pPr>
        <w:pStyle w:val="Normal"/>
        <w:tabs>
          <w:tab w:val="left" w:pos="720" w:leader="none"/>
        </w:tabs>
        <w:spacing w:lineRule="exact" w:line="264" w:before="0" w:after="80"/>
        <w:ind w:hanging="360" w:start="720"/>
        <w:rPr/>
      </w:pPr>
      <w:r>
        <w:rPr>
          <w:rFonts w:eastAsia="Arial" w:cs="Arial"/>
          <w:sz w:val="21"/>
          <w:szCs w:val="21"/>
        </w:rPr>
        <w:t>d. Document each incident, the investigation, individuals involved, and the corrective action taken, and review incidents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Employee Abuse Registry Check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manage resident funds. Where the Facility holds or manages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receiving, holding, or managing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accounting for each resident, record each deposit and disbursement with supporting documentation, and keep resident funds separate from Facility operating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8.370.14 NMAC (capacity set by license)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HCA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HCA license does not by itself authorize operation at a given location. The Facility shall confirm that its use is permitted under the applicable local zoning and land use code and shall retain documentation of that confirmation. Licensed capacity is set by the licensing authority based on building, life-safety, water, waste, and sanitation standards, not by a statewide census cap.</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an assisted living facility of the intended size is a permitted or conditional use through the local city or county land use code.</w:t>
      </w:r>
    </w:p>
    <w:p>
      <w:pPr>
        <w:pStyle w:val="Normal"/>
        <w:tabs>
          <w:tab w:val="left" w:pos="720" w:leader="none"/>
        </w:tabs>
        <w:spacing w:lineRule="exact" w:line="264" w:before="0" w:after="80"/>
        <w:ind w:hanging="360" w:start="720"/>
        <w:rPr/>
      </w:pPr>
      <w:r>
        <w:rPr>
          <w:rFonts w:eastAsia="Arial" w:cs="Arial"/>
          <w:sz w:val="21"/>
          <w:szCs w:val="21"/>
        </w:rPr>
        <w:t>b. Request a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and licensed capacity with the local building and fire authorities and the HCA, consistent with applicable construction and life-safety standards.</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use classification, and life-safety approvals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ListParagraph"/>
        <w:numPr>
          <w:ilvl w:val="0"/>
          <w:numId w:val="1"/>
        </w:numPr>
        <w:spacing w:lineRule="exact" w:line="264" w:before="0" w:after="60"/>
        <w:rPr/>
      </w:pPr>
      <w:r>
        <w:rPr>
          <w:rFonts w:eastAsia="Arial" w:cs="Arial"/>
          <w:sz w:val="21"/>
          <w:szCs w:val="21"/>
        </w:rPr>
        <w:t>Life-Safety / Capacity Approval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caregiver screening through the CCHSP and the Employee Abuse Registry, health documentation, orientation and training, demonstrated competency, and the qualifications of the administrator (including New Mexico’s 40-mile multi-facility rule).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Caregivers Criminal History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Orientation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Caregivers Criminal History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Caregivers Criminal History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8.370.5 NMAC (CCHSP); 8.370.14 NMAC; Employee Abuse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caregiver is screened and suitable to work with residents through the Caregivers Criminal History Screening Program (CCHSP) and the Employee Abuse Registry, and meets health documentation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criminal history screening through the CCHSP (8.370.5 NMAC) and check the Employee Abuse Registry for each caregiver, before or within the timeframe allowed by rule, and shall not employ or retain any individual disqualified under those requirements.</w:t>
      </w:r>
    </w:p>
    <w:p>
      <w:pPr>
        <w:pStyle w:val="Normal"/>
        <w:pBdr>
          <w:bottom w:val="single" w:sz="4" w:space="1" w:color="2E5E45"/>
        </w:pBdr>
        <w:spacing w:before="160" w:after="80"/>
        <w:rPr/>
      </w:pPr>
      <w:r>
        <w:rPr>
          <w:rFonts w:eastAsia="Arial" w:cs="Arial"/>
          <w:b/>
          <w:bCs/>
          <w:color w:val="1A4731"/>
          <w:sz w:val="20"/>
          <w:szCs w:val="20"/>
        </w:rPr>
        <w:t>PROCEDURE — SCREENING</w:t>
      </w:r>
    </w:p>
    <w:p>
      <w:pPr>
        <w:pStyle w:val="Normal"/>
        <w:tabs>
          <w:tab w:val="left" w:pos="720" w:leader="none"/>
        </w:tabs>
        <w:spacing w:lineRule="exact" w:line="264" w:before="0" w:after="80"/>
        <w:ind w:hanging="360" w:start="720"/>
        <w:rPr/>
      </w:pPr>
      <w:r>
        <w:rPr>
          <w:rFonts w:eastAsia="Arial" w:cs="Arial"/>
          <w:sz w:val="21"/>
          <w:szCs w:val="21"/>
        </w:rPr>
        <w:t>a. Submit each caregiver for criminal history screening through the Caregivers Criminal History Screening Program (CCHSP) as required by 8.370.5 NMAC, and maintain documentation of the screening result.</w:t>
      </w:r>
    </w:p>
    <w:p>
      <w:pPr>
        <w:pStyle w:val="Normal"/>
        <w:tabs>
          <w:tab w:val="left" w:pos="720" w:leader="none"/>
        </w:tabs>
        <w:spacing w:lineRule="exact" w:line="264" w:before="0" w:after="80"/>
        <w:ind w:hanging="360" w:start="720"/>
        <w:rPr/>
      </w:pPr>
      <w:r>
        <w:rPr>
          <w:rFonts w:eastAsia="Arial" w:cs="Arial"/>
          <w:sz w:val="21"/>
          <w:szCs w:val="21"/>
        </w:rPr>
        <w:t>b. Check the Employee Abuse Registry (Consolidated Online Registry) for each caregiver before hire, and do not employ or retain any individual listed for a substantiated case of abuse, neglect, or exploitation.</w:t>
      </w:r>
    </w:p>
    <w:p>
      <w:pPr>
        <w:pStyle w:val="Normal"/>
        <w:tabs>
          <w:tab w:val="left" w:pos="720" w:leader="none"/>
        </w:tabs>
        <w:spacing w:lineRule="exact" w:line="264" w:before="0" w:after="80"/>
        <w:ind w:hanging="360" w:start="720"/>
        <w:rPr/>
      </w:pPr>
      <w:r>
        <w:rPr>
          <w:rFonts w:eastAsia="Arial" w:cs="Arial"/>
          <w:sz w:val="21"/>
          <w:szCs w:val="21"/>
        </w:rPr>
        <w:t>c. Comply with conditional-employment and supervision requirements during the pendency of screening as permitted by 8.370.5 NMAC.</w:t>
      </w:r>
    </w:p>
    <w:p>
      <w:pPr>
        <w:pStyle w:val="Normal"/>
        <w:pBdr>
          <w:bottom w:val="single" w:sz="4" w:space="1" w:color="2E5E45"/>
        </w:pBdr>
        <w:spacing w:before="160" w:after="80"/>
        <w:rPr/>
      </w:pPr>
      <w:r>
        <w:rPr>
          <w:rFonts w:eastAsia="Arial" w:cs="Arial"/>
          <w:b/>
          <w:bCs/>
          <w:color w:val="1A4731"/>
          <w:sz w:val="20"/>
          <w:szCs w:val="20"/>
        </w:rPr>
        <w:t>PROCEDURE — HEALTH &amp; PERSONNEL RECORDS</w:t>
      </w:r>
    </w:p>
    <w:p>
      <w:pPr>
        <w:pStyle w:val="Normal"/>
        <w:tabs>
          <w:tab w:val="left" w:pos="720" w:leader="none"/>
        </w:tabs>
        <w:spacing w:lineRule="exact" w:line="264" w:before="0" w:after="80"/>
        <w:ind w:hanging="360" w:start="720"/>
        <w:rPr/>
      </w:pPr>
      <w:r>
        <w:rPr>
          <w:rFonts w:eastAsia="Arial" w:cs="Arial"/>
          <w:sz w:val="21"/>
          <w:szCs w:val="21"/>
        </w:rPr>
        <w:t>d. Obtain documentation that each caregiver is free of communicable disease, including tuberculosis screening as required.</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caregiver that includes job description, qualifications, CCHSP and registry results,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For staff who drive facility vehicles and transport residents, maintain the driving and insurance documentation required by rule.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CCHSP Screening Record</w:t>
      </w:r>
    </w:p>
    <w:p>
      <w:pPr>
        <w:pStyle w:val="ListParagraph"/>
        <w:numPr>
          <w:ilvl w:val="0"/>
          <w:numId w:val="1"/>
        </w:numPr>
        <w:spacing w:lineRule="exact" w:line="264" w:before="0" w:after="60"/>
        <w:rPr/>
      </w:pPr>
      <w:r>
        <w:rPr>
          <w:rFonts w:eastAsia="Arial" w:cs="Arial"/>
          <w:sz w:val="21"/>
          <w:szCs w:val="21"/>
        </w:rPr>
        <w:t>Employee Abuse Registry Check</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Orientation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Orientation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required orientation and training and demonstrate competency before providing care,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staff member completes orientation before providing care, completes required ongoing training, and demonstrates competency before performing assigned duties.</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resident rights, recognizing and reporting abuse/neglect/exploitation, emergency procedures, infection control and hand hygiene, and hazardous chemical safety and the location of Safety Data Sheets, before the staff member provides direct care.</w:t>
      </w:r>
    </w:p>
    <w:p>
      <w:pPr>
        <w:pStyle w:val="Normal"/>
        <w:tabs>
          <w:tab w:val="left" w:pos="720" w:leader="none"/>
        </w:tabs>
        <w:spacing w:lineRule="exact" w:line="264" w:before="0" w:after="80"/>
        <w:ind w:hanging="360" w:start="720"/>
        <w:rPr/>
      </w:pPr>
      <w:r>
        <w:rPr>
          <w:rFonts w:eastAsia="Arial" w:cs="Arial"/>
          <w:sz w:val="21"/>
          <w:szCs w:val="21"/>
        </w:rPr>
        <w:t>b. Provide training in resident rights, communication, safety and emergency procedures, and basic personal care services, and additional training for specialized roles (for example, certified medication aides, dietary, and activities) as required.</w:t>
      </w:r>
    </w:p>
    <w:p>
      <w:pPr>
        <w:pStyle w:val="Normal"/>
        <w:tabs>
          <w:tab w:val="left" w:pos="720" w:leader="none"/>
        </w:tabs>
        <w:spacing w:lineRule="exact" w:line="264" w:before="0" w:after="80"/>
        <w:ind w:hanging="360" w:start="720"/>
        <w:rPr/>
      </w:pPr>
      <w:r>
        <w:rPr>
          <w:rFonts w:eastAsia="Arial" w:cs="Arial"/>
          <w:sz w:val="21"/>
          <w:szCs w:val="21"/>
        </w:rPr>
        <w:t>c. Where the Facility operates a secured memory care unit, ensure staff complete the additional dementia-specific training required by the Memory Care (Secured Unit) policy.</w:t>
      </w:r>
    </w:p>
    <w:p>
      <w:pPr>
        <w:pStyle w:val="Normal"/>
        <w:pBdr>
          <w:bottom w:val="single" w:sz="4" w:space="1" w:color="2E5E45"/>
        </w:pBdr>
        <w:spacing w:before="160" w:after="80"/>
        <w:rPr/>
      </w:pPr>
      <w:r>
        <w:rPr>
          <w:rFonts w:eastAsia="Arial" w:cs="Arial"/>
          <w:b/>
          <w:bCs/>
          <w:color w:val="1A4731"/>
          <w:sz w:val="20"/>
          <w:szCs w:val="20"/>
        </w:rPr>
        <w:t>PROCEDURE — COMPETENCY &amp; DOCUMENTATION</w:t>
      </w:r>
    </w:p>
    <w:p>
      <w:pPr>
        <w:pStyle w:val="Normal"/>
        <w:tabs>
          <w:tab w:val="left" w:pos="720" w:leader="none"/>
        </w:tabs>
        <w:spacing w:lineRule="exact" w:line="264" w:before="0" w:after="80"/>
        <w:ind w:hanging="360" w:start="720"/>
        <w:rPr/>
      </w:pPr>
      <w:r>
        <w:rPr>
          <w:rFonts w:eastAsia="Arial" w:cs="Arial"/>
          <w:sz w:val="21"/>
          <w:szCs w:val="21"/>
        </w:rPr>
        <w:t>d. Verify competency for each major duty through observation or return demonstration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e. Maintain training and competency records, including dates, topics, and hours, in each personnel record.</w:t>
      </w:r>
    </w:p>
    <w:p>
      <w:pPr>
        <w:pStyle w:val="Normal"/>
        <w:tabs>
          <w:tab w:val="left" w:pos="720" w:leader="none"/>
        </w:tabs>
        <w:spacing w:lineRule="exact" w:line="264" w:before="0" w:after="80"/>
        <w:ind w:hanging="360" w:start="720"/>
        <w:rPr/>
      </w:pPr>
      <w:r>
        <w:rPr>
          <w:rFonts w:eastAsia="Arial" w:cs="Arial"/>
          <w:sz w:val="21"/>
          <w:szCs w:val="21"/>
        </w:rPr>
        <w:t>f. Where a competency deficiency is identified, restrict independent performance of that duty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Training Log</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(staff qualifications; 40-mile administrator rule)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administrator accountable for daily operation and regulatory compliance,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an administrator whose education and experience are directly related to the services provided, who is responsible for the operation and maintenance of the Facility and its compliance with rule.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an administrator whose evidence of education and experience is directly related to the services the Facility provides, as required by 8.370.14 NMAC.</w:t>
      </w:r>
    </w:p>
    <w:p>
      <w:pPr>
        <w:pStyle w:val="Normal"/>
        <w:tabs>
          <w:tab w:val="left" w:pos="720" w:leader="none"/>
        </w:tabs>
        <w:spacing w:lineRule="exact" w:line="264" w:before="0" w:after="80"/>
        <w:ind w:hanging="360" w:start="720"/>
        <w:rPr/>
      </w:pPr>
      <w:r>
        <w:rPr>
          <w:rFonts w:eastAsia="Arial" w:cs="Arial"/>
          <w:sz w:val="21"/>
          <w:szCs w:val="21"/>
        </w:rPr>
        <w:t>b. Where an operator has multiple facilities located within a forty (40) mile radius, one full-time administrator may serve those facilities, consistent with rule.</w:t>
      </w:r>
    </w:p>
    <w:p>
      <w:pPr>
        <w:pStyle w:val="Normal"/>
        <w:tabs>
          <w:tab w:val="left" w:pos="720" w:leader="none"/>
        </w:tabs>
        <w:spacing w:lineRule="exact" w:line="264" w:before="0" w:after="80"/>
        <w:ind w:hanging="360" w:start="720"/>
        <w:rPr/>
      </w:pPr>
      <w:r>
        <w:rPr>
          <w:rFonts w:eastAsia="Arial" w:cs="Arial"/>
          <w:sz w:val="21"/>
          <w:szCs w:val="21"/>
        </w:rPr>
        <w:t>c. Ensure the administrator maintains sufficient qualified staff to meet residents’ scheduled and unscheduled needs, and discloses the staffing pattern as required.</w:t>
      </w:r>
    </w:p>
    <w:p>
      <w:pPr>
        <w:pStyle w:val="Normal"/>
        <w:tabs>
          <w:tab w:val="left" w:pos="720" w:leader="none"/>
        </w:tabs>
        <w:spacing w:lineRule="exact" w:line="264" w:before="0" w:after="80"/>
        <w:ind w:hanging="360" w:start="720"/>
        <w:rPr/>
      </w:pPr>
      <w:r>
        <w:rPr>
          <w:rFonts w:eastAsia="Arial" w:cs="Arial"/>
          <w:sz w:val="21"/>
          <w:szCs w:val="21"/>
        </w:rPr>
        <w:t>d. Notify the HCA of a change of administrator as required, and maintain documentation of administrator qualifications and any multi-facility arrangement.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Multi-Facility Administrator Designation (40-mile)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evaluates residents and plans their care — the evaluation and individualized service plan with New Mexico’s six-month review by an LPN, RN, or physician extender — together with assistance with activities of daily living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Evaluation &amp; Individualized Service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Resident Care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Evaluation &amp; Individualized Service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Evaluation &amp; Individualized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(evaluation &amp; ISP; six-month review)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evaluation and individualized service plan (ISP) that reflects the resident’s needs and is reviewed at the required intervals,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an evaluation and develop an individualized service plan for each resident, and shall review both at least every six months or whenever a significant change in health status occurs, with the review conducted by a licensed practical nurse, registered nurse, or physician extender.</w:t>
      </w:r>
    </w:p>
    <w:p>
      <w:pPr>
        <w:pStyle w:val="Normal"/>
        <w:pBdr>
          <w:bottom w:val="single" w:sz="4" w:space="1" w:color="2E5E45"/>
        </w:pBdr>
        <w:spacing w:before="160" w:after="80"/>
        <w:rPr/>
      </w:pPr>
      <w:r>
        <w:rPr>
          <w:rFonts w:eastAsia="Arial" w:cs="Arial"/>
          <w:b/>
          <w:bCs/>
          <w:color w:val="1A4731"/>
          <w:sz w:val="20"/>
          <w:szCs w:val="20"/>
        </w:rPr>
        <w:t>PROCEDURE — EVALUATION &amp; ISP</w:t>
      </w:r>
    </w:p>
    <w:p>
      <w:pPr>
        <w:pStyle w:val="Normal"/>
        <w:tabs>
          <w:tab w:val="left" w:pos="720" w:leader="none"/>
        </w:tabs>
        <w:spacing w:lineRule="exact" w:line="264" w:before="0" w:after="80"/>
        <w:ind w:hanging="360" w:start="720"/>
        <w:rPr/>
      </w:pPr>
      <w:r>
        <w:rPr>
          <w:rFonts w:eastAsia="Arial" w:cs="Arial"/>
          <w:sz w:val="21"/>
          <w:szCs w:val="21"/>
        </w:rPr>
        <w:t>a. Complete a pre-admission and admission evaluation of the resident’s needs, and develop an individualized service plan that identifies the services the Facility will provide and the resident’s preferences.</w:t>
      </w:r>
    </w:p>
    <w:p>
      <w:pPr>
        <w:pStyle w:val="Normal"/>
        <w:tabs>
          <w:tab w:val="left" w:pos="720" w:leader="none"/>
        </w:tabs>
        <w:spacing w:lineRule="exact" w:line="264" w:before="0" w:after="80"/>
        <w:ind w:hanging="360" w:start="720"/>
        <w:rPr/>
      </w:pPr>
      <w:r>
        <w:rPr>
          <w:rFonts w:eastAsia="Arial" w:cs="Arial"/>
          <w:sz w:val="21"/>
          <w:szCs w:val="21"/>
        </w:rPr>
        <w:t>b. Involve the resident (and the resident’s representative as applicable) in the development of the ISP.</w:t>
      </w:r>
    </w:p>
    <w:p>
      <w:pPr>
        <w:pStyle w:val="Normal"/>
        <w:tabs>
          <w:tab w:val="left" w:pos="720" w:leader="none"/>
        </w:tabs>
        <w:spacing w:lineRule="exact" w:line="264" w:before="0" w:after="80"/>
        <w:ind w:hanging="360" w:start="720"/>
        <w:rPr/>
      </w:pPr>
      <w:r>
        <w:rPr>
          <w:rFonts w:eastAsia="Arial" w:cs="Arial"/>
          <w:sz w:val="21"/>
          <w:szCs w:val="21"/>
        </w:rPr>
        <w:t>c. Coordinate with any third-party providers, including home health and hospice, identified in the ISP.</w:t>
      </w:r>
    </w:p>
    <w:p>
      <w:pPr>
        <w:pStyle w:val="Normal"/>
        <w:pBdr>
          <w:bottom w:val="single" w:sz="4" w:space="1" w:color="2E5E45"/>
        </w:pBdr>
        <w:spacing w:before="160" w:after="80"/>
        <w:rPr/>
      </w:pPr>
      <w:r>
        <w:rPr>
          <w:rFonts w:eastAsia="Arial" w:cs="Arial"/>
          <w:b/>
          <w:bCs/>
          <w:color w:val="1A4731"/>
          <w:sz w:val="20"/>
          <w:szCs w:val="20"/>
        </w:rPr>
        <w:t>PROCEDURE — SIX-MONTH REVIEW &amp; UPDATES</w:t>
      </w:r>
    </w:p>
    <w:p>
      <w:pPr>
        <w:pStyle w:val="Normal"/>
        <w:tabs>
          <w:tab w:val="left" w:pos="720" w:leader="none"/>
        </w:tabs>
        <w:spacing w:lineRule="exact" w:line="264" w:before="0" w:after="80"/>
        <w:ind w:hanging="360" w:start="720"/>
        <w:rPr/>
      </w:pPr>
      <w:r>
        <w:rPr>
          <w:rFonts w:eastAsia="Arial" w:cs="Arial"/>
          <w:sz w:val="21"/>
          <w:szCs w:val="21"/>
        </w:rPr>
        <w:t>d. Review the evaluation and the ISP at least every six months, or whenever a significant change in the resident’s health status occurs.</w:t>
      </w:r>
    </w:p>
    <w:p>
      <w:pPr>
        <w:pStyle w:val="Normal"/>
        <w:tabs>
          <w:tab w:val="left" w:pos="720" w:leader="none"/>
        </w:tabs>
        <w:spacing w:lineRule="exact" w:line="264" w:before="0" w:after="80"/>
        <w:ind w:hanging="360" w:start="720"/>
        <w:rPr/>
      </w:pPr>
      <w:r>
        <w:rPr>
          <w:rFonts w:eastAsia="Arial" w:cs="Arial"/>
          <w:sz w:val="21"/>
          <w:szCs w:val="21"/>
        </w:rPr>
        <w:t>e. Ensure the review is conducted by a licensed practical nurse (LPN), registered nurse (RN), or physician extender.</w:t>
      </w:r>
    </w:p>
    <w:p>
      <w:pPr>
        <w:pStyle w:val="Normal"/>
        <w:tabs>
          <w:tab w:val="left" w:pos="720" w:leader="none"/>
        </w:tabs>
        <w:spacing w:lineRule="exact" w:line="264" w:before="0" w:after="80"/>
        <w:ind w:hanging="360" w:start="720"/>
        <w:rPr/>
      </w:pPr>
      <w:r>
        <w:rPr>
          <w:rFonts w:eastAsia="Arial" w:cs="Arial"/>
          <w:sz w:val="21"/>
          <w:szCs w:val="21"/>
        </w:rPr>
        <w:t>f. Update the ISP to reflect changes in the resident’s needs, and where needs exceed the Facility’s scope of service, initiate the discharge/transfer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Evaluation</w:t>
      </w:r>
    </w:p>
    <w:p>
      <w:pPr>
        <w:pStyle w:val="ListParagraph"/>
        <w:numPr>
          <w:ilvl w:val="0"/>
          <w:numId w:val="1"/>
        </w:numPr>
        <w:spacing w:lineRule="exact" w:line="264" w:before="0" w:after="60"/>
        <w:rPr/>
      </w:pPr>
      <w:r>
        <w:rPr>
          <w:rFonts w:eastAsia="Arial" w:cs="Arial"/>
          <w:sz w:val="21"/>
          <w:szCs w:val="21"/>
        </w:rPr>
        <w:t>Individualized Service Plan (ISP)</w:t>
      </w:r>
    </w:p>
    <w:p>
      <w:pPr>
        <w:pStyle w:val="ListParagraph"/>
        <w:numPr>
          <w:ilvl w:val="0"/>
          <w:numId w:val="1"/>
        </w:numPr>
        <w:spacing w:lineRule="exact" w:line="264" w:before="0" w:after="60"/>
        <w:rPr/>
      </w:pPr>
      <w:r>
        <w:rPr>
          <w:rFonts w:eastAsia="Arial" w:cs="Arial"/>
          <w:sz w:val="21"/>
          <w:szCs w:val="21"/>
        </w:rPr>
        <w:t>Six-Month / Change-of-Condition Review (LPN/RN/PE)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Resident Care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Resident Care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supervision, personal services, and assistance with activities of daily living according to each resident’s ISP,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assistance with activities of daily living and related services identified in each resident’s ISP, provide meals meeting residents’ nutritional needs, and support resident self-care where appropriate.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 bathing, dressing, grooming, eating, toileting, transferring, and mobility — as identified in the ISP, supporting resident self-care (residents performing ADLs themselves) where appropriate.</w:t>
      </w:r>
    </w:p>
    <w:p>
      <w:pPr>
        <w:pStyle w:val="Normal"/>
        <w:tabs>
          <w:tab w:val="left" w:pos="720" w:leader="none"/>
        </w:tabs>
        <w:spacing w:lineRule="exact" w:line="264" w:before="0" w:after="80"/>
        <w:ind w:hanging="360" w:start="720"/>
        <w:rPr/>
      </w:pPr>
      <w:r>
        <w:rPr>
          <w:rFonts w:eastAsia="Arial" w:cs="Arial"/>
          <w:sz w:val="21"/>
          <w:szCs w:val="21"/>
        </w:rPr>
        <w:t>b. Provide meals that meet residents’ nutritional needs and any therapeutic diet, and support activities and social engagement.</w:t>
      </w:r>
    </w:p>
    <w:p>
      <w:pPr>
        <w:pStyle w:val="Normal"/>
        <w:tabs>
          <w:tab w:val="left" w:pos="720" w:leader="none"/>
        </w:tabs>
        <w:spacing w:lineRule="exact" w:line="264" w:before="0" w:after="80"/>
        <w:ind w:hanging="360" w:start="720"/>
        <w:rPr/>
      </w:pPr>
      <w:r>
        <w:rPr>
          <w:rFonts w:eastAsia="Arial" w:cs="Arial"/>
          <w:sz w:val="21"/>
          <w:szCs w:val="21"/>
        </w:rPr>
        <w:t>c. Arrange for or coordinate access to health care and report changes in a resident’s condition to the resident’s primary care provider and representative.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ISP,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ISP,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provider,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8.370.14 NMAC — administration by a licensed nurse or a certified medication aide (CMA) certified by the New Mexico Board of Nursing, the medication administration record, medication reconciliation and self-administration, and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Management &amp; Certified Medication Aides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Management &amp; Certified Medication Aides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Management &amp; Certified Medication Aides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(medications); Nursing Practice Act, 61-3 NMSA 1978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safely and administered only by appropriately licensed or certified staff, and documented on the medication administration record (MAR),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Medications shall be administered only by a licensed nurse (RN or LPN) or a certified medication aide (CMA) certified by the New Mexico Board of Nursing under the Nursing Practice Act, or self-administered by a resident assessed as able to do so. All administered medications shall be documented on the MAR.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Certified medication aide (CMA) — an individual certified by the New Mexico Board of Nursing to administer medications under the Nursing Practice Act.</w:t>
      </w:r>
    </w:p>
    <w:p>
      <w:pPr>
        <w:pStyle w:val="Normal"/>
        <w:spacing w:lineRule="exact" w:line="276" w:before="0" w:after="120"/>
        <w:rPr/>
      </w:pPr>
      <w:r>
        <w:rPr>
          <w:rFonts w:eastAsia="Arial" w:cs="Arial"/>
          <w:sz w:val="21"/>
          <w:szCs w:val="21"/>
        </w:rPr>
        <w:t>Medication error — the administration of any medication incorrectly, including wrong dosage, wrong drug, wrong resident, wrong time or method, omission of a prescribed medication, or administration without a valid order.</w:t>
      </w:r>
    </w:p>
    <w:p>
      <w:pPr>
        <w:pStyle w:val="Normal"/>
        <w:pBdr>
          <w:bottom w:val="single" w:sz="4" w:space="1" w:color="2E5E45"/>
        </w:pBdr>
        <w:spacing w:before="160" w:after="80"/>
        <w:rPr/>
      </w:pPr>
      <w:r>
        <w:rPr>
          <w:rFonts w:eastAsia="Arial" w:cs="Arial"/>
          <w:b/>
          <w:bCs/>
          <w:color w:val="1A4731"/>
          <w:sz w:val="20"/>
          <w:szCs w:val="20"/>
        </w:rPr>
        <w:t>PROCEDURE — ADMINISTRATION &amp; MAR</w:t>
      </w:r>
    </w:p>
    <w:p>
      <w:pPr>
        <w:pStyle w:val="Normal"/>
        <w:tabs>
          <w:tab w:val="left" w:pos="720" w:leader="none"/>
        </w:tabs>
        <w:spacing w:lineRule="exact" w:line="264" w:before="0" w:after="80"/>
        <w:ind w:hanging="360" w:start="720"/>
        <w:rPr/>
      </w:pPr>
      <w:r>
        <w:rPr>
          <w:rFonts w:eastAsia="Arial" w:cs="Arial"/>
          <w:sz w:val="21"/>
          <w:szCs w:val="21"/>
        </w:rPr>
        <w:t>a. Ensure medications are administered only by an RN, LPN, or CMA (or self-administered by a resident assessed as able), following the prescriber’s valid order.</w:t>
      </w:r>
    </w:p>
    <w:p>
      <w:pPr>
        <w:pStyle w:val="Normal"/>
        <w:tabs>
          <w:tab w:val="left" w:pos="720" w:leader="none"/>
        </w:tabs>
        <w:spacing w:lineRule="exact" w:line="264" w:before="0" w:after="80"/>
        <w:ind w:hanging="360" w:start="720"/>
        <w:rPr/>
      </w:pPr>
      <w:r>
        <w:rPr>
          <w:rFonts w:eastAsia="Arial" w:cs="Arial"/>
          <w:sz w:val="21"/>
          <w:szCs w:val="21"/>
        </w:rPr>
        <w:t>b. Maintain a medication administration record (MAR) that includes all information required by the medications section of 8.370.14 NMAC, and document each dose.</w:t>
      </w:r>
    </w:p>
    <w:p>
      <w:pPr>
        <w:pStyle w:val="Normal"/>
        <w:tabs>
          <w:tab w:val="left" w:pos="720" w:leader="none"/>
        </w:tabs>
        <w:spacing w:lineRule="exact" w:line="264" w:before="0" w:after="80"/>
        <w:ind w:hanging="360" w:start="720"/>
        <w:rPr/>
      </w:pPr>
      <w:r>
        <w:rPr>
          <w:rFonts w:eastAsia="Arial" w:cs="Arial"/>
          <w:sz w:val="21"/>
          <w:szCs w:val="21"/>
        </w:rPr>
        <w:t>c. Store medications securely, separate from hazardous chemicals, with controlled substances secured and access limited to authorized staff,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d. Monitor for therapeutic effect and side effects and report concerns to the prescriber and representative.</w:t>
      </w:r>
    </w:p>
    <w:p>
      <w:pPr>
        <w:pStyle w:val="Normal"/>
        <w:pBdr>
          <w:bottom w:val="single" w:sz="4" w:space="1" w:color="2E5E45"/>
        </w:pBdr>
        <w:spacing w:before="160" w:after="80"/>
        <w:rPr/>
      </w:pPr>
      <w:r>
        <w:rPr>
          <w:rFonts w:eastAsia="Arial" w:cs="Arial"/>
          <w:b/>
          <w:bCs/>
          <w:color w:val="1A4731"/>
          <w:sz w:val="20"/>
          <w:szCs w:val="20"/>
        </w:rPr>
        <w:t>PROCEDURE — RECONCILIATION &amp; SELF-ADMINISTRATION</w:t>
      </w:r>
    </w:p>
    <w:p>
      <w:pPr>
        <w:pStyle w:val="Normal"/>
        <w:tabs>
          <w:tab w:val="left" w:pos="720" w:leader="none"/>
        </w:tabs>
        <w:spacing w:lineRule="exact" w:line="264" w:before="0" w:after="80"/>
        <w:ind w:hanging="360" w:start="720"/>
        <w:rPr/>
      </w:pPr>
      <w:r>
        <w:rPr>
          <w:rFonts w:eastAsia="Arial" w:cs="Arial"/>
          <w:sz w:val="21"/>
          <w:szCs w:val="21"/>
        </w:rPr>
        <w:t>e. Reconcile medications at admission and at return from a hospital or other setting, and resolve discrepancies with the prescriber.</w:t>
      </w:r>
    </w:p>
    <w:p>
      <w:pPr>
        <w:pStyle w:val="Normal"/>
        <w:tabs>
          <w:tab w:val="left" w:pos="720" w:leader="none"/>
        </w:tabs>
        <w:spacing w:lineRule="exact" w:line="264" w:before="0" w:after="80"/>
        <w:ind w:hanging="360" w:start="720"/>
        <w:rPr/>
      </w:pPr>
      <w:r>
        <w:rPr>
          <w:rFonts w:eastAsia="Arial" w:cs="Arial"/>
          <w:sz w:val="21"/>
          <w:szCs w:val="21"/>
        </w:rPr>
        <w:t>f. Where a resident self-administers, document the assessment of the resident’s ability and the Facility’s supportive role in the ISP.</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Self-Administration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 wrong dosage, drug, resident, time, or method, omission, or administration without a valid order — including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prescriber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response, infection prevention and control (including COVID-19 and communicable-disease outbreak response and reporting), hazardous-chemical safety, and physical plant, environmental safety, and food service.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Environmental Safety &amp; Food Service</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response plan, train staff on it, conduct drills, and ensure staff capable of responding to an emergency are present whenever residents are present.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plan addressing fire, evacuation, severe weather, utility failure, and medical emergencies, appropriate to the Facility and its residents.</w:t>
      </w:r>
    </w:p>
    <w:p>
      <w:pPr>
        <w:pStyle w:val="Normal"/>
        <w:tabs>
          <w:tab w:val="left" w:pos="720" w:leader="none"/>
        </w:tabs>
        <w:spacing w:lineRule="exact" w:line="264" w:before="0" w:after="80"/>
        <w:ind w:hanging="360" w:start="720"/>
        <w:rPr/>
      </w:pPr>
      <w:r>
        <w:rPr>
          <w:rFonts w:eastAsia="Arial" w:cs="Arial"/>
          <w:sz w:val="21"/>
          <w:szCs w:val="21"/>
        </w:rPr>
        <w:t>b. Ensure staff capable of responding to an emergency are present whenever residents are present, and maintain first-aid capability.</w:t>
      </w:r>
    </w:p>
    <w:p>
      <w:pPr>
        <w:pStyle w:val="Normal"/>
        <w:tabs>
          <w:tab w:val="left" w:pos="720" w:leader="none"/>
        </w:tabs>
        <w:spacing w:lineRule="exact" w:line="264" w:before="0" w:after="80"/>
        <w:ind w:hanging="360" w:start="720"/>
        <w:rPr/>
      </w:pPr>
      <w:r>
        <w:rPr>
          <w:rFonts w:eastAsia="Arial" w:cs="Arial"/>
          <w:sz w:val="21"/>
          <w:szCs w:val="21"/>
        </w:rPr>
        <w:t>c. Conduct emergency and fire drills on a regular schedule and document each drill and any corrective action.</w:t>
      </w:r>
    </w:p>
    <w:p>
      <w:pPr>
        <w:pStyle w:val="Normal"/>
        <w:tabs>
          <w:tab w:val="left" w:pos="720" w:leader="none"/>
        </w:tabs>
        <w:spacing w:lineRule="exact" w:line="264" w:before="0" w:after="80"/>
        <w:ind w:hanging="360" w:start="720"/>
        <w:rPr/>
      </w:pPr>
      <w:r>
        <w:rPr>
          <w:rFonts w:eastAsia="Arial" w:cs="Arial"/>
          <w:sz w:val="21"/>
          <w:szCs w:val="21"/>
        </w:rPr>
        <w:t>d. Coordinate with local fire, police, and emergency services, and maintain a plan for continuity of resident care during and after an emergency, including a plan to maintain safe temperatures during a power outage.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Response Plan</w:t>
      </w:r>
    </w:p>
    <w:p>
      <w:pPr>
        <w:pStyle w:val="ListParagraph"/>
        <w:numPr>
          <w:ilvl w:val="0"/>
          <w:numId w:val="1"/>
        </w:numPr>
        <w:spacing w:lineRule="exact" w:line="264" w:before="0" w:after="60"/>
        <w:rPr/>
      </w:pPr>
      <w:r>
        <w:rPr>
          <w:rFonts w:eastAsia="Arial" w:cs="Arial"/>
          <w:sz w:val="21"/>
          <w:szCs w:val="21"/>
        </w:rPr>
        <w:t>Drill Record &amp;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CDC/APIC guidelines; NM DOH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and APIC), including standard precautions, surveillance, staff training, and an outbreak-response protocol for communicable diseases including COVID-19, and shall report reportable and communicable diseases to public health authorities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PPE use,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local health authority and the New Mexico Department of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Environmental Safety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Environmental Safety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resident living areas, bathrooms, and common areas in a safe and sanitary condition, maintain life-safety systems, and provide safe food service that meets residents’ nutritional needs.</w:t>
      </w:r>
    </w:p>
    <w:p>
      <w:pPr>
        <w:pStyle w:val="Normal"/>
        <w:pBdr>
          <w:bottom w:val="single" w:sz="4" w:space="1" w:color="2E5E45"/>
        </w:pBdr>
        <w:spacing w:before="160" w:after="80"/>
        <w:rPr/>
      </w:pPr>
      <w:r>
        <w:rPr>
          <w:rFonts w:eastAsia="Arial" w:cs="Arial"/>
          <w:b/>
          <w:bCs/>
          <w:color w:val="1A4731"/>
          <w:sz w:val="20"/>
          <w:szCs w:val="20"/>
        </w:rPr>
        <w:t>PROCEDURE — PHYSICAL PLANT &amp; ENVIRONMENT</w:t>
      </w:r>
    </w:p>
    <w:p>
      <w:pPr>
        <w:pStyle w:val="Normal"/>
        <w:tabs>
          <w:tab w:val="left" w:pos="720" w:leader="none"/>
        </w:tabs>
        <w:spacing w:lineRule="exact" w:line="264" w:before="0" w:after="80"/>
        <w:ind w:hanging="360" w:start="720"/>
        <w:rPr/>
      </w:pPr>
      <w:r>
        <w:rPr>
          <w:rFonts w:eastAsia="Arial" w:cs="Arial"/>
          <w:sz w:val="21"/>
          <w:szCs w:val="21"/>
        </w:rPr>
        <w:t>a. Maintain the premises and equipment in good repair and in a safe, clean, and sanitary condition,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life-safety and fire-safety systems and documentation consistent with applicable standards and the Facility’s licensed capacity.</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therapeutic diet,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food staff meet applicable food-handler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Housekeeping &amp;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improvement program aligned with Joint Commission Assisted Living Community principles, and — where the Facility operates a secured memory care unit — the additional New Mexico requirements for memory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Memory Care (Secured Unit)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8.370.14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for each resident, protect the confidentiality and security of resident information consistent with HIPAA and New Mexico law, and make records available to the resident and the HCA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the evaluation and individualized service plan; the medication administration record; records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records for the period required by rule and make them available to the HCA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ownership/administration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Memory Care (Secured Unit)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Memory Care (Secured Unit)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8.370.14 NMAC (secured memory care unit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more stringent requirements that apply when the Facility operates a secured memory care unit for residents with Alzheimer’s disease or other dementias. New Mexico issues a single assisted living license and applies these additional requirements to secured memory care units. This policy applies only if the Facility operates such a unit.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 secured memory care unit, it shall meet the additional requirements related to service planning, assessments, staffing, training, security, and resident rights for residents with dementia,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ASSESSMENT, SERVICE PLANNING &amp; STAFFING</w:t>
      </w:r>
    </w:p>
    <w:p>
      <w:pPr>
        <w:pStyle w:val="Normal"/>
        <w:tabs>
          <w:tab w:val="left" w:pos="720" w:leader="none"/>
        </w:tabs>
        <w:spacing w:lineRule="exact" w:line="264" w:before="0" w:after="80"/>
        <w:ind w:hanging="360" w:start="720"/>
        <w:rPr/>
      </w:pPr>
      <w:r>
        <w:rPr>
          <w:rFonts w:eastAsia="Arial" w:cs="Arial"/>
          <w:sz w:val="21"/>
          <w:szCs w:val="21"/>
        </w:rPr>
        <w:t>a. Complete additional assessment and individualized service planning appropriate to each memory care resident’s cognitive status, behavioral support needs, and safety, and review at the required intervals.</w:t>
      </w:r>
    </w:p>
    <w:p>
      <w:pPr>
        <w:pStyle w:val="Normal"/>
        <w:tabs>
          <w:tab w:val="left" w:pos="720" w:leader="none"/>
        </w:tabs>
        <w:spacing w:lineRule="exact" w:line="264" w:before="0" w:after="80"/>
        <w:ind w:hanging="360" w:start="720"/>
        <w:rPr/>
      </w:pPr>
      <w:r>
        <w:rPr>
          <w:rFonts w:eastAsia="Arial" w:cs="Arial"/>
          <w:sz w:val="21"/>
          <w:szCs w:val="21"/>
        </w:rPr>
        <w:t>b. Provide staffing sufficient to meet the needs and ensure the safety of residents in the secured unit.</w:t>
      </w:r>
    </w:p>
    <w:p>
      <w:pPr>
        <w:pStyle w:val="Normal"/>
        <w:tabs>
          <w:tab w:val="left" w:pos="720" w:leader="none"/>
        </w:tabs>
        <w:spacing w:lineRule="exact" w:line="264" w:before="0" w:after="80"/>
        <w:ind w:hanging="360" w:start="720"/>
        <w:rPr/>
      </w:pPr>
      <w:r>
        <w:rPr>
          <w:rFonts w:eastAsia="Arial" w:cs="Arial"/>
          <w:sz w:val="21"/>
          <w:szCs w:val="21"/>
        </w:rPr>
        <w:t>c. Ensure staff working in the secured memory care unit complete additional dementia-specific training before working independently with memory care residents, and ongoing training as required.</w:t>
      </w:r>
    </w:p>
    <w:p>
      <w:pPr>
        <w:pStyle w:val="Normal"/>
        <w:pBdr>
          <w:bottom w:val="single" w:sz="4" w:space="1" w:color="2E5E45"/>
        </w:pBdr>
        <w:spacing w:before="160" w:after="80"/>
        <w:rPr/>
      </w:pPr>
      <w:r>
        <w:rPr>
          <w:rFonts w:eastAsia="Arial" w:cs="Arial"/>
          <w:b/>
          <w:bCs/>
          <w:color w:val="1A4731"/>
          <w:sz w:val="20"/>
          <w:szCs w:val="20"/>
        </w:rPr>
        <w:t>PROCEDURE — SECURITY &amp; RESIDENT RIGHTS</w:t>
      </w:r>
    </w:p>
    <w:p>
      <w:pPr>
        <w:pStyle w:val="Normal"/>
        <w:tabs>
          <w:tab w:val="left" w:pos="720" w:leader="none"/>
        </w:tabs>
        <w:spacing w:lineRule="exact" w:line="264" w:before="0" w:after="80"/>
        <w:ind w:hanging="360" w:start="720"/>
        <w:rPr/>
      </w:pPr>
      <w:r>
        <w:rPr>
          <w:rFonts w:eastAsia="Arial" w:cs="Arial"/>
          <w:sz w:val="21"/>
          <w:szCs w:val="21"/>
        </w:rPr>
        <w:t>d. Maintain a secured environment that protects residents at risk of wandering or unsafe exit-seeking, with a means of egress consistent with applicable building and fire-safety code provisions and not dependent on the resident holding a key or special knowledge.</w:t>
      </w:r>
    </w:p>
    <w:p>
      <w:pPr>
        <w:pStyle w:val="Normal"/>
        <w:tabs>
          <w:tab w:val="left" w:pos="720" w:leader="none"/>
        </w:tabs>
        <w:spacing w:lineRule="exact" w:line="264" w:before="0" w:after="80"/>
        <w:ind w:hanging="360" w:start="720"/>
        <w:rPr/>
      </w:pPr>
      <w:r>
        <w:rPr>
          <w:rFonts w:eastAsia="Arial" w:cs="Arial"/>
          <w:sz w:val="21"/>
          <w:szCs w:val="21"/>
        </w:rPr>
        <w:t>e. Deliver care using dementia-appropriate communication and non-restraint approaches to behavioral expressions of unmet need.</w:t>
      </w:r>
    </w:p>
    <w:p>
      <w:pPr>
        <w:pStyle w:val="Normal"/>
        <w:tabs>
          <w:tab w:val="left" w:pos="720" w:leader="none"/>
        </w:tabs>
        <w:spacing w:lineRule="exact" w:line="264" w:before="0" w:after="80"/>
        <w:ind w:hanging="360" w:start="720"/>
        <w:rPr/>
      </w:pPr>
      <w:r>
        <w:rPr>
          <w:rFonts w:eastAsia="Arial" w:cs="Arial"/>
          <w:sz w:val="21"/>
          <w:szCs w:val="21"/>
        </w:rPr>
        <w:t>f. Protect the rights of residents in the secured unit, including dignity, privacy, and participation in decisions to the extent possible, and provide required disclosures to residents and representatives about the secured unit’s services.</w:t>
      </w:r>
    </w:p>
    <w:p>
      <w:pPr>
        <w:pStyle w:val="Normal"/>
        <w:tabs>
          <w:tab w:val="left" w:pos="720" w:leader="none"/>
        </w:tabs>
        <w:spacing w:lineRule="exact" w:line="264" w:before="0" w:after="80"/>
        <w:ind w:hanging="360" w:start="720"/>
        <w:rPr/>
      </w:pPr>
      <w:r>
        <w:rPr>
          <w:rFonts w:eastAsia="Arial" w:cs="Arial"/>
          <w:sz w:val="21"/>
          <w:szCs w:val="21"/>
        </w:rPr>
        <w:t>g. Review memory care incidents, behavioral events,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Memory Care Assessment &amp; Service Plan</w:t>
      </w:r>
    </w:p>
    <w:p>
      <w:pPr>
        <w:pStyle w:val="ListParagraph"/>
        <w:numPr>
          <w:ilvl w:val="0"/>
          <w:numId w:val="1"/>
        </w:numPr>
        <w:spacing w:lineRule="exact" w:line="264" w:before="0" w:after="60"/>
        <w:rPr/>
      </w:pPr>
      <w:r>
        <w:rPr>
          <w:rFonts w:eastAsia="Arial" w:cs="Arial"/>
          <w:sz w:val="21"/>
          <w:szCs w:val="21"/>
        </w:rPr>
        <w:t>Dementia Training Record</w:t>
      </w:r>
    </w:p>
    <w:p>
      <w:pPr>
        <w:pStyle w:val="ListParagraph"/>
        <w:numPr>
          <w:ilvl w:val="0"/>
          <w:numId w:val="1"/>
        </w:numPr>
        <w:spacing w:lineRule="exact" w:line="264" w:before="0" w:after="60"/>
        <w:rPr/>
      </w:pPr>
      <w:r>
        <w:rPr>
          <w:rFonts w:eastAsia="Arial" w:cs="Arial"/>
          <w:sz w:val="21"/>
          <w:szCs w:val="21"/>
        </w:rPr>
        <w:t>Secured Unit Safety Check</w:t>
      </w:r>
    </w:p>
    <w:p>
      <w:pPr>
        <w:pStyle w:val="ListParagraph"/>
        <w:numPr>
          <w:ilvl w:val="0"/>
          <w:numId w:val="1"/>
        </w:numPr>
        <w:spacing w:lineRule="exact" w:line="264" w:before="0" w:after="60"/>
        <w:rPr/>
      </w:pPr>
      <w:r>
        <w:rPr>
          <w:rFonts w:eastAsia="Arial" w:cs="Arial"/>
          <w:sz w:val="21"/>
          <w:szCs w:val="21"/>
        </w:rPr>
        <w:t>Memory Care Disclosure Statement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New Mexico agencies and resources, guidance on customizing the manual (including the current-rule note and the memory care overlay),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New Mexico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Pre-Admission Evaluation</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 &amp; Investigation Record</w:t>
      </w:r>
    </w:p>
    <w:p>
      <w:pPr>
        <w:pStyle w:val="ListParagraph"/>
        <w:numPr>
          <w:ilvl w:val="0"/>
          <w:numId w:val="1"/>
        </w:numPr>
        <w:spacing w:lineRule="exact" w:line="264" w:before="0" w:after="60"/>
        <w:rPr/>
      </w:pPr>
      <w:r>
        <w:rPr>
          <w:rFonts w:eastAsia="Arial" w:cs="Arial"/>
          <w:sz w:val="21"/>
          <w:szCs w:val="21"/>
        </w:rPr>
        <w:t>Employee Abuse Registry Check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Zoning / Life-Safety / Capacity Approval</w:t>
      </w:r>
    </w:p>
    <w:p>
      <w:pPr>
        <w:pStyle w:val="ListParagraph"/>
        <w:numPr>
          <w:ilvl w:val="0"/>
          <w:numId w:val="1"/>
        </w:numPr>
        <w:spacing w:lineRule="exact" w:line="264" w:before="0" w:after="60"/>
        <w:rPr/>
      </w:pPr>
      <w:r>
        <w:rPr>
          <w:rFonts w:eastAsia="Arial" w:cs="Arial"/>
          <w:sz w:val="21"/>
          <w:szCs w:val="21"/>
        </w:rPr>
        <w:t>CCHSP Screening Record</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Training Log &amp; Competency Assessment</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Multi-Facility Administrator Designation (40-mile)</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Resident Evaluation</w:t>
      </w:r>
    </w:p>
    <w:p>
      <w:pPr>
        <w:pStyle w:val="ListParagraph"/>
        <w:numPr>
          <w:ilvl w:val="0"/>
          <w:numId w:val="1"/>
        </w:numPr>
        <w:spacing w:lineRule="exact" w:line="264" w:before="0" w:after="60"/>
        <w:rPr/>
      </w:pPr>
      <w:r>
        <w:rPr>
          <w:rFonts w:eastAsia="Arial" w:cs="Arial"/>
          <w:sz w:val="21"/>
          <w:szCs w:val="21"/>
        </w:rPr>
        <w:t>Individualized Service Plan (ISP)</w:t>
      </w:r>
    </w:p>
    <w:p>
      <w:pPr>
        <w:pStyle w:val="ListParagraph"/>
        <w:numPr>
          <w:ilvl w:val="0"/>
          <w:numId w:val="1"/>
        </w:numPr>
        <w:spacing w:lineRule="exact" w:line="264" w:before="0" w:after="60"/>
        <w:rPr/>
      </w:pPr>
      <w:r>
        <w:rPr>
          <w:rFonts w:eastAsia="Arial" w:cs="Arial"/>
          <w:sz w:val="21"/>
          <w:szCs w:val="21"/>
        </w:rPr>
        <w:t>Six-Month / Change-of-Condition Review (LPN/RN/PE)</w:t>
      </w:r>
    </w:p>
    <w:p>
      <w:pPr>
        <w:pStyle w:val="ListParagraph"/>
        <w:numPr>
          <w:ilvl w:val="0"/>
          <w:numId w:val="1"/>
        </w:numPr>
        <w:spacing w:lineRule="exact" w:line="264" w:before="0" w:after="60"/>
        <w:rPr/>
      </w:pPr>
      <w:r>
        <w:rPr>
          <w:rFonts w:eastAsia="Arial" w:cs="Arial"/>
          <w:sz w:val="21"/>
          <w:szCs w:val="21"/>
        </w:rPr>
        <w:t>ADL /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Response Plan</w:t>
      </w:r>
    </w:p>
    <w:p>
      <w:pPr>
        <w:pStyle w:val="ListParagraph"/>
        <w:numPr>
          <w:ilvl w:val="0"/>
          <w:numId w:val="1"/>
        </w:numPr>
        <w:spacing w:lineRule="exact" w:line="264" w:before="0" w:after="60"/>
        <w:rPr/>
      </w:pPr>
      <w:r>
        <w:rPr>
          <w:rFonts w:eastAsia="Arial" w:cs="Arial"/>
          <w:sz w:val="21"/>
          <w:szCs w:val="21"/>
        </w:rPr>
        <w:t>Drill Record &amp; Review</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Memory Care Assessment &amp; Service Plan (if secured unit)</w:t>
      </w:r>
    </w:p>
    <w:p>
      <w:pPr>
        <w:pStyle w:val="ListParagraph"/>
        <w:numPr>
          <w:ilvl w:val="0"/>
          <w:numId w:val="1"/>
        </w:numPr>
        <w:spacing w:lineRule="exact" w:line="264" w:before="0" w:after="60"/>
        <w:rPr/>
      </w:pPr>
      <w:r>
        <w:rPr>
          <w:rFonts w:eastAsia="Arial" w:cs="Arial"/>
          <w:sz w:val="21"/>
          <w:szCs w:val="21"/>
        </w:rPr>
        <w:t>Memory Care Disclosure Statement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New Mexico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New Mexico Health Care Authority (HCA), Division of Health Improvement — Health Facility Licensing &amp; Certification Bureau</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8.370.14 NMAC — Assisted Living Facilities for Adults (effective 7/1/2024; replaced 7.8.2 NMAC)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Caregivers Criminal History Screening Program (CCHSP), 8.370.5 NMAC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Registry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Employee Abuse Registry (EAR) / Consolidated Online Registry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Complaint / ANE Hotline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facility complaints hotline, 1-800-752-8649</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NM Aging &amp; Long-Term Services Department — Ombudsman, 1-800-432-2080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authority and New Mexico Department of Health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New Mexico Board of Nursing (CMA certification; Nursing Practice Act)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 department and fire authority (occupancy, life safety, capacity)</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New Mexico assisted living regulations (8.370.14 NMAC, Assisted Living Facilities for Adults) and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Current rule. New Mexico repealed the former rule (7.8.2 NMAC, Department of Health) effective July 1, 2024 and replaced it with 8.370.14 NMAC under the New Mexico Health Care Authority (HCA). This manual is built to the current 8.370.14 NMAC / HCA framework. The HCA continues to refine 8.370.14; confirm the current version before adopting.</w:t>
      </w:r>
    </w:p>
    <w:p>
      <w:pPr>
        <w:pStyle w:val="Normal"/>
        <w:spacing w:lineRule="exact" w:line="276" w:before="0" w:after="120"/>
        <w:rPr/>
      </w:pPr>
      <w:r>
        <w:rPr>
          <w:rFonts w:eastAsia="Arial" w:cs="Arial"/>
          <w:sz w:val="21"/>
          <w:szCs w:val="21"/>
        </w:rPr>
        <w:t>Single license; memory care overlay. New Mexico issues one assisted living facility license. A facility that operates a secured memory care unit for residents with dementia must meet the additional requirements in the Memory Care (Secured Unit) policy, which applies only if you operate such a unit.</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HCA survey; confirm your CCHSP screening and Employee Abuse Registry processes; confirm your licensed capacity, zoning, and life-safety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under 8.370.14 NMAC, including the Facility’s obligations, the procedures for raising a grievance, and the contact information for the Long-Term Care Ombudsman and the health facility complaints hotline.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New Mexico — Assisted Living Facility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New Mexico — Assisted Living Facility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2026-07-01T12:53:54Z</dcterms:created>
  <dc:creator>PolicyReady.org</dc:creator>
  <dc:description/>
  <dc:language>en-US</dc:language>
  <cp:lastModifiedBy>Un-named</cp:lastModifiedBy>
  <dcterms:modified xsi:type="dcterms:W3CDTF">2026-07-01T12:53:54Z</dcterms:modified>
  <cp:revision>1</cp:revision>
  <dc:subject/>
  <dc:title>New Mexico Assisted Living Facility Policy &amp; Procedure Manual</dc:title>
</cp:coreProperties>
</file>