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OHIO</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6"/>
          <w:szCs w:val="26"/>
        </w:rPr>
        <w:t>Behavioral Health Provider — Mental Health &amp; Substance Use (OhioMHAS)</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[OhioMHAS Certification / License Number(s)]   •   [Services Provided]</w:t>
      </w:r>
    </w:p>
    <w:p>
      <w:pPr>
        <w:pStyle w:val="Normal"/>
        <w:spacing w:before="1600" w:after="0"/>
        <w:jc w:val="center"/>
        <w:rPr/>
      </w:pPr>
      <w:r>
        <w:rPr>
          <w:rFonts w:eastAsia="Arial" w:cs="Arial"/>
          <w:color w:val="666666"/>
          <w:sz w:val="18"/>
          <w:szCs w:val="18"/>
        </w:rPr>
        <w:t>Aligned to OAC Chapters 5122-25 to 5122-30 and Ohio Revised Code Chapter 5119</w:t>
      </w:r>
    </w:p>
    <w:p>
      <w:pPr>
        <w:pStyle w:val="Normal"/>
        <w:spacing w:before="60" w:after="0"/>
        <w:jc w:val="center"/>
        <w:rPr/>
      </w:pPr>
      <w:r>
        <w:rPr>
          <w:rFonts w:eastAsia="Arial" w:cs="Arial"/>
          <w:color w:val="666666"/>
          <w:sz w:val="18"/>
          <w:szCs w:val="18"/>
        </w:rPr>
        <w:t>Ohio Department of Mental Health and Addiction Services (OhioMHAS)</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an Ohio community behavioral health provider certified by the Ohio Department of Mental Health and Addiction Services (OhioMHAS), Bureau of Licensure and Certification. It is built to the certification and service standards in the Ohio Administrative Code (OAC) Chapters 5122-25 (certification), 5122-26 (administrative standards), 5122-27 (clinical documentation), and 5122-29 (behavioral health service standards), and, for residential settings, the residential-facility licensure standards in Chapter 5122-30, under the statutory authority of Ohio Revised Code (ORC) Chapter 5119.</w:t>
      </w:r>
    </w:p>
    <w:p>
      <w:pPr>
        <w:pStyle w:val="Normal"/>
        <w:spacing w:lineRule="exact" w:line="276" w:before="0" w:after="120"/>
        <w:rPr/>
      </w:pPr>
      <w:r>
        <w:rPr>
          <w:rFonts w:eastAsia="Arial" w:cs="Arial"/>
          <w:sz w:val="21"/>
          <w:szCs w:val="21"/>
        </w:rPr>
        <w:t>How Ohio regulates behavioral health. Ohio integrates mental health and substance use disorder services under a single authority, OhioMHAS. Under House Bill 33, almost all community behavioral health services providers must be certified by OhioMHAS in order to bill for a mental health or addiction service. A provider is certified to provide mental health services, addiction treatment services, or services to both populations, and a provider that operates a residential facility must also be licensed as a residential facility under Chapter 5122-30 in addition to being certified for the services it provides there. This manual addresses both certification and residential licensure.</w:t>
      </w:r>
    </w:p>
    <w:p>
      <w:pPr>
        <w:pStyle w:val="Normal"/>
        <w:spacing w:lineRule="exact" w:line="276" w:before="0" w:after="120"/>
        <w:rPr/>
      </w:pPr>
      <w:r>
        <w:rPr>
          <w:rFonts w:eastAsia="Arial" w:cs="Arial"/>
          <w:sz w:val="21"/>
          <w:szCs w:val="21"/>
        </w:rPr>
        <w:t>Integrated mental health and substance use. Because Ohio integrates behavioral health, this single manual covers both mental health and substance use disorder services. Sections A through E contain the standards that apply to the provider regardless of the specific service, and Section F contains the service-type standards — general services, residential and withdrawal management substance use disorder services, crisis intervention, SUD case management, peer support, community psychiatric supportive treatment, assertive community treatment and intensive home-based treatment, and telehealth. Adopt the Section F policies only for the services the provider is certified to provide.</w:t>
      </w:r>
    </w:p>
    <w:p>
      <w:pPr>
        <w:pStyle w:val="Normal"/>
        <w:spacing w:lineRule="exact" w:line="276" w:before="0" w:after="120"/>
        <w:rPr/>
      </w:pPr>
      <w:r>
        <w:rPr>
          <w:rFonts w:eastAsia="Arial" w:cs="Arial"/>
          <w:sz w:val="21"/>
          <w:szCs w:val="21"/>
        </w:rPr>
        <w:t>Levels of care. Ohio uses the American Society of Addiction Medicine (ASAM) criteria to determine the level of care for substance use disorder services, including residential and withdrawal management services provided at ASAM Level 3 and its sub-levels. This manual references ASAM within the relevant policies; the provider applies the level(s) of care for the services it delivers.</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organization's information, and review each policy against your actual operations, your accreditation standards, and your OhioMHAS certification and any residential license before adopting.</w:t>
      </w:r>
    </w:p>
    <w:p>
      <w:pPr>
        <w:pStyle w:val="Normal"/>
        <w:spacing w:lineRule="exact" w:line="276" w:before="0" w:after="120"/>
        <w:rPr/>
      </w:pPr>
      <w:r>
        <w:rPr>
          <w:rFonts w:eastAsia="Arial" w:cs="Arial"/>
          <w:sz w:val="21"/>
          <w:szCs w:val="21"/>
        </w:rPr>
        <w:t>A note on terminology. This manual refers to the person receiving services as the client (Ohio rules also use “person” and “individual served”); to the certified entity as the provider or agency; to the individualized treatment plan as the ITP; and to a qualified non-licensed worker as a qualified behavioral health specialist (QBHS). Services must be provided and supervised by individuals eligible under OAC 5122-29-30 and credentialed, where required, by the Ohio Chemical Dependency Professionals Board; the Ohio Counselor, Social Worker, and Marriage and Family Therapist Board; the State Medical Board of Ohio; the Ohio Board of Nursing; the Ohio Board of Pharmacy; or the Ohio Board of Psychology.</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applicable Ohio law.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accreditation. Under House Bill 33, community behavioral health services providers seeking initial certification on or after October 3, 2023 must be nationally accredited, and providers certified before that date were given until October 1, 2025 to comply. OhioMHAS recognizes three national accrediting bodies: The Joint Commission (TJC), the Commission on Accreditation of Rehabilitation Facilities (CARF), and the Council on Accreditation (COA). Confirm your accreditation obligations and align this manual with your accreditor's standards.</w:t>
      </w:r>
    </w:p>
    <w:p>
      <w:pPr>
        <w:pStyle w:val="Normal"/>
        <w:spacing w:lineRule="exact" w:line="276" w:before="0" w:after="120"/>
        <w:rPr/>
      </w:pPr>
      <w:r>
        <w:rPr>
          <w:rFonts w:eastAsia="Arial" w:cs="Arial"/>
          <w:sz w:val="21"/>
          <w:szCs w:val="21"/>
        </w:rPr>
        <w:t>A note on the regulatory landscape. Ohio's behavioral health rules are amended regularly, and House Bill 33 made significant changes to certification and accreditation. This manual is built to the current Chapters 5122-25 through 5122-30. Confirm the current version of the applicable OAC rules and your certification, accreditation, and license requirements with OhioMHAS before adopting, and update the manual when the rules change.</w:t>
      </w:r>
    </w:p>
    <w:p>
      <w:pPr>
        <w:pStyle w:val="Normal"/>
        <w:spacing w:lineRule="exact" w:line="276" w:before="0" w:after="120"/>
        <w:rPr/>
      </w:pPr>
      <w:r>
        <w:rPr>
          <w:rFonts w:eastAsia="Arial" w:cs="Arial"/>
          <w:sz w:val="21"/>
          <w:szCs w:val="21"/>
        </w:rPr>
        <w:t>This manual is a template and is not legal advice. Behavioral health regulation in Ohio is detailed and changes frequently; the provider should have qualified Ohio counsel or a compliance professional review this manual against the current rules, accreditation standards, and the provider's certification and license before adoption. Official OhioMHAS forms are referenced by name only; obtain current versions from OhioMHAS and your accreditor.</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Certification, Licensure &amp; Administration</w:t>
      </w:r>
    </w:p>
    <w:p>
      <w:pPr>
        <w:pStyle w:val="Normal"/>
        <w:spacing w:lineRule="exact" w:line="288" w:before="0" w:after="240"/>
        <w:rPr/>
      </w:pPr>
      <w:r>
        <w:rPr>
          <w:rFonts w:eastAsia="Arial" w:cs="Arial"/>
          <w:color w:val="444444"/>
          <w:sz w:val="22"/>
          <w:szCs w:val="22"/>
        </w:rPr>
        <w:t>This section establishes how the provider is certified and licensed — organization and governance, OhioMHAS certification of services, national accreditation, residential facility licensure (Class 1–3), policy and document control, and quality, compliance, ADAMH coordination, and adverse-action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Organization &amp; Governance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OhioMHAS Certification of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National Accreditation (TJC / CARF / COA)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Residential Facility Licensure (Class 1/2/3)</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Policies, Procedures &amp;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Compliance, ADAMH Coordination &amp; Adverse-Action Reporting</w:t>
      </w:r>
    </w:p>
    <w:p>
      <w:pPr>
        <w:pStyle w:val="Normal"/>
        <w:rPr/>
      </w:pPr>
      <w:r>
        <w:rPr/>
      </w:r>
      <w:r>
        <w:br w:type="page"/>
      </w:r>
    </w:p>
    <w:p>
      <w:pPr>
        <w:pStyle w:val="Heading2"/>
        <w:spacing w:before="0" w:after="120"/>
        <w:rPr/>
      </w:pPr>
      <w:r>
        <w:rPr>
          <w:rFonts w:eastAsia="Arial" w:cs="Arial" w:ascii="Arial" w:hAnsi="Arial"/>
          <w:b/>
          <w:bCs/>
          <w:color w:val="1A4731"/>
          <w:sz w:val="26"/>
          <w:szCs w:val="26"/>
        </w:rPr>
        <w:t>1.00  Organization &amp; Governance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Organization &amp; Governance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5122-25; 5122-26; ORC Ch. 5119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provider's organizational structure and governance so that behavioral health services are delivered safely, lawfully, and consistent with OhioMHAS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the executive leadership, and all management personnel across every service the provider delivers.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is a legally constituted entity with a governing authority responsible for its mission, policies, financial integrity, and compliance with applicable law, its accreditation standards, and its OhioMHAS certification and any residential license. The governing authority defines the organizational structure and lines of authority, appoints executive leadership responsible for day-to-day operations, and ensures the provider maintains the certification, accreditation, and licensure required for its services and settings. Clinical services operate under the direction of appropriately credentialed and licensed practitioners, and the provider maintains a written description of the services it is certified to provide and the populations it serves.</w:t>
      </w:r>
    </w:p>
    <w:p>
      <w:pPr>
        <w:pStyle w:val="Normal"/>
        <w:pBdr>
          <w:bottom w:val="single" w:sz="4" w:space="1" w:color="2E5E45"/>
        </w:pBdr>
        <w:spacing w:before="160" w:after="80"/>
        <w:rPr/>
      </w:pPr>
      <w:r>
        <w:rPr>
          <w:rFonts w:eastAsia="Arial" w:cs="Arial"/>
          <w:b/>
          <w:bCs/>
          <w:color w:val="1A4731"/>
          <w:sz w:val="20"/>
          <w:szCs w:val="20"/>
        </w:rPr>
        <w:t>PROCEDURE — ORGANIZATION &amp; GOVERNANCE</w:t>
      </w:r>
    </w:p>
    <w:p>
      <w:pPr>
        <w:pStyle w:val="Normal"/>
        <w:tabs>
          <w:tab w:val="left" w:pos="720" w:leader="none"/>
        </w:tabs>
        <w:spacing w:lineRule="exact" w:line="264" w:before="0" w:after="80"/>
        <w:ind w:hanging="360" w:start="720"/>
        <w:rPr/>
      </w:pPr>
      <w:r>
        <w:rPr>
          <w:rFonts w:eastAsia="Arial" w:cs="Arial"/>
          <w:sz w:val="21"/>
          <w:szCs w:val="21"/>
        </w:rPr>
        <w:t>a. Maintain the provider's legal-entity documentation, governing authority, and a written organizational structure with defined lines of authority.</w:t>
      </w:r>
    </w:p>
    <w:p>
      <w:pPr>
        <w:pStyle w:val="Normal"/>
        <w:tabs>
          <w:tab w:val="left" w:pos="720" w:leader="none"/>
        </w:tabs>
        <w:spacing w:lineRule="exact" w:line="264" w:before="0" w:after="80"/>
        <w:ind w:hanging="360" w:start="720"/>
        <w:rPr/>
      </w:pPr>
      <w:r>
        <w:rPr>
          <w:rFonts w:eastAsia="Arial" w:cs="Arial"/>
          <w:sz w:val="21"/>
          <w:szCs w:val="21"/>
        </w:rPr>
        <w:t>b. Appoint executive leadership and ensure clinical direction by appropriately credentialed practitioners.</w:t>
      </w:r>
    </w:p>
    <w:p>
      <w:pPr>
        <w:pStyle w:val="Normal"/>
        <w:tabs>
          <w:tab w:val="left" w:pos="720" w:leader="none"/>
        </w:tabs>
        <w:spacing w:lineRule="exact" w:line="264" w:before="0" w:after="80"/>
        <w:ind w:hanging="360" w:start="720"/>
        <w:rPr/>
      </w:pPr>
      <w:r>
        <w:rPr>
          <w:rFonts w:eastAsia="Arial" w:cs="Arial"/>
          <w:sz w:val="21"/>
          <w:szCs w:val="21"/>
        </w:rPr>
        <w:t>c. Maintain required certification, accreditation, and licensure and a written description of certified services and populations served.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Authority Charter &amp; Bylaws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Executive Leadership Job Descriptions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OhioMHAS Certification of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OhioMHAS Certification of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5122-25-01, 5122-25-03, 5122-25-05, 5122-25-08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OhioMHAS certification for the behavioral health services the provider delivers.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certification of all services the provider is required to have certified.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obtains and maintains OhioMHAS certification for the services it provides, in accordance with OAC Chapter 5122-25, and does not provide a service for which certification is required without being certified. The provider submits a complete application (OAC 5122-25-03) identifying whether it seeks to provide mental health services, addiction treatment services, or both; the services and qualified providers and supervisors under Chapter 5122-29; the number of beds for each residential and withdrawal management location; and the policies, procedures, and documentation Chapters 5122-26 to 5122-29 require, together with the applicable fee (5122-25-08). The provider demonstrates clinical readiness (including an electronic health record or documentation samples), cooperates with the on-site survey (5122-25-05), corrects any deficiency through a corrective-action plan within required timeframes, and maintains certification, renewing it timely.</w:t>
      </w:r>
    </w:p>
    <w:p>
      <w:pPr>
        <w:pStyle w:val="Normal"/>
        <w:pBdr>
          <w:bottom w:val="single" w:sz="4" w:space="1" w:color="2E5E45"/>
        </w:pBdr>
        <w:spacing w:before="160" w:after="80"/>
        <w:rPr/>
      </w:pPr>
      <w:r>
        <w:rPr>
          <w:rFonts w:eastAsia="Arial" w:cs="Arial"/>
          <w:b/>
          <w:bCs/>
          <w:color w:val="1A4731"/>
          <w:sz w:val="20"/>
          <w:szCs w:val="20"/>
        </w:rPr>
        <w:t>PROCEDURE — CERTIFICATION</w:t>
      </w:r>
    </w:p>
    <w:p>
      <w:pPr>
        <w:pStyle w:val="Normal"/>
        <w:tabs>
          <w:tab w:val="left" w:pos="720" w:leader="none"/>
        </w:tabs>
        <w:spacing w:lineRule="exact" w:line="264" w:before="0" w:after="80"/>
        <w:ind w:hanging="360" w:start="720"/>
        <w:rPr/>
      </w:pPr>
      <w:r>
        <w:rPr>
          <w:rFonts w:eastAsia="Arial" w:cs="Arial"/>
          <w:sz w:val="21"/>
          <w:szCs w:val="21"/>
        </w:rPr>
        <w:t>a. Submit a complete certification application identifying services, providers, beds, and required documentation with the fee.</w:t>
      </w:r>
    </w:p>
    <w:p>
      <w:pPr>
        <w:pStyle w:val="Normal"/>
        <w:tabs>
          <w:tab w:val="left" w:pos="720" w:leader="none"/>
        </w:tabs>
        <w:spacing w:lineRule="exact" w:line="264" w:before="0" w:after="80"/>
        <w:ind w:hanging="360" w:start="720"/>
        <w:rPr/>
      </w:pPr>
      <w:r>
        <w:rPr>
          <w:rFonts w:eastAsia="Arial" w:cs="Arial"/>
          <w:sz w:val="21"/>
          <w:szCs w:val="21"/>
        </w:rPr>
        <w:t>b. Demonstrate clinical/documentation readiness and cooperate with the on-site survey.</w:t>
      </w:r>
    </w:p>
    <w:p>
      <w:pPr>
        <w:pStyle w:val="Normal"/>
        <w:tabs>
          <w:tab w:val="left" w:pos="720" w:leader="none"/>
        </w:tabs>
        <w:spacing w:lineRule="exact" w:line="264" w:before="0" w:after="80"/>
        <w:ind w:hanging="360" w:start="720"/>
        <w:rPr/>
      </w:pPr>
      <w:r>
        <w:rPr>
          <w:rFonts w:eastAsia="Arial" w:cs="Arial"/>
          <w:sz w:val="21"/>
          <w:szCs w:val="21"/>
        </w:rPr>
        <w:t>c. Correct deficiencies through corrective action within required timeframes and renew certification timely.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OhioMHAS Certification Application &amp; Certificate</w:t>
      </w:r>
    </w:p>
    <w:p>
      <w:pPr>
        <w:pStyle w:val="ListParagraph"/>
        <w:numPr>
          <w:ilvl w:val="0"/>
          <w:numId w:val="1"/>
        </w:numPr>
        <w:spacing w:lineRule="exact" w:line="264" w:before="0" w:after="60"/>
        <w:rPr/>
      </w:pPr>
      <w:r>
        <w:rPr>
          <w:rFonts w:eastAsia="Arial" w:cs="Arial"/>
          <w:sz w:val="21"/>
          <w:szCs w:val="21"/>
        </w:rPr>
        <w:t>Service &amp; Bed Inventory</w:t>
      </w:r>
    </w:p>
    <w:p>
      <w:pPr>
        <w:pStyle w:val="ListParagraph"/>
        <w:numPr>
          <w:ilvl w:val="0"/>
          <w:numId w:val="1"/>
        </w:numPr>
        <w:spacing w:lineRule="exact" w:line="264" w:before="0" w:after="60"/>
        <w:rPr/>
      </w:pPr>
      <w:r>
        <w:rPr>
          <w:rFonts w:eastAsia="Arial" w:cs="Arial"/>
          <w:sz w:val="21"/>
          <w:szCs w:val="21"/>
        </w:rPr>
        <w:t>Corrective Action Plan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National Accreditation (TJC / CARF / COA)</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National Accreditation (TJC / CARF / COA)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ORC Ch. 5119 (H.B. 33); OAC 5122-25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national accreditation Ohio requires for community behavioral health certification.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provider's national accreditation obligations.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obtains and maintains national accreditation by an OhioMHAS-recognized accrediting body — The Joint Commission (TJC), CARF, or COA — as required by House Bill 33 for community behavioral health services providers, and operates in compliance with that accreditor's standards. The provider new to certification on or after October 3, 2023 obtains accreditation as a condition of initial certification, and a provider certified before that date maintains accreditation consistent with the compliance timeline (by October 1, 2025). The provider submits proof of accreditation and survey reports to OhioMHAS as required and maintains accreditation without lapse.</w:t>
      </w:r>
    </w:p>
    <w:p>
      <w:pPr>
        <w:pStyle w:val="Normal"/>
        <w:pBdr>
          <w:bottom w:val="single" w:sz="4" w:space="1" w:color="2E5E45"/>
        </w:pBdr>
        <w:spacing w:before="160" w:after="80"/>
        <w:rPr/>
      </w:pPr>
      <w:r>
        <w:rPr>
          <w:rFonts w:eastAsia="Arial" w:cs="Arial"/>
          <w:b/>
          <w:bCs/>
          <w:color w:val="1A4731"/>
          <w:sz w:val="20"/>
          <w:szCs w:val="20"/>
        </w:rPr>
        <w:t>PROCEDURE — ACCREDITATION</w:t>
      </w:r>
    </w:p>
    <w:p>
      <w:pPr>
        <w:pStyle w:val="Normal"/>
        <w:tabs>
          <w:tab w:val="left" w:pos="720" w:leader="none"/>
        </w:tabs>
        <w:spacing w:lineRule="exact" w:line="264" w:before="0" w:after="80"/>
        <w:ind w:hanging="360" w:start="720"/>
        <w:rPr/>
      </w:pPr>
      <w:r>
        <w:rPr>
          <w:rFonts w:eastAsia="Arial" w:cs="Arial"/>
          <w:sz w:val="21"/>
          <w:szCs w:val="21"/>
        </w:rPr>
        <w:t>a. Obtain accreditation by TJC, CARF, or COA and comply with the accreditor's standards.</w:t>
      </w:r>
    </w:p>
    <w:p>
      <w:pPr>
        <w:pStyle w:val="Normal"/>
        <w:tabs>
          <w:tab w:val="left" w:pos="720" w:leader="none"/>
        </w:tabs>
        <w:spacing w:lineRule="exact" w:line="264" w:before="0" w:after="80"/>
        <w:ind w:hanging="360" w:start="720"/>
        <w:rPr/>
      </w:pPr>
      <w:r>
        <w:rPr>
          <w:rFonts w:eastAsia="Arial" w:cs="Arial"/>
          <w:sz w:val="21"/>
          <w:szCs w:val="21"/>
        </w:rPr>
        <w:t>b. Meet the applicable accreditation timeline for initial or continued certification.</w:t>
      </w:r>
    </w:p>
    <w:p>
      <w:pPr>
        <w:pStyle w:val="Normal"/>
        <w:tabs>
          <w:tab w:val="left" w:pos="720" w:leader="none"/>
        </w:tabs>
        <w:spacing w:lineRule="exact" w:line="264" w:before="0" w:after="80"/>
        <w:ind w:hanging="360" w:start="720"/>
        <w:rPr/>
      </w:pPr>
      <w:r>
        <w:rPr>
          <w:rFonts w:eastAsia="Arial" w:cs="Arial"/>
          <w:sz w:val="21"/>
          <w:szCs w:val="21"/>
        </w:rPr>
        <w:t>c. Submit proof of accreditation and survey reports to OhioMHAS and prevent lapse.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Accreditation Timeline &amp; Renewal Tracker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Residential Facility Licensure (Class 1/2/3)</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Residential Facility Licensure (Class 1/2/3)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5122-30; 5122-30-29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OhioMHAS residential-facility licensure where the provider operates a residential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any residential facility the provider operates that requires licensure under Chapter 5122-30.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provider operates a residential facility that provides accommodations, supervision, personal care, and behavioral health services, the provider obtains and maintains the applicable residential-facility license (Class 1, 2, or 3) under OAC Chapter 5122-30 and, in addition, is certified under Chapters 5122-24 to 5122-29 to provide the behavioral health services delivered at the residential location. A Class 1 facility's primary purpose is to provide behavioral health services, with room, board, and personal care secondary or ancillary. A facility serving children or adolescents meets the additional standards that apply, including the qualified residential treatment program (QRTP) standards where applicable (5122-30-32). The provider maintains the physical-plant, safety, and program standards the residential rules require and cooperates with residential licensing surveys.</w:t>
      </w:r>
    </w:p>
    <w:p>
      <w:pPr>
        <w:pStyle w:val="Normal"/>
        <w:pBdr>
          <w:bottom w:val="single" w:sz="4" w:space="1" w:color="2E5E45"/>
        </w:pBdr>
        <w:spacing w:before="160" w:after="80"/>
        <w:rPr/>
      </w:pPr>
      <w:r>
        <w:rPr>
          <w:rFonts w:eastAsia="Arial" w:cs="Arial"/>
          <w:b/>
          <w:bCs/>
          <w:color w:val="1A4731"/>
          <w:sz w:val="20"/>
          <w:szCs w:val="20"/>
        </w:rPr>
        <w:t>PROCEDURE — RESIDENTIAL LICENSURE</w:t>
      </w:r>
    </w:p>
    <w:p>
      <w:pPr>
        <w:pStyle w:val="Normal"/>
        <w:tabs>
          <w:tab w:val="left" w:pos="720" w:leader="none"/>
        </w:tabs>
        <w:spacing w:lineRule="exact" w:line="264" w:before="0" w:after="80"/>
        <w:ind w:hanging="360" w:start="720"/>
        <w:rPr/>
      </w:pPr>
      <w:r>
        <w:rPr>
          <w:rFonts w:eastAsia="Arial" w:cs="Arial"/>
          <w:sz w:val="21"/>
          <w:szCs w:val="21"/>
        </w:rPr>
        <w:t>a. Obtain and maintain the applicable Class 1/2/3 residential license and certify the behavioral health services provided at the location.</w:t>
      </w:r>
    </w:p>
    <w:p>
      <w:pPr>
        <w:pStyle w:val="Normal"/>
        <w:tabs>
          <w:tab w:val="left" w:pos="720" w:leader="none"/>
        </w:tabs>
        <w:spacing w:lineRule="exact" w:line="264" w:before="0" w:after="80"/>
        <w:ind w:hanging="360" w:start="720"/>
        <w:rPr/>
      </w:pPr>
      <w:r>
        <w:rPr>
          <w:rFonts w:eastAsia="Arial" w:cs="Arial"/>
          <w:sz w:val="21"/>
          <w:szCs w:val="21"/>
        </w:rPr>
        <w:t>b. Meet Class-specific and, where applicable, QRTP standards and the physical-plant and safety requirements.</w:t>
      </w:r>
    </w:p>
    <w:p>
      <w:pPr>
        <w:pStyle w:val="Normal"/>
        <w:tabs>
          <w:tab w:val="left" w:pos="720" w:leader="none"/>
        </w:tabs>
        <w:spacing w:lineRule="exact" w:line="264" w:before="0" w:after="80"/>
        <w:ind w:hanging="360" w:start="720"/>
        <w:rPr/>
      </w:pPr>
      <w:r>
        <w:rPr>
          <w:rFonts w:eastAsia="Arial" w:cs="Arial"/>
          <w:sz w:val="21"/>
          <w:szCs w:val="21"/>
        </w:rPr>
        <w:t>c. Cooperate with residential licensing surveys and correct deficiencies.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Facility License &amp; Class Designation</w:t>
      </w:r>
    </w:p>
    <w:p>
      <w:pPr>
        <w:pStyle w:val="ListParagraph"/>
        <w:numPr>
          <w:ilvl w:val="0"/>
          <w:numId w:val="1"/>
        </w:numPr>
        <w:spacing w:lineRule="exact" w:line="264" w:before="0" w:after="60"/>
        <w:rPr/>
      </w:pPr>
      <w:r>
        <w:rPr>
          <w:rFonts w:eastAsia="Arial" w:cs="Arial"/>
          <w:sz w:val="21"/>
          <w:szCs w:val="21"/>
        </w:rPr>
        <w:t>Physical-Plant &amp; Safety Compliance File</w:t>
      </w:r>
    </w:p>
    <w:p>
      <w:pPr>
        <w:pStyle w:val="ListParagraph"/>
        <w:numPr>
          <w:ilvl w:val="0"/>
          <w:numId w:val="1"/>
        </w:numPr>
        <w:spacing w:lineRule="exact" w:line="264" w:before="0" w:after="60"/>
        <w:rPr/>
      </w:pPr>
      <w:r>
        <w:rPr>
          <w:rFonts w:eastAsia="Arial" w:cs="Arial"/>
          <w:sz w:val="21"/>
          <w:szCs w:val="21"/>
        </w:rPr>
        <w:t>QRTP Standards File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Policies, Procedures &amp;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Policies, Procedures &amp;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5122-26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maintains current, approved policies and procedures that satisfy OhioMHAS certification, accreditation, and licensure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provider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the written policies, procedures, and plans required by OAC Chapters 5122-26 to 5122-30 and its accreditation standards, describing its services and the populations served. Policies are approved by the appropriate authority, made available to staff, reviewed and revised as needed and at least as the rules and accreditor require, and maintained under version control with an effective date, revision dates, and a document-history record for each policy. All staff have a working knowledge of the policies applicable to their duties, and policy distribution and acknowledgment are documented.</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the policies, procedures, and plans required by Chapters 5122-26 to 5122-30 and accreditation.</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as required and record each revision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Compliance, ADAMH Coordination &amp; Adverse-Action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Compliance, ADAMH Coordination &amp; Adverse-Action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5122-25; ORC Ch. 5119 (H.B. 33)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and compliance program, coordinate with the local ADAMH board, and meet adverse-action reporting obligations.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management, compliance, and required notifications to OhioMHAS and ADAMH boards.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operates a quality management and compliance program, consistent with its accreditation standards, that evaluates service quality and outcomes, reviews incidents and grievances, identifies improvement opportunities, implements corrective action, and verifies effectiveness. The provider coordinates with the local Alcohol, Drug Addiction, and Mental Health (ADAMH) board serving the area where it provides services. The provider informs OhioMHAS of any adverse action taken against it within the three years before an application and, within seven days of receiving notice, of any notice of adverse action from a licensing or regulatory authority other than OhioMHAS, and understands that a provider may be denied certification if subject to an adverse action during the preceding three years.</w:t>
      </w:r>
    </w:p>
    <w:p>
      <w:pPr>
        <w:pStyle w:val="Normal"/>
        <w:pBdr>
          <w:bottom w:val="single" w:sz="4" w:space="1" w:color="2E5E45"/>
        </w:pBdr>
        <w:spacing w:before="160" w:after="80"/>
        <w:rPr/>
      </w:pPr>
      <w:r>
        <w:rPr>
          <w:rFonts w:eastAsia="Arial" w:cs="Arial"/>
          <w:b/>
          <w:bCs/>
          <w:color w:val="1A4731"/>
          <w:sz w:val="20"/>
          <w:szCs w:val="20"/>
        </w:rPr>
        <w:t>PROCEDURE — QUALITY, COMPLIANCE &amp; REPORTING</w:t>
      </w:r>
    </w:p>
    <w:p>
      <w:pPr>
        <w:pStyle w:val="Normal"/>
        <w:tabs>
          <w:tab w:val="left" w:pos="720" w:leader="none"/>
        </w:tabs>
        <w:spacing w:lineRule="exact" w:line="264" w:before="0" w:after="80"/>
        <w:ind w:hanging="360" w:start="720"/>
        <w:rPr/>
      </w:pPr>
      <w:r>
        <w:rPr>
          <w:rFonts w:eastAsia="Arial" w:cs="Arial"/>
          <w:sz w:val="21"/>
          <w:szCs w:val="21"/>
        </w:rPr>
        <w:t>a. Operate a quality and compliance program that reviews outcomes, incidents, and grievances and implements corrective action.</w:t>
      </w:r>
    </w:p>
    <w:p>
      <w:pPr>
        <w:pStyle w:val="Normal"/>
        <w:tabs>
          <w:tab w:val="left" w:pos="720" w:leader="none"/>
        </w:tabs>
        <w:spacing w:lineRule="exact" w:line="264" w:before="0" w:after="80"/>
        <w:ind w:hanging="360" w:start="720"/>
        <w:rPr/>
      </w:pPr>
      <w:r>
        <w:rPr>
          <w:rFonts w:eastAsia="Arial" w:cs="Arial"/>
          <w:sz w:val="21"/>
          <w:szCs w:val="21"/>
        </w:rPr>
        <w:t>b. Coordinate with the local ADAMH board where services are provided.</w:t>
      </w:r>
    </w:p>
    <w:p>
      <w:pPr>
        <w:pStyle w:val="Normal"/>
        <w:tabs>
          <w:tab w:val="left" w:pos="720" w:leader="none"/>
        </w:tabs>
        <w:spacing w:lineRule="exact" w:line="264" w:before="0" w:after="80"/>
        <w:ind w:hanging="360" w:start="720"/>
        <w:rPr/>
      </w:pPr>
      <w:r>
        <w:rPr>
          <w:rFonts w:eastAsia="Arial" w:cs="Arial"/>
          <w:sz w:val="21"/>
          <w:szCs w:val="21"/>
        </w:rPr>
        <w:t>c. Report adverse actions to OhioMHAS as required, including within seven days of a notice from another authority.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&amp; Compliance Plan</w:t>
      </w:r>
    </w:p>
    <w:p>
      <w:pPr>
        <w:pStyle w:val="ListParagraph"/>
        <w:numPr>
          <w:ilvl w:val="0"/>
          <w:numId w:val="1"/>
        </w:numPr>
        <w:spacing w:lineRule="exact" w:line="264" w:before="0" w:after="60"/>
        <w:rPr/>
      </w:pPr>
      <w:r>
        <w:rPr>
          <w:rFonts w:eastAsia="Arial" w:cs="Arial"/>
          <w:sz w:val="21"/>
          <w:szCs w:val="21"/>
        </w:rPr>
        <w:t>Adverse-Action Notification Log</w:t>
      </w:r>
    </w:p>
    <w:p>
      <w:pPr>
        <w:pStyle w:val="ListParagraph"/>
        <w:numPr>
          <w:ilvl w:val="0"/>
          <w:numId w:val="1"/>
        </w:numPr>
        <w:spacing w:lineRule="exact" w:line="264" w:before="0" w:after="60"/>
        <w:rPr/>
      </w:pPr>
      <w:r>
        <w:rPr>
          <w:rFonts w:eastAsia="Arial" w:cs="Arial"/>
          <w:sz w:val="21"/>
          <w:szCs w:val="21"/>
        </w:rPr>
        <w:t>ADAMH Board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personnel records; eligible providers, credentialing and scope of practice; qualified behavioral health specialists; clinical supervision; staff training and development; and criminal background checks and screening.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Policies &amp;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Eligible Providers, Credentialing &amp; Scope of Practice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Qualified Behavioral Health Specialists (QBHS)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Criminal Background Checks &amp; Screening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Policies &amp;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Policies &amp;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5122-26; 5122-29-30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maintains sound personnel practices and complete personnel records for all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contractors, interns, and volunteers and to the person responsible for personnel administration.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written personnel policies addressing recruitment and selection, job descriptions and qualifications, supervision, performance evaluation, non-discrimination, disciplinary action, and staff conduct. A personnel record is maintained for each staff member that includes the job description and documentation that the staff member meets the qualifications; verification of required licensure, certification, or registration and, for a QBHS, documentation of required competencies; documentation of the required background checks; performance evaluations; and documentation of required training.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PERSONNEL &amp; RECORDS</w:t>
      </w:r>
    </w:p>
    <w:p>
      <w:pPr>
        <w:pStyle w:val="Normal"/>
        <w:tabs>
          <w:tab w:val="left" w:pos="720" w:leader="none"/>
        </w:tabs>
        <w:spacing w:lineRule="exact" w:line="264" w:before="0" w:after="80"/>
        <w:ind w:hanging="360" w:start="720"/>
        <w:rPr/>
      </w:pPr>
      <w:r>
        <w:rPr>
          <w:rFonts w:eastAsia="Arial" w:cs="Arial"/>
          <w:sz w:val="21"/>
          <w:szCs w:val="21"/>
        </w:rPr>
        <w:t>a. Maintain written personnel policies covering recruitment, qualifications, supervision, evaluation, discipline, and conduct.</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credential verification, background-check documentation, evaluations, and training.</w:t>
      </w:r>
    </w:p>
    <w:p>
      <w:pPr>
        <w:pStyle w:val="Normal"/>
        <w:tabs>
          <w:tab w:val="left" w:pos="720" w:leader="none"/>
        </w:tabs>
        <w:spacing w:lineRule="exact" w:line="264" w:before="0" w:after="80"/>
        <w:ind w:hanging="360" w:start="720"/>
        <w:rPr/>
      </w:pPr>
      <w:r>
        <w:rPr>
          <w:rFonts w:eastAsia="Arial" w:cs="Arial"/>
          <w:sz w:val="21"/>
          <w:szCs w:val="21"/>
        </w:rPr>
        <w:t>c. Keep records current and protected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Eligible Providers, Credentialing &amp; Scope of Practice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Eligible Providers, Credentialing &amp; Scope of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provided and supervised by individuals eligible under OAC 5122-29-30 and credentialed within their scope of practice.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individuals who provide or supervise certified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Services are provided and supervised only by individuals eligible under OAC 5122-29-30 and within their professional scope of practice. Licensed, certified, or registered individuals comply with the scope-of-practice, supervisory, and ethical requirements of their credentialing body — the Ohio Chemical Dependency Professionals Board; the Ohio Counselor, Social Worker, and Marriage and Family Therapist Board; the State Medical Board of Ohio; the Ohio Board of Nursing; the Ohio Board of Pharmacy; or the Ohio Board of Psychology. An individual who is not credentialed by one of these boards does not provide a service or activity for which such a credential is required and instead meets the requirements of a qualified behavioral health specialist. The provider verifies each individual's credential before the individual provides services and monitors continued good standing.</w:t>
      </w:r>
    </w:p>
    <w:p>
      <w:pPr>
        <w:pStyle w:val="Normal"/>
        <w:pBdr>
          <w:bottom w:val="single" w:sz="4" w:space="1" w:color="2E5E45"/>
        </w:pBdr>
        <w:spacing w:before="160" w:after="80"/>
        <w:rPr/>
      </w:pPr>
      <w:r>
        <w:rPr>
          <w:rFonts w:eastAsia="Arial" w:cs="Arial"/>
          <w:b/>
          <w:bCs/>
          <w:color w:val="1A4731"/>
          <w:sz w:val="20"/>
          <w:szCs w:val="20"/>
        </w:rPr>
        <w:t>PROCEDURE — ELIGIBILITY &amp; SCOPE</w:t>
      </w:r>
    </w:p>
    <w:p>
      <w:pPr>
        <w:pStyle w:val="Normal"/>
        <w:tabs>
          <w:tab w:val="left" w:pos="720" w:leader="none"/>
        </w:tabs>
        <w:spacing w:lineRule="exact" w:line="264" w:before="0" w:after="80"/>
        <w:ind w:hanging="360" w:start="720"/>
        <w:rPr/>
      </w:pPr>
      <w:r>
        <w:rPr>
          <w:rFonts w:eastAsia="Arial" w:cs="Arial"/>
          <w:sz w:val="21"/>
          <w:szCs w:val="21"/>
        </w:rPr>
        <w:t>a. Verify each provider's and supervisor's credential and eligibility under 5122-29-30 before service delivery.</w:t>
      </w:r>
    </w:p>
    <w:p>
      <w:pPr>
        <w:pStyle w:val="Normal"/>
        <w:tabs>
          <w:tab w:val="left" w:pos="720" w:leader="none"/>
        </w:tabs>
        <w:spacing w:lineRule="exact" w:line="264" w:before="0" w:after="80"/>
        <w:ind w:hanging="360" w:start="720"/>
        <w:rPr/>
      </w:pPr>
      <w:r>
        <w:rPr>
          <w:rFonts w:eastAsia="Arial" w:cs="Arial"/>
          <w:sz w:val="21"/>
          <w:szCs w:val="21"/>
        </w:rPr>
        <w:t>b. Ensure services requiring a board credential are provided only by appropriately credentialed individuals within scope.</w:t>
      </w:r>
    </w:p>
    <w:p>
      <w:pPr>
        <w:pStyle w:val="Normal"/>
        <w:tabs>
          <w:tab w:val="left" w:pos="720" w:leader="none"/>
        </w:tabs>
        <w:spacing w:lineRule="exact" w:line="264" w:before="0" w:after="80"/>
        <w:ind w:hanging="360" w:start="720"/>
        <w:rPr/>
      </w:pPr>
      <w:r>
        <w:rPr>
          <w:rFonts w:eastAsia="Arial" w:cs="Arial"/>
          <w:sz w:val="21"/>
          <w:szCs w:val="21"/>
        </w:rPr>
        <w:t>c. Assign non-credentialed staff only to QBHS-appropriate duties and monitor continued good standing.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Eligible Provider / Supervisor Roster</w:t>
      </w:r>
    </w:p>
    <w:p>
      <w:pPr>
        <w:pStyle w:val="ListParagraph"/>
        <w:numPr>
          <w:ilvl w:val="0"/>
          <w:numId w:val="1"/>
        </w:numPr>
        <w:spacing w:lineRule="exact" w:line="264" w:before="0" w:after="60"/>
        <w:rPr/>
      </w:pPr>
      <w:r>
        <w:rPr>
          <w:rFonts w:eastAsia="Arial" w:cs="Arial"/>
          <w:sz w:val="21"/>
          <w:szCs w:val="21"/>
        </w:rPr>
        <w:t>Primary-Source Verification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Qualified Behavioral Health Specialists (QBHS)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Qualified Behavioral Health Specialists (QBHS)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qualified behavioral health specialists meet the required competencies and are appropriately supervised.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functioning as qualified behavioral health specialists (QBHS).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Qualified Behavioral Health Specialist (QBHS) — an individual trained or educated in mental health or substance use disorder competencies who demonstrates, prior to or within ninety days of hire, the minimum competencies in basic mental health or substance use disorder and recovery skills the rule requires, and who is not otherwise required to perform duties covered by Ohio professional licensure; QBHS includes a qualified mental health specialist and a care management specialist.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QBHS demonstrates the minimum competencies required by OAC 5122-29-30 — including de-escalation techniques and an understanding of how one's own behavior can affect others — prior to or within ninety days of hire, and the provider establishes additional competency requirements as appropriate to the services performed and the population served. A QBHS is supervised by an individual qualified to supervise the provision of services within their scope of practice, and the provider documents the QBHS's competencies and supervision in the personnel record.</w:t>
      </w:r>
    </w:p>
    <w:p>
      <w:pPr>
        <w:pStyle w:val="Normal"/>
        <w:pBdr>
          <w:bottom w:val="single" w:sz="4" w:space="1" w:color="2E5E45"/>
        </w:pBdr>
        <w:spacing w:before="160" w:after="80"/>
        <w:rPr/>
      </w:pPr>
      <w:r>
        <w:rPr>
          <w:rFonts w:eastAsia="Arial" w:cs="Arial"/>
          <w:b/>
          <w:bCs/>
          <w:color w:val="1A4731"/>
          <w:sz w:val="20"/>
          <w:szCs w:val="20"/>
        </w:rPr>
        <w:t>PROCEDURE — QBHS</w:t>
      </w:r>
    </w:p>
    <w:p>
      <w:pPr>
        <w:pStyle w:val="Normal"/>
        <w:tabs>
          <w:tab w:val="left" w:pos="720" w:leader="none"/>
        </w:tabs>
        <w:spacing w:lineRule="exact" w:line="264" w:before="0" w:after="80"/>
        <w:ind w:hanging="360" w:start="720"/>
        <w:rPr/>
      </w:pPr>
      <w:r>
        <w:rPr>
          <w:rFonts w:eastAsia="Arial" w:cs="Arial"/>
          <w:sz w:val="21"/>
          <w:szCs w:val="21"/>
        </w:rPr>
        <w:t>a. Verify or develop the required QBHS competencies prior to or within ninety days of hire and set additional competencies as appropriate.</w:t>
      </w:r>
    </w:p>
    <w:p>
      <w:pPr>
        <w:pStyle w:val="Normal"/>
        <w:tabs>
          <w:tab w:val="left" w:pos="720" w:leader="none"/>
        </w:tabs>
        <w:spacing w:lineRule="exact" w:line="264" w:before="0" w:after="80"/>
        <w:ind w:hanging="360" w:start="720"/>
        <w:rPr/>
      </w:pPr>
      <w:r>
        <w:rPr>
          <w:rFonts w:eastAsia="Arial" w:cs="Arial"/>
          <w:sz w:val="21"/>
          <w:szCs w:val="21"/>
        </w:rPr>
        <w:t>b. Assign a qualified supervisor for each QBHS and document supervision.</w:t>
      </w:r>
    </w:p>
    <w:p>
      <w:pPr>
        <w:pStyle w:val="Normal"/>
        <w:tabs>
          <w:tab w:val="left" w:pos="720" w:leader="none"/>
        </w:tabs>
        <w:spacing w:lineRule="exact" w:line="264" w:before="0" w:after="80"/>
        <w:ind w:hanging="360" w:start="720"/>
        <w:rPr/>
      </w:pPr>
      <w:r>
        <w:rPr>
          <w:rFonts w:eastAsia="Arial" w:cs="Arial"/>
          <w:sz w:val="21"/>
          <w:szCs w:val="21"/>
        </w:rPr>
        <w:t>c. Document QBHS competencies and supervision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QBHS Competency Documentation</w:t>
      </w:r>
    </w:p>
    <w:p>
      <w:pPr>
        <w:pStyle w:val="ListParagraph"/>
        <w:numPr>
          <w:ilvl w:val="0"/>
          <w:numId w:val="1"/>
        </w:numPr>
        <w:spacing w:lineRule="exact" w:line="264" w:before="0" w:after="60"/>
        <w:rPr/>
      </w:pPr>
      <w:r>
        <w:rPr>
          <w:rFonts w:eastAsia="Arial" w:cs="Arial"/>
          <w:sz w:val="21"/>
          <w:szCs w:val="21"/>
        </w:rPr>
        <w:t>QBHS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5122-29-30; credentialing-board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clinical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staff who require supervision — including trainees, registered or dependent-licensed practitioners, and QBHS — provide services under the supervision of an individual qualified to supervise within their scope of practice, consistent with the requirements of the applicable credentialing board and OAC 5122-29-30. The provider defines supervisory relationships, ensures supervised staff provide only services within their qualifications, and documents supervision, including frequency, content, and the supervisor's review of clinical work.</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 qualified supervisor for each supervised clinician and QBHS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5122-26; 5122-30-32 (trauma-informed)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the population served, and the provider's services and settings.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provides new staff with orientation to its operations, policies, client rights, confidentiality requirements, and emergency and safety procedures, and provides ongoing training appropriate to each staff member's duties and the population served, including training on co-occurring disorders, cultural responsiveness, and evidence-based practices as applicable. Where the provider operates a residential facility subject to trauma-informed requirements, all employees, volunteers, interns, and independent contractors are trained in the approved trauma-informed approach within the first thirty days after hire and annually thereafter, and clinical staff are trained on the OhioMHAS-approved trauma model. All required training is documented with the date, subject, participants, and trainer, and documentation is maintained.</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operations, policies, client rights, confidentiality, and emergency procedures.</w:t>
      </w:r>
    </w:p>
    <w:p>
      <w:pPr>
        <w:pStyle w:val="Normal"/>
        <w:tabs>
          <w:tab w:val="left" w:pos="720" w:leader="none"/>
        </w:tabs>
        <w:spacing w:lineRule="exact" w:line="264" w:before="0" w:after="80"/>
        <w:ind w:hanging="360" w:start="720"/>
        <w:rPr/>
      </w:pPr>
      <w:r>
        <w:rPr>
          <w:rFonts w:eastAsia="Arial" w:cs="Arial"/>
          <w:sz w:val="21"/>
          <w:szCs w:val="21"/>
        </w:rPr>
        <w:t>b. Provide trauma-informed training within thirty days of hire and annually where required, and ongoing duty-appropriate training.</w:t>
      </w:r>
    </w:p>
    <w:p>
      <w:pPr>
        <w:pStyle w:val="Normal"/>
        <w:tabs>
          <w:tab w:val="left" w:pos="720" w:leader="none"/>
        </w:tabs>
        <w:spacing w:lineRule="exact" w:line="264" w:before="0" w:after="80"/>
        <w:ind w:hanging="360" w:start="720"/>
        <w:rPr/>
      </w:pPr>
      <w:r>
        <w:rPr>
          <w:rFonts w:eastAsia="Arial" w:cs="Arial"/>
          <w:sz w:val="21"/>
          <w:szCs w:val="21"/>
        </w:rPr>
        <w:t>c. Document each training activity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Trauma-Informed Training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Criminal Background Checks &amp;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Criminal Background Checks &amp;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5122-26; ORC background-check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ensuring criminal background checks and applicable screenings are completed on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contractors, and volunteers subject to background checks and to the person responsible for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completes the criminal records checks required by Ohio law (including Bureau of Criminal Investigation and, where required, FBI checks) on staff and applicants in positions subject to screening, before or within the timeframe the law allows, and evaluates the results against applicable disqualifying offenses. The provider does not employ or retain an individual in a position for which the individual is disqualified, applies any required rehabilitation or eligibility standards, and documents the completion and disposition of each check in the personnel record. Applicable health screening (such as tuberculosis screening in residential settings) is completed as required.</w:t>
      </w:r>
    </w:p>
    <w:p>
      <w:pPr>
        <w:pStyle w:val="Normal"/>
        <w:pBdr>
          <w:bottom w:val="single" w:sz="4" w:space="1" w:color="2E5E45"/>
        </w:pBdr>
        <w:spacing w:before="160" w:after="80"/>
        <w:rPr/>
      </w:pPr>
      <w:r>
        <w:rPr>
          <w:rFonts w:eastAsia="Arial" w:cs="Arial"/>
          <w:b/>
          <w:bCs/>
          <w:color w:val="1A4731"/>
          <w:sz w:val="20"/>
          <w:szCs w:val="20"/>
        </w:rPr>
        <w:t>PROCEDURE — BACKGROUND &amp; SCREENING</w:t>
      </w:r>
    </w:p>
    <w:p>
      <w:pPr>
        <w:pStyle w:val="Normal"/>
        <w:tabs>
          <w:tab w:val="left" w:pos="720" w:leader="none"/>
        </w:tabs>
        <w:spacing w:lineRule="exact" w:line="264" w:before="0" w:after="80"/>
        <w:ind w:hanging="360" w:start="720"/>
        <w:rPr/>
      </w:pPr>
      <w:r>
        <w:rPr>
          <w:rFonts w:eastAsia="Arial" w:cs="Arial"/>
          <w:sz w:val="21"/>
          <w:szCs w:val="21"/>
        </w:rPr>
        <w:t>a. Complete required criminal records checks and applicable health screening for covered positions and evaluate results against disqualifying offenses.</w:t>
      </w:r>
    </w:p>
    <w:p>
      <w:pPr>
        <w:pStyle w:val="Normal"/>
        <w:tabs>
          <w:tab w:val="left" w:pos="720" w:leader="none"/>
        </w:tabs>
        <w:spacing w:lineRule="exact" w:line="264" w:before="0" w:after="80"/>
        <w:ind w:hanging="360" w:start="720"/>
        <w:rPr/>
      </w:pPr>
      <w:r>
        <w:rPr>
          <w:rFonts w:eastAsia="Arial" w:cs="Arial"/>
          <w:sz w:val="21"/>
          <w:szCs w:val="21"/>
        </w:rPr>
        <w:t>b. Do not employ or retain a disqualified individual and apply any required eligibility standards.</w:t>
      </w:r>
    </w:p>
    <w:p>
      <w:pPr>
        <w:pStyle w:val="Normal"/>
        <w:tabs>
          <w:tab w:val="left" w:pos="720" w:leader="none"/>
        </w:tabs>
        <w:spacing w:lineRule="exact" w:line="264" w:before="0" w:after="80"/>
        <w:ind w:hanging="360" w:start="720"/>
        <w:rPr/>
      </w:pPr>
      <w:r>
        <w:rPr>
          <w:rFonts w:eastAsia="Arial" w:cs="Arial"/>
          <w:sz w:val="21"/>
          <w:szCs w:val="21"/>
        </w:rPr>
        <w:t>c. Document the completion and disposition of each check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Disqualification / Eligibility Determination Record</w:t>
      </w:r>
    </w:p>
    <w:p>
      <w:pPr>
        <w:pStyle w:val="ListParagraph"/>
        <w:numPr>
          <w:ilvl w:val="0"/>
          <w:numId w:val="1"/>
        </w:numPr>
        <w:spacing w:lineRule="exact" w:line="264" w:before="0" w:after="60"/>
        <w:rPr/>
      </w:pPr>
      <w:r>
        <w:rPr>
          <w:rFonts w:eastAsia="Arial" w:cs="Arial"/>
          <w:sz w:val="21"/>
          <w:szCs w:val="21"/>
        </w:rPr>
        <w:t>Health Screening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&amp; Protection</w:t>
      </w:r>
    </w:p>
    <w:p>
      <w:pPr>
        <w:pStyle w:val="Normal"/>
        <w:spacing w:lineRule="exact" w:line="288" w:before="0" w:after="240"/>
        <w:rPr/>
      </w:pPr>
      <w:r>
        <w:rPr>
          <w:rFonts w:eastAsia="Arial" w:cs="Arial"/>
          <w:color w:val="444444"/>
          <w:sz w:val="22"/>
          <w:szCs w:val="22"/>
        </w:rPr>
        <w:t>This section protects the people the provider serves — client rights and grievances; confidentiality under 42 CFR Part 2, HIPAA and Ohio law; seclusion and restraint; incident and major-unusual-incident reporting; and abuse, neglect and exploitation prevention and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 &amp; Grievances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Ohio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Seclusion &amp; Restraint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Incident Reporting &amp; Major Unusual Incidents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Abuse, Neglect &amp; Exploitation: Prevention &amp; Reporting</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 &amp; Grievances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 &amp; Grievances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5122-26-18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client of the rights guaranteed under OAC 5122-26-18 and to provide a grievance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interns,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protects the rights of each client in accordance with OAC 5122-26-18, including the right to be treated with dignity and respect; the right to services without discrimination; the right to be informed of client rights and program rules; the right to give informed consent to treatment and to refuse treatment except as otherwise provided by law; the right to confidentiality of records; the right to be free from abuse, neglect, exploitation, and retaliation; the right to a safe and humane treatment environment; and the right to file a grievance and pursue applicable appeal procedures without retaliation. Each client is informed of these rights and of the grievance and appeal procedures, in a manner the client can understand, at the start of services, and a written statement of rights is provided. The provider designates a client-rights officer or equivalent, and grievances are documented, investigated, resolved within required timeframes, and analyzed through quality management.</w:t>
      </w:r>
    </w:p>
    <w:p>
      <w:pPr>
        <w:pStyle w:val="Normal"/>
        <w:pBdr>
          <w:bottom w:val="single" w:sz="4" w:space="1" w:color="2E5E45"/>
        </w:pBdr>
        <w:spacing w:before="160" w:after="80"/>
        <w:rPr/>
      </w:pPr>
      <w:r>
        <w:rPr>
          <w:rFonts w:eastAsia="Arial" w:cs="Arial"/>
          <w:b/>
          <w:bCs/>
          <w:color w:val="1A4731"/>
          <w:sz w:val="20"/>
          <w:szCs w:val="20"/>
        </w:rPr>
        <w:t>PROCEDURE — RIGHTS &amp; GRIEVANCES</w:t>
      </w:r>
    </w:p>
    <w:p>
      <w:pPr>
        <w:pStyle w:val="Normal"/>
        <w:tabs>
          <w:tab w:val="left" w:pos="720" w:leader="none"/>
        </w:tabs>
        <w:spacing w:lineRule="exact" w:line="264" w:before="0" w:after="80"/>
        <w:ind w:hanging="360" w:start="720"/>
        <w:rPr/>
      </w:pPr>
      <w:r>
        <w:rPr>
          <w:rFonts w:eastAsia="Arial" w:cs="Arial"/>
          <w:sz w:val="21"/>
          <w:szCs w:val="21"/>
        </w:rPr>
        <w:t>a. Inform each client of rights and grievance and appeal procedures at the start of services and provide a written statement of rights.</w:t>
      </w:r>
    </w:p>
    <w:p>
      <w:pPr>
        <w:pStyle w:val="Normal"/>
        <w:tabs>
          <w:tab w:val="left" w:pos="720" w:leader="none"/>
        </w:tabs>
        <w:spacing w:lineRule="exact" w:line="264" w:before="0" w:after="80"/>
        <w:ind w:hanging="360" w:start="720"/>
        <w:rPr/>
      </w:pPr>
      <w:r>
        <w:rPr>
          <w:rFonts w:eastAsia="Arial" w:cs="Arial"/>
          <w:sz w:val="21"/>
          <w:szCs w:val="21"/>
        </w:rPr>
        <w:t>b. Designate a client-rights officer and make the grievance process accessible without retaliation.</w:t>
      </w:r>
    </w:p>
    <w:p>
      <w:pPr>
        <w:pStyle w:val="Normal"/>
        <w:tabs>
          <w:tab w:val="left" w:pos="720" w:leader="none"/>
        </w:tabs>
        <w:spacing w:lineRule="exact" w:line="264" w:before="0" w:after="80"/>
        <w:ind w:hanging="360" w:start="720"/>
        <w:rPr/>
      </w:pPr>
      <w:r>
        <w:rPr>
          <w:rFonts w:eastAsia="Arial" w:cs="Arial"/>
          <w:sz w:val="21"/>
          <w:szCs w:val="21"/>
        </w:rPr>
        <w:t>c. Document, investigate, and resolve grievances within required timeframes and analyze them through quality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Statement &amp; Poster</w:t>
      </w:r>
    </w:p>
    <w:p>
      <w:pPr>
        <w:pStyle w:val="ListParagraph"/>
        <w:numPr>
          <w:ilvl w:val="0"/>
          <w:numId w:val="1"/>
        </w:numPr>
        <w:spacing w:lineRule="exact" w:line="264" w:before="0" w:after="60"/>
        <w:rPr/>
      </w:pPr>
      <w:r>
        <w:rPr>
          <w:rFonts w:eastAsia="Arial" w:cs="Arial"/>
          <w:sz w:val="21"/>
          <w:szCs w:val="21"/>
        </w:rPr>
        <w:t>Grievance &amp; Appeal Form &amp; Log</w:t>
      </w:r>
    </w:p>
    <w:p>
      <w:pPr>
        <w:pStyle w:val="ListParagraph"/>
        <w:numPr>
          <w:ilvl w:val="0"/>
          <w:numId w:val="1"/>
        </w:numPr>
        <w:spacing w:lineRule="exact" w:line="264" w:before="0" w:after="60"/>
        <w:rPr/>
      </w:pPr>
      <w:r>
        <w:rPr>
          <w:rFonts w:eastAsia="Arial" w:cs="Arial"/>
          <w:sz w:val="21"/>
          <w:szCs w:val="21"/>
        </w:rPr>
        <w:t>Client-Rights Officer Designation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Ohio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Ohio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42 CFR Part 2; 45 CFR Parts 160, 164; ORC Ch. 5119; OAC 5122-26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client records and identifying information under the federal substance use disorder rule, HIPAA, and Ohio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protects the confidentiality of client information, complies with 42 CFR Part 2 for substance use disorder records, protects PHI under HIPAA, and follows applicable Ohio confidentiality law, including the protections in ORC Chapter 5119. Except as permitted by law, disclosure of a record requires the client's specific written consent, and re-disclosure is limited. The provider maintains a notice of privacy practices, applies minimum-necessary and safeguarding standards, secures records against unauthorized access, trains staff on 42 CFR Part 2, HIPAA, and Ohio law, and executes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Disclose without consent only as Part 2 and Ohio law permit and document the legal basis.</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Ohio confidentiality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Seclusion &amp; Restraint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Seclusion &amp; Restraint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5122-26-16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from unsafe or unnecessary seclusion and restraint and to require the least-restrictive means of managing behavior.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service setting, and governs any use of seclusion or restraint.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manages behavior using the least-restrictive effective means and complies with OAC 5122-26-16 governing seclusion and restraint. Seclusion and restraint are not used as coercion, discipline, punishment, retaliation, or staff convenience. If the provider uses seclusion or restraint, it declares that use as part of certification, maintains policies consistent with 5122-26-16, uses these interventions only in an emergency to prevent imminent harm, only by trained staff, only for the shortest time necessary, with monitoring, documentation, notification, debriefing, and review. Many community settings do not use seclusion or restraint; in those settings, staff rely on prevention and de-escalation and summon emergency assistance and arrange transfer when a client presents an emergency safety risk.</w:t>
      </w:r>
    </w:p>
    <w:p>
      <w:pPr>
        <w:pStyle w:val="Normal"/>
        <w:pBdr>
          <w:bottom w:val="single" w:sz="4" w:space="1" w:color="2E5E45"/>
        </w:pBdr>
        <w:spacing w:before="160" w:after="80"/>
        <w:rPr/>
      </w:pPr>
      <w:r>
        <w:rPr>
          <w:rFonts w:eastAsia="Arial" w:cs="Arial"/>
          <w:b/>
          <w:bCs/>
          <w:color w:val="1A4731"/>
          <w:sz w:val="20"/>
          <w:szCs w:val="20"/>
        </w:rPr>
        <w:t>PROCEDURE — SECLUSION &amp; RESTRAINT</w:t>
      </w:r>
    </w:p>
    <w:p>
      <w:pPr>
        <w:pStyle w:val="Normal"/>
        <w:tabs>
          <w:tab w:val="left" w:pos="720" w:leader="none"/>
        </w:tabs>
        <w:spacing w:lineRule="exact" w:line="264" w:before="0" w:after="80"/>
        <w:ind w:hanging="360" w:start="720"/>
        <w:rPr/>
      </w:pPr>
      <w:r>
        <w:rPr>
          <w:rFonts w:eastAsia="Arial" w:cs="Arial"/>
          <w:sz w:val="21"/>
          <w:szCs w:val="21"/>
        </w:rPr>
        <w:t>a. Manage behavior using prevention and de-escalation and prohibit seclusion or restraint as discipline, punishment, or convenience.</w:t>
      </w:r>
    </w:p>
    <w:p>
      <w:pPr>
        <w:pStyle w:val="Normal"/>
        <w:tabs>
          <w:tab w:val="left" w:pos="720" w:leader="none"/>
        </w:tabs>
        <w:spacing w:lineRule="exact" w:line="264" w:before="0" w:after="80"/>
        <w:ind w:hanging="360" w:start="720"/>
        <w:rPr/>
      </w:pPr>
      <w:r>
        <w:rPr>
          <w:rFonts w:eastAsia="Arial" w:cs="Arial"/>
          <w:sz w:val="21"/>
          <w:szCs w:val="21"/>
        </w:rPr>
        <w:t>b. Where used, apply seclusion or restraint only in an emergency, by trained staff, for the shortest time, with monitoring, documentation, notification, debriefing, and review, consistent with 5122-26-16.</w:t>
      </w:r>
    </w:p>
    <w:p>
      <w:pPr>
        <w:pStyle w:val="Normal"/>
        <w:tabs>
          <w:tab w:val="left" w:pos="720" w:leader="none"/>
        </w:tabs>
        <w:spacing w:lineRule="exact" w:line="264" w:before="0" w:after="80"/>
        <w:ind w:hanging="360" w:start="720"/>
        <w:rPr/>
      </w:pPr>
      <w:r>
        <w:rPr>
          <w:rFonts w:eastAsia="Arial" w:cs="Arial"/>
          <w:sz w:val="21"/>
          <w:szCs w:val="21"/>
        </w:rPr>
        <w:t>c. Where not used, summon emergency assistance and arrange transfer for emergency safety situations.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Seclusion/Restraint Policy &amp; Declaration (where applicable)</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Seclusion/Restraint Documentation &amp; Review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Incident Reporting &amp; Major Unusual Incidents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Incident Reporting &amp; Major Unusual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5122-26; OhioMHAS incident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and major unusual incidents are identified, responded to, reported, and used to improve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affecting clients, staff, or the provider.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identifies, responds to, documents, and reports incidents and major unusual incidents — such as client death, serious injury, alleged abuse or neglect, medication errors with harm, elopement from a residential setting, and other significant events — to OhioMHAS and other authorities as required and within required timeframes. The provider responds to protect client safety, reviews incidents through quality management to identify contributing factors, implements corrective action, and verifies effectiveness, and coordinates incident reporting with the abuse-reporting and grievance policies. Incident documentation is retained.</w:t>
      </w:r>
    </w:p>
    <w:p>
      <w:pPr>
        <w:pStyle w:val="Normal"/>
        <w:pBdr>
          <w:bottom w:val="single" w:sz="4" w:space="1" w:color="2E5E45"/>
        </w:pBdr>
        <w:spacing w:before="160" w:after="80"/>
        <w:rPr/>
      </w:pPr>
      <w:r>
        <w:rPr>
          <w:rFonts w:eastAsia="Arial" w:cs="Arial"/>
          <w:b/>
          <w:bCs/>
          <w:color w:val="1A4731"/>
          <w:sz w:val="20"/>
          <w:szCs w:val="20"/>
        </w:rPr>
        <w:t>PROCEDURE — INCIDENT REPORTING &amp; REVIEW</w:t>
      </w:r>
    </w:p>
    <w:p>
      <w:pPr>
        <w:pStyle w:val="Normal"/>
        <w:tabs>
          <w:tab w:val="left" w:pos="720" w:leader="none"/>
        </w:tabs>
        <w:spacing w:lineRule="exact" w:line="264" w:before="0" w:after="80"/>
        <w:ind w:hanging="360" w:start="720"/>
        <w:rPr/>
      </w:pPr>
      <w:r>
        <w:rPr>
          <w:rFonts w:eastAsia="Arial" w:cs="Arial"/>
          <w:sz w:val="21"/>
          <w:szCs w:val="21"/>
        </w:rPr>
        <w:t>a. Identify and document reportable incidents and major unusual incidents and report them to OhioMHAS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Respond to protect client safety and coordinate with abuse-reporting and grievance policies.</w:t>
      </w:r>
    </w:p>
    <w:p>
      <w:pPr>
        <w:pStyle w:val="Normal"/>
        <w:tabs>
          <w:tab w:val="left" w:pos="720" w:leader="none"/>
        </w:tabs>
        <w:spacing w:lineRule="exact" w:line="264" w:before="0" w:after="80"/>
        <w:ind w:hanging="360" w:start="720"/>
        <w:rPr/>
      </w:pPr>
      <w:r>
        <w:rPr>
          <w:rFonts w:eastAsia="Arial" w:cs="Arial"/>
          <w:sz w:val="21"/>
          <w:szCs w:val="21"/>
        </w:rPr>
        <w:t>c. Review incidents through quality management,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Major Unusual 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OhioMHAS Notification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Abuse, Neglect &amp; Exploitation: Prevention &amp;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Abuse, Neglect &amp; Exploitation: Prevention &amp;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5122-26; ORC reporting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abuse, neglect, and exploitation of clients and to ensure they are reported as Ohio law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contractors, interns, and volunteers and protects every client.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zero-tolerance policy for abuse, neglect, and exploitation of clients. Staff do not abuse, neglect, or exploit clients and are mandatory reporters. The provider reports suspected abuse or neglect of a child to a public children services agency or law enforcement and suspected abuse, neglect, or exploitation of an adult to adult protective services or law enforcement, as Ohio law requires and within required timeframes, and reports to OhioMHAS as required. The provider provides training on recognizing and reporting abuse, neglect, and exploitation, investigates and responds to protect clients, cooperates with external investigations, and does not retaliate against a person for making a report in good faith.</w:t>
      </w:r>
    </w:p>
    <w:p>
      <w:pPr>
        <w:pStyle w:val="Normal"/>
        <w:pBdr>
          <w:bottom w:val="single" w:sz="4" w:space="1" w:color="2E5E45"/>
        </w:pBdr>
        <w:spacing w:before="160" w:after="80"/>
        <w:rPr/>
      </w:pPr>
      <w:r>
        <w:rPr>
          <w:rFonts w:eastAsia="Arial" w:cs="Arial"/>
          <w:b/>
          <w:bCs/>
          <w:color w:val="1A4731"/>
          <w:sz w:val="20"/>
          <w:szCs w:val="20"/>
        </w:rPr>
        <w:t>PROCEDURE — PREVENTION &amp; REPORTING</w:t>
      </w:r>
    </w:p>
    <w:p>
      <w:pPr>
        <w:pStyle w:val="Normal"/>
        <w:tabs>
          <w:tab w:val="left" w:pos="720" w:leader="none"/>
        </w:tabs>
        <w:spacing w:lineRule="exact" w:line="264" w:before="0" w:after="80"/>
        <w:ind w:hanging="360" w:start="720"/>
        <w:rPr/>
      </w:pPr>
      <w:r>
        <w:rPr>
          <w:rFonts w:eastAsia="Arial" w:cs="Arial"/>
          <w:sz w:val="21"/>
          <w:szCs w:val="21"/>
        </w:rPr>
        <w:t>a. Train staff on recognizing and reporting abuse, neglect, and exploitation under the zero-tolerance policy.</w:t>
      </w:r>
    </w:p>
    <w:p>
      <w:pPr>
        <w:pStyle w:val="Normal"/>
        <w:tabs>
          <w:tab w:val="left" w:pos="720" w:leader="none"/>
        </w:tabs>
        <w:spacing w:lineRule="exact" w:line="264" w:before="0" w:after="80"/>
        <w:ind w:hanging="360" w:start="720"/>
        <w:rPr/>
      </w:pPr>
      <w:r>
        <w:rPr>
          <w:rFonts w:eastAsia="Arial" w:cs="Arial"/>
          <w:sz w:val="21"/>
          <w:szCs w:val="21"/>
        </w:rPr>
        <w:t>b. Report suspected abuse, neglect, or exploitation to the appropriate authorities and OhioMHAS within required timeframes.</w:t>
      </w:r>
    </w:p>
    <w:p>
      <w:pPr>
        <w:pStyle w:val="Normal"/>
        <w:tabs>
          <w:tab w:val="left" w:pos="720" w:leader="none"/>
        </w:tabs>
        <w:spacing w:lineRule="exact" w:line="264" w:before="0" w:after="80"/>
        <w:ind w:hanging="360" w:start="720"/>
        <w:rPr/>
      </w:pPr>
      <w:r>
        <w:rPr>
          <w:rFonts w:eastAsia="Arial" w:cs="Arial"/>
          <w:sz w:val="21"/>
          <w:szCs w:val="21"/>
        </w:rPr>
        <w:t>c. Investigate, protect clients, cooperate with external investigations,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Investigation Cooperation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Process</w:t>
      </w:r>
    </w:p>
    <w:p>
      <w:pPr>
        <w:pStyle w:val="Normal"/>
        <w:spacing w:lineRule="exact" w:line="288" w:before="0" w:after="240"/>
        <w:rPr/>
      </w:pPr>
      <w:r>
        <w:rPr>
          <w:rFonts w:eastAsia="Arial" w:cs="Arial"/>
          <w:color w:val="444444"/>
          <w:sz w:val="22"/>
          <w:szCs w:val="22"/>
        </w:rPr>
        <w:t>This section covers the clinical process common to all services — access, screening and admission; diagnostic assessment; the individualized treatment plan; clinical documentation and the individual client record; care coordination and referral; and discharge, transition and continuing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Access, Screening &amp;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Diagnostic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Individualized Treatment Plan (ITP)</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Clinical Documentation &amp; Individual Client Record</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Care Coordination &amp; Referral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Transition &amp; Continuing Care</w:t>
      </w:r>
    </w:p>
    <w:p>
      <w:pPr>
        <w:pStyle w:val="Normal"/>
        <w:rPr/>
      </w:pPr>
      <w:r>
        <w:rPr/>
      </w:r>
      <w:r>
        <w:br w:type="page"/>
      </w:r>
    </w:p>
    <w:p>
      <w:pPr>
        <w:pStyle w:val="Heading2"/>
        <w:spacing w:before="0" w:after="120"/>
        <w:rPr/>
      </w:pPr>
      <w:r>
        <w:rPr>
          <w:rFonts w:eastAsia="Arial" w:cs="Arial" w:ascii="Arial" w:hAnsi="Arial"/>
          <w:b/>
          <w:bCs/>
          <w:color w:val="1A4731"/>
          <w:sz w:val="26"/>
          <w:szCs w:val="26"/>
        </w:rPr>
        <w:t>4.00  Access, Screening &amp;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Access, Screening &amp;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Chapters 5122-27, 5122-29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screened and admitted appropriately for the services the provider is certified to deliver.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access, screening, and admission activity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screens each prospective client to determine whether the client's needs match a service the provider is certified to provide and, for substance use disorder services, determines the appropriate ASAM level of care. The provider admits clients it can serve and refers clients whose needs it cannot meet, documenting the referral. Admission is documented, including the basis for admission, the client's consent to treatment, and the client's receipt of client rights and, where required, the information the service rule requires (for example, overdose and emergency information for certain SUD services). For residential and withdrawal management services, a health history including food allergies and drug reactions is completed on or before admission.</w:t>
      </w:r>
    </w:p>
    <w:p>
      <w:pPr>
        <w:pStyle w:val="Normal"/>
        <w:pBdr>
          <w:bottom w:val="single" w:sz="4" w:space="1" w:color="2E5E45"/>
        </w:pBdr>
        <w:spacing w:before="160" w:after="80"/>
        <w:rPr/>
      </w:pPr>
      <w:r>
        <w:rPr>
          <w:rFonts w:eastAsia="Arial" w:cs="Arial"/>
          <w:b/>
          <w:bCs/>
          <w:color w:val="1A4731"/>
          <w:sz w:val="20"/>
          <w:szCs w:val="20"/>
        </w:rPr>
        <w:t>PROCEDURE — SCREENING &amp; ADMISSION</w:t>
      </w:r>
    </w:p>
    <w:p>
      <w:pPr>
        <w:pStyle w:val="Normal"/>
        <w:tabs>
          <w:tab w:val="left" w:pos="720" w:leader="none"/>
        </w:tabs>
        <w:spacing w:lineRule="exact" w:line="264" w:before="0" w:after="80"/>
        <w:ind w:hanging="360" w:start="720"/>
        <w:rPr/>
      </w:pPr>
      <w:r>
        <w:rPr>
          <w:rFonts w:eastAsia="Arial" w:cs="Arial"/>
          <w:sz w:val="21"/>
          <w:szCs w:val="21"/>
        </w:rPr>
        <w:t>a. Screen each prospective client and, for SUD, determine the ASAM level of care.</w:t>
      </w:r>
    </w:p>
    <w:p>
      <w:pPr>
        <w:pStyle w:val="Normal"/>
        <w:tabs>
          <w:tab w:val="left" w:pos="720" w:leader="none"/>
        </w:tabs>
        <w:spacing w:lineRule="exact" w:line="264" w:before="0" w:after="80"/>
        <w:ind w:hanging="360" w:start="720"/>
        <w:rPr/>
      </w:pPr>
      <w:r>
        <w:rPr>
          <w:rFonts w:eastAsia="Arial" w:cs="Arial"/>
          <w:sz w:val="21"/>
          <w:szCs w:val="21"/>
        </w:rPr>
        <w:t>b. Admit clients the provider can serve and refer others, documenting the referral.</w:t>
      </w:r>
    </w:p>
    <w:p>
      <w:pPr>
        <w:pStyle w:val="Normal"/>
        <w:tabs>
          <w:tab w:val="left" w:pos="720" w:leader="none"/>
        </w:tabs>
        <w:spacing w:lineRule="exact" w:line="264" w:before="0" w:after="80"/>
        <w:ind w:hanging="360" w:start="720"/>
        <w:rPr/>
      </w:pPr>
      <w:r>
        <w:rPr>
          <w:rFonts w:eastAsia="Arial" w:cs="Arial"/>
          <w:sz w:val="21"/>
          <w:szCs w:val="21"/>
        </w:rPr>
        <w:t>c. Document admission, consent, and receipt of rights, and complete a health history for residential/WM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Level-of-Care Determination</w:t>
      </w:r>
    </w:p>
    <w:p>
      <w:pPr>
        <w:pStyle w:val="ListParagraph"/>
        <w:numPr>
          <w:ilvl w:val="0"/>
          <w:numId w:val="1"/>
        </w:numPr>
        <w:spacing w:lineRule="exact" w:line="264" w:before="0" w:after="60"/>
        <w:rPr/>
      </w:pPr>
      <w:r>
        <w:rPr>
          <w:rFonts w:eastAsia="Arial" w:cs="Arial"/>
          <w:sz w:val="21"/>
          <w:szCs w:val="21"/>
        </w:rPr>
        <w:t>Admission Record &amp; Consent to Treatment</w:t>
      </w:r>
    </w:p>
    <w:p>
      <w:pPr>
        <w:pStyle w:val="ListParagraph"/>
        <w:numPr>
          <w:ilvl w:val="0"/>
          <w:numId w:val="1"/>
        </w:numPr>
        <w:spacing w:lineRule="exact" w:line="264" w:before="0" w:after="60"/>
        <w:rPr/>
      </w:pPr>
      <w:r>
        <w:rPr>
          <w:rFonts w:eastAsia="Arial" w:cs="Arial"/>
          <w:sz w:val="21"/>
          <w:szCs w:val="21"/>
        </w:rPr>
        <w:t>Health History (residential / WM)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Diagnostic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Diagnostic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Chapters 5122-27, 5122-29; ASAM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receives a timely, complete diagnostic assessment that identifies needs and drives the ITP.</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qualified staff who conduct assessments.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completes a diagnostic assessment for each client, conducted by qualified staff within their scope of practice, that establishes a diagnosis and identifies the client's behavioral and physical health needs, substance use and treatment history, risk (including suicide and overdose risk), strengths, and, for SUD services, the ASAM dimensions and level of care. The assessment is documented and used to develop the individualized treatment plan, and the client is referred for medical, psychiatric, or other services when indicated. The provider may accept a prior assessment where the rules permit, reviewing and updating it as required.</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Complete a diagnostic assessment through qualified staff, addressing behavioral and physical health, substance use, risk, and ASAM dimensions for SUD.</w:t>
      </w:r>
    </w:p>
    <w:p>
      <w:pPr>
        <w:pStyle w:val="Normal"/>
        <w:tabs>
          <w:tab w:val="left" w:pos="720" w:leader="none"/>
        </w:tabs>
        <w:spacing w:lineRule="exact" w:line="264" w:before="0" w:after="80"/>
        <w:ind w:hanging="360" w:start="720"/>
        <w:rPr/>
      </w:pPr>
      <w:r>
        <w:rPr>
          <w:rFonts w:eastAsia="Arial" w:cs="Arial"/>
          <w:sz w:val="21"/>
          <w:szCs w:val="21"/>
        </w:rPr>
        <w:t>b. Establish a diagnosis and level of care and document the assessment.</w:t>
      </w:r>
    </w:p>
    <w:p>
      <w:pPr>
        <w:pStyle w:val="Normal"/>
        <w:tabs>
          <w:tab w:val="left" w:pos="720" w:leader="none"/>
        </w:tabs>
        <w:spacing w:lineRule="exact" w:line="264" w:before="0" w:after="80"/>
        <w:ind w:hanging="360" w:start="720"/>
        <w:rPr/>
      </w:pPr>
      <w:r>
        <w:rPr>
          <w:rFonts w:eastAsia="Arial" w:cs="Arial"/>
          <w:sz w:val="21"/>
          <w:szCs w:val="21"/>
        </w:rPr>
        <w:t>c. Refer for medical, psychiatric, or other services when indicated and accept or update prior assessments as permitted.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Diagnostic Assessment</w:t>
      </w:r>
    </w:p>
    <w:p>
      <w:pPr>
        <w:pStyle w:val="ListParagraph"/>
        <w:numPr>
          <w:ilvl w:val="0"/>
          <w:numId w:val="1"/>
        </w:numPr>
        <w:spacing w:lineRule="exact" w:line="264" w:before="0" w:after="60"/>
        <w:rPr/>
      </w:pPr>
      <w:r>
        <w:rPr>
          <w:rFonts w:eastAsia="Arial" w:cs="Arial"/>
          <w:sz w:val="21"/>
          <w:szCs w:val="21"/>
        </w:rPr>
        <w:t>Risk Assessment (suicide / overdose)</w:t>
      </w:r>
    </w:p>
    <w:p>
      <w:pPr>
        <w:pStyle w:val="ListParagraph"/>
        <w:numPr>
          <w:ilvl w:val="0"/>
          <w:numId w:val="1"/>
        </w:numPr>
        <w:spacing w:lineRule="exact" w:line="264" w:before="0" w:after="60"/>
        <w:rPr/>
      </w:pPr>
      <w:r>
        <w:rPr>
          <w:rFonts w:eastAsia="Arial" w:cs="Arial"/>
          <w:sz w:val="21"/>
          <w:szCs w:val="21"/>
        </w:rPr>
        <w:t>ASAM Level-of-Care Determination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Individualized Treatment Plan (ITP)</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Individualized Treatment Plan (ITP)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5122-27-03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individualized treatment plan developed collaboratively and updated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for whom an ITP is required and to the clinical staff who develop and review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develops an individualized treatment plan (ITP) for each client for whom an individual client record is required, in accordance with OAC 5122-27-03, as a collaborative process between the client and the provider based on the diagnostic assessment and a continuing assessment of needs. The ITP identifies the services being provided (except crisis intervention), the frequency and anticipated duration of services, and the interventions appropriate to the client's diagnosis and needs. A comprehensive ITP is completed within five sessions or one month of admission, whichever is longer (excluding crisis intervention), and an addiction treatment case management plan of care is developed within seven days of completion of the assessment or at the first face-to-face contact following assessment, whichever is later, and reassessed at least every ninety days. The ITP is reviewed and updated as the client's progress and the rules require.</w:t>
      </w:r>
    </w:p>
    <w:p>
      <w:pPr>
        <w:pStyle w:val="Normal"/>
        <w:pBdr>
          <w:bottom w:val="single" w:sz="4" w:space="1" w:color="2E5E45"/>
        </w:pBdr>
        <w:spacing w:before="160" w:after="80"/>
        <w:rPr/>
      </w:pPr>
      <w:r>
        <w:rPr>
          <w:rFonts w:eastAsia="Arial" w:cs="Arial"/>
          <w:b/>
          <w:bCs/>
          <w:color w:val="1A4731"/>
          <w:sz w:val="20"/>
          <w:szCs w:val="20"/>
        </w:rPr>
        <w:t>PROCEDURE — ITP</w:t>
      </w:r>
    </w:p>
    <w:p>
      <w:pPr>
        <w:pStyle w:val="Normal"/>
        <w:tabs>
          <w:tab w:val="left" w:pos="720" w:leader="none"/>
        </w:tabs>
        <w:spacing w:lineRule="exact" w:line="264" w:before="0" w:after="80"/>
        <w:ind w:hanging="360" w:start="720"/>
        <w:rPr/>
      </w:pPr>
      <w:r>
        <w:rPr>
          <w:rFonts w:eastAsia="Arial" w:cs="Arial"/>
          <w:sz w:val="21"/>
          <w:szCs w:val="21"/>
        </w:rPr>
        <w:t>a. Develop the ITP collaboratively from the diagnostic assessment, identifying services, frequency, and anticipated duration.</w:t>
      </w:r>
    </w:p>
    <w:p>
      <w:pPr>
        <w:pStyle w:val="Normal"/>
        <w:tabs>
          <w:tab w:val="left" w:pos="720" w:leader="none"/>
        </w:tabs>
        <w:spacing w:lineRule="exact" w:line="264" w:before="0" w:after="80"/>
        <w:ind w:hanging="360" w:start="720"/>
        <w:rPr/>
      </w:pPr>
      <w:r>
        <w:rPr>
          <w:rFonts w:eastAsia="Arial" w:cs="Arial"/>
          <w:sz w:val="21"/>
          <w:szCs w:val="21"/>
        </w:rPr>
        <w:t>b. Complete a comprehensive ITP within five sessions or one month (whichever is longer), and a case management plan within seven days where applicable.</w:t>
      </w:r>
    </w:p>
    <w:p>
      <w:pPr>
        <w:pStyle w:val="Normal"/>
        <w:tabs>
          <w:tab w:val="left" w:pos="720" w:leader="none"/>
        </w:tabs>
        <w:spacing w:lineRule="exact" w:line="264" w:before="0" w:after="80"/>
        <w:ind w:hanging="360" w:start="720"/>
        <w:rPr/>
      </w:pPr>
      <w:r>
        <w:rPr>
          <w:rFonts w:eastAsia="Arial" w:cs="Arial"/>
          <w:sz w:val="21"/>
          <w:szCs w:val="21"/>
        </w:rPr>
        <w:t>c. Review and update the ITP as progress and the rules require and reassess case management plans at least every ninety days.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Plan (ITP)</w:t>
      </w:r>
    </w:p>
    <w:p>
      <w:pPr>
        <w:pStyle w:val="ListParagraph"/>
        <w:numPr>
          <w:ilvl w:val="0"/>
          <w:numId w:val="1"/>
        </w:numPr>
        <w:spacing w:lineRule="exact" w:line="264" w:before="0" w:after="60"/>
        <w:rPr/>
      </w:pPr>
      <w:r>
        <w:rPr>
          <w:rFonts w:eastAsia="Arial" w:cs="Arial"/>
          <w:sz w:val="21"/>
          <w:szCs w:val="21"/>
        </w:rPr>
        <w:t>Addiction Treatment Case Management Plan of Care</w:t>
      </w:r>
    </w:p>
    <w:p>
      <w:pPr>
        <w:pStyle w:val="ListParagraph"/>
        <w:numPr>
          <w:ilvl w:val="0"/>
          <w:numId w:val="1"/>
        </w:numPr>
        <w:spacing w:lineRule="exact" w:line="264" w:before="0" w:after="60"/>
        <w:rPr/>
      </w:pPr>
      <w:r>
        <w:rPr>
          <w:rFonts w:eastAsia="Arial" w:cs="Arial"/>
          <w:sz w:val="21"/>
          <w:szCs w:val="21"/>
        </w:rPr>
        <w:t>ITP Review &amp;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Clinical Documentation &amp; Individual Client Record</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Clinical Documentation &amp; Individual Client Record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5122-27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documented accurately in an individual client record consistent with OhioMHAS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documentation for every certified service.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an individual client record (ICR) for each client receiving a certified service, in accordance with OAC Chapter 5122-27, documenting the assessment, the ITP and reviews, progress notes describing the service provided and the client's response and progress, and other required content. Documentation is accurate, legible, dated, and authenticated by the person providing the service within their scope, completed within required timeframes, and supported by the provider's electronic health record or documentation system. Records are stored securely and access follows the confidentiality policy and 42 CFR Part 2.</w:t>
      </w:r>
    </w:p>
    <w:p>
      <w:pPr>
        <w:pStyle w:val="Normal"/>
        <w:pBdr>
          <w:bottom w:val="single" w:sz="4" w:space="1" w:color="2E5E45"/>
        </w:pBdr>
        <w:spacing w:before="160" w:after="80"/>
        <w:rPr/>
      </w:pPr>
      <w:r>
        <w:rPr>
          <w:rFonts w:eastAsia="Arial" w:cs="Arial"/>
          <w:b/>
          <w:bCs/>
          <w:color w:val="1A4731"/>
          <w:sz w:val="20"/>
          <w:szCs w:val="20"/>
        </w:rPr>
        <w:t>PROCEDURE — DOCUMENTATION</w:t>
      </w:r>
    </w:p>
    <w:p>
      <w:pPr>
        <w:pStyle w:val="Normal"/>
        <w:tabs>
          <w:tab w:val="left" w:pos="720" w:leader="none"/>
        </w:tabs>
        <w:spacing w:lineRule="exact" w:line="264" w:before="0" w:after="80"/>
        <w:ind w:hanging="360" w:start="720"/>
        <w:rPr/>
      </w:pPr>
      <w:r>
        <w:rPr>
          <w:rFonts w:eastAsia="Arial" w:cs="Arial"/>
          <w:sz w:val="21"/>
          <w:szCs w:val="21"/>
        </w:rPr>
        <w:t>a. Maintain an ICR for each client with the assessment, ITP, progress notes, and required content.</w:t>
      </w:r>
    </w:p>
    <w:p>
      <w:pPr>
        <w:pStyle w:val="Normal"/>
        <w:tabs>
          <w:tab w:val="left" w:pos="720" w:leader="none"/>
        </w:tabs>
        <w:spacing w:lineRule="exact" w:line="264" w:before="0" w:after="80"/>
        <w:ind w:hanging="360" w:start="720"/>
        <w:rPr/>
      </w:pPr>
      <w:r>
        <w:rPr>
          <w:rFonts w:eastAsia="Arial" w:cs="Arial"/>
          <w:sz w:val="21"/>
          <w:szCs w:val="21"/>
        </w:rPr>
        <w:t>b. Ensure documentation is accurate, legible, dated, authenticated, and completed within required timeframes.</w:t>
      </w:r>
    </w:p>
    <w:p>
      <w:pPr>
        <w:pStyle w:val="Normal"/>
        <w:tabs>
          <w:tab w:val="left" w:pos="720" w:leader="none"/>
        </w:tabs>
        <w:spacing w:lineRule="exact" w:line="264" w:before="0" w:after="80"/>
        <w:ind w:hanging="360" w:start="720"/>
        <w:rPr/>
      </w:pPr>
      <w:r>
        <w:rPr>
          <w:rFonts w:eastAsia="Arial" w:cs="Arial"/>
          <w:sz w:val="21"/>
          <w:szCs w:val="21"/>
        </w:rPr>
        <w:t>c. Store records securely and control access consistent with 42 CFR Part 2.</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Individual Client Record Index</w:t>
      </w:r>
    </w:p>
    <w:p>
      <w:pPr>
        <w:pStyle w:val="ListParagraph"/>
        <w:numPr>
          <w:ilvl w:val="0"/>
          <w:numId w:val="1"/>
        </w:numPr>
        <w:spacing w:lineRule="exact" w:line="264" w:before="0" w:after="60"/>
        <w:rPr/>
      </w:pPr>
      <w:r>
        <w:rPr>
          <w:rFonts w:eastAsia="Arial" w:cs="Arial"/>
          <w:sz w:val="21"/>
          <w:szCs w:val="21"/>
        </w:rPr>
        <w:t>Documentation Timeliness Audit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Care Coordination &amp; Referral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Care Coordination &amp; Referral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5122-29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coordinate care across providers and services and to connect clients to services the provider does not furnish.</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care coordination and referral across all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coordinates the client's care with other providers and services the client needs but the provider does not furnish (such as primary care, psychiatric, pharmacy, and social services), makes and documents referrals, and coordinates care consistent with all applicable confidentiality laws. Where the provider furnishes SUD case management or community psychiatric supportive treatment, it delivers those coordination services in accordance with the applicable service rule. Care coordination is documented in the individual client record.</w:t>
      </w:r>
    </w:p>
    <w:p>
      <w:pPr>
        <w:pStyle w:val="Normal"/>
        <w:pBdr>
          <w:bottom w:val="single" w:sz="4" w:space="1" w:color="2E5E45"/>
        </w:pBdr>
        <w:spacing w:before="160" w:after="80"/>
        <w:rPr/>
      </w:pPr>
      <w:r>
        <w:rPr>
          <w:rFonts w:eastAsia="Arial" w:cs="Arial"/>
          <w:b/>
          <w:bCs/>
          <w:color w:val="1A4731"/>
          <w:sz w:val="20"/>
          <w:szCs w:val="20"/>
        </w:rPr>
        <w:t>PROCEDURE — COORDINATION &amp; REFERRAL</w:t>
      </w:r>
    </w:p>
    <w:p>
      <w:pPr>
        <w:pStyle w:val="Normal"/>
        <w:tabs>
          <w:tab w:val="left" w:pos="720" w:leader="none"/>
        </w:tabs>
        <w:spacing w:lineRule="exact" w:line="264" w:before="0" w:after="80"/>
        <w:ind w:hanging="360" w:start="720"/>
        <w:rPr/>
      </w:pPr>
      <w:r>
        <w:rPr>
          <w:rFonts w:eastAsia="Arial" w:cs="Arial"/>
          <w:sz w:val="21"/>
          <w:szCs w:val="21"/>
        </w:rPr>
        <w:t>a. Identify services the client needs that the provider does not furnish and refer the client, documenting the referral.</w:t>
      </w:r>
    </w:p>
    <w:p>
      <w:pPr>
        <w:pStyle w:val="Normal"/>
        <w:tabs>
          <w:tab w:val="left" w:pos="720" w:leader="none"/>
        </w:tabs>
        <w:spacing w:lineRule="exact" w:line="264" w:before="0" w:after="80"/>
        <w:ind w:hanging="360" w:start="720"/>
        <w:rPr/>
      </w:pPr>
      <w:r>
        <w:rPr>
          <w:rFonts w:eastAsia="Arial" w:cs="Arial"/>
          <w:sz w:val="21"/>
          <w:szCs w:val="21"/>
        </w:rPr>
        <w:t>b. Coordinate care consistent with confidentiality law and deliver case management or CPST per the applicable service rule where furnished.</w:t>
      </w:r>
    </w:p>
    <w:p>
      <w:pPr>
        <w:pStyle w:val="Normal"/>
        <w:tabs>
          <w:tab w:val="left" w:pos="720" w:leader="none"/>
        </w:tabs>
        <w:spacing w:lineRule="exact" w:line="264" w:before="0" w:after="80"/>
        <w:ind w:hanging="360" w:start="720"/>
        <w:rPr/>
      </w:pPr>
      <w:r>
        <w:rPr>
          <w:rFonts w:eastAsia="Arial" w:cs="Arial"/>
          <w:sz w:val="21"/>
          <w:szCs w:val="21"/>
        </w:rPr>
        <w:t>c. Document care coordination in the individual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 Coordination / Referral Record</w:t>
      </w:r>
    </w:p>
    <w:p>
      <w:pPr>
        <w:pStyle w:val="ListParagraph"/>
        <w:numPr>
          <w:ilvl w:val="0"/>
          <w:numId w:val="1"/>
        </w:numPr>
        <w:spacing w:lineRule="exact" w:line="264" w:before="0" w:after="60"/>
        <w:rPr/>
      </w:pPr>
      <w:r>
        <w:rPr>
          <w:rFonts w:eastAsia="Arial" w:cs="Arial"/>
          <w:sz w:val="21"/>
          <w:szCs w:val="21"/>
        </w:rPr>
        <w:t>Release of Information (for coordination)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Transition &amp; Continuing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Transition &amp; Continuing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Chapters 5122-27, 5122-29; ASAM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discharged or transitioned with appropriate planning, a discharge summary, and connection to continuing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transition between levels of care, and continuing care across all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plans for discharge and continuing care from admission and completes a discharge summary for each client that documents the course of treatment, the client's status at discharge, and the continuing-care plan. For substance use disorder services, transition decisions use the applicable ASAM criteria, and the provider connects the client to the appropriate level of care, recovery supports, or other providers as needed, coordinating transitions so the client has continuity of care. Where the provider operates a youth residential (QRTP) setting, it provides the aftercare planning and post-discharge support the rules require. Where a client leaves against staff advice or before completion, the provider documents the circumstances and provides available follow-up information.</w:t>
      </w:r>
    </w:p>
    <w:p>
      <w:pPr>
        <w:pStyle w:val="Normal"/>
        <w:pBdr>
          <w:bottom w:val="single" w:sz="4" w:space="1" w:color="2E5E45"/>
        </w:pBdr>
        <w:spacing w:before="160" w:after="80"/>
        <w:rPr/>
      </w:pPr>
      <w:r>
        <w:rPr>
          <w:rFonts w:eastAsia="Arial" w:cs="Arial"/>
          <w:b/>
          <w:bCs/>
          <w:color w:val="1A4731"/>
          <w:sz w:val="20"/>
          <w:szCs w:val="20"/>
        </w:rPr>
        <w:t>PROCEDURE — DISCHARGE &amp; TRANSITION</w:t>
      </w:r>
    </w:p>
    <w:p>
      <w:pPr>
        <w:pStyle w:val="Normal"/>
        <w:tabs>
          <w:tab w:val="left" w:pos="720" w:leader="none"/>
        </w:tabs>
        <w:spacing w:lineRule="exact" w:line="264" w:before="0" w:after="80"/>
        <w:ind w:hanging="360" w:start="720"/>
        <w:rPr/>
      </w:pPr>
      <w:r>
        <w:rPr>
          <w:rFonts w:eastAsia="Arial" w:cs="Arial"/>
          <w:sz w:val="21"/>
          <w:szCs w:val="21"/>
        </w:rPr>
        <w:t>a. Plan for discharge and continuing care from admission and use ASAM criteria for SUD transitions.</w:t>
      </w:r>
    </w:p>
    <w:p>
      <w:pPr>
        <w:pStyle w:val="Normal"/>
        <w:tabs>
          <w:tab w:val="left" w:pos="720" w:leader="none"/>
        </w:tabs>
        <w:spacing w:lineRule="exact" w:line="264" w:before="0" w:after="80"/>
        <w:ind w:hanging="360" w:start="720"/>
        <w:rPr/>
      </w:pPr>
      <w:r>
        <w:rPr>
          <w:rFonts w:eastAsia="Arial" w:cs="Arial"/>
          <w:sz w:val="21"/>
          <w:szCs w:val="21"/>
        </w:rPr>
        <w:t>b. Complete a discharge summary and connect the client to the appropriate level of care, recovery supports, or providers.</w:t>
      </w:r>
    </w:p>
    <w:p>
      <w:pPr>
        <w:pStyle w:val="Normal"/>
        <w:tabs>
          <w:tab w:val="left" w:pos="720" w:leader="none"/>
        </w:tabs>
        <w:spacing w:lineRule="exact" w:line="264" w:before="0" w:after="80"/>
        <w:ind w:hanging="360" w:start="720"/>
        <w:rPr/>
      </w:pPr>
      <w:r>
        <w:rPr>
          <w:rFonts w:eastAsia="Arial" w:cs="Arial"/>
          <w:sz w:val="21"/>
          <w:szCs w:val="21"/>
        </w:rPr>
        <w:t>c. Provide required aftercare for youth residential settings and document departures against advice.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 Continuing-Care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Aftercare Plan (youth residential,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Medication, Records &amp; Safety</w:t>
      </w:r>
    </w:p>
    <w:p>
      <w:pPr>
        <w:pStyle w:val="Normal"/>
        <w:spacing w:lineRule="exact" w:line="288" w:before="0" w:after="240"/>
        <w:rPr/>
      </w:pPr>
      <w:r>
        <w:rPr>
          <w:rFonts w:eastAsia="Arial" w:cs="Arial"/>
          <w:color w:val="444444"/>
          <w:sz w:val="22"/>
          <w:szCs w:val="22"/>
        </w:rPr>
        <w:t>This section governs information, medication, and safety — clinical records retention and access; medication management and medication-assisted treatment; health, safety and physical environment; emergency preparedness and overdose response; and infection control and nutrition.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Clinical Records Retention &amp; Access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 Management &amp; Medication-Assisted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Health, Safety &amp; Physical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Emergency Preparedness &amp; Overdose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Infection Control &amp; Nutrition (Residential)</w:t>
      </w:r>
    </w:p>
    <w:p>
      <w:pPr>
        <w:pStyle w:val="Normal"/>
        <w:rPr/>
      </w:pPr>
      <w:r>
        <w:rPr/>
      </w:r>
      <w:r>
        <w:br w:type="page"/>
      </w:r>
    </w:p>
    <w:p>
      <w:pPr>
        <w:pStyle w:val="Heading2"/>
        <w:spacing w:before="0" w:after="120"/>
        <w:rPr/>
      </w:pPr>
      <w:r>
        <w:rPr>
          <w:rFonts w:eastAsia="Arial" w:cs="Arial" w:ascii="Arial" w:hAnsi="Arial"/>
          <w:b/>
          <w:bCs/>
          <w:color w:val="1A4731"/>
          <w:sz w:val="26"/>
          <w:szCs w:val="26"/>
        </w:rPr>
        <w:t>5.00  Clinical Records Retention &amp; Access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Clinical Records Retention &amp; Access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5122-27; 42 CFR Part 2;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 records are retained, stored securely, and accessed only as permitted.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to everyone authorized to access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retains client records for the period Ohio law, OAC Chapter 5122-27, and its accreditation standards require, stores records securely (in a locked location or a secure electronic system), and safeguards them against loss, tampering, and unauthorized access. Access to records follows the confidentiality policy, 42 CFR Part 2, and HIPAA, and records are made available for OhioMHAS review as required. The provider maintains a records-retention and destruction schedule and a record-access log.</w:t>
      </w:r>
    </w:p>
    <w:p>
      <w:pPr>
        <w:pStyle w:val="Normal"/>
        <w:pBdr>
          <w:bottom w:val="single" w:sz="4" w:space="1" w:color="2E5E45"/>
        </w:pBdr>
        <w:spacing w:before="160" w:after="80"/>
        <w:rPr/>
      </w:pPr>
      <w:r>
        <w:rPr>
          <w:rFonts w:eastAsia="Arial" w:cs="Arial"/>
          <w:b/>
          <w:bCs/>
          <w:color w:val="1A4731"/>
          <w:sz w:val="20"/>
          <w:szCs w:val="20"/>
        </w:rPr>
        <w:t>PROCEDURE — RETENTION &amp; ACCESS</w:t>
      </w:r>
    </w:p>
    <w:p>
      <w:pPr>
        <w:pStyle w:val="Normal"/>
        <w:tabs>
          <w:tab w:val="left" w:pos="720" w:leader="none"/>
        </w:tabs>
        <w:spacing w:lineRule="exact" w:line="264" w:before="0" w:after="80"/>
        <w:ind w:hanging="360" w:start="720"/>
        <w:rPr/>
      </w:pPr>
      <w:r>
        <w:rPr>
          <w:rFonts w:eastAsia="Arial" w:cs="Arial"/>
          <w:sz w:val="21"/>
          <w:szCs w:val="21"/>
        </w:rPr>
        <w:t>a. Retain records for the required period and store them securely.</w:t>
      </w:r>
    </w:p>
    <w:p>
      <w:pPr>
        <w:pStyle w:val="Normal"/>
        <w:tabs>
          <w:tab w:val="left" w:pos="720" w:leader="none"/>
        </w:tabs>
        <w:spacing w:lineRule="exact" w:line="264" w:before="0" w:after="80"/>
        <w:ind w:hanging="360" w:start="720"/>
        <w:rPr/>
      </w:pPr>
      <w:r>
        <w:rPr>
          <w:rFonts w:eastAsia="Arial" w:cs="Arial"/>
          <w:sz w:val="21"/>
          <w:szCs w:val="21"/>
        </w:rPr>
        <w:t>b. Control access consistent with 42 CFR Part 2 and HIPAA and provide OhioMHAS access for compliance.</w:t>
      </w:r>
    </w:p>
    <w:p>
      <w:pPr>
        <w:pStyle w:val="Normal"/>
        <w:tabs>
          <w:tab w:val="left" w:pos="720" w:leader="none"/>
        </w:tabs>
        <w:spacing w:lineRule="exact" w:line="264" w:before="0" w:after="80"/>
        <w:ind w:hanging="360" w:start="720"/>
        <w:rPr/>
      </w:pPr>
      <w:r>
        <w:rPr>
          <w:rFonts w:eastAsia="Arial" w:cs="Arial"/>
          <w:sz w:val="21"/>
          <w:szCs w:val="21"/>
        </w:rPr>
        <w:t>c. Maintain a retention/destruction schedule and a record-access log.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 Management &amp; Medication-Assisted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 Management &amp; Medication-Assisted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Chapters 5122-26, 5122-29; 5122-40 (OTP)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 including medication-assisted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provider handles, stores, administers, prescribes, or supervises medication, including MAT.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handles medication in accordance with applicable Ohio and federal law and the requirements of the boards of pharmacy, nursing, and medicine, under the direction of a licensed prescriber. Medication is legally prescribed and labeled, stored securely with controlled substances subject to additional controls, and administered only by personnel authorized by law and in accordance with the prescriber's orders; supervision of client self-administration is provided by trained personnel and documented. The provider supports access to medication-assisted treatment (MAT) for substance use disorders, and, where it operates an opioid treatment program, it complies with the OTP requirements of OAC Chapter 5122-40, including federal SAMHSA and DEA requirements, patient information at admission (including overdose recognition and how to seek emergency assistance), and informed consent. The provider maintains a medication record and addresses medication errors and adverse reactions.</w:t>
      </w:r>
    </w:p>
    <w:p>
      <w:pPr>
        <w:pStyle w:val="Normal"/>
        <w:pBdr>
          <w:bottom w:val="single" w:sz="4" w:space="1" w:color="2E5E45"/>
        </w:pBdr>
        <w:spacing w:before="160" w:after="80"/>
        <w:rPr/>
      </w:pPr>
      <w:r>
        <w:rPr>
          <w:rFonts w:eastAsia="Arial" w:cs="Arial"/>
          <w:b/>
          <w:bCs/>
          <w:color w:val="1A4731"/>
          <w:sz w:val="20"/>
          <w:szCs w:val="20"/>
        </w:rPr>
        <w:t>PROCEDURE — MEDICATION HANDLING</w:t>
      </w:r>
    </w:p>
    <w:p>
      <w:pPr>
        <w:pStyle w:val="Normal"/>
        <w:tabs>
          <w:tab w:val="left" w:pos="720" w:leader="none"/>
        </w:tabs>
        <w:spacing w:lineRule="exact" w:line="264" w:before="0" w:after="80"/>
        <w:ind w:hanging="360" w:start="720"/>
        <w:rPr/>
      </w:pPr>
      <w:r>
        <w:rPr>
          <w:rFonts w:eastAsia="Arial" w:cs="Arial"/>
          <w:sz w:val="21"/>
          <w:szCs w:val="21"/>
        </w:rPr>
        <w:t>a. Handle medication under a licensed prescriber and store it securely with additional controls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orders and document supervision of self-administration.</w:t>
      </w:r>
    </w:p>
    <w:p>
      <w:pPr>
        <w:pStyle w:val="Normal"/>
        <w:tabs>
          <w:tab w:val="left" w:pos="720" w:leader="none"/>
        </w:tabs>
        <w:spacing w:lineRule="exact" w:line="264" w:before="0" w:after="80"/>
        <w:ind w:hanging="360" w:start="720"/>
        <w:rPr/>
      </w:pPr>
      <w:r>
        <w:rPr>
          <w:rFonts w:eastAsia="Arial" w:cs="Arial"/>
          <w:sz w:val="21"/>
          <w:szCs w:val="21"/>
        </w:rPr>
        <w:t>c. Support MAT, comply with OTP requirements where applicable, and address medication errors and adverse reactions.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Health, Safety &amp; Physical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Health, Safety &amp; Physical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Chapters 5122-26, 5122-30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maintains a safe, clean physical environment appropriate to its services and settings.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locations, with additional requirements for residential facilities.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physical environment that is safe, clean, and appropriate for the services provided, with adequate and private space for confidential services and secure storage for records and medication. A residential facility meets the physical-plant, safety, sanitation, water-supply and sewage, and, where applicable, boiler and other requirements of OAC Chapter 5122-30 and applicable state and local codes, and obtains required inspections and clearances. The provider identifies and corrects environmental hazards through routine inspection and maintains the premises in good repair.</w:t>
      </w:r>
    </w:p>
    <w:p>
      <w:pPr>
        <w:pStyle w:val="Normal"/>
        <w:pBdr>
          <w:bottom w:val="single" w:sz="4" w:space="1" w:color="2E5E45"/>
        </w:pBdr>
        <w:spacing w:before="160" w:after="80"/>
        <w:rPr/>
      </w:pPr>
      <w:r>
        <w:rPr>
          <w:rFonts w:eastAsia="Arial" w:cs="Arial"/>
          <w:b/>
          <w:bCs/>
          <w:color w:val="1A4731"/>
          <w:sz w:val="20"/>
          <w:szCs w:val="20"/>
        </w:rPr>
        <w:t>PROCEDURE — ENVIRONMENT &amp; SAFETY</w:t>
      </w:r>
    </w:p>
    <w:p>
      <w:pPr>
        <w:pStyle w:val="Normal"/>
        <w:tabs>
          <w:tab w:val="left" w:pos="720" w:leader="none"/>
        </w:tabs>
        <w:spacing w:lineRule="exact" w:line="264" w:before="0" w:after="80"/>
        <w:ind w:hanging="360" w:start="720"/>
        <w:rPr/>
      </w:pPr>
      <w:r>
        <w:rPr>
          <w:rFonts w:eastAsia="Arial" w:cs="Arial"/>
          <w:sz w:val="21"/>
          <w:szCs w:val="21"/>
        </w:rPr>
        <w:t>a. Maintain safe, clean premises with adequate, private space and secure storage.</w:t>
      </w:r>
    </w:p>
    <w:p>
      <w:pPr>
        <w:pStyle w:val="Normal"/>
        <w:tabs>
          <w:tab w:val="left" w:pos="720" w:leader="none"/>
        </w:tabs>
        <w:spacing w:lineRule="exact" w:line="264" w:before="0" w:after="80"/>
        <w:ind w:hanging="360" w:start="720"/>
        <w:rPr/>
      </w:pPr>
      <w:r>
        <w:rPr>
          <w:rFonts w:eastAsia="Arial" w:cs="Arial"/>
          <w:sz w:val="21"/>
          <w:szCs w:val="21"/>
        </w:rPr>
        <w:t>b. For residential facilities, meet Chapter 5122-30 physical-plant and safety requirements and obtain required inspections and clearances.</w:t>
      </w:r>
    </w:p>
    <w:p>
      <w:pPr>
        <w:pStyle w:val="Normal"/>
        <w:tabs>
          <w:tab w:val="left" w:pos="720" w:leader="none"/>
        </w:tabs>
        <w:spacing w:lineRule="exact" w:line="264" w:before="0" w:after="80"/>
        <w:ind w:hanging="360" w:start="720"/>
        <w:rPr/>
      </w:pPr>
      <w:r>
        <w:rPr>
          <w:rFonts w:eastAsia="Arial" w:cs="Arial"/>
          <w:sz w:val="21"/>
          <w:szCs w:val="21"/>
        </w:rPr>
        <w:t>c. Conduct routine inspections, correct hazards, and maintain the premises in good repair.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Inspection &amp; Clearance File (residential)</w:t>
      </w:r>
    </w:p>
    <w:p>
      <w:pPr>
        <w:pStyle w:val="ListParagraph"/>
        <w:numPr>
          <w:ilvl w:val="0"/>
          <w:numId w:val="1"/>
        </w:numPr>
        <w:spacing w:lineRule="exact" w:line="264" w:before="0" w:after="60"/>
        <w:rPr/>
      </w:pPr>
      <w:r>
        <w:rPr>
          <w:rFonts w:eastAsia="Arial" w:cs="Arial"/>
          <w:sz w:val="21"/>
          <w:szCs w:val="21"/>
        </w:rPr>
        <w:t>Maintenance &amp; Repair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Emergency Preparedness &amp; Overdose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Emergency Preparedness &amp; Overdose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Chapters 5122-26, 5122-30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is prepared for medical and other emergencies, including overdose.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at all service locations,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written emergency plan addressing medical emergencies, overdose, fire, natural disasters, and, for residential settings, evacuation, with posted routes and clear exits, and trains staff and, for residential settings, clients on the plan and conducts and documents drills. Because the provider serves people with substance use disorders, it maintains an overdose-response capability, including access to naloxone and staff trained to recognize and respond to overdose and to summon emergency medical services. The provider maintains first-aid supplies, procedures for medical and behavioral emergencies, and, where applicable, twenty-four-hour or on-call clinical availability as the service rules require.</w:t>
      </w:r>
    </w:p>
    <w:p>
      <w:pPr>
        <w:pStyle w:val="Normal"/>
        <w:pBdr>
          <w:bottom w:val="single" w:sz="4" w:space="1" w:color="2E5E45"/>
        </w:pBdr>
        <w:spacing w:before="160" w:after="80"/>
        <w:rPr/>
      </w:pPr>
      <w:r>
        <w:rPr>
          <w:rFonts w:eastAsia="Arial" w:cs="Arial"/>
          <w:b/>
          <w:bCs/>
          <w:color w:val="1A4731"/>
          <w:sz w:val="20"/>
          <w:szCs w:val="20"/>
        </w:rPr>
        <w:t>PROCEDURE — EMERGENCY &amp; OVERDOSE RESPONSE</w:t>
      </w:r>
    </w:p>
    <w:p>
      <w:pPr>
        <w:pStyle w:val="Normal"/>
        <w:tabs>
          <w:tab w:val="left" w:pos="720" w:leader="none"/>
        </w:tabs>
        <w:spacing w:lineRule="exact" w:line="264" w:before="0" w:after="80"/>
        <w:ind w:hanging="360" w:start="720"/>
        <w:rPr/>
      </w:pPr>
      <w:r>
        <w:rPr>
          <w:rFonts w:eastAsia="Arial" w:cs="Arial"/>
          <w:sz w:val="21"/>
          <w:szCs w:val="21"/>
        </w:rPr>
        <w:t>a. Maintain a written emergency plan with posted routes and clear exits and train staff and residential clients,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overdose-response capability, including naloxone access and trained staff, and summon emergency medical services as needed.</w:t>
      </w:r>
    </w:p>
    <w:p>
      <w:pPr>
        <w:pStyle w:val="Normal"/>
        <w:tabs>
          <w:tab w:val="left" w:pos="720" w:leader="none"/>
        </w:tabs>
        <w:spacing w:lineRule="exact" w:line="264" w:before="0" w:after="80"/>
        <w:ind w:hanging="360" w:start="720"/>
        <w:rPr/>
      </w:pPr>
      <w:r>
        <w:rPr>
          <w:rFonts w:eastAsia="Arial" w:cs="Arial"/>
          <w:sz w:val="21"/>
          <w:szCs w:val="21"/>
        </w:rPr>
        <w:t>c. Maintain first-aid supplies and required clinical availability per the service rules.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On-Call / Coverage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Infection Control &amp; Nutrition (Residential)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Infection Control &amp; Nutrition (Residential)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Chapter 5122-30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through infection-control practices and, in residential settings, adequate nutrition.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at all settings and to nutrition in residential facilities.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infection-control practices appropriate to its services, including standard precautions, hand hygiene, and safe handling and disposal of hazardous and biohazardous materials. A residential facility provides or arranges meals that meet residents' nutritional needs, with reasonable accommodation of special dietary needs, prepared and served under sanitary conditions consistent with applicable requirements, and never withholds food as a disciplinary measure. The provider trains staff on infection control and food safety as applicable.</w:t>
      </w:r>
    </w:p>
    <w:p>
      <w:pPr>
        <w:pStyle w:val="Normal"/>
        <w:pBdr>
          <w:bottom w:val="single" w:sz="4" w:space="1" w:color="2E5E45"/>
        </w:pBdr>
        <w:spacing w:before="160" w:after="80"/>
        <w:rPr/>
      </w:pPr>
      <w:r>
        <w:rPr>
          <w:rFonts w:eastAsia="Arial" w:cs="Arial"/>
          <w:b/>
          <w:bCs/>
          <w:color w:val="1A4731"/>
          <w:sz w:val="20"/>
          <w:szCs w:val="20"/>
        </w:rPr>
        <w:t>PROCEDURE — INFECTION CONTROL &amp; NUTRITION</w:t>
      </w:r>
    </w:p>
    <w:p>
      <w:pPr>
        <w:pStyle w:val="Normal"/>
        <w:tabs>
          <w:tab w:val="left" w:pos="720" w:leader="none"/>
        </w:tabs>
        <w:spacing w:lineRule="exact" w:line="264" w:before="0" w:after="80"/>
        <w:ind w:hanging="360" w:start="720"/>
        <w:rPr/>
      </w:pPr>
      <w:r>
        <w:rPr>
          <w:rFonts w:eastAsia="Arial" w:cs="Arial"/>
          <w:sz w:val="21"/>
          <w:szCs w:val="21"/>
        </w:rPr>
        <w:t>a. Apply standard precautions, hand hygiene, and safe handling and disposal of hazardous materials.</w:t>
      </w:r>
    </w:p>
    <w:p>
      <w:pPr>
        <w:pStyle w:val="Normal"/>
        <w:tabs>
          <w:tab w:val="left" w:pos="720" w:leader="none"/>
        </w:tabs>
        <w:spacing w:lineRule="exact" w:line="264" w:before="0" w:after="80"/>
        <w:ind w:hanging="360" w:start="720"/>
        <w:rPr/>
      </w:pPr>
      <w:r>
        <w:rPr>
          <w:rFonts w:eastAsia="Arial" w:cs="Arial"/>
          <w:sz w:val="21"/>
          <w:szCs w:val="21"/>
        </w:rPr>
        <w:t>b. For residential settings, provide nutritionally adequate meals under sanitary conditions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c. Train staff on infection control and food safety as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Menu &amp; Nutrition Plan (residential)</w:t>
      </w:r>
    </w:p>
    <w:p>
      <w:pPr>
        <w:pStyle w:val="ListParagraph"/>
        <w:numPr>
          <w:ilvl w:val="0"/>
          <w:numId w:val="1"/>
        </w:numPr>
        <w:spacing w:lineRule="exact" w:line="264" w:before="0" w:after="60"/>
        <w:rPr/>
      </w:pPr>
      <w:r>
        <w:rPr>
          <w:rFonts w:eastAsia="Arial" w:cs="Arial"/>
          <w:sz w:val="21"/>
          <w:szCs w:val="21"/>
        </w:rPr>
        <w:t>Food-Service Sanitation Log (residential)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Service-Type Standards</w:t>
      </w:r>
    </w:p>
    <w:p>
      <w:pPr>
        <w:pStyle w:val="Normal"/>
        <w:spacing w:lineRule="exact" w:line="288" w:before="0" w:after="240"/>
        <w:rPr/>
      </w:pPr>
      <w:r>
        <w:rPr>
          <w:rFonts w:eastAsia="Arial" w:cs="Arial"/>
          <w:color w:val="444444"/>
          <w:sz w:val="22"/>
          <w:szCs w:val="22"/>
        </w:rPr>
        <w:t>This section applies only to the services the provider is certified to provide. Adopt each policy only for a service on your OhioMHAS certification — each carries additional Chapter 5122-29 requirements on top of the standards in Sections A through 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General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Residential &amp; Withdrawal Management SUD Services (ASAM Level 3)</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Crisis Intervention &amp; 23-Hour Observation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SUD Case Management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Peer Support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Community Psychiatric Supportive Treatment (CPST)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Assertive Community Treatment (ACT) &amp; Intensive Home-Based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6.07  Telehealth</w:t>
      </w:r>
    </w:p>
    <w:p>
      <w:pPr>
        <w:pStyle w:val="Normal"/>
        <w:rPr/>
      </w:pPr>
      <w:r>
        <w:rPr/>
      </w:r>
      <w:r>
        <w:br w:type="page"/>
      </w:r>
    </w:p>
    <w:p>
      <w:pPr>
        <w:pStyle w:val="Heading2"/>
        <w:spacing w:before="0" w:after="120"/>
        <w:rPr/>
      </w:pPr>
      <w:r>
        <w:rPr>
          <w:rFonts w:eastAsia="Arial" w:cs="Arial" w:ascii="Arial" w:hAnsi="Arial"/>
          <w:b/>
          <w:bCs/>
          <w:color w:val="1A4731"/>
          <w:sz w:val="26"/>
          <w:szCs w:val="26"/>
        </w:rPr>
        <w:t>6.00  General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General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OAC 5122-29-03 that apply when the provider is certified for general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general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General services include the core behavioral health activities described in OAC 5122-29-03, such as diagnostic assessment and mental health and substance use counseling and therapy, provided by eligible practitioners within their scope of practice. Services are delivered consistent with each client's ITP, documented in the individual client record, and provided to both mental health and substance use populations as the provider is certified. The provider ensures that services requiring a specific credential are provided by appropriately credentialed individuals and that QBHS-level activities are performed within the QBHS scope and supervision.</w:t>
      </w:r>
    </w:p>
    <w:p>
      <w:pPr>
        <w:pStyle w:val="Normal"/>
        <w:pBdr>
          <w:bottom w:val="single" w:sz="4" w:space="1" w:color="2E5E45"/>
        </w:pBdr>
        <w:spacing w:before="160" w:after="80"/>
        <w:rPr/>
      </w:pPr>
      <w:r>
        <w:rPr>
          <w:rFonts w:eastAsia="Arial" w:cs="Arial"/>
          <w:b/>
          <w:bCs/>
          <w:color w:val="1A4731"/>
          <w:sz w:val="20"/>
          <w:szCs w:val="20"/>
        </w:rPr>
        <w:t>PROCEDURE — GENERAL SERVICES</w:t>
      </w:r>
    </w:p>
    <w:p>
      <w:pPr>
        <w:pStyle w:val="Normal"/>
        <w:tabs>
          <w:tab w:val="left" w:pos="720" w:leader="none"/>
        </w:tabs>
        <w:spacing w:lineRule="exact" w:line="264" w:before="0" w:after="80"/>
        <w:ind w:hanging="360" w:start="720"/>
        <w:rPr/>
      </w:pPr>
      <w:r>
        <w:rPr>
          <w:rFonts w:eastAsia="Arial" w:cs="Arial"/>
          <w:sz w:val="21"/>
          <w:szCs w:val="21"/>
        </w:rPr>
        <w:t>a. Provide diagnostic assessment and counseling/therapy under 5122-29-03 through eligible practitioners within scope.</w:t>
      </w:r>
    </w:p>
    <w:p>
      <w:pPr>
        <w:pStyle w:val="Normal"/>
        <w:tabs>
          <w:tab w:val="left" w:pos="720" w:leader="none"/>
        </w:tabs>
        <w:spacing w:lineRule="exact" w:line="264" w:before="0" w:after="80"/>
        <w:ind w:hanging="360" w:start="720"/>
        <w:rPr/>
      </w:pPr>
      <w:r>
        <w:rPr>
          <w:rFonts w:eastAsia="Arial" w:cs="Arial"/>
          <w:sz w:val="21"/>
          <w:szCs w:val="21"/>
        </w:rPr>
        <w:t>b. Deliver services consistent with the ITP and document them in the individual client record.</w:t>
      </w:r>
    </w:p>
    <w:p>
      <w:pPr>
        <w:pStyle w:val="Normal"/>
        <w:tabs>
          <w:tab w:val="left" w:pos="720" w:leader="none"/>
        </w:tabs>
        <w:spacing w:lineRule="exact" w:line="264" w:before="0" w:after="80"/>
        <w:ind w:hanging="360" w:start="720"/>
        <w:rPr/>
      </w:pPr>
      <w:r>
        <w:rPr>
          <w:rFonts w:eastAsia="Arial" w:cs="Arial"/>
          <w:sz w:val="21"/>
          <w:szCs w:val="21"/>
        </w:rPr>
        <w:t>c. Ensure credentialed services are provided by credentialed individuals and QBHS activities within scope and supervision.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Diagnostic Assessment &amp; Counseling Notes</w:t>
      </w:r>
    </w:p>
    <w:p>
      <w:pPr>
        <w:pStyle w:val="ListParagraph"/>
        <w:numPr>
          <w:ilvl w:val="0"/>
          <w:numId w:val="1"/>
        </w:numPr>
        <w:spacing w:lineRule="exact" w:line="264" w:before="0" w:after="60"/>
        <w:rPr/>
      </w:pPr>
      <w:r>
        <w:rPr>
          <w:rFonts w:eastAsia="Arial" w:cs="Arial"/>
          <w:sz w:val="21"/>
          <w:szCs w:val="21"/>
        </w:rPr>
        <w:t>Service Delivery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Residential &amp; Withdrawal Management SUD Services (ASAM Level 3)</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Residential &amp; Withdrawal Management SUD Services (ASAM Level 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5122-29-09; ASAM Level 3 / 3-WM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OAC 5122-29-09 that apply when the provider is certified for residential and withdrawal management substance use disorder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residential and withdrawal management SUD services (ASAM Level 3 and sub-levels, and ASAM Level 2-WM as applicable).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Residential and withdrawal management substance use disorder services are provided in accordance with OAC 5122-29-09 and the American Society of Addiction Medicine's Level of Care 3 and 3-WM and associated sub-levels appropriate to the person's needs; a provider certified for this service may provide ASAM Level 2-WM. The program includes the ASAM-specified interdisciplinary team members and, as appropriate, certified peer supporters; is managed by an appropriately credentialed, licensed addictions clinician; maintains the required on-site and on-call clinical coverage for the sub-level (including twenty-four-hour availability of a nurse, physician assistant, physician, or emergency services for higher sub-levels); and offers the required hours per week of skilled treatment, clinically managed, and recovery and withdrawal support services, with the required minimum of individual, group, or family counseling. Staff have sufficient cross-training to recognize co-occurring mental disorders and initiate treatment or referral, and a health history (including food allergies and drug reactions) is completed on or before admission. Where the provider operates a youth SUD residential program, it also meets the QRTP standards (5122-29-09.1).</w:t>
      </w:r>
    </w:p>
    <w:p>
      <w:pPr>
        <w:pStyle w:val="Normal"/>
        <w:pBdr>
          <w:bottom w:val="single" w:sz="4" w:space="1" w:color="2E5E45"/>
        </w:pBdr>
        <w:spacing w:before="160" w:after="80"/>
        <w:rPr/>
      </w:pPr>
      <w:r>
        <w:rPr>
          <w:rFonts w:eastAsia="Arial" w:cs="Arial"/>
          <w:b/>
          <w:bCs/>
          <w:color w:val="1A4731"/>
          <w:sz w:val="20"/>
          <w:szCs w:val="20"/>
        </w:rPr>
        <w:t>PROCEDURE — RESIDENTIAL &amp; WITHDRAWAL MANAGEMENT</w:t>
      </w:r>
    </w:p>
    <w:p>
      <w:pPr>
        <w:pStyle w:val="Normal"/>
        <w:tabs>
          <w:tab w:val="left" w:pos="720" w:leader="none"/>
        </w:tabs>
        <w:spacing w:lineRule="exact" w:line="264" w:before="0" w:after="80"/>
        <w:ind w:hanging="360" w:start="720"/>
        <w:rPr/>
      </w:pPr>
      <w:r>
        <w:rPr>
          <w:rFonts w:eastAsia="Arial" w:cs="Arial"/>
          <w:sz w:val="21"/>
          <w:szCs w:val="21"/>
        </w:rPr>
        <w:t>a. Provide services at the certified ASAM Level 3 sub-level(s) with the required interdisciplinary team, clinician management, and clinical coverage.</w:t>
      </w:r>
    </w:p>
    <w:p>
      <w:pPr>
        <w:pStyle w:val="Normal"/>
        <w:tabs>
          <w:tab w:val="left" w:pos="720" w:leader="none"/>
        </w:tabs>
        <w:spacing w:lineRule="exact" w:line="264" w:before="0" w:after="80"/>
        <w:ind w:hanging="360" w:start="720"/>
        <w:rPr/>
      </w:pPr>
      <w:r>
        <w:rPr>
          <w:rFonts w:eastAsia="Arial" w:cs="Arial"/>
          <w:sz w:val="21"/>
          <w:szCs w:val="21"/>
        </w:rPr>
        <w:t>b. Offer the required weekly hours of treatment and recovery/withdrawal support, including the minimum counseling hours.</w:t>
      </w:r>
    </w:p>
    <w:p>
      <w:pPr>
        <w:pStyle w:val="Normal"/>
        <w:tabs>
          <w:tab w:val="left" w:pos="720" w:leader="none"/>
        </w:tabs>
        <w:spacing w:lineRule="exact" w:line="264" w:before="0" w:after="80"/>
        <w:ind w:hanging="360" w:start="720"/>
        <w:rPr/>
      </w:pPr>
      <w:r>
        <w:rPr>
          <w:rFonts w:eastAsia="Arial" w:cs="Arial"/>
          <w:sz w:val="21"/>
          <w:szCs w:val="21"/>
        </w:rPr>
        <w:t>c. Complete a health history on or before admission, address co-occurring needs, and meet QRTP standards for youth programs.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ASAM Level-of-Care Documentation</w:t>
      </w:r>
    </w:p>
    <w:p>
      <w:pPr>
        <w:pStyle w:val="ListParagraph"/>
        <w:numPr>
          <w:ilvl w:val="0"/>
          <w:numId w:val="1"/>
        </w:numPr>
        <w:spacing w:lineRule="exact" w:line="264" w:before="0" w:after="60"/>
        <w:rPr/>
      </w:pPr>
      <w:r>
        <w:rPr>
          <w:rFonts w:eastAsia="Arial" w:cs="Arial"/>
          <w:sz w:val="21"/>
          <w:szCs w:val="21"/>
        </w:rPr>
        <w:t>Clinical Coverage &amp; Staffing Schedule</w:t>
      </w:r>
    </w:p>
    <w:p>
      <w:pPr>
        <w:pStyle w:val="ListParagraph"/>
        <w:numPr>
          <w:ilvl w:val="0"/>
          <w:numId w:val="1"/>
        </w:numPr>
        <w:spacing w:lineRule="exact" w:line="264" w:before="0" w:after="60"/>
        <w:rPr/>
      </w:pPr>
      <w:r>
        <w:rPr>
          <w:rFonts w:eastAsia="Arial" w:cs="Arial"/>
          <w:sz w:val="21"/>
          <w:szCs w:val="21"/>
        </w:rPr>
        <w:t>Weekly Service-Hours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Crisis Intervention &amp; 23-Hour Observation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Crisis Intervention &amp; 23-Hour Observation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OAC 5122-29-10 that apply when the provider is certified for crisis intervention service.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crisis intervention service, including any twenty-three-hour observation bed.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Crisis intervention is an interaction with a person in response to a crisis or emergency situation, provided in accordance with OAC 5122-29-10. The service includes understanding what initiated the crisis and the person's responses; a risk assessment of lethality, propensity for violence, and medical/physical condition including alcohol or drug use; information about the person's strengths, coping skills, and social support (including face-to-face contact with family and collateral informants where appropriate); and identification of treatment needs and the appropriate setting of care. Where the provider operates a twenty-three-hour observation bed, it provides face-to-face evaluation for up to twenty-three hours under close medical or nursing supervision to determine the appropriate next level of care. Crisis intervention is documented, and, where applicable, it is exempt from certain ITP requirements as the rules provide.</w:t>
      </w:r>
    </w:p>
    <w:p>
      <w:pPr>
        <w:pStyle w:val="Normal"/>
        <w:pBdr>
          <w:bottom w:val="single" w:sz="4" w:space="1" w:color="2E5E45"/>
        </w:pBdr>
        <w:spacing w:before="160" w:after="80"/>
        <w:rPr/>
      </w:pPr>
      <w:r>
        <w:rPr>
          <w:rFonts w:eastAsia="Arial" w:cs="Arial"/>
          <w:b/>
          <w:bCs/>
          <w:color w:val="1A4731"/>
          <w:sz w:val="20"/>
          <w:szCs w:val="20"/>
        </w:rPr>
        <w:t>PROCEDURE — CRISIS INTERVENTION</w:t>
      </w:r>
    </w:p>
    <w:p>
      <w:pPr>
        <w:pStyle w:val="Normal"/>
        <w:tabs>
          <w:tab w:val="left" w:pos="720" w:leader="none"/>
        </w:tabs>
        <w:spacing w:lineRule="exact" w:line="264" w:before="0" w:after="80"/>
        <w:ind w:hanging="360" w:start="720"/>
        <w:rPr/>
      </w:pPr>
      <w:r>
        <w:rPr>
          <w:rFonts w:eastAsia="Arial" w:cs="Arial"/>
          <w:sz w:val="21"/>
          <w:szCs w:val="21"/>
        </w:rPr>
        <w:t>a. Respond to the crisis with risk assessment, understanding of the precipitant, and identification of treatment needs and setting of care.</w:t>
      </w:r>
    </w:p>
    <w:p>
      <w:pPr>
        <w:pStyle w:val="Normal"/>
        <w:tabs>
          <w:tab w:val="left" w:pos="720" w:leader="none"/>
        </w:tabs>
        <w:spacing w:lineRule="exact" w:line="264" w:before="0" w:after="80"/>
        <w:ind w:hanging="360" w:start="720"/>
        <w:rPr/>
      </w:pPr>
      <w:r>
        <w:rPr>
          <w:rFonts w:eastAsia="Arial" w:cs="Arial"/>
          <w:sz w:val="21"/>
          <w:szCs w:val="21"/>
        </w:rPr>
        <w:t>b. Where operated, provide twenty-three-hour observation under close medical/nursing supervision to determine the next level of care.</w:t>
      </w:r>
    </w:p>
    <w:p>
      <w:pPr>
        <w:pStyle w:val="Normal"/>
        <w:tabs>
          <w:tab w:val="left" w:pos="720" w:leader="none"/>
        </w:tabs>
        <w:spacing w:lineRule="exact" w:line="264" w:before="0" w:after="80"/>
        <w:ind w:hanging="360" w:start="720"/>
        <w:rPr/>
      </w:pPr>
      <w:r>
        <w:rPr>
          <w:rFonts w:eastAsia="Arial" w:cs="Arial"/>
          <w:sz w:val="21"/>
          <w:szCs w:val="21"/>
        </w:rPr>
        <w:t>c. Document the crisis service consistent with the applicable documentation rules.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 Intervention / Risk Assessment</w:t>
      </w:r>
    </w:p>
    <w:p>
      <w:pPr>
        <w:pStyle w:val="ListParagraph"/>
        <w:numPr>
          <w:ilvl w:val="0"/>
          <w:numId w:val="1"/>
        </w:numPr>
        <w:spacing w:lineRule="exact" w:line="264" w:before="0" w:after="60"/>
        <w:rPr/>
      </w:pPr>
      <w:r>
        <w:rPr>
          <w:rFonts w:eastAsia="Arial" w:cs="Arial"/>
          <w:sz w:val="21"/>
          <w:szCs w:val="21"/>
        </w:rPr>
        <w:t>23-Hour Observation Record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SUD Case Management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SUD Case Management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OAC 5122-29-13 that apply when the provider is certified for SUD case management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SUD case management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SUD case management services are provided in accordance with OAC 5122-29-13 and include coordinating client assessments, treatment planning, and crisis intervention; facilitating linkages to community resources; monitoring service delivery; assisting the person in obtaining necessary services (such as financial, housing, food, medical, educational, vocational, and recreational services); assisting with self-help and social-support involvement; assisting with daily-living activities; and coordinating criminal-justice services. Transportation alone, and waiting with clients at appointments alone, do not constitute case management. An addiction treatment case management plan of care is developed and reassessed as the documentation rules require.</w:t>
      </w:r>
    </w:p>
    <w:p>
      <w:pPr>
        <w:pStyle w:val="Normal"/>
        <w:pBdr>
          <w:bottom w:val="single" w:sz="4" w:space="1" w:color="2E5E45"/>
        </w:pBdr>
        <w:spacing w:before="160" w:after="80"/>
        <w:rPr/>
      </w:pPr>
      <w:r>
        <w:rPr>
          <w:rFonts w:eastAsia="Arial" w:cs="Arial"/>
          <w:b/>
          <w:bCs/>
          <w:color w:val="1A4731"/>
          <w:sz w:val="20"/>
          <w:szCs w:val="20"/>
        </w:rPr>
        <w:t>PROCEDURE — SUD CASE MANAGEMENT</w:t>
      </w:r>
    </w:p>
    <w:p>
      <w:pPr>
        <w:pStyle w:val="Normal"/>
        <w:tabs>
          <w:tab w:val="left" w:pos="720" w:leader="none"/>
        </w:tabs>
        <w:spacing w:lineRule="exact" w:line="264" w:before="0" w:after="80"/>
        <w:ind w:hanging="360" w:start="720"/>
        <w:rPr/>
      </w:pPr>
      <w:r>
        <w:rPr>
          <w:rFonts w:eastAsia="Arial" w:cs="Arial"/>
          <w:sz w:val="21"/>
          <w:szCs w:val="21"/>
        </w:rPr>
        <w:t>a. Coordinate assessments, treatment planning, and linkages and assist the person in obtaining necessary services.</w:t>
      </w:r>
    </w:p>
    <w:p>
      <w:pPr>
        <w:pStyle w:val="Normal"/>
        <w:tabs>
          <w:tab w:val="left" w:pos="720" w:leader="none"/>
        </w:tabs>
        <w:spacing w:lineRule="exact" w:line="264" w:before="0" w:after="80"/>
        <w:ind w:hanging="360" w:start="720"/>
        <w:rPr/>
      </w:pPr>
      <w:r>
        <w:rPr>
          <w:rFonts w:eastAsia="Arial" w:cs="Arial"/>
          <w:sz w:val="21"/>
          <w:szCs w:val="21"/>
        </w:rPr>
        <w:t>b. Develop and reassess the case management plan of care per the documentation rules.</w:t>
      </w:r>
    </w:p>
    <w:p>
      <w:pPr>
        <w:pStyle w:val="Normal"/>
        <w:tabs>
          <w:tab w:val="left" w:pos="720" w:leader="none"/>
        </w:tabs>
        <w:spacing w:lineRule="exact" w:line="264" w:before="0" w:after="80"/>
        <w:ind w:hanging="360" w:start="720"/>
        <w:rPr/>
      </w:pPr>
      <w:r>
        <w:rPr>
          <w:rFonts w:eastAsia="Arial" w:cs="Arial"/>
          <w:sz w:val="21"/>
          <w:szCs w:val="21"/>
        </w:rPr>
        <w:t>c. Document case management activities, recognizing that transportation or waiting alone is not case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Case Management Plan of Care</w:t>
      </w:r>
    </w:p>
    <w:p>
      <w:pPr>
        <w:pStyle w:val="ListParagraph"/>
        <w:numPr>
          <w:ilvl w:val="0"/>
          <w:numId w:val="1"/>
        </w:numPr>
        <w:spacing w:lineRule="exact" w:line="264" w:before="0" w:after="60"/>
        <w:rPr/>
      </w:pPr>
      <w:r>
        <w:rPr>
          <w:rFonts w:eastAsia="Arial" w:cs="Arial"/>
          <w:sz w:val="21"/>
          <w:szCs w:val="21"/>
        </w:rPr>
        <w:t>Linkage &amp; Coordination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Peer Support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Peer Support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5122-29-15, 5122-29-15.1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OAC 5122-29-15 that apply when the provider is certified for peer support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peer support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Peer support services are provided in accordance with OAC 5122-29-15 by certified peer supporters credentialed under OAC 5122-29-15.1 (including adult, family, and youth peer supporters as applicable), who use their lived experience to support the person's recovery within their defined scope and under appropriate supervision. Peer support is delivered consistent with the person's ITP and documented, and peer supporters' certification and supervision are documented in the personnel record.</w:t>
      </w:r>
    </w:p>
    <w:p>
      <w:pPr>
        <w:pStyle w:val="Normal"/>
        <w:pBdr>
          <w:bottom w:val="single" w:sz="4" w:space="1" w:color="2E5E45"/>
        </w:pBdr>
        <w:spacing w:before="160" w:after="80"/>
        <w:rPr/>
      </w:pPr>
      <w:r>
        <w:rPr>
          <w:rFonts w:eastAsia="Arial" w:cs="Arial"/>
          <w:b/>
          <w:bCs/>
          <w:color w:val="1A4731"/>
          <w:sz w:val="20"/>
          <w:szCs w:val="20"/>
        </w:rPr>
        <w:t>PROCEDURE — PEER SUPPORT</w:t>
      </w:r>
    </w:p>
    <w:p>
      <w:pPr>
        <w:pStyle w:val="Normal"/>
        <w:tabs>
          <w:tab w:val="left" w:pos="720" w:leader="none"/>
        </w:tabs>
        <w:spacing w:lineRule="exact" w:line="264" w:before="0" w:after="80"/>
        <w:ind w:hanging="360" w:start="720"/>
        <w:rPr/>
      </w:pPr>
      <w:r>
        <w:rPr>
          <w:rFonts w:eastAsia="Arial" w:cs="Arial"/>
          <w:sz w:val="21"/>
          <w:szCs w:val="21"/>
        </w:rPr>
        <w:t>a. Verify certified peer supporter credentials (5122-29-15.1) before service delivery.</w:t>
      </w:r>
    </w:p>
    <w:p>
      <w:pPr>
        <w:pStyle w:val="Normal"/>
        <w:tabs>
          <w:tab w:val="left" w:pos="720" w:leader="none"/>
        </w:tabs>
        <w:spacing w:lineRule="exact" w:line="264" w:before="0" w:after="80"/>
        <w:ind w:hanging="360" w:start="720"/>
        <w:rPr/>
      </w:pPr>
      <w:r>
        <w:rPr>
          <w:rFonts w:eastAsia="Arial" w:cs="Arial"/>
          <w:sz w:val="21"/>
          <w:szCs w:val="21"/>
        </w:rPr>
        <w:t>b. Deliver peer support within scope and under supervision, consistent with the ITP.</w:t>
      </w:r>
    </w:p>
    <w:p>
      <w:pPr>
        <w:pStyle w:val="Normal"/>
        <w:tabs>
          <w:tab w:val="left" w:pos="720" w:leader="none"/>
        </w:tabs>
        <w:spacing w:lineRule="exact" w:line="264" w:before="0" w:after="80"/>
        <w:ind w:hanging="360" w:start="720"/>
        <w:rPr/>
      </w:pPr>
      <w:r>
        <w:rPr>
          <w:rFonts w:eastAsia="Arial" w:cs="Arial"/>
          <w:sz w:val="21"/>
          <w:szCs w:val="21"/>
        </w:rPr>
        <w:t>c. Document peer support services and peer supporter certification and supervision.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Peer Supporter Certification &amp; Supervision Record</w:t>
      </w:r>
    </w:p>
    <w:p>
      <w:pPr>
        <w:pStyle w:val="ListParagraph"/>
        <w:numPr>
          <w:ilvl w:val="0"/>
          <w:numId w:val="1"/>
        </w:numPr>
        <w:spacing w:lineRule="exact" w:line="264" w:before="0" w:after="60"/>
        <w:rPr/>
      </w:pPr>
      <w:r>
        <w:rPr>
          <w:rFonts w:eastAsia="Arial" w:cs="Arial"/>
          <w:sz w:val="21"/>
          <w:szCs w:val="21"/>
        </w:rPr>
        <w:t>Peer Support Service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Community Psychiatric Supportive Treatment (CPST)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Community Psychiatric Supportive Treatment (CPST)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OAC 5122-29-17 that apply when the provider is certified for community psychiatric supportive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community psychiatric supportive treatment (CPST) service.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Community psychiatric supportive treatment (CPST) is provided in accordance with OAC 5122-29-17 and includes coordination and support activities that help a person with a mental health or co-occurring condition access and benefit from services, maintain community functioning, and progress toward ITP goals, delivered by eligible practitioners within their scope. CPST is delivered consistent with the person's ITP and documented in the individual client record.</w:t>
      </w:r>
    </w:p>
    <w:p>
      <w:pPr>
        <w:pStyle w:val="Normal"/>
        <w:pBdr>
          <w:bottom w:val="single" w:sz="4" w:space="1" w:color="2E5E45"/>
        </w:pBdr>
        <w:spacing w:before="160" w:after="80"/>
        <w:rPr/>
      </w:pPr>
      <w:r>
        <w:rPr>
          <w:rFonts w:eastAsia="Arial" w:cs="Arial"/>
          <w:b/>
          <w:bCs/>
          <w:color w:val="1A4731"/>
          <w:sz w:val="20"/>
          <w:szCs w:val="20"/>
        </w:rPr>
        <w:t>PROCEDURE — CPST</w:t>
      </w:r>
    </w:p>
    <w:p>
      <w:pPr>
        <w:pStyle w:val="Normal"/>
        <w:tabs>
          <w:tab w:val="left" w:pos="720" w:leader="none"/>
        </w:tabs>
        <w:spacing w:lineRule="exact" w:line="264" w:before="0" w:after="80"/>
        <w:ind w:hanging="360" w:start="720"/>
        <w:rPr/>
      </w:pPr>
      <w:r>
        <w:rPr>
          <w:rFonts w:eastAsia="Arial" w:cs="Arial"/>
          <w:sz w:val="21"/>
          <w:szCs w:val="21"/>
        </w:rPr>
        <w:t>a. Provide CPST coordination and support activities per 5122-29-17 through eligible practitioners within scope.</w:t>
      </w:r>
    </w:p>
    <w:p>
      <w:pPr>
        <w:pStyle w:val="Normal"/>
        <w:tabs>
          <w:tab w:val="left" w:pos="720" w:leader="none"/>
        </w:tabs>
        <w:spacing w:lineRule="exact" w:line="264" w:before="0" w:after="80"/>
        <w:ind w:hanging="360" w:start="720"/>
        <w:rPr/>
      </w:pPr>
      <w:r>
        <w:rPr>
          <w:rFonts w:eastAsia="Arial" w:cs="Arial"/>
          <w:sz w:val="21"/>
          <w:szCs w:val="21"/>
        </w:rPr>
        <w:t>b. Deliver CPST consistent with the person's ITP.</w:t>
      </w:r>
    </w:p>
    <w:p>
      <w:pPr>
        <w:pStyle w:val="Normal"/>
        <w:tabs>
          <w:tab w:val="left" w:pos="720" w:leader="none"/>
        </w:tabs>
        <w:spacing w:lineRule="exact" w:line="264" w:before="0" w:after="80"/>
        <w:ind w:hanging="360" w:start="720"/>
        <w:rPr/>
      </w:pPr>
      <w:r>
        <w:rPr>
          <w:rFonts w:eastAsia="Arial" w:cs="Arial"/>
          <w:sz w:val="21"/>
          <w:szCs w:val="21"/>
        </w:rPr>
        <w:t>c. Document CPST in the individual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CPST Service Note</w:t>
      </w:r>
    </w:p>
    <w:p>
      <w:pPr>
        <w:pStyle w:val="ListParagraph"/>
        <w:numPr>
          <w:ilvl w:val="0"/>
          <w:numId w:val="1"/>
        </w:numPr>
        <w:spacing w:lineRule="exact" w:line="264" w:before="0" w:after="60"/>
        <w:rPr/>
      </w:pPr>
      <w:r>
        <w:rPr>
          <w:rFonts w:eastAsia="Arial" w:cs="Arial"/>
          <w:sz w:val="21"/>
          <w:szCs w:val="21"/>
        </w:rPr>
        <w:t>Community Support / Linkage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Assertive Community Treatment (ACT) &amp; Intensive Home-Based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Assertive Community Treatment (ACT) &amp; Intensive Home-Based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5122-29-29, 5122-29-28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certified for assertive community treatment or intensive home-based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assertive community treatment (ACT) or intensive home-based treatment (IHBT).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Assertive community treatment (ACT) is provided in accordance with OAC 5122-29-29 as an intensive, team-based, community-based service for adults with serious mental illness, through a multidisciplinary team meeting the ACT model and staffing requirements. Intensive home-based treatment (IHBT) is provided in accordance with OAC 5122-29-28 as an intensive, home- and community-based service for youth with serious emotional disturbance and their families. Both services are delivered by eligible practitioners within their scope, consistent with the person's ITP, and documented, and the provider meets the team composition, availability, and intensity requirements the applicable rule specifies.</w:t>
      </w:r>
    </w:p>
    <w:p>
      <w:pPr>
        <w:pStyle w:val="Normal"/>
        <w:pBdr>
          <w:bottom w:val="single" w:sz="4" w:space="1" w:color="2E5E45"/>
        </w:pBdr>
        <w:spacing w:before="160" w:after="80"/>
        <w:rPr/>
      </w:pPr>
      <w:r>
        <w:rPr>
          <w:rFonts w:eastAsia="Arial" w:cs="Arial"/>
          <w:b/>
          <w:bCs/>
          <w:color w:val="1A4731"/>
          <w:sz w:val="20"/>
          <w:szCs w:val="20"/>
        </w:rPr>
        <w:t>PROCEDURE — ACT / IHBT</w:t>
      </w:r>
    </w:p>
    <w:p>
      <w:pPr>
        <w:pStyle w:val="Normal"/>
        <w:tabs>
          <w:tab w:val="left" w:pos="720" w:leader="none"/>
        </w:tabs>
        <w:spacing w:lineRule="exact" w:line="264" w:before="0" w:after="80"/>
        <w:ind w:hanging="360" w:start="720"/>
        <w:rPr/>
      </w:pPr>
      <w:r>
        <w:rPr>
          <w:rFonts w:eastAsia="Arial" w:cs="Arial"/>
          <w:sz w:val="21"/>
          <w:szCs w:val="21"/>
        </w:rPr>
        <w:t>a. Deliver ACT or IHBT through a team meeting the model, composition, availability, and intensity requirements of the applicable rule.</w:t>
      </w:r>
    </w:p>
    <w:p>
      <w:pPr>
        <w:pStyle w:val="Normal"/>
        <w:tabs>
          <w:tab w:val="left" w:pos="720" w:leader="none"/>
        </w:tabs>
        <w:spacing w:lineRule="exact" w:line="264" w:before="0" w:after="80"/>
        <w:ind w:hanging="360" w:start="720"/>
        <w:rPr/>
      </w:pPr>
      <w:r>
        <w:rPr>
          <w:rFonts w:eastAsia="Arial" w:cs="Arial"/>
          <w:sz w:val="21"/>
          <w:szCs w:val="21"/>
        </w:rPr>
        <w:t>b. Provide services through eligible practitioners within scope, consistent with the person's ITP.</w:t>
      </w:r>
    </w:p>
    <w:p>
      <w:pPr>
        <w:pStyle w:val="Normal"/>
        <w:tabs>
          <w:tab w:val="left" w:pos="720" w:leader="none"/>
        </w:tabs>
        <w:spacing w:lineRule="exact" w:line="264" w:before="0" w:after="80"/>
        <w:ind w:hanging="360" w:start="720"/>
        <w:rPr/>
      </w:pPr>
      <w:r>
        <w:rPr>
          <w:rFonts w:eastAsia="Arial" w:cs="Arial"/>
          <w:sz w:val="21"/>
          <w:szCs w:val="21"/>
        </w:rPr>
        <w:t>c. Document services and team activities in the individual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ACT / IHBT Team Roster &amp; Model Fidelity Record</w:t>
      </w:r>
    </w:p>
    <w:p>
      <w:pPr>
        <w:pStyle w:val="ListParagraph"/>
        <w:numPr>
          <w:ilvl w:val="0"/>
          <w:numId w:val="1"/>
        </w:numPr>
        <w:spacing w:lineRule="exact" w:line="264" w:before="0" w:after="60"/>
        <w:rPr/>
      </w:pPr>
      <w:r>
        <w:rPr>
          <w:rFonts w:eastAsia="Arial" w:cs="Arial"/>
          <w:sz w:val="21"/>
          <w:szCs w:val="21"/>
        </w:rPr>
        <w:t>Service Note &amp; Contact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6.07  Telehealth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6.07  Telehealth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OAC 5122-29-31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OAC 5122-29-31 that apply when the provider delivers services through telehealth.</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any service the provider delivers through telehealth.</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delivers services through telehealth in accordance with OAC 5122-29-31, using real-time audiovisual communication of sufficient quality to permit accurate and meaningful interaction (and permitted asynchronous modalities), delivered by an eligible certified provider. No initial in-person visit is required to initiate telehealth services; the decision to provide initial or occasional in-person sessions is based on client choice, clinical judgment, and professional-licensing requirements. The provider confirms the client's location (originating site) before and whenever it changes, provides the client information on how to access crisis assistance (including for equipment failure), ensures equipment meets the required standards for confidential, real-time interaction, and documents telehealth services as the rule requires.</w:t>
      </w:r>
    </w:p>
    <w:p>
      <w:pPr>
        <w:pStyle w:val="Normal"/>
        <w:pBdr>
          <w:bottom w:val="single" w:sz="4" w:space="1" w:color="2E5E45"/>
        </w:pBdr>
        <w:spacing w:before="160" w:after="80"/>
        <w:rPr/>
      </w:pPr>
      <w:r>
        <w:rPr>
          <w:rFonts w:eastAsia="Arial" w:cs="Arial"/>
          <w:b/>
          <w:bCs/>
          <w:color w:val="1A4731"/>
          <w:sz w:val="20"/>
          <w:szCs w:val="20"/>
        </w:rPr>
        <w:t>PROCEDURE — TELEHEALTH</w:t>
      </w:r>
    </w:p>
    <w:p>
      <w:pPr>
        <w:pStyle w:val="Normal"/>
        <w:tabs>
          <w:tab w:val="left" w:pos="720" w:leader="none"/>
        </w:tabs>
        <w:spacing w:lineRule="exact" w:line="264" w:before="0" w:after="80"/>
        <w:ind w:hanging="360" w:start="720"/>
        <w:rPr/>
      </w:pPr>
      <w:r>
        <w:rPr>
          <w:rFonts w:eastAsia="Arial" w:cs="Arial"/>
          <w:sz w:val="21"/>
          <w:szCs w:val="21"/>
        </w:rPr>
        <w:t>a. Deliver telehealth via compliant real-time audiovisual technology through eligible providers, confirming the client's location.</w:t>
      </w:r>
    </w:p>
    <w:p>
      <w:pPr>
        <w:pStyle w:val="Normal"/>
        <w:tabs>
          <w:tab w:val="left" w:pos="720" w:leader="none"/>
        </w:tabs>
        <w:spacing w:lineRule="exact" w:line="264" w:before="0" w:after="80"/>
        <w:ind w:hanging="360" w:start="720"/>
        <w:rPr/>
      </w:pPr>
      <w:r>
        <w:rPr>
          <w:rFonts w:eastAsia="Arial" w:cs="Arial"/>
          <w:sz w:val="21"/>
          <w:szCs w:val="21"/>
        </w:rPr>
        <w:t>b. Provide crisis-access information and base in-person sessions on client choice and clinical and licensing requirements.</w:t>
      </w:r>
    </w:p>
    <w:p>
      <w:pPr>
        <w:pStyle w:val="Normal"/>
        <w:tabs>
          <w:tab w:val="left" w:pos="720" w:leader="none"/>
        </w:tabs>
        <w:spacing w:lineRule="exact" w:line="264" w:before="0" w:after="80"/>
        <w:ind w:hanging="360" w:start="720"/>
        <w:rPr/>
      </w:pPr>
      <w:r>
        <w:rPr>
          <w:rFonts w:eastAsia="Arial" w:cs="Arial"/>
          <w:sz w:val="21"/>
          <w:szCs w:val="21"/>
        </w:rPr>
        <w:t>c. Ensure equipment standards for confidential real-time interaction and document telehealth services per 5122-29-31.</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Telehealth Consent &amp; Location Record</w:t>
      </w:r>
    </w:p>
    <w:p>
      <w:pPr>
        <w:pStyle w:val="ListParagraph"/>
        <w:numPr>
          <w:ilvl w:val="0"/>
          <w:numId w:val="1"/>
        </w:numPr>
        <w:spacing w:lineRule="exact" w:line="264" w:before="0" w:after="60"/>
        <w:rPr/>
      </w:pPr>
      <w:r>
        <w:rPr>
          <w:rFonts w:eastAsia="Arial" w:cs="Arial"/>
          <w:sz w:val="21"/>
          <w:szCs w:val="21"/>
        </w:rPr>
        <w:t>Telehealth Service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Ohio agencies and resources, guidance on customizing the manual and matching it to the provider's certified services,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Ohio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provider should maintain a current copy of each and customize as needed. Where a form corresponds to an official OhioMHAS or accreditor form, use the current official version.</w:t>
      </w:r>
    </w:p>
    <w:p>
      <w:pPr>
        <w:pStyle w:val="Normal"/>
        <w:spacing w:before="140" w:after="40"/>
        <w:rPr/>
      </w:pPr>
      <w:r>
        <w:rPr>
          <w:rFonts w:eastAsia="Arial" w:cs="Arial"/>
          <w:b/>
          <w:bCs/>
          <w:color w:val="333333"/>
          <w:sz w:val="21"/>
          <w:szCs w:val="21"/>
        </w:rPr>
        <w:t>Section A — Certification, Licensure &amp; Administration</w:t>
      </w:r>
    </w:p>
    <w:p>
      <w:pPr>
        <w:pStyle w:val="ListParagraph"/>
        <w:numPr>
          <w:ilvl w:val="0"/>
          <w:numId w:val="1"/>
        </w:numPr>
        <w:spacing w:lineRule="exact" w:line="264" w:before="0" w:after="60"/>
        <w:rPr/>
      </w:pPr>
      <w:r>
        <w:rPr>
          <w:rFonts w:eastAsia="Arial" w:cs="Arial"/>
          <w:sz w:val="21"/>
          <w:szCs w:val="21"/>
        </w:rPr>
        <w:t>Governing Authority Charter &amp; Bylaws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Executive Leadership Job Descriptions</w:t>
      </w:r>
    </w:p>
    <w:p>
      <w:pPr>
        <w:pStyle w:val="ListParagraph"/>
        <w:numPr>
          <w:ilvl w:val="0"/>
          <w:numId w:val="1"/>
        </w:numPr>
        <w:spacing w:lineRule="exact" w:line="264" w:before="0" w:after="60"/>
        <w:rPr/>
      </w:pPr>
      <w:r>
        <w:rPr>
          <w:rFonts w:eastAsia="Arial" w:cs="Arial"/>
          <w:sz w:val="21"/>
          <w:szCs w:val="21"/>
        </w:rPr>
        <w:t>OhioMHAS Certification Application &amp; Certificate</w:t>
      </w:r>
    </w:p>
    <w:p>
      <w:pPr>
        <w:pStyle w:val="ListParagraph"/>
        <w:numPr>
          <w:ilvl w:val="0"/>
          <w:numId w:val="1"/>
        </w:numPr>
        <w:spacing w:lineRule="exact" w:line="264" w:before="0" w:after="60"/>
        <w:rPr/>
      </w:pPr>
      <w:r>
        <w:rPr>
          <w:rFonts w:eastAsia="Arial" w:cs="Arial"/>
          <w:sz w:val="21"/>
          <w:szCs w:val="21"/>
        </w:rPr>
        <w:t>Service &amp; Bed Inventory</w:t>
      </w:r>
    </w:p>
    <w:p>
      <w:pPr>
        <w:pStyle w:val="ListParagraph"/>
        <w:numPr>
          <w:ilvl w:val="0"/>
          <w:numId w:val="1"/>
        </w:numPr>
        <w:spacing w:lineRule="exact" w:line="264" w:before="0" w:after="60"/>
        <w:rPr/>
      </w:pPr>
      <w:r>
        <w:rPr>
          <w:rFonts w:eastAsia="Arial" w:cs="Arial"/>
          <w:sz w:val="21"/>
          <w:szCs w:val="21"/>
        </w:rPr>
        <w:t>Corrective Action Plan Record</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Accreditation Timeline &amp; Renewal Tracker</w:t>
      </w:r>
    </w:p>
    <w:p>
      <w:pPr>
        <w:pStyle w:val="ListParagraph"/>
        <w:numPr>
          <w:ilvl w:val="0"/>
          <w:numId w:val="1"/>
        </w:numPr>
        <w:spacing w:lineRule="exact" w:line="264" w:before="0" w:after="60"/>
        <w:rPr/>
      </w:pPr>
      <w:r>
        <w:rPr>
          <w:rFonts w:eastAsia="Arial" w:cs="Arial"/>
          <w:sz w:val="21"/>
          <w:szCs w:val="21"/>
        </w:rPr>
        <w:t>Residential Facility License &amp; Class Designation</w:t>
      </w:r>
    </w:p>
    <w:p>
      <w:pPr>
        <w:pStyle w:val="ListParagraph"/>
        <w:numPr>
          <w:ilvl w:val="0"/>
          <w:numId w:val="1"/>
        </w:numPr>
        <w:spacing w:lineRule="exact" w:line="264" w:before="0" w:after="60"/>
        <w:rPr/>
      </w:pPr>
      <w:r>
        <w:rPr>
          <w:rFonts w:eastAsia="Arial" w:cs="Arial"/>
          <w:sz w:val="21"/>
          <w:szCs w:val="21"/>
        </w:rPr>
        <w:t>Physical-Plant &amp; Safety Compliance File</w:t>
      </w:r>
    </w:p>
    <w:p>
      <w:pPr>
        <w:pStyle w:val="ListParagraph"/>
        <w:numPr>
          <w:ilvl w:val="0"/>
          <w:numId w:val="1"/>
        </w:numPr>
        <w:spacing w:lineRule="exact" w:line="264" w:before="0" w:after="60"/>
        <w:rPr/>
      </w:pPr>
      <w:r>
        <w:rPr>
          <w:rFonts w:eastAsia="Arial" w:cs="Arial"/>
          <w:sz w:val="21"/>
          <w:szCs w:val="21"/>
        </w:rPr>
        <w:t>QRTP Standards File (where applicable)</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Quality Management &amp; Compliance Plan</w:t>
      </w:r>
    </w:p>
    <w:p>
      <w:pPr>
        <w:pStyle w:val="ListParagraph"/>
        <w:numPr>
          <w:ilvl w:val="0"/>
          <w:numId w:val="1"/>
        </w:numPr>
        <w:spacing w:lineRule="exact" w:line="264" w:before="0" w:after="60"/>
        <w:rPr/>
      </w:pPr>
      <w:r>
        <w:rPr>
          <w:rFonts w:eastAsia="Arial" w:cs="Arial"/>
          <w:sz w:val="21"/>
          <w:szCs w:val="21"/>
        </w:rPr>
        <w:t>Adverse-Action Notification Log</w:t>
      </w:r>
    </w:p>
    <w:p>
      <w:pPr>
        <w:pStyle w:val="ListParagraph"/>
        <w:numPr>
          <w:ilvl w:val="0"/>
          <w:numId w:val="1"/>
        </w:numPr>
        <w:spacing w:lineRule="exact" w:line="264" w:before="0" w:after="60"/>
        <w:rPr/>
      </w:pPr>
      <w:r>
        <w:rPr>
          <w:rFonts w:eastAsia="Arial" w:cs="Arial"/>
          <w:sz w:val="21"/>
          <w:szCs w:val="21"/>
        </w:rPr>
        <w:t>ADAMH Board Coordination Record</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Eligible Provider / Supervisor Roster</w:t>
      </w:r>
    </w:p>
    <w:p>
      <w:pPr>
        <w:pStyle w:val="ListParagraph"/>
        <w:numPr>
          <w:ilvl w:val="0"/>
          <w:numId w:val="1"/>
        </w:numPr>
        <w:spacing w:lineRule="exact" w:line="264" w:before="0" w:after="60"/>
        <w:rPr/>
      </w:pPr>
      <w:r>
        <w:rPr>
          <w:rFonts w:eastAsia="Arial" w:cs="Arial"/>
          <w:sz w:val="21"/>
          <w:szCs w:val="21"/>
        </w:rPr>
        <w:t>Primary-Source Verification Log</w:t>
      </w:r>
    </w:p>
    <w:p>
      <w:pPr>
        <w:pStyle w:val="ListParagraph"/>
        <w:numPr>
          <w:ilvl w:val="0"/>
          <w:numId w:val="1"/>
        </w:numPr>
        <w:spacing w:lineRule="exact" w:line="264" w:before="0" w:after="60"/>
        <w:rPr/>
      </w:pPr>
      <w:r>
        <w:rPr>
          <w:rFonts w:eastAsia="Arial" w:cs="Arial"/>
          <w:sz w:val="21"/>
          <w:szCs w:val="21"/>
        </w:rPr>
        <w:t>QBHS Competency Documentation</w:t>
      </w:r>
    </w:p>
    <w:p>
      <w:pPr>
        <w:pStyle w:val="ListParagraph"/>
        <w:numPr>
          <w:ilvl w:val="0"/>
          <w:numId w:val="1"/>
        </w:numPr>
        <w:spacing w:lineRule="exact" w:line="264" w:before="0" w:after="60"/>
        <w:rPr/>
      </w:pPr>
      <w:r>
        <w:rPr>
          <w:rFonts w:eastAsia="Arial" w:cs="Arial"/>
          <w:sz w:val="21"/>
          <w:szCs w:val="21"/>
        </w:rPr>
        <w:t>QBHS Supervision Record</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Trauma-Informed Training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Disqualification / Eligibility Determination Record</w:t>
      </w:r>
    </w:p>
    <w:p>
      <w:pPr>
        <w:pStyle w:val="ListParagraph"/>
        <w:numPr>
          <w:ilvl w:val="0"/>
          <w:numId w:val="1"/>
        </w:numPr>
        <w:spacing w:lineRule="exact" w:line="264" w:before="0" w:after="60"/>
        <w:rPr/>
      </w:pPr>
      <w:r>
        <w:rPr>
          <w:rFonts w:eastAsia="Arial" w:cs="Arial"/>
          <w:sz w:val="21"/>
          <w:szCs w:val="21"/>
        </w:rPr>
        <w:t>Health Screening Documentation</w:t>
      </w:r>
    </w:p>
    <w:p>
      <w:pPr>
        <w:pStyle w:val="Normal"/>
        <w:spacing w:before="140" w:after="40"/>
        <w:rPr/>
      </w:pPr>
      <w:r>
        <w:rPr>
          <w:rFonts w:eastAsia="Arial" w:cs="Arial"/>
          <w:b/>
          <w:bCs/>
          <w:color w:val="333333"/>
          <w:sz w:val="21"/>
          <w:szCs w:val="21"/>
        </w:rPr>
        <w:t>Section C — Client Rights &amp; Protection</w:t>
      </w:r>
    </w:p>
    <w:p>
      <w:pPr>
        <w:pStyle w:val="ListParagraph"/>
        <w:numPr>
          <w:ilvl w:val="0"/>
          <w:numId w:val="1"/>
        </w:numPr>
        <w:spacing w:lineRule="exact" w:line="264" w:before="0" w:after="60"/>
        <w:rPr/>
      </w:pPr>
      <w:r>
        <w:rPr>
          <w:rFonts w:eastAsia="Arial" w:cs="Arial"/>
          <w:sz w:val="21"/>
          <w:szCs w:val="21"/>
        </w:rPr>
        <w:t>Client Rights Statement &amp; Poster</w:t>
      </w:r>
    </w:p>
    <w:p>
      <w:pPr>
        <w:pStyle w:val="ListParagraph"/>
        <w:numPr>
          <w:ilvl w:val="0"/>
          <w:numId w:val="1"/>
        </w:numPr>
        <w:spacing w:lineRule="exact" w:line="264" w:before="0" w:after="60"/>
        <w:rPr/>
      </w:pPr>
      <w:r>
        <w:rPr>
          <w:rFonts w:eastAsia="Arial" w:cs="Arial"/>
          <w:sz w:val="21"/>
          <w:szCs w:val="21"/>
        </w:rPr>
        <w:t>Grievance &amp; Appeal Form &amp; Log</w:t>
      </w:r>
    </w:p>
    <w:p>
      <w:pPr>
        <w:pStyle w:val="ListParagraph"/>
        <w:numPr>
          <w:ilvl w:val="0"/>
          <w:numId w:val="1"/>
        </w:numPr>
        <w:spacing w:lineRule="exact" w:line="264" w:before="0" w:after="60"/>
        <w:rPr/>
      </w:pPr>
      <w:r>
        <w:rPr>
          <w:rFonts w:eastAsia="Arial" w:cs="Arial"/>
          <w:sz w:val="21"/>
          <w:szCs w:val="21"/>
        </w:rPr>
        <w:t>Client-Rights Officer Designation</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Seclusion/Restraint Policy &amp; Declaration</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Seclusion/Restraint Documentation &amp; Review</w:t>
      </w:r>
    </w:p>
    <w:p>
      <w:pPr>
        <w:pStyle w:val="ListParagraph"/>
        <w:numPr>
          <w:ilvl w:val="0"/>
          <w:numId w:val="1"/>
        </w:numPr>
        <w:spacing w:lineRule="exact" w:line="264" w:before="0" w:after="60"/>
        <w:rPr/>
      </w:pPr>
      <w:r>
        <w:rPr>
          <w:rFonts w:eastAsia="Arial" w:cs="Arial"/>
          <w:sz w:val="21"/>
          <w:szCs w:val="21"/>
        </w:rPr>
        <w:t>Incident / Major Unusual 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OhioMHAS Notification Log</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Normal"/>
        <w:spacing w:before="140" w:after="40"/>
        <w:rPr/>
      </w:pPr>
      <w:r>
        <w:rPr>
          <w:rFonts w:eastAsia="Arial" w:cs="Arial"/>
          <w:b/>
          <w:bCs/>
          <w:color w:val="333333"/>
          <w:sz w:val="21"/>
          <w:szCs w:val="21"/>
        </w:rPr>
        <w:t>Section D — Clinical Process</w:t>
      </w:r>
    </w:p>
    <w:p>
      <w:pPr>
        <w:pStyle w:val="ListParagraph"/>
        <w:numPr>
          <w:ilvl w:val="0"/>
          <w:numId w:val="1"/>
        </w:numPr>
        <w:spacing w:lineRule="exact" w:line="264" w:before="0" w:after="60"/>
        <w:rPr/>
      </w:pPr>
      <w:r>
        <w:rPr>
          <w:rFonts w:eastAsia="Arial" w:cs="Arial"/>
          <w:sz w:val="21"/>
          <w:szCs w:val="21"/>
        </w:rPr>
        <w:t>Screening &amp; Level-of-Care Determination</w:t>
      </w:r>
    </w:p>
    <w:p>
      <w:pPr>
        <w:pStyle w:val="ListParagraph"/>
        <w:numPr>
          <w:ilvl w:val="0"/>
          <w:numId w:val="1"/>
        </w:numPr>
        <w:spacing w:lineRule="exact" w:line="264" w:before="0" w:after="60"/>
        <w:rPr/>
      </w:pPr>
      <w:r>
        <w:rPr>
          <w:rFonts w:eastAsia="Arial" w:cs="Arial"/>
          <w:sz w:val="21"/>
          <w:szCs w:val="21"/>
        </w:rPr>
        <w:t>Admission Record &amp; Consent to Treatment</w:t>
      </w:r>
    </w:p>
    <w:p>
      <w:pPr>
        <w:pStyle w:val="ListParagraph"/>
        <w:numPr>
          <w:ilvl w:val="0"/>
          <w:numId w:val="1"/>
        </w:numPr>
        <w:spacing w:lineRule="exact" w:line="264" w:before="0" w:after="60"/>
        <w:rPr/>
      </w:pPr>
      <w:r>
        <w:rPr>
          <w:rFonts w:eastAsia="Arial" w:cs="Arial"/>
          <w:sz w:val="21"/>
          <w:szCs w:val="21"/>
        </w:rPr>
        <w:t>Health History (residential / WM)</w:t>
      </w:r>
    </w:p>
    <w:p>
      <w:pPr>
        <w:pStyle w:val="ListParagraph"/>
        <w:numPr>
          <w:ilvl w:val="0"/>
          <w:numId w:val="1"/>
        </w:numPr>
        <w:spacing w:lineRule="exact" w:line="264" w:before="0" w:after="60"/>
        <w:rPr/>
      </w:pPr>
      <w:r>
        <w:rPr>
          <w:rFonts w:eastAsia="Arial" w:cs="Arial"/>
          <w:sz w:val="21"/>
          <w:szCs w:val="21"/>
        </w:rPr>
        <w:t>Diagnostic Assessment</w:t>
      </w:r>
    </w:p>
    <w:p>
      <w:pPr>
        <w:pStyle w:val="ListParagraph"/>
        <w:numPr>
          <w:ilvl w:val="0"/>
          <w:numId w:val="1"/>
        </w:numPr>
        <w:spacing w:lineRule="exact" w:line="264" w:before="0" w:after="60"/>
        <w:rPr/>
      </w:pPr>
      <w:r>
        <w:rPr>
          <w:rFonts w:eastAsia="Arial" w:cs="Arial"/>
          <w:sz w:val="21"/>
          <w:szCs w:val="21"/>
        </w:rPr>
        <w:t>Risk Assessment (suicide / overdose)</w:t>
      </w:r>
    </w:p>
    <w:p>
      <w:pPr>
        <w:pStyle w:val="ListParagraph"/>
        <w:numPr>
          <w:ilvl w:val="0"/>
          <w:numId w:val="1"/>
        </w:numPr>
        <w:spacing w:lineRule="exact" w:line="264" w:before="0" w:after="60"/>
        <w:rPr/>
      </w:pPr>
      <w:r>
        <w:rPr>
          <w:rFonts w:eastAsia="Arial" w:cs="Arial"/>
          <w:sz w:val="21"/>
          <w:szCs w:val="21"/>
        </w:rPr>
        <w:t>ASAM Level-of-Care Determination</w:t>
      </w:r>
    </w:p>
    <w:p>
      <w:pPr>
        <w:pStyle w:val="ListParagraph"/>
        <w:numPr>
          <w:ilvl w:val="0"/>
          <w:numId w:val="1"/>
        </w:numPr>
        <w:spacing w:lineRule="exact" w:line="264" w:before="0" w:after="60"/>
        <w:rPr/>
      </w:pPr>
      <w:r>
        <w:rPr>
          <w:rFonts w:eastAsia="Arial" w:cs="Arial"/>
          <w:sz w:val="21"/>
          <w:szCs w:val="21"/>
        </w:rPr>
        <w:t>Individualized Treatment Plan (ITP)</w:t>
      </w:r>
    </w:p>
    <w:p>
      <w:pPr>
        <w:pStyle w:val="ListParagraph"/>
        <w:numPr>
          <w:ilvl w:val="0"/>
          <w:numId w:val="1"/>
        </w:numPr>
        <w:spacing w:lineRule="exact" w:line="264" w:before="0" w:after="60"/>
        <w:rPr/>
      </w:pPr>
      <w:r>
        <w:rPr>
          <w:rFonts w:eastAsia="Arial" w:cs="Arial"/>
          <w:sz w:val="21"/>
          <w:szCs w:val="21"/>
        </w:rPr>
        <w:t>Addiction Treatment Case Management Plan of Care</w:t>
      </w:r>
    </w:p>
    <w:p>
      <w:pPr>
        <w:pStyle w:val="ListParagraph"/>
        <w:numPr>
          <w:ilvl w:val="0"/>
          <w:numId w:val="1"/>
        </w:numPr>
        <w:spacing w:lineRule="exact" w:line="264" w:before="0" w:after="60"/>
        <w:rPr/>
      </w:pPr>
      <w:r>
        <w:rPr>
          <w:rFonts w:eastAsia="Arial" w:cs="Arial"/>
          <w:sz w:val="21"/>
          <w:szCs w:val="21"/>
        </w:rPr>
        <w:t>ITP Review &amp; Update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Individual Client Record Index</w:t>
      </w:r>
    </w:p>
    <w:p>
      <w:pPr>
        <w:pStyle w:val="ListParagraph"/>
        <w:numPr>
          <w:ilvl w:val="0"/>
          <w:numId w:val="1"/>
        </w:numPr>
        <w:spacing w:lineRule="exact" w:line="264" w:before="0" w:after="60"/>
        <w:rPr/>
      </w:pPr>
      <w:r>
        <w:rPr>
          <w:rFonts w:eastAsia="Arial" w:cs="Arial"/>
          <w:sz w:val="21"/>
          <w:szCs w:val="21"/>
        </w:rPr>
        <w:t>Care Coordination / Referral Record</w:t>
      </w:r>
    </w:p>
    <w:p>
      <w:pPr>
        <w:pStyle w:val="ListParagraph"/>
        <w:numPr>
          <w:ilvl w:val="0"/>
          <w:numId w:val="1"/>
        </w:numPr>
        <w:spacing w:lineRule="exact" w:line="264" w:before="0" w:after="60"/>
        <w:rPr/>
      </w:pPr>
      <w:r>
        <w:rPr>
          <w:rFonts w:eastAsia="Arial" w:cs="Arial"/>
          <w:sz w:val="21"/>
          <w:szCs w:val="21"/>
        </w:rPr>
        <w:t>Discharge / Continuing-Care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Aftercare Plan (youth residential)</w:t>
      </w:r>
    </w:p>
    <w:p>
      <w:pPr>
        <w:pStyle w:val="Normal"/>
        <w:spacing w:before="140" w:after="40"/>
        <w:rPr/>
      </w:pPr>
      <w:r>
        <w:rPr>
          <w:rFonts w:eastAsia="Arial" w:cs="Arial"/>
          <w:b/>
          <w:bCs/>
          <w:color w:val="333333"/>
          <w:sz w:val="21"/>
          <w:szCs w:val="21"/>
        </w:rPr>
        <w:t>Section E — Medication, Records &amp; Safety</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Inspection &amp; Clearance File (residential)</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On-Call / Coverage Schedule</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Menu &amp; Nutrition Plan (residential)</w:t>
      </w:r>
    </w:p>
    <w:p>
      <w:pPr>
        <w:pStyle w:val="Normal"/>
        <w:spacing w:before="140" w:after="40"/>
        <w:rPr/>
      </w:pPr>
      <w:r>
        <w:rPr>
          <w:rFonts w:eastAsia="Arial" w:cs="Arial"/>
          <w:b/>
          <w:bCs/>
          <w:color w:val="333333"/>
          <w:sz w:val="21"/>
          <w:szCs w:val="21"/>
        </w:rPr>
        <w:t>Section F — Service-Type Standards</w:t>
      </w:r>
    </w:p>
    <w:p>
      <w:pPr>
        <w:pStyle w:val="ListParagraph"/>
        <w:numPr>
          <w:ilvl w:val="0"/>
          <w:numId w:val="1"/>
        </w:numPr>
        <w:spacing w:lineRule="exact" w:line="264" w:before="0" w:after="60"/>
        <w:rPr/>
      </w:pPr>
      <w:r>
        <w:rPr>
          <w:rFonts w:eastAsia="Arial" w:cs="Arial"/>
          <w:sz w:val="21"/>
          <w:szCs w:val="21"/>
        </w:rPr>
        <w:t>Diagnostic Assessment &amp; Counseling Notes</w:t>
      </w:r>
    </w:p>
    <w:p>
      <w:pPr>
        <w:pStyle w:val="ListParagraph"/>
        <w:numPr>
          <w:ilvl w:val="0"/>
          <w:numId w:val="1"/>
        </w:numPr>
        <w:spacing w:lineRule="exact" w:line="264" w:before="0" w:after="60"/>
        <w:rPr/>
      </w:pPr>
      <w:r>
        <w:rPr>
          <w:rFonts w:eastAsia="Arial" w:cs="Arial"/>
          <w:sz w:val="21"/>
          <w:szCs w:val="21"/>
        </w:rPr>
        <w:t>ASAM Level-of-Care Documentation</w:t>
      </w:r>
    </w:p>
    <w:p>
      <w:pPr>
        <w:pStyle w:val="ListParagraph"/>
        <w:numPr>
          <w:ilvl w:val="0"/>
          <w:numId w:val="1"/>
        </w:numPr>
        <w:spacing w:lineRule="exact" w:line="264" w:before="0" w:after="60"/>
        <w:rPr/>
      </w:pPr>
      <w:r>
        <w:rPr>
          <w:rFonts w:eastAsia="Arial" w:cs="Arial"/>
          <w:sz w:val="21"/>
          <w:szCs w:val="21"/>
        </w:rPr>
        <w:t>Clinical Coverage &amp; Staffing Schedule</w:t>
      </w:r>
    </w:p>
    <w:p>
      <w:pPr>
        <w:pStyle w:val="ListParagraph"/>
        <w:numPr>
          <w:ilvl w:val="0"/>
          <w:numId w:val="1"/>
        </w:numPr>
        <w:spacing w:lineRule="exact" w:line="264" w:before="0" w:after="60"/>
        <w:rPr/>
      </w:pPr>
      <w:r>
        <w:rPr>
          <w:rFonts w:eastAsia="Arial" w:cs="Arial"/>
          <w:sz w:val="21"/>
          <w:szCs w:val="21"/>
        </w:rPr>
        <w:t>Weekly Service-Hours Record</w:t>
      </w:r>
    </w:p>
    <w:p>
      <w:pPr>
        <w:pStyle w:val="ListParagraph"/>
        <w:numPr>
          <w:ilvl w:val="0"/>
          <w:numId w:val="1"/>
        </w:numPr>
        <w:spacing w:lineRule="exact" w:line="264" w:before="0" w:after="60"/>
        <w:rPr/>
      </w:pPr>
      <w:r>
        <w:rPr>
          <w:rFonts w:eastAsia="Arial" w:cs="Arial"/>
          <w:sz w:val="21"/>
          <w:szCs w:val="21"/>
        </w:rPr>
        <w:t>Crisis Intervention / Risk Assessment</w:t>
      </w:r>
    </w:p>
    <w:p>
      <w:pPr>
        <w:pStyle w:val="ListParagraph"/>
        <w:numPr>
          <w:ilvl w:val="0"/>
          <w:numId w:val="1"/>
        </w:numPr>
        <w:spacing w:lineRule="exact" w:line="264" w:before="0" w:after="60"/>
        <w:rPr/>
      </w:pPr>
      <w:r>
        <w:rPr>
          <w:rFonts w:eastAsia="Arial" w:cs="Arial"/>
          <w:sz w:val="21"/>
          <w:szCs w:val="21"/>
        </w:rPr>
        <w:t>23-Hour Observation Record</w:t>
      </w:r>
    </w:p>
    <w:p>
      <w:pPr>
        <w:pStyle w:val="ListParagraph"/>
        <w:numPr>
          <w:ilvl w:val="0"/>
          <w:numId w:val="1"/>
        </w:numPr>
        <w:spacing w:lineRule="exact" w:line="264" w:before="0" w:after="60"/>
        <w:rPr/>
      </w:pPr>
      <w:r>
        <w:rPr>
          <w:rFonts w:eastAsia="Arial" w:cs="Arial"/>
          <w:sz w:val="21"/>
          <w:szCs w:val="21"/>
        </w:rPr>
        <w:t>Case Management Plan of Care</w:t>
      </w:r>
    </w:p>
    <w:p>
      <w:pPr>
        <w:pStyle w:val="ListParagraph"/>
        <w:numPr>
          <w:ilvl w:val="0"/>
          <w:numId w:val="1"/>
        </w:numPr>
        <w:spacing w:lineRule="exact" w:line="264" w:before="0" w:after="60"/>
        <w:rPr/>
      </w:pPr>
      <w:r>
        <w:rPr>
          <w:rFonts w:eastAsia="Arial" w:cs="Arial"/>
          <w:sz w:val="21"/>
          <w:szCs w:val="21"/>
        </w:rPr>
        <w:t>Linkage &amp; Coordination Log</w:t>
      </w:r>
    </w:p>
    <w:p>
      <w:pPr>
        <w:pStyle w:val="ListParagraph"/>
        <w:numPr>
          <w:ilvl w:val="0"/>
          <w:numId w:val="1"/>
        </w:numPr>
        <w:spacing w:lineRule="exact" w:line="264" w:before="0" w:after="60"/>
        <w:rPr/>
      </w:pPr>
      <w:r>
        <w:rPr>
          <w:rFonts w:eastAsia="Arial" w:cs="Arial"/>
          <w:sz w:val="21"/>
          <w:szCs w:val="21"/>
        </w:rPr>
        <w:t>Peer Supporter Certification &amp; Supervision Record</w:t>
      </w:r>
    </w:p>
    <w:p>
      <w:pPr>
        <w:pStyle w:val="ListParagraph"/>
        <w:numPr>
          <w:ilvl w:val="0"/>
          <w:numId w:val="1"/>
        </w:numPr>
        <w:spacing w:lineRule="exact" w:line="264" w:before="0" w:after="60"/>
        <w:rPr/>
      </w:pPr>
      <w:r>
        <w:rPr>
          <w:rFonts w:eastAsia="Arial" w:cs="Arial"/>
          <w:sz w:val="21"/>
          <w:szCs w:val="21"/>
        </w:rPr>
        <w:t>CPST Service Note</w:t>
      </w:r>
    </w:p>
    <w:p>
      <w:pPr>
        <w:pStyle w:val="ListParagraph"/>
        <w:numPr>
          <w:ilvl w:val="0"/>
          <w:numId w:val="1"/>
        </w:numPr>
        <w:spacing w:lineRule="exact" w:line="264" w:before="0" w:after="60"/>
        <w:rPr/>
      </w:pPr>
      <w:r>
        <w:rPr>
          <w:rFonts w:eastAsia="Arial" w:cs="Arial"/>
          <w:sz w:val="21"/>
          <w:szCs w:val="21"/>
        </w:rPr>
        <w:t>ACT / IHBT Team Roster &amp; Model Fidelity Record</w:t>
      </w:r>
    </w:p>
    <w:p>
      <w:pPr>
        <w:pStyle w:val="ListParagraph"/>
        <w:numPr>
          <w:ilvl w:val="0"/>
          <w:numId w:val="1"/>
        </w:numPr>
        <w:spacing w:lineRule="exact" w:line="264" w:before="0" w:after="60"/>
        <w:rPr/>
      </w:pPr>
      <w:r>
        <w:rPr>
          <w:rFonts w:eastAsia="Arial" w:cs="Arial"/>
          <w:sz w:val="21"/>
          <w:szCs w:val="21"/>
        </w:rPr>
        <w:t>Telehealth Consent &amp; Location Record</w:t>
      </w:r>
    </w:p>
    <w:p>
      <w:pPr>
        <w:pStyle w:val="ListParagraph"/>
        <w:numPr>
          <w:ilvl w:val="0"/>
          <w:numId w:val="1"/>
        </w:numPr>
        <w:spacing w:lineRule="exact" w:line="264" w:before="0" w:after="60"/>
        <w:rPr/>
      </w:pPr>
      <w:r>
        <w:rPr>
          <w:rFonts w:eastAsia="Arial" w:cs="Arial"/>
          <w:sz w:val="21"/>
          <w:szCs w:val="21"/>
        </w:rPr>
        <w:t>Telehealth Service Documentation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Ohio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 Department of Mental Health and Addiction Services (OhioMHAS), Bureau of Licensure and Certification — certifies community behavioral health services and licenses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 Revised Code (ORC) Chapter 5119; House Bill 33 (certification and accreditation requirements).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OAC Chapter 5122-25 (5122-25-01 applicability; 5122-25-03 application; 5122-25-05 survey; 5122-25-08 fees).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Administrative standards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OAC Chapter 5122-26 — including 5122-26-16 (seclusion and restraint) and 5122-26-18 (client rights and grievances).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Clinical documentation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OAC Chapter 5122-27 — individual client record and individualized treatment plan (5122-27-03).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Service standards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OAC Chapter 5122-29 — general services (03), residential/withdrawal management SUD (09), SUD QRTP for youth (09.1), crisis intervention (10), SUD case management (13), MRSS (14), peer support (15/15.1), CPST (17), IHBT (28), ACT (29), eligible providers/QBHS (30), telehealth (31).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Residential licensure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OAC Chapter 5122-30 — residential facilities (Class 1: 5122-30-29; QRTP: 5122-30-32).</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Opioid treatment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OAC Chapter 5122-40 — opioid treatment programs (OTP); federal SAMHSA and DEA requirements.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The Joint Commission (TJC), CARF, or COA — national accreditation required under House Bill 33.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Credentialing boards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 Chemical Dependency Professionals Board; Ohio Counselor, Social Worker &amp; Marriage and Family Therapist Board; State Medical Board of Ohio; Ohio Board of Nursing; Ohio Board of Pharmacy; Ohio Board of Psychology.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Levels of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American Society of Addiction Medicine (ASAM) criteria — used for substance use disorder level-of-care determinations.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ORC Chapter 5119 confidentiality protections.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boards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Alcohol, Drug Addiction, and Mental Health (ADAMH) boards — local boards OhioMHAS coordinates with for community resources.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Bureau contact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OhioMHAS Bureau of Licensure &amp; Certification — (614) 752-8880; OhioMHAS Licensure &amp; Certification webpage.</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an Ohio OhioMHAS-certified community behavioral health provider. Follow the steps below to adopt it as your organization's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organization name, address, OhioMHAS certification and any residential license number, effective date, and role titles — with your organization's information. Set the effective date on each policy when it is adopted.</w:t>
      </w:r>
    </w:p>
    <w:p>
      <w:pPr>
        <w:pStyle w:val="Normal"/>
        <w:spacing w:before="140" w:after="40"/>
        <w:rPr/>
      </w:pPr>
      <w:r>
        <w:rPr>
          <w:rFonts w:eastAsia="Arial" w:cs="Arial"/>
          <w:b/>
          <w:bCs/>
          <w:color w:val="333333"/>
          <w:sz w:val="21"/>
          <w:szCs w:val="21"/>
        </w:rPr>
        <w:t>2. Match the manual to your certified services and settings</w:t>
      </w:r>
    </w:p>
    <w:p>
      <w:pPr>
        <w:pStyle w:val="Normal"/>
        <w:spacing w:lineRule="exact" w:line="276" w:before="0" w:after="120"/>
        <w:rPr/>
      </w:pPr>
      <w:r>
        <w:rPr>
          <w:rFonts w:eastAsia="Arial" w:cs="Arial"/>
          <w:sz w:val="21"/>
          <w:szCs w:val="21"/>
        </w:rPr>
        <w:t>Sections A through E apply to the provider regardless of service type. Keep the Section F service-type policies only for the services your provider is certified to provide — general services, residential and withdrawal management SUD, crisis intervention, SUD case management, peer support, CPST, ACT and IHBT, and telehealth. If you operate a residential facility, apply the residential licensure policy (1.03) and the residential provisions throughout; if not, mark them not applicable.</w:t>
      </w:r>
    </w:p>
    <w:p>
      <w:pPr>
        <w:pStyle w:val="Normal"/>
        <w:spacing w:before="140" w:after="40"/>
        <w:rPr/>
      </w:pPr>
      <w:r>
        <w:rPr>
          <w:rFonts w:eastAsia="Arial" w:cs="Arial"/>
          <w:b/>
          <w:bCs/>
          <w:color w:val="333333"/>
          <w:sz w:val="21"/>
          <w:szCs w:val="21"/>
        </w:rPr>
        <w:t>3. Align with accreditation and ASAM</w:t>
      </w:r>
    </w:p>
    <w:p>
      <w:pPr>
        <w:pStyle w:val="Normal"/>
        <w:spacing w:lineRule="exact" w:line="276" w:before="0" w:after="120"/>
        <w:rPr/>
      </w:pPr>
      <w:r>
        <w:rPr>
          <w:rFonts w:eastAsia="Arial" w:cs="Arial"/>
          <w:sz w:val="21"/>
          <w:szCs w:val="21"/>
        </w:rPr>
        <w:t>Ohio requires national accreditation (TJC, CARF, or COA) and uses ASAM criteria for substance use levels of care. Align this manual with your accreditor's standards and confirm your admission, ITP, and transition policies apply the ASAM levels your services use.</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authority and qualified Ohio counsel or a compliance professional review the manual before adoption. Ohio's behavioral health rules change frequently, and House Bill 33 significantly changed certification and accreditation. Confirm the current version of OAC Chapters 5122-25 through 5122-30 (and 5122-40 for OTP) and your certification, accreditation, and license requirements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representative at the start of services, together with the written statement of client rights required by OAC 5122-26-18.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client of [Organization Name], that these rights and the program rules have been explained to me in a manner I can understand, and that I have been informed of the grievance and appeal procedures and my right to file a grievance without retaliation, including how to contact the client-rights officer and the Ohio Department of Mental Health and Addiction Services.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Ohio — Behavioral Health Provider (OhioMHAS)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56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Ohio — Behavioral Health Provider (OhioMHAS)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56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2026-07-02T10:05:10Z</dcterms:created>
  <dc:creator>PolicyReady.org</dc:creator>
  <dc:description/>
  <dc:language>en-US</dc:language>
  <cp:lastModifiedBy>Un-named</cp:lastModifiedBy>
  <dcterms:modified xsi:type="dcterms:W3CDTF">2026-07-02T10:05:10Z</dcterms:modified>
  <cp:revision>1</cp:revision>
  <dc:subject/>
  <dc:title>Ohio Behavioral Health Provider (OhioMHAS) Policy &amp; Procedure Manual</dc:title>
</cp:coreProperties>
</file>