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OHIO</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Residential Care Facility (RCF)</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[ODH License Number]</w:t>
      </w:r>
    </w:p>
    <w:p>
      <w:pPr>
        <w:pStyle w:val="Normal"/>
        <w:spacing w:before="1600" w:after="0"/>
        <w:jc w:val="center"/>
        <w:rPr/>
      </w:pPr>
      <w:r>
        <w:rPr>
          <w:rFonts w:eastAsia="Arial" w:cs="Arial"/>
          <w:color w:val="666666"/>
          <w:sz w:val="18"/>
          <w:szCs w:val="18"/>
        </w:rPr>
        <w:t>Aligned to OAC Chapter 3701-16 and ORC Chapter 3721 (RCF)</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ODH license. It covers admission and retention (including Ohio’s skilled-care limits and risk agreements), the Residents’ Bill of Rights, abuse and neglect reporting, resident funds, and licensure, zoning, and change-of-operator.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Resident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&amp; Neglect Reporting &amp;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Zoning &amp; Change of Operator</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Resident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Resident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3701-16-02, -07, -08; ORC Chapter 3721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Ohio Administrative Code Chapter 3701-16 (Residential Care Facilities) and Ohio Revised Code Chapter 3721.</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Ohio Department of Health (ODH), Division of Quality Assurance, Bureau of Long Term Care, as a Residential Care Facility (RCF) under ORC Chapter 3721 and OAC Chapter 3701-16. An RCF provides accommodations, supervision, and personal care services, and may administer medications, supervise therapeutic diets, and apply dressings, and may provide skilled nursing care on a part-time, intermittent basis within the limits of ORC 3721.011. A Facility that operates a special care unit for residents with dementia must also meet the additional requirements in the Special Care Unit / Dementia Care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needs it can meet within its license, based on a pre-admission assessment, and shall provide a written resident agreement. The Facility shall not admit or retain a resident who requires skilled nursing care beyond the limits of ORC 3721.011, and shall not physically, chemically, or through isolation restrain residents.</w:t>
      </w:r>
    </w:p>
    <w:p>
      <w:pPr>
        <w:pStyle w:val="Normal"/>
        <w:pBdr>
          <w:bottom w:val="single" w:sz="4" w:space="1" w:color="2E5E45"/>
        </w:pBdr>
        <w:spacing w:before="160" w:after="80"/>
        <w:rPr/>
      </w:pPr>
      <w:r>
        <w:rPr>
          <w:rFonts w:eastAsia="Arial" w:cs="Arial"/>
          <w:b/>
          <w:bCs/>
          <w:color w:val="1A4731"/>
          <w:sz w:val="20"/>
          <w:szCs w:val="20"/>
        </w:rPr>
        <w:t>PROCEDURE — ASSESSMENT &amp; RESIDENT AGREEMENT</w:t>
      </w:r>
    </w:p>
    <w:p>
      <w:pPr>
        <w:pStyle w:val="Normal"/>
        <w:tabs>
          <w:tab w:val="left" w:pos="720" w:leader="none"/>
        </w:tabs>
        <w:spacing w:lineRule="exact" w:line="264" w:before="0" w:after="80"/>
        <w:ind w:hanging="360" w:start="720"/>
        <w:rPr/>
      </w:pPr>
      <w:r>
        <w:rPr>
          <w:rFonts w:eastAsia="Arial" w:cs="Arial"/>
          <w:sz w:val="21"/>
          <w:szCs w:val="21"/>
        </w:rPr>
        <w:t>a. Before admission, complete a pre-admission assessment (OAC 3701-16-08) of the prospective resident’s medical, psychological, cognitive, and functional needs, and determine that the Facility can provide appropriate care within its license.</w:t>
      </w:r>
    </w:p>
    <w:p>
      <w:pPr>
        <w:pStyle w:val="Normal"/>
        <w:tabs>
          <w:tab w:val="left" w:pos="720" w:leader="none"/>
        </w:tabs>
        <w:spacing w:lineRule="exact" w:line="264" w:before="0" w:after="80"/>
        <w:ind w:hanging="360" w:start="720"/>
        <w:rPr/>
      </w:pPr>
      <w:r>
        <w:rPr>
          <w:rFonts w:eastAsia="Arial" w:cs="Arial"/>
          <w:sz w:val="21"/>
          <w:szCs w:val="21"/>
        </w:rPr>
        <w:t>b. Provide each resident a written resident agreement (OAC 3701-16-07) that specifies the services provided, the charges, the extent and types of personal care services, and any care limitations, and obtain signatures.</w:t>
      </w:r>
    </w:p>
    <w:p>
      <w:pPr>
        <w:pStyle w:val="Normal"/>
        <w:tabs>
          <w:tab w:val="left" w:pos="720" w:leader="none"/>
        </w:tabs>
        <w:spacing w:lineRule="exact" w:line="264" w:before="0" w:after="80"/>
        <w:ind w:hanging="360" w:start="720"/>
        <w:rPr/>
      </w:pPr>
      <w:r>
        <w:rPr>
          <w:rFonts w:eastAsia="Arial" w:cs="Arial"/>
          <w:sz w:val="21"/>
          <w:szCs w:val="21"/>
        </w:rPr>
        <w:t>c. Where the Facility has a policy of doing so, the Facility and the resident may enter into a risk agreement under OAC 3701-16-07 addressing services the resident declines or accepts responsibility for.</w:t>
      </w:r>
    </w:p>
    <w:p>
      <w:pPr>
        <w:pStyle w:val="Normal"/>
        <w:tabs>
          <w:tab w:val="left" w:pos="720" w:leader="none"/>
        </w:tabs>
        <w:spacing w:lineRule="exact" w:line="264" w:before="0" w:after="80"/>
        <w:ind w:hanging="360" w:start="720"/>
        <w:rPr/>
      </w:pPr>
      <w:r>
        <w:rPr>
          <w:rFonts w:eastAsia="Arial" w:cs="Arial"/>
          <w:sz w:val="21"/>
          <w:szCs w:val="21"/>
        </w:rPr>
        <w:t>d. Provide each resident, at admission, the residents’ rights information and required disclosures.</w:t>
      </w:r>
    </w:p>
    <w:p>
      <w:pPr>
        <w:pStyle w:val="Normal"/>
        <w:pBdr>
          <w:bottom w:val="single" w:sz="4" w:space="1" w:color="2E5E45"/>
        </w:pBdr>
        <w:spacing w:before="160" w:after="80"/>
        <w:rPr/>
      </w:pPr>
      <w:r>
        <w:rPr>
          <w:rFonts w:eastAsia="Arial" w:cs="Arial"/>
          <w:b/>
          <w:bCs/>
          <w:color w:val="1A4731"/>
          <w:sz w:val="20"/>
          <w:szCs w:val="20"/>
        </w:rPr>
        <w:t>PROCEDURE — RETENTION, SKILLED CARE LIMITS &amp; DISCHARGE</w:t>
      </w:r>
    </w:p>
    <w:p>
      <w:pPr>
        <w:pStyle w:val="Normal"/>
        <w:tabs>
          <w:tab w:val="left" w:pos="720" w:leader="none"/>
        </w:tabs>
        <w:spacing w:lineRule="exact" w:line="264" w:before="0" w:after="80"/>
        <w:ind w:hanging="360" w:start="720"/>
        <w:rPr/>
      </w:pPr>
      <w:r>
        <w:rPr>
          <w:rFonts w:eastAsia="Arial" w:cs="Arial"/>
          <w:sz w:val="21"/>
          <w:szCs w:val="21"/>
        </w:rPr>
        <w:t>e. Do not admit or retain a resident who requires skilled nursing care beyond the ORC 3721.011 limits (part-time, intermittent skilled nursing not exceeding 120 days in any 12-month period), and do not administer parenteral nutrition.</w:t>
      </w:r>
    </w:p>
    <w:p>
      <w:pPr>
        <w:pStyle w:val="Normal"/>
        <w:tabs>
          <w:tab w:val="left" w:pos="720" w:leader="none"/>
        </w:tabs>
        <w:spacing w:lineRule="exact" w:line="264" w:before="0" w:after="80"/>
        <w:ind w:hanging="360" w:start="720"/>
        <w:rPr/>
      </w:pPr>
      <w:r>
        <w:rPr>
          <w:rFonts w:eastAsia="Arial" w:cs="Arial"/>
          <w:sz w:val="21"/>
          <w:szCs w:val="21"/>
        </w:rPr>
        <w:t>f. Where a resident needs services beyond what the Facility is authorized or chooses to provide, refuses needed services, or fails to obtain needed services, meet with the resident and sponsor to discuss the condition, options (including any Medicaid waiver program), and consequences, and coordinate transfer or discharge as required by OAC 3701-16-08.</w:t>
      </w:r>
    </w:p>
    <w:p>
      <w:pPr>
        <w:pStyle w:val="Normal"/>
        <w:tabs>
          <w:tab w:val="left" w:pos="720" w:leader="none"/>
        </w:tabs>
        <w:spacing w:lineRule="exact" w:line="264" w:before="0" w:after="80"/>
        <w:ind w:hanging="360" w:start="720"/>
        <w:rPr/>
      </w:pPr>
      <w:r>
        <w:rPr>
          <w:rFonts w:eastAsia="Arial" w:cs="Arial"/>
          <w:sz w:val="21"/>
          <w:szCs w:val="21"/>
        </w:rPr>
        <w:t>g. Document the basis for discharge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Pre-Admission Assessment (3701-16-08)</w:t>
      </w:r>
    </w:p>
    <w:p>
      <w:pPr>
        <w:pStyle w:val="ListParagraph"/>
        <w:numPr>
          <w:ilvl w:val="0"/>
          <w:numId w:val="1"/>
        </w:numPr>
        <w:spacing w:lineRule="exact" w:line="264" w:before="0" w:after="60"/>
        <w:rPr/>
      </w:pPr>
      <w:r>
        <w:rPr>
          <w:rFonts w:eastAsia="Arial" w:cs="Arial"/>
          <w:sz w:val="21"/>
          <w:szCs w:val="21"/>
        </w:rPr>
        <w:t>Resident Agreement (3701-16-07)</w:t>
      </w:r>
    </w:p>
    <w:p>
      <w:pPr>
        <w:pStyle w:val="ListParagraph"/>
        <w:numPr>
          <w:ilvl w:val="0"/>
          <w:numId w:val="1"/>
        </w:numPr>
        <w:spacing w:lineRule="exact" w:line="264" w:before="0" w:after="60"/>
        <w:rPr/>
      </w:pPr>
      <w:r>
        <w:rPr>
          <w:rFonts w:eastAsia="Arial" w:cs="Arial"/>
          <w:sz w:val="21"/>
          <w:szCs w:val="21"/>
        </w:rPr>
        <w:t>Risk Agreement (optional)</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ORC 3721.13 (Residents’ Bill of Rights); OAC 3701-16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required by the Ohio Residents’ Bill of Rights (ORC 3721.13) and OAC Chapter 3701-16,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provide each resident a written copy of residents’ rights at admission, and post the Long-Term Care Ombudsman and complaint contact information.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exploitation, and physical, chemical, or isolation restraint.</w:t>
      </w:r>
    </w:p>
    <w:p>
      <w:pPr>
        <w:pStyle w:val="Normal"/>
        <w:tabs>
          <w:tab w:val="left" w:pos="720" w:leader="none"/>
        </w:tabs>
        <w:spacing w:lineRule="exact" w:line="264" w:before="0" w:after="80"/>
        <w:ind w:hanging="360" w:start="720"/>
        <w:rPr/>
      </w:pPr>
      <w:r>
        <w:rPr>
          <w:rFonts w:eastAsia="Arial" w:cs="Arial"/>
          <w:sz w:val="21"/>
          <w:szCs w:val="21"/>
        </w:rPr>
        <w:t>b. Ensure the right to privacy, to retain and use personal property, to manage personal finances or receive an accounting, and to private communication and visitation, including access to the Long-Term Care Ombudsman.</w:t>
      </w:r>
    </w:p>
    <w:p>
      <w:pPr>
        <w:pStyle w:val="Normal"/>
        <w:tabs>
          <w:tab w:val="left" w:pos="720" w:leader="none"/>
        </w:tabs>
        <w:spacing w:lineRule="exact" w:line="264" w:before="0" w:after="80"/>
        <w:ind w:hanging="360" w:start="720"/>
        <w:rPr/>
      </w:pPr>
      <w:r>
        <w:rPr>
          <w:rFonts w:eastAsia="Arial" w:cs="Arial"/>
          <w:sz w:val="21"/>
          <w:szCs w:val="21"/>
        </w:rPr>
        <w:t>c. Ensure the right to access medical care of the resident’s choice, to participate in the assessment and service plan,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Provide each resident a written copy of residents’ rights (ORC 3721.13)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present a grievance, and post the Long-Term Care Ombudsman number and the ODH complaint contact information.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ODH.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&amp; Neglect Reporting &amp;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&amp; Neglect Reporting &amp;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3701-16-12; ORC 3721.13, 3721.21, 5101.63 (adult protective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Ohio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reporting of suspected abuse, neglect, and exploitation, and reports and investigates incidents and changes in residents’ health status as required by OAC 3701-16-12 and ORC Chapter 3721.</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immediately report suspected abuse, neglect, or exploitation to the administrator and to the appropriate authorities, including adult protective services and law enforcement as applicable,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incidents and significant changes in a resident’s health status as required by OAC 3701-16-12, and notify the resident’s physician and sponsor.</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ODH, the Ombudsman,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Change in Health Status Notification</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ORC 3721.13; OAC 3701-16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manages or holds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managing or holding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deposit and disbursement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Zoning &amp; Change of Operator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Zoning &amp; Change of Operator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3701-16-03 (licensure; CHOP; solvency); local zoning; ORC 3721.02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ODH license, operates in a permitted location, and follows the licensure, financial-solvency, and change-of-operator requirements of OAC 3701-16-03.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ODH license does not by itself authorize operation at a given location. The Facility shall maintain a current, valid RCF license, confirm its use is permitted under local zoning, and follow the change-of-operator (CHOP), financial-solvency, and closure-notice requirements of OAC 3701-16-03.</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valid RCF license from ODH for the licensed maximum capacity and type of residents, and complete license renewals on time (OAC 3701-16-03).</w:t>
      </w:r>
    </w:p>
    <w:p>
      <w:pPr>
        <w:pStyle w:val="Normal"/>
        <w:tabs>
          <w:tab w:val="left" w:pos="720" w:leader="none"/>
        </w:tabs>
        <w:spacing w:lineRule="exact" w:line="264" w:before="0" w:after="80"/>
        <w:ind w:hanging="360" w:start="720"/>
        <w:rPr/>
      </w:pPr>
      <w:r>
        <w:rPr>
          <w:rFonts w:eastAsia="Arial" w:cs="Arial"/>
          <w:sz w:val="21"/>
          <w:szCs w:val="21"/>
        </w:rPr>
        <w:t>b. Confirm the property’s zoning permits a residential care facility of the intended size, and obtain a zoning verification from the local jurisdiction before establishing or relocating.</w:t>
      </w:r>
    </w:p>
    <w:p>
      <w:pPr>
        <w:pStyle w:val="Normal"/>
        <w:tabs>
          <w:tab w:val="left" w:pos="720" w:leader="none"/>
        </w:tabs>
        <w:spacing w:lineRule="exact" w:line="264" w:before="0" w:after="80"/>
        <w:ind w:hanging="360" w:start="720"/>
        <w:rPr/>
      </w:pPr>
      <w:r>
        <w:rPr>
          <w:rFonts w:eastAsia="Arial" w:cs="Arial"/>
          <w:sz w:val="21"/>
          <w:szCs w:val="21"/>
        </w:rPr>
        <w:t>c. Follow the change-of-operator (CHOP) application and financial-solvency statement requirements and the facility-closure notification process required by OAC 3701-16-03 for any change in ownership or control or any planned closure.</w:t>
      </w:r>
    </w:p>
    <w:p>
      <w:pPr>
        <w:pStyle w:val="Normal"/>
        <w:tabs>
          <w:tab w:val="left" w:pos="720" w:leader="none"/>
        </w:tabs>
        <w:spacing w:lineRule="exact" w:line="264" w:before="0" w:after="80"/>
        <w:ind w:hanging="360" w:start="720"/>
        <w:rPr/>
      </w:pPr>
      <w:r>
        <w:rPr>
          <w:rFonts w:eastAsia="Arial" w:cs="Arial"/>
          <w:sz w:val="21"/>
          <w:szCs w:val="21"/>
        </w:rPr>
        <w:t>d. Retain licensure, zoning, and CHOP documentation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RCF License</w:t>
      </w:r>
    </w:p>
    <w:p>
      <w:pPr>
        <w:pStyle w:val="ListParagraph"/>
        <w:numPr>
          <w:ilvl w:val="0"/>
          <w:numId w:val="1"/>
        </w:numPr>
        <w:spacing w:lineRule="exact" w:line="264" w:before="0" w:after="60"/>
        <w:rPr/>
      </w:pPr>
      <w:r>
        <w:rPr>
          <w:rFonts w:eastAsia="Arial" w:cs="Arial"/>
          <w:sz w:val="21"/>
          <w:szCs w:val="21"/>
        </w:rPr>
        <w:t>Zoning / Use Classification Confirmation</w:t>
      </w:r>
    </w:p>
    <w:p>
      <w:pPr>
        <w:pStyle w:val="ListParagraph"/>
        <w:numPr>
          <w:ilvl w:val="0"/>
          <w:numId w:val="1"/>
        </w:numPr>
        <w:spacing w:lineRule="exact" w:line="264" w:before="0" w:after="60"/>
        <w:rPr/>
      </w:pPr>
      <w:r>
        <w:rPr>
          <w:rFonts w:eastAsia="Arial" w:cs="Arial"/>
          <w:sz w:val="21"/>
          <w:szCs w:val="21"/>
        </w:rPr>
        <w:t>CHOP / Financial Solvency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background checks, health screening, Ohio’s initial training and the 14-hour medication-administration training and dementia training, and the administrator, staffing, and resident-call-system requirements.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Medication Training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Staffing &amp; Resident Call System</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ORC 3721.121 (background checks); OAC 3701-16-06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is screened and suitable to work with residents through the required criminal background check, and meets health 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criminal background checks in compliance with ORC 3721.121 before or within the timeframe allowed for employment, shall not employ any individual with a disqualifying offense, and shall maintain health screening documentation for staff.</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Obtain a criminal records check for each employee in compliance with ORC 3721.121, and do not employ or retain any individual with a disqualifying conviction unless a permitted exception applies.</w:t>
      </w:r>
    </w:p>
    <w:p>
      <w:pPr>
        <w:pStyle w:val="Normal"/>
        <w:tabs>
          <w:tab w:val="left" w:pos="720" w:leader="none"/>
        </w:tabs>
        <w:spacing w:lineRule="exact" w:line="264" w:before="0" w:after="80"/>
        <w:ind w:hanging="360" w:start="720"/>
        <w:rPr/>
      </w:pPr>
      <w:r>
        <w:rPr>
          <w:rFonts w:eastAsia="Arial" w:cs="Arial"/>
          <w:sz w:val="21"/>
          <w:szCs w:val="21"/>
        </w:rPr>
        <w:t>b. Maintain documentation of the background check determination in each personnel record, and comply with any conditional-employment and supervision requirements pending results.</w:t>
      </w:r>
    </w:p>
    <w:p>
      <w:pPr>
        <w:pStyle w:val="Normal"/>
        <w:tabs>
          <w:tab w:val="left" w:pos="720" w:leader="none"/>
        </w:tabs>
        <w:spacing w:lineRule="exact" w:line="264" w:before="0" w:after="80"/>
        <w:ind w:hanging="360" w:start="720"/>
        <w:rPr/>
      </w:pPr>
      <w:r>
        <w:rPr>
          <w:rFonts w:eastAsia="Arial" w:cs="Arial"/>
          <w:sz w:val="21"/>
          <w:szCs w:val="21"/>
        </w:rPr>
        <w:t>c. Ensure no staff member under eighteen (18) years of age performs the duties restricted to adults under OAC Chapter 3701-16.</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for each staff member, including tuberculosis screening consistent with the Facility’s TB control plan (OAC 3701-16-12).</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that includes job description, qualifications, background check results, required training, and health screening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ODH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Records Check (ORC 3721.121)</w:t>
      </w:r>
    </w:p>
    <w:p>
      <w:pPr>
        <w:pStyle w:val="ListParagraph"/>
        <w:numPr>
          <w:ilvl w:val="0"/>
          <w:numId w:val="1"/>
        </w:numPr>
        <w:spacing w:lineRule="exact" w:line="264" w:before="0" w:after="60"/>
        <w:rPr/>
      </w:pPr>
      <w:r>
        <w:rPr>
          <w:rFonts w:eastAsia="Arial" w:cs="Arial"/>
          <w:sz w:val="21"/>
          <w:szCs w:val="21"/>
        </w:rPr>
        <w:t>TB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Medication Training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Medication Training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3701-16-06; medication administration training (14-hour)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initial and continuing training Ohio requires and demonstrate competency, including the training required for medication administration and dementia care, consistent with OAC 3701-16-06.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staff member completes required initial training before providing services, that staff who administer medication complete the required medication-administration training and competency evaluation (unless a licensed nurse), and that staff serving residents with cognitive impairment complete the required dementia training.</w:t>
      </w:r>
    </w:p>
    <w:p>
      <w:pPr>
        <w:pStyle w:val="Normal"/>
        <w:pBdr>
          <w:bottom w:val="single" w:sz="4" w:space="1" w:color="2E5E45"/>
        </w:pBdr>
        <w:spacing w:before="160" w:after="80"/>
        <w:rPr/>
      </w:pPr>
      <w:r>
        <w:rPr>
          <w:rFonts w:eastAsia="Arial" w:cs="Arial"/>
          <w:b/>
          <w:bCs/>
          <w:color w:val="1A4731"/>
          <w:sz w:val="20"/>
          <w:szCs w:val="20"/>
        </w:rPr>
        <w:t>PROCEDURE — INITIAL &amp; ONGOING TRAINING</w:t>
      </w:r>
    </w:p>
    <w:p>
      <w:pPr>
        <w:pStyle w:val="Normal"/>
        <w:tabs>
          <w:tab w:val="left" w:pos="720" w:leader="none"/>
        </w:tabs>
        <w:spacing w:lineRule="exact" w:line="264" w:before="0" w:after="80"/>
        <w:ind w:hanging="360" w:start="720"/>
        <w:rPr/>
      </w:pPr>
      <w:r>
        <w:rPr>
          <w:rFonts w:eastAsia="Arial" w:cs="Arial"/>
          <w:sz w:val="21"/>
          <w:szCs w:val="21"/>
        </w:rPr>
        <w:t>a. Ensure each direct-care staff member completes initial training covering residents’ rights, personal care and supervision, recognizing and reporting abuse and neglect, emergency response, infection control and hand hygiene, and hazardous chemical safety and the location of Safety Data Sheets, consistent with OAC 3701-16-06.</w:t>
      </w:r>
    </w:p>
    <w:p>
      <w:pPr>
        <w:pStyle w:val="Normal"/>
        <w:tabs>
          <w:tab w:val="left" w:pos="720" w:leader="none"/>
        </w:tabs>
        <w:spacing w:lineRule="exact" w:line="264" w:before="0" w:after="80"/>
        <w:ind w:hanging="360" w:start="720"/>
        <w:rPr/>
      </w:pPr>
      <w:r>
        <w:rPr>
          <w:rFonts w:eastAsia="Arial" w:cs="Arial"/>
          <w:sz w:val="21"/>
          <w:szCs w:val="21"/>
        </w:rPr>
        <w:t>b. Ensure any staff member who administers medication completes the required medication-administration training (a 14-hour course) and passes a competency evaluation before administering medication, unless the individual is a licensed nurse; and ensure staff who assist with self-administration are trained under OAC 3701-16-06(E).</w:t>
      </w:r>
    </w:p>
    <w:p>
      <w:pPr>
        <w:pStyle w:val="Normal"/>
        <w:tabs>
          <w:tab w:val="left" w:pos="720" w:leader="none"/>
        </w:tabs>
        <w:spacing w:lineRule="exact" w:line="264" w:before="0" w:after="80"/>
        <w:ind w:hanging="360" w:start="720"/>
        <w:rPr/>
      </w:pPr>
      <w:r>
        <w:rPr>
          <w:rFonts w:eastAsia="Arial" w:cs="Arial"/>
          <w:sz w:val="21"/>
          <w:szCs w:val="21"/>
        </w:rPr>
        <w:t>c. Provide ongoing training so staff stay current on best practices and regulatory changes.</w:t>
      </w:r>
    </w:p>
    <w:p>
      <w:pPr>
        <w:pStyle w:val="Normal"/>
        <w:pBdr>
          <w:bottom w:val="single" w:sz="4" w:space="1" w:color="2E5E45"/>
        </w:pBdr>
        <w:spacing w:before="160" w:after="80"/>
        <w:rPr/>
      </w:pPr>
      <w:r>
        <w:rPr>
          <w:rFonts w:eastAsia="Arial" w:cs="Arial"/>
          <w:b/>
          <w:bCs/>
          <w:color w:val="1A4731"/>
          <w:sz w:val="20"/>
          <w:szCs w:val="20"/>
        </w:rPr>
        <w:t>PROCEDURE — DEMENTIA TRAINING &amp; COMPETENCY</w:t>
      </w:r>
    </w:p>
    <w:p>
      <w:pPr>
        <w:pStyle w:val="Normal"/>
        <w:tabs>
          <w:tab w:val="left" w:pos="720" w:leader="none"/>
        </w:tabs>
        <w:spacing w:lineRule="exact" w:line="264" w:before="0" w:after="80"/>
        <w:ind w:hanging="360" w:start="720"/>
        <w:rPr/>
      </w:pPr>
      <w:r>
        <w:rPr>
          <w:rFonts w:eastAsia="Arial" w:cs="Arial"/>
          <w:sz w:val="21"/>
          <w:szCs w:val="21"/>
        </w:rPr>
        <w:t>d. Ensure staff who serve residents with cognitive impairment, increased emotional needs, or presenting behaviors complete, within fourteen (14) days of the first day of work, at least two (2) hours of training in Alzheimer’s and/or dementia care, and complete at least four (4) hours of continuing education in Alzheimer’s disease or dementia.</w:t>
      </w:r>
    </w:p>
    <w:p>
      <w:pPr>
        <w:pStyle w:val="Normal"/>
        <w:tabs>
          <w:tab w:val="left" w:pos="720" w:leader="none"/>
        </w:tabs>
        <w:spacing w:lineRule="exact" w:line="264" w:before="0" w:after="80"/>
        <w:ind w:hanging="360" w:start="720"/>
        <w:rPr/>
      </w:pPr>
      <w:r>
        <w:rPr>
          <w:rFonts w:eastAsia="Arial" w:cs="Arial"/>
          <w:sz w:val="21"/>
          <w:szCs w:val="21"/>
        </w:rPr>
        <w:t>e. Verify competency for medication administration and other major duties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f. Maintain training and competency records, including dates, topics, and hours,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Training Checklist</w:t>
      </w:r>
    </w:p>
    <w:p>
      <w:pPr>
        <w:pStyle w:val="ListParagraph"/>
        <w:numPr>
          <w:ilvl w:val="0"/>
          <w:numId w:val="1"/>
        </w:numPr>
        <w:spacing w:lineRule="exact" w:line="264" w:before="0" w:after="60"/>
        <w:rPr/>
      </w:pPr>
      <w:r>
        <w:rPr>
          <w:rFonts w:eastAsia="Arial" w:cs="Arial"/>
          <w:sz w:val="21"/>
          <w:szCs w:val="21"/>
        </w:rPr>
        <w:t>Medication Administration Training (14-hour) &amp; Competency</w:t>
      </w:r>
    </w:p>
    <w:p>
      <w:pPr>
        <w:pStyle w:val="ListParagraph"/>
        <w:numPr>
          <w:ilvl w:val="0"/>
          <w:numId w:val="1"/>
        </w:numPr>
        <w:spacing w:lineRule="exact" w:line="264" w:before="0" w:after="60"/>
        <w:rPr/>
      </w:pPr>
      <w:r>
        <w:rPr>
          <w:rFonts w:eastAsia="Arial" w:cs="Arial"/>
          <w:sz w:val="21"/>
          <w:szCs w:val="21"/>
        </w:rPr>
        <w:t>Dementia Training Record (2-hour initial / 4-hour 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Staffing &amp; Resident Call System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Staffing &amp; Resident Call System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3701-16-05, -06, -08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administrator and staffed at levels sufficient to meet residents’ needs at all times, consistent with OAC Chapter 3701-16.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employ a qualified administrator responsible for daily operation and compliance, maintain sufficient qualified staff to meet residents’ needs at all times with at least one staff member awake and on duty, and maintain a resident call system with timely response.</w:t>
      </w:r>
    </w:p>
    <w:p>
      <w:pPr>
        <w:pStyle w:val="Normal"/>
        <w:pBdr>
          <w:bottom w:val="single" w:sz="4" w:space="1" w:color="2E5E45"/>
        </w:pBdr>
        <w:spacing w:before="160" w:after="80"/>
        <w:rPr/>
      </w:pPr>
      <w:r>
        <w:rPr>
          <w:rFonts w:eastAsia="Arial" w:cs="Arial"/>
          <w:b/>
          <w:bCs/>
          <w:color w:val="1A4731"/>
          <w:sz w:val="20"/>
          <w:szCs w:val="20"/>
        </w:rPr>
        <w:t>PROCEDURE — ADMINISTRATOR &amp; STAFFING</w:t>
      </w:r>
    </w:p>
    <w:p>
      <w:pPr>
        <w:pStyle w:val="Normal"/>
        <w:tabs>
          <w:tab w:val="left" w:pos="720" w:leader="none"/>
        </w:tabs>
        <w:spacing w:lineRule="exact" w:line="264" w:before="0" w:after="80"/>
        <w:ind w:hanging="360" w:start="720"/>
        <w:rPr/>
      </w:pPr>
      <w:r>
        <w:rPr>
          <w:rFonts w:eastAsia="Arial" w:cs="Arial"/>
          <w:sz w:val="21"/>
          <w:szCs w:val="21"/>
        </w:rPr>
        <w:t>a. Designate a qualified administrator responsible for the operation of the Facility and its compliance with OAC Chapter 3701-16 and ORC Chapter 3721.</w:t>
      </w:r>
    </w:p>
    <w:p>
      <w:pPr>
        <w:pStyle w:val="Normal"/>
        <w:tabs>
          <w:tab w:val="left" w:pos="720" w:leader="none"/>
        </w:tabs>
        <w:spacing w:lineRule="exact" w:line="264" w:before="0" w:after="80"/>
        <w:ind w:hanging="360" w:start="720"/>
        <w:rPr/>
      </w:pPr>
      <w:r>
        <w:rPr>
          <w:rFonts w:eastAsia="Arial" w:cs="Arial"/>
          <w:sz w:val="21"/>
          <w:szCs w:val="21"/>
        </w:rPr>
        <w:t>b. Maintain sufficient qualified staff to meet residents’ needs at all times (OAC 3701-16-05 and 3701-16-08), including staff meeting the training standards of OAC 3701-16-06, and ensure at least one staff member is awake and on duty at all times.</w:t>
      </w:r>
    </w:p>
    <w:p>
      <w:pPr>
        <w:pStyle w:val="Normal"/>
        <w:tabs>
          <w:tab w:val="left" w:pos="720" w:leader="none"/>
        </w:tabs>
        <w:spacing w:lineRule="exact" w:line="264" w:before="0" w:after="80"/>
        <w:ind w:hanging="360" w:start="720"/>
        <w:rPr/>
      </w:pPr>
      <w:r>
        <w:rPr>
          <w:rFonts w:eastAsia="Arial" w:cs="Arial"/>
          <w:sz w:val="21"/>
          <w:szCs w:val="21"/>
        </w:rPr>
        <w:t>c. Provide additional staffing where needed for a special care unit or for residents with higher assessed needs.</w:t>
      </w:r>
    </w:p>
    <w:p>
      <w:pPr>
        <w:pStyle w:val="Normal"/>
        <w:pBdr>
          <w:bottom w:val="single" w:sz="4" w:space="1" w:color="2E5E45"/>
        </w:pBdr>
        <w:spacing w:before="160" w:after="80"/>
        <w:rPr/>
      </w:pPr>
      <w:r>
        <w:rPr>
          <w:rFonts w:eastAsia="Arial" w:cs="Arial"/>
          <w:b/>
          <w:bCs/>
          <w:color w:val="1A4731"/>
          <w:sz w:val="20"/>
          <w:szCs w:val="20"/>
        </w:rPr>
        <w:t>PROCEDURE — RESIDENT CALL SYSTEM</w:t>
      </w:r>
    </w:p>
    <w:p>
      <w:pPr>
        <w:pStyle w:val="Normal"/>
        <w:tabs>
          <w:tab w:val="left" w:pos="720" w:leader="none"/>
        </w:tabs>
        <w:spacing w:lineRule="exact" w:line="264" w:before="0" w:after="80"/>
        <w:ind w:hanging="360" w:start="720"/>
        <w:rPr/>
      </w:pPr>
      <w:r>
        <w:rPr>
          <w:rFonts w:eastAsia="Arial" w:cs="Arial"/>
          <w:sz w:val="21"/>
          <w:szCs w:val="21"/>
        </w:rPr>
        <w:t>d. Maintain a resident call system and respond to resident calls in a timely manner, twenty-four hours per day.</w:t>
      </w:r>
    </w:p>
    <w:p>
      <w:pPr>
        <w:pStyle w:val="Normal"/>
        <w:tabs>
          <w:tab w:val="left" w:pos="720" w:leader="none"/>
        </w:tabs>
        <w:spacing w:lineRule="exact" w:line="264" w:before="0" w:after="80"/>
        <w:ind w:hanging="360" w:start="720"/>
        <w:rPr/>
      </w:pPr>
      <w:r>
        <w:rPr>
          <w:rFonts w:eastAsia="Arial" w:cs="Arial"/>
          <w:sz w:val="21"/>
          <w:szCs w:val="21"/>
        </w:rPr>
        <w:t>e. Maintain a written staffing plan and schedule reflecting the 24-hour coverage pattern, and make it available to ODH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Resident Call System Response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health assessment and individualized service plan with reassessment on change of condition, personal care services and activities of daily living,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Assessment &amp;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Personal Care Services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Assessment &amp;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Assessment &amp;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3701-16-08 (resident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assessment and service plan that reflects the resident’s needs and is kept current, consistent with OAC 3701-16-08.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a health assessment for each resident and develop an individualized plan for meeting the resident’s needs, reassess the resident when a change in condition or function occurs, and reassess on a periodic basis.</w:t>
      </w:r>
    </w:p>
    <w:p>
      <w:pPr>
        <w:pStyle w:val="Normal"/>
        <w:pBdr>
          <w:bottom w:val="single" w:sz="4" w:space="1" w:color="2E5E45"/>
        </w:pBdr>
        <w:spacing w:before="160" w:after="80"/>
        <w:rPr/>
      </w:pPr>
      <w:r>
        <w:rPr>
          <w:rFonts w:eastAsia="Arial" w:cs="Arial"/>
          <w:b/>
          <w:bCs/>
          <w:color w:val="1A4731"/>
          <w:sz w:val="20"/>
          <w:szCs w:val="20"/>
        </w:rPr>
        <w:t>PROCEDURE — ASSESSMENT &amp; PLAN</w:t>
      </w:r>
    </w:p>
    <w:p>
      <w:pPr>
        <w:pStyle w:val="Normal"/>
        <w:tabs>
          <w:tab w:val="left" w:pos="720" w:leader="none"/>
        </w:tabs>
        <w:spacing w:lineRule="exact" w:line="264" w:before="0" w:after="80"/>
        <w:ind w:hanging="360" w:start="720"/>
        <w:rPr/>
      </w:pPr>
      <w:r>
        <w:rPr>
          <w:rFonts w:eastAsia="Arial" w:cs="Arial"/>
          <w:sz w:val="21"/>
          <w:szCs w:val="21"/>
        </w:rPr>
        <w:t>a. Complete an initial health assessment addressing the resident’s medical, psychological, cognitive, and functional needs, including any need for assistance with self-administration or administration of medication and any skilled nursing care ordered by a physician or other authorized professional.</w:t>
      </w:r>
    </w:p>
    <w:p>
      <w:pPr>
        <w:pStyle w:val="Normal"/>
        <w:tabs>
          <w:tab w:val="left" w:pos="720" w:leader="none"/>
        </w:tabs>
        <w:spacing w:lineRule="exact" w:line="264" w:before="0" w:after="80"/>
        <w:ind w:hanging="360" w:start="720"/>
        <w:rPr/>
      </w:pPr>
      <w:r>
        <w:rPr>
          <w:rFonts w:eastAsia="Arial" w:cs="Arial"/>
          <w:sz w:val="21"/>
          <w:szCs w:val="21"/>
        </w:rPr>
        <w:t>b. Develop an individualized plan for meeting the resident’s assessed needs, including personal care and supervision, and where the resident has a medical, psychological, developmental, or intellectual impairment, a plan addressing physical environment/design features and any increased supervision needed for safety.</w:t>
      </w:r>
    </w:p>
    <w:p>
      <w:pPr>
        <w:pStyle w:val="Normal"/>
        <w:tabs>
          <w:tab w:val="left" w:pos="720" w:leader="none"/>
        </w:tabs>
        <w:spacing w:lineRule="exact" w:line="264" w:before="0" w:after="80"/>
        <w:ind w:hanging="360" w:start="720"/>
        <w:rPr/>
      </w:pPr>
      <w:r>
        <w:rPr>
          <w:rFonts w:eastAsia="Arial" w:cs="Arial"/>
          <w:sz w:val="21"/>
          <w:szCs w:val="21"/>
        </w:rPr>
        <w:t>c. Involve the resident (and sponsor as applicable) in the plan.</w:t>
      </w:r>
    </w:p>
    <w:p>
      <w:pPr>
        <w:pStyle w:val="Normal"/>
        <w:pBdr>
          <w:bottom w:val="single" w:sz="4" w:space="1" w:color="2E5E45"/>
        </w:pBdr>
        <w:spacing w:before="160" w:after="80"/>
        <w:rPr/>
      </w:pPr>
      <w:r>
        <w:rPr>
          <w:rFonts w:eastAsia="Arial" w:cs="Arial"/>
          <w:b/>
          <w:bCs/>
          <w:color w:val="1A4731"/>
          <w:sz w:val="20"/>
          <w:szCs w:val="20"/>
        </w:rPr>
        <w:t>PROCEDURE — REASSESSMENT &amp; SPECIAL CARE UNIT</w:t>
      </w:r>
    </w:p>
    <w:p>
      <w:pPr>
        <w:pStyle w:val="Normal"/>
        <w:tabs>
          <w:tab w:val="left" w:pos="720" w:leader="none"/>
        </w:tabs>
        <w:spacing w:lineRule="exact" w:line="264" w:before="0" w:after="80"/>
        <w:ind w:hanging="360" w:start="720"/>
        <w:rPr/>
      </w:pPr>
      <w:r>
        <w:rPr>
          <w:rFonts w:eastAsia="Arial" w:cs="Arial"/>
          <w:sz w:val="21"/>
          <w:szCs w:val="21"/>
        </w:rPr>
        <w:t>d. Reassess the resident’s health whenever a change in condition or function occurs, and on the periodic schedule required by OAC 3701-16-08, updating the plan accordingly.</w:t>
      </w:r>
    </w:p>
    <w:p>
      <w:pPr>
        <w:pStyle w:val="Normal"/>
        <w:tabs>
          <w:tab w:val="left" w:pos="720" w:leader="none"/>
        </w:tabs>
        <w:spacing w:lineRule="exact" w:line="264" w:before="0" w:after="80"/>
        <w:ind w:hanging="360" w:start="720"/>
        <w:rPr/>
      </w:pPr>
      <w:r>
        <w:rPr>
          <w:rFonts w:eastAsia="Arial" w:cs="Arial"/>
          <w:sz w:val="21"/>
          <w:szCs w:val="21"/>
        </w:rPr>
        <w:t>e. Before admitting or transferring a resident to a special care unit that restricts freedom of movement, ensure a physician or other authorized professional has determined the admission or transfer is needed, and provide an updated resident agreement and the special-care-unit policy.</w:t>
      </w:r>
    </w:p>
    <w:p>
      <w:pPr>
        <w:pStyle w:val="Normal"/>
        <w:tabs>
          <w:tab w:val="left" w:pos="720" w:leader="none"/>
        </w:tabs>
        <w:spacing w:lineRule="exact" w:line="264" w:before="0" w:after="80"/>
        <w:ind w:hanging="360" w:start="720"/>
        <w:rPr/>
      </w:pPr>
      <w:r>
        <w:rPr>
          <w:rFonts w:eastAsia="Arial" w:cs="Arial"/>
          <w:sz w:val="21"/>
          <w:szCs w:val="21"/>
        </w:rPr>
        <w:t>f. Where a change indicates the resident’s needs exceed the Facility’s scope, initiate the process under OAC 3701-16-08 to address unmet needs and, where necessary, transfer or discharge.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Assessment (3701-16-08)</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Reassessment / Change-of-Condition Record</w:t>
      </w:r>
    </w:p>
    <w:p>
      <w:pPr>
        <w:pStyle w:val="ListParagraph"/>
        <w:numPr>
          <w:ilvl w:val="0"/>
          <w:numId w:val="1"/>
        </w:numPr>
        <w:spacing w:lineRule="exact" w:line="264" w:before="0" w:after="60"/>
        <w:rPr/>
      </w:pPr>
      <w:r>
        <w:rPr>
          <w:rFonts w:eastAsia="Arial" w:cs="Arial"/>
          <w:sz w:val="21"/>
          <w:szCs w:val="21"/>
        </w:rPr>
        <w:t>Special Care Unit Admission Determination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Personal Care Services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Personal Care Services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3701-16-09, -10, -11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personal care services, supervision, meals, and activities according to each resident’s plan, while supporting dignity and independence, consistent with OAC Chapter 3701-16.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the personal care services specified in its policies and the resident agreements to residents who need them, provide meals and therapeutic diets, and provide social, recreational, and leisure activities, and shall not impose personal care services on a resident capable of performing the activity without assistance.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personal care services — hands-on assistance, supervision, and cueing with activities of daily living and instrumental activities of daily living — in accordance with acceptable standards of care and the resident’s assessment and agreement (OAC 3701-16-09).</w:t>
      </w:r>
    </w:p>
    <w:p>
      <w:pPr>
        <w:pStyle w:val="Normal"/>
        <w:tabs>
          <w:tab w:val="left" w:pos="720" w:leader="none"/>
        </w:tabs>
        <w:spacing w:lineRule="exact" w:line="264" w:before="0" w:after="80"/>
        <w:ind w:hanging="360" w:start="720"/>
        <w:rPr/>
      </w:pPr>
      <w:r>
        <w:rPr>
          <w:rFonts w:eastAsia="Arial" w:cs="Arial"/>
          <w:sz w:val="21"/>
          <w:szCs w:val="21"/>
        </w:rPr>
        <w:t>b. Provide three meals per day and snacks and supervise therapeutic diets as ordered (OAC 3701-16-10), and provide social, recreational, and leisure activities (OAC 3701-16-11).</w:t>
      </w:r>
    </w:p>
    <w:p>
      <w:pPr>
        <w:pStyle w:val="Normal"/>
        <w:tabs>
          <w:tab w:val="left" w:pos="720" w:leader="none"/>
        </w:tabs>
        <w:spacing w:lineRule="exact" w:line="264" w:before="0" w:after="80"/>
        <w:ind w:hanging="360" w:start="720"/>
        <w:rPr/>
      </w:pPr>
      <w:r>
        <w:rPr>
          <w:rFonts w:eastAsia="Arial" w:cs="Arial"/>
          <w:sz w:val="21"/>
          <w:szCs w:val="21"/>
        </w:rPr>
        <w:t>c. Apply dressings and provide the limited skilled nursing services the Facility is authorized to provide, where ordered, within the ORC 3721.011 limits, and coordinate home health or hospice services where a resident receives them.</w:t>
      </w:r>
    </w:p>
    <w:p>
      <w:pPr>
        <w:pStyle w:val="Normal"/>
        <w:tabs>
          <w:tab w:val="left" w:pos="720" w:leader="none"/>
        </w:tabs>
        <w:spacing w:lineRule="exact" w:line="264" w:before="0" w:after="80"/>
        <w:ind w:hanging="360" w:start="720"/>
        <w:rPr/>
      </w:pPr>
      <w:r>
        <w:rPr>
          <w:rFonts w:eastAsia="Arial" w:cs="Arial"/>
          <w:sz w:val="21"/>
          <w:szCs w:val="21"/>
        </w:rPr>
        <w:t>d. Report changes in a resident’s condition to the resident’s physician and sponsor.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Care / Service Record</w:t>
      </w:r>
    </w:p>
    <w:p>
      <w:pPr>
        <w:pStyle w:val="ListParagraph"/>
        <w:numPr>
          <w:ilvl w:val="0"/>
          <w:numId w:val="1"/>
        </w:numPr>
        <w:spacing w:lineRule="exact" w:line="264" w:before="0" w:after="60"/>
        <w:rPr/>
      </w:pPr>
      <w:r>
        <w:rPr>
          <w:rFonts w:eastAsia="Arial" w:cs="Arial"/>
          <w:sz w:val="21"/>
          <w:szCs w:val="21"/>
        </w:rPr>
        <w:t>Therapeutic Diet Record</w:t>
      </w:r>
    </w:p>
    <w:p>
      <w:pPr>
        <w:pStyle w:val="ListParagraph"/>
        <w:numPr>
          <w:ilvl w:val="0"/>
          <w:numId w:val="1"/>
        </w:numPr>
        <w:spacing w:lineRule="exact" w:line="264" w:before="0" w:after="60"/>
        <w:rPr/>
      </w:pPr>
      <w:r>
        <w:rPr>
          <w:rFonts w:eastAsia="Arial" w:cs="Arial"/>
          <w:sz w:val="21"/>
          <w:szCs w:val="21"/>
        </w:rPr>
        <w:t>Activities Calendar &amp;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3701-16-08, -12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physician and sponsor, and report as an incident and change in health status where the event meets the criteria (OAC 3701-16-12).</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OAC 3701-16-09 and ORC 3721.011 — administration only by a licensed nurse or a qualified, trained staff member, the resident medication record, the limits on assistance with self-administration, secure storage, and the safe handling of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Administration &amp; Assistance with Self-Administration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Administration &amp; Assistance with Self-Administration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Administration &amp; Assistance with Self-Administration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3701-16-09; ORC 3721.011(B)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safely, administered only by qualified personnel, and documented on the resident’s medication record, consistent with OAC 3701-16-09 and ORC 3721.011.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may administer medication only through a licensed nurse, an otherwise authorized professional, or a staff member qualified to perform medication administration (having completed the required training and competency evaluation). Staff who are not qualified to administer medication may only assist with self-administration within the limits of OAC 3701-16-09(F). All medications shall be given only to the resident for whom they are prescribed and recorded on the resident’s medication record.</w:t>
      </w:r>
    </w:p>
    <w:p>
      <w:pPr>
        <w:pStyle w:val="Normal"/>
        <w:pBdr>
          <w:bottom w:val="single" w:sz="4" w:space="1" w:color="2E5E45"/>
        </w:pBdr>
        <w:spacing w:before="160" w:after="80"/>
        <w:rPr/>
      </w:pPr>
      <w:r>
        <w:rPr>
          <w:rFonts w:eastAsia="Arial" w:cs="Arial"/>
          <w:b/>
          <w:bCs/>
          <w:color w:val="1A4731"/>
          <w:sz w:val="20"/>
          <w:szCs w:val="20"/>
        </w:rPr>
        <w:t>PROCEDURE — ADMINISTRATION</w:t>
      </w:r>
    </w:p>
    <w:p>
      <w:pPr>
        <w:pStyle w:val="Normal"/>
        <w:tabs>
          <w:tab w:val="left" w:pos="720" w:leader="none"/>
        </w:tabs>
        <w:spacing w:lineRule="exact" w:line="264" w:before="0" w:after="80"/>
        <w:ind w:hanging="360" w:start="720"/>
        <w:rPr/>
      </w:pPr>
      <w:r>
        <w:rPr>
          <w:rFonts w:eastAsia="Arial" w:cs="Arial"/>
          <w:sz w:val="21"/>
          <w:szCs w:val="21"/>
        </w:rPr>
        <w:t>a. Ensure medication is administered only by a person authorized to do so — a licensed nurse, an otherwise authorized professional, or a staff member qualified through the required medication-administration training and competency evaluation.</w:t>
      </w:r>
    </w:p>
    <w:p>
      <w:pPr>
        <w:pStyle w:val="Normal"/>
        <w:tabs>
          <w:tab w:val="left" w:pos="720" w:leader="none"/>
        </w:tabs>
        <w:spacing w:lineRule="exact" w:line="264" w:before="0" w:after="80"/>
        <w:ind w:hanging="360" w:start="720"/>
        <w:rPr/>
      </w:pPr>
      <w:r>
        <w:rPr>
          <w:rFonts w:eastAsia="Arial" w:cs="Arial"/>
          <w:sz w:val="21"/>
          <w:szCs w:val="21"/>
        </w:rPr>
        <w:t>b. Give all medications only to the individual resident for whom they are prescribed, in accordance with the directions on the prescription or the prescriber’s orders, and record each dose on the resident’s medication record.</w:t>
      </w:r>
    </w:p>
    <w:p>
      <w:pPr>
        <w:pStyle w:val="Normal"/>
        <w:tabs>
          <w:tab w:val="left" w:pos="720" w:leader="none"/>
        </w:tabs>
        <w:spacing w:lineRule="exact" w:line="264" w:before="0" w:after="80"/>
        <w:ind w:hanging="360" w:start="720"/>
        <w:rPr/>
      </w:pPr>
      <w:r>
        <w:rPr>
          <w:rFonts w:eastAsia="Arial" w:cs="Arial"/>
          <w:sz w:val="21"/>
          <w:szCs w:val="21"/>
        </w:rPr>
        <w:t>c. Ensure the person administering the medication observes the resident for adverse effects, contraindications, and medication effectiveness, and reports concerns to the prescriber and sponsor.</w:t>
      </w:r>
    </w:p>
    <w:p>
      <w:pPr>
        <w:pStyle w:val="Normal"/>
        <w:tabs>
          <w:tab w:val="left" w:pos="720" w:leader="none"/>
        </w:tabs>
        <w:spacing w:lineRule="exact" w:line="264" w:before="0" w:after="80"/>
        <w:ind w:hanging="360" w:start="720"/>
        <w:rPr/>
      </w:pPr>
      <w:r>
        <w:rPr>
          <w:rFonts w:eastAsia="Arial" w:cs="Arial"/>
          <w:sz w:val="21"/>
          <w:szCs w:val="21"/>
        </w:rPr>
        <w:t>d. Ensure telephone orders are signed by the prescriber within fourteen (14) days, and accept facsimile or electronic orders consistent with OAC 3701-16-09.1.</w:t>
      </w:r>
    </w:p>
    <w:p>
      <w:pPr>
        <w:pStyle w:val="Normal"/>
        <w:pBdr>
          <w:bottom w:val="single" w:sz="4" w:space="1" w:color="2E5E45"/>
        </w:pBdr>
        <w:spacing w:before="160" w:after="80"/>
        <w:rPr/>
      </w:pPr>
      <w:r>
        <w:rPr>
          <w:rFonts w:eastAsia="Arial" w:cs="Arial"/>
          <w:b/>
          <w:bCs/>
          <w:color w:val="1A4731"/>
          <w:sz w:val="20"/>
          <w:szCs w:val="20"/>
        </w:rPr>
        <w:t>PROCEDURE — ASSISTANCE WITH SELF-ADMINISTRATION &amp; STORAGE</w:t>
      </w:r>
    </w:p>
    <w:p>
      <w:pPr>
        <w:pStyle w:val="Normal"/>
        <w:tabs>
          <w:tab w:val="left" w:pos="720" w:leader="none"/>
        </w:tabs>
        <w:spacing w:lineRule="exact" w:line="264" w:before="0" w:after="80"/>
        <w:ind w:hanging="360" w:start="720"/>
        <w:rPr/>
      </w:pPr>
      <w:r>
        <w:rPr>
          <w:rFonts w:eastAsia="Arial" w:cs="Arial"/>
          <w:sz w:val="21"/>
          <w:szCs w:val="21"/>
        </w:rPr>
        <w:t>e. Where staff assist with self-administration, limit assistance to reminding the resident when to take medication and watching to ensure the resident follows the directions, and taking the medication from the locked storage area and handing it to the resident after verifying the name on the label matches the resident.</w:t>
      </w:r>
    </w:p>
    <w:p>
      <w:pPr>
        <w:pStyle w:val="Normal"/>
        <w:tabs>
          <w:tab w:val="left" w:pos="720" w:leader="none"/>
        </w:tabs>
        <w:spacing w:lineRule="exact" w:line="264" w:before="0" w:after="80"/>
        <w:ind w:hanging="360" w:start="720"/>
        <w:rPr/>
      </w:pPr>
      <w:r>
        <w:rPr>
          <w:rFonts w:eastAsia="Arial" w:cs="Arial"/>
          <w:sz w:val="21"/>
          <w:szCs w:val="21"/>
        </w:rPr>
        <w:t>f. Store medications in a locked area, separate from hazardous chemicals, with controlled substances secured and access limited to authorized staff, and keep each resident’s medications in properly labeled containers.</w:t>
      </w:r>
    </w:p>
    <w:p>
      <w:pPr>
        <w:pStyle w:val="Normal"/>
        <w:tabs>
          <w:tab w:val="left" w:pos="720" w:leader="none"/>
        </w:tabs>
        <w:spacing w:lineRule="exact" w:line="264" w:before="0" w:after="80"/>
        <w:ind w:hanging="360" w:start="720"/>
        <w:rPr/>
      </w:pPr>
      <w:r>
        <w:rPr>
          <w:rFonts w:eastAsia="Arial" w:cs="Arial"/>
          <w:sz w:val="21"/>
          <w:szCs w:val="21"/>
        </w:rPr>
        <w:t>g. Reconcile medications at admission and at return from a hospital or other setting, and resolve discrepancies with the prescriber.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Medication Record (MAR)</w:t>
      </w:r>
    </w:p>
    <w:p>
      <w:pPr>
        <w:pStyle w:val="ListParagraph"/>
        <w:numPr>
          <w:ilvl w:val="0"/>
          <w:numId w:val="1"/>
        </w:numPr>
        <w:spacing w:lineRule="exact" w:line="264" w:before="0" w:after="60"/>
        <w:rPr/>
      </w:pPr>
      <w:r>
        <w:rPr>
          <w:rFonts w:eastAsia="Arial" w:cs="Arial"/>
          <w:sz w:val="21"/>
          <w:szCs w:val="21"/>
        </w:rPr>
        <w:t>Assistance with Self-Administration Log</w:t>
      </w:r>
    </w:p>
    <w:p>
      <w:pPr>
        <w:pStyle w:val="ListParagraph"/>
        <w:numPr>
          <w:ilvl w:val="0"/>
          <w:numId w:val="1"/>
        </w:numPr>
        <w:spacing w:lineRule="exact" w:line="264" w:before="0" w:after="60"/>
        <w:rPr/>
      </w:pPr>
      <w:r>
        <w:rPr>
          <w:rFonts w:eastAsia="Arial" w:cs="Arial"/>
          <w:sz w:val="21"/>
          <w:szCs w:val="21"/>
        </w:rPr>
        <w:t>Medication Reconciliation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prescriber and sponsor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disaster preparedness and emergency response, infection prevention and control with Ohio’s tuberculosis control plan and water management plan (and COVID-19 outbreak response), hazardous-chemical safety, and physical plant, environmental safety, and dietary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Disaster Preparedness &amp; Emergency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TB &amp; Water Management (Including COVID-19)</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Environmental Safety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Disaster Preparedness &amp; Emergency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Disaster Preparedness &amp; Emergency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3701-16-13 (building, fire, carbon monoxide, disaster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OAC 3701-16-13.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disaster preparedness plan, maintain fire and carbon monoxide safety systems, train staff, conduct drills, and coordinate with local emergency services.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disaster preparedness plan addressing fire, severe weather, utility failure, evacuation and relocation, and continuity of resident care, consistent with OAC 3701-16-13.</w:t>
      </w:r>
    </w:p>
    <w:p>
      <w:pPr>
        <w:pStyle w:val="Normal"/>
        <w:tabs>
          <w:tab w:val="left" w:pos="720" w:leader="none"/>
        </w:tabs>
        <w:spacing w:lineRule="exact" w:line="264" w:before="0" w:after="80"/>
        <w:ind w:hanging="360" w:start="720"/>
        <w:rPr/>
      </w:pPr>
      <w:r>
        <w:rPr>
          <w:rFonts w:eastAsia="Arial" w:cs="Arial"/>
          <w:sz w:val="21"/>
          <w:szCs w:val="21"/>
        </w:rPr>
        <w:t>b. Maintain fire-safety and carbon monoxide detection systems and required building and plumbing safety standards, and ensure staff capable of responding to an emergency are present whenever residents are present.</w:t>
      </w:r>
    </w:p>
    <w:p>
      <w:pPr>
        <w:pStyle w:val="Normal"/>
        <w:tabs>
          <w:tab w:val="left" w:pos="720" w:leader="none"/>
        </w:tabs>
        <w:spacing w:lineRule="exact" w:line="264" w:before="0" w:after="80"/>
        <w:ind w:hanging="360" w:start="720"/>
        <w:rPr/>
      </w:pPr>
      <w:r>
        <w:rPr>
          <w:rFonts w:eastAsia="Arial" w:cs="Arial"/>
          <w:sz w:val="21"/>
          <w:szCs w:val="21"/>
        </w:rPr>
        <w:t>c. Conduct and document fire and disaster drills on the schedule required by rule, and take corrective action on identified gaps.</w:t>
      </w:r>
    </w:p>
    <w:p>
      <w:pPr>
        <w:pStyle w:val="Normal"/>
        <w:tabs>
          <w:tab w:val="left" w:pos="720" w:leader="none"/>
        </w:tabs>
        <w:spacing w:lineRule="exact" w:line="264" w:before="0" w:after="80"/>
        <w:ind w:hanging="360" w:start="720"/>
        <w:rPr/>
      </w:pPr>
      <w:r>
        <w:rPr>
          <w:rFonts w:eastAsia="Arial" w:cs="Arial"/>
          <w:sz w:val="21"/>
          <w:szCs w:val="21"/>
        </w:rPr>
        <w:t>d. Train all staff on their emergency roles, maintain emergency supplies and contact information, and coordinate with local fire, law enforcement, and emergency management, including a plan to maintain safe conditions during a power outage.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Carbon Monoxide / Fire System Inspection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TB &amp; Water Management (Including COVID-19)</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TB &amp; Water Management (Including COVID-19)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3701-16-12 (infection control; TB control plan); water management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tuberculosis, waterborne pathogens such as Legionella, and other communicable diseases — among residents, staff, and visitors through standard precautions, a tuberculosis control plan, a water management plan, surveillance, outbreak response, and required reporting, consistent with OAC 3701-16-12.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and CMS), including standard precautions, a tuberculosis control plan, a water management plan for the reduction of waterborne pathogens, staff training, surveillance, and an outbreak-response protocol for communicable diseases including COVID-19, and shall report reportable and communicable diseases to public health authorities as required.</w:t>
      </w:r>
    </w:p>
    <w:p>
      <w:pPr>
        <w:pStyle w:val="Normal"/>
        <w:pBdr>
          <w:bottom w:val="single" w:sz="4" w:space="1" w:color="2E5E45"/>
        </w:pBdr>
        <w:spacing w:before="160" w:after="80"/>
        <w:rPr/>
      </w:pPr>
      <w:r>
        <w:rPr>
          <w:rFonts w:eastAsia="Arial" w:cs="Arial"/>
          <w:b/>
          <w:bCs/>
          <w:color w:val="1A4731"/>
          <w:sz w:val="20"/>
          <w:szCs w:val="20"/>
        </w:rPr>
        <w:t>PROCEDURE — STANDARD PRECAUTIONS, TB &amp; WATER MANAGEMENT</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Maintain a tuberculosis (TB) control plan consistent with OAC 3701-16-12, including screening of residents and staff as required.</w:t>
      </w:r>
    </w:p>
    <w:p>
      <w:pPr>
        <w:pStyle w:val="Normal"/>
        <w:tabs>
          <w:tab w:val="left" w:pos="720" w:leader="none"/>
        </w:tabs>
        <w:spacing w:lineRule="exact" w:line="264" w:before="0" w:after="80"/>
        <w:ind w:hanging="360" w:start="720"/>
        <w:rPr/>
      </w:pPr>
      <w:r>
        <w:rPr>
          <w:rFonts w:eastAsia="Arial" w:cs="Arial"/>
          <w:sz w:val="21"/>
          <w:szCs w:val="21"/>
        </w:rPr>
        <w:t>c. Maintain a water management plan to reduce the risk of Legionella and other waterborne pathogens, including identification of at-risk water systems, control measures, and monitoring.</w:t>
      </w:r>
    </w:p>
    <w:p>
      <w:pPr>
        <w:pStyle w:val="Normal"/>
        <w:tabs>
          <w:tab w:val="left" w:pos="720" w:leader="none"/>
        </w:tabs>
        <w:spacing w:lineRule="exact" w:line="264" w:before="0" w:after="80"/>
        <w:ind w:hanging="360" w:start="720"/>
        <w:rPr/>
      </w:pPr>
      <w:r>
        <w:rPr>
          <w:rFonts w:eastAsia="Arial" w:cs="Arial"/>
          <w:sz w:val="21"/>
          <w:szCs w:val="21"/>
        </w:rPr>
        <w:t>d. Provide staff training in infection control and PPE use, maintain an environmental hygiene schedule, and support resident and staff access to recommended vaccinations (including seasonal influenza and COVID-19) consistent with current guidance.</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e.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f.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g. Report reportable conditions and communicable-disease outbreaks (including COVID-19) to the local health department and ODH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h. Document surveillance, TB and water-management activities,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Tuberculosis (TB) Control Plan</w:t>
      </w:r>
    </w:p>
    <w:p>
      <w:pPr>
        <w:pStyle w:val="ListParagraph"/>
        <w:numPr>
          <w:ilvl w:val="0"/>
          <w:numId w:val="1"/>
        </w:numPr>
        <w:spacing w:lineRule="exact" w:line="264" w:before="0" w:after="60"/>
        <w:rPr/>
      </w:pPr>
      <w:r>
        <w:rPr>
          <w:rFonts w:eastAsia="Arial" w:cs="Arial"/>
          <w:sz w:val="21"/>
          <w:szCs w:val="21"/>
        </w:rPr>
        <w:t>Water Management Plan &amp; Monitoring Log</w:t>
      </w:r>
    </w:p>
    <w:p>
      <w:pPr>
        <w:pStyle w:val="ListParagraph"/>
        <w:numPr>
          <w:ilvl w:val="0"/>
          <w:numId w:val="1"/>
        </w:numPr>
        <w:spacing w:lineRule="exact" w:line="264" w:before="0" w:after="60"/>
        <w:rPr/>
      </w:pPr>
      <w:r>
        <w:rPr>
          <w:rFonts w:eastAsia="Arial" w:cs="Arial"/>
          <w:sz w:val="21"/>
          <w:szCs w:val="21"/>
        </w:rPr>
        <w:t>Outbreak Response / Line List &amp; Communicable Disease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Environmental Safety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Environmental Safety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3701-16-10, -13, -14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dietary services consistent with OAC Chapter 3701-16.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buildings, resident living areas, bathrooms, and common areas in a safe and sanitary condition, maintain required safety systems, and provide dietary services that meet residents’ nutritional needs.</w:t>
      </w:r>
    </w:p>
    <w:p>
      <w:pPr>
        <w:pStyle w:val="Normal"/>
        <w:pBdr>
          <w:bottom w:val="single" w:sz="4" w:space="1" w:color="2E5E45"/>
        </w:pBdr>
        <w:spacing w:before="160" w:after="80"/>
        <w:rPr/>
      </w:pPr>
      <w:r>
        <w:rPr>
          <w:rFonts w:eastAsia="Arial" w:cs="Arial"/>
          <w:b/>
          <w:bCs/>
          <w:color w:val="1A4731"/>
          <w:sz w:val="20"/>
          <w:szCs w:val="20"/>
        </w:rPr>
        <w:t>PROCEDURE — PHYSICAL PLANT &amp; ENVIRONMENT</w:t>
      </w:r>
    </w:p>
    <w:p>
      <w:pPr>
        <w:pStyle w:val="Normal"/>
        <w:tabs>
          <w:tab w:val="left" w:pos="720" w:leader="none"/>
        </w:tabs>
        <w:spacing w:lineRule="exact" w:line="264" w:before="0" w:after="80"/>
        <w:ind w:hanging="360" w:start="720"/>
        <w:rPr/>
      </w:pPr>
      <w:r>
        <w:rPr>
          <w:rFonts w:eastAsia="Arial" w:cs="Arial"/>
          <w:sz w:val="21"/>
          <w:szCs w:val="21"/>
        </w:rPr>
        <w:t>a. Maintain buildings and grounds in good repair and in a safe, clean, and sanitary condition, and conduct routine safety inspections and housekeeping (OAC 3701-16-13, 3701-16-14).</w:t>
      </w:r>
    </w:p>
    <w:p>
      <w:pPr>
        <w:pStyle w:val="Normal"/>
        <w:tabs>
          <w:tab w:val="left" w:pos="720" w:leader="none"/>
        </w:tabs>
        <w:spacing w:lineRule="exact" w:line="264" w:before="0" w:after="80"/>
        <w:ind w:hanging="360" w:start="720"/>
        <w:rPr/>
      </w:pPr>
      <w:r>
        <w:rPr>
          <w:rFonts w:eastAsia="Arial" w:cs="Arial"/>
          <w:sz w:val="21"/>
          <w:szCs w:val="21"/>
        </w:rPr>
        <w:t>b. Maintain fire, carbon monoxide, plumbing, and building safety systems and documentation consistent with the Facility’s license.</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 and a water management plan consistent with the Infection Prevention &amp; Control policy.</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Provide three meals per day and snacks meeting residents’ nutritional needs, and supervise therapeutic diets as ordered (OAC 3701-16-10),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dietary staff meet applicable food-safety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Housekeeping &amp;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with Ohio’s seven-year retention, the quality improvement program aligned with Joint Commission Assisted Living Community principles, and — where the Facility operates a special care unit — the additional requirements for dementia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Special Care Unit / Dementia Care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3701-16-17 (records; 7-year retention);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OAC 3701-16-17.</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individual record for each resident, protect the confidentiality and security of resident information consistent with HIPAA and Ohio law, retain records for the periods required by OAC 3701-16-17, and make records available to ODH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Start each resident record immediately upon admission and include identifying information, the attending physician and emergency contacts, the resident agreement, the assessment and service plan, the medication record, records of services provided, and incident documentation.</w:t>
      </w:r>
    </w:p>
    <w:p>
      <w:pPr>
        <w:pStyle w:val="Normal"/>
        <w:tabs>
          <w:tab w:val="left" w:pos="720" w:leader="none"/>
        </w:tabs>
        <w:spacing w:lineRule="exact" w:line="264" w:before="0" w:after="80"/>
        <w:ind w:hanging="360" w:start="720"/>
        <w:rPr/>
      </w:pPr>
      <w:r>
        <w:rPr>
          <w:rFonts w:eastAsia="Arial" w:cs="Arial"/>
          <w:sz w:val="21"/>
          <w:szCs w:val="21"/>
        </w:rPr>
        <w:t>b. Maintain each resident record confidentially, with information immediately accessible for an emergency, and retain resident records for seven (7) years following discharge (longer for minors as specified), and other required records for at least three (3) years.</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 (7-year)</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3701-16;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ownership and the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ownership/administration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Special Care Unit / Dementia Care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Special Care Unit / Dementia Care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3701-16-07(E)(5), -08(F); dementia training 3701-16-06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operates a special care unit for residents with dementia (including a unit that restricts residents’ freedom of movement), consistent with OAC Chapter 3701-16. This policy applies only where the Facility operates such a unit.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a special care unit, it shall maintain a written special-care-unit policy, obtain the required physician determination before admission or transfer to the unit, provide specialized dementia staffing and training, and maintain the physical environment and safety measures required,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POLICY, ADMISSION &amp; DISCLOSURE</w:t>
      </w:r>
    </w:p>
    <w:p>
      <w:pPr>
        <w:pStyle w:val="Normal"/>
        <w:tabs>
          <w:tab w:val="left" w:pos="720" w:leader="none"/>
        </w:tabs>
        <w:spacing w:lineRule="exact" w:line="264" w:before="0" w:after="80"/>
        <w:ind w:hanging="360" w:start="720"/>
        <w:rPr/>
      </w:pPr>
      <w:r>
        <w:rPr>
          <w:rFonts w:eastAsia="Arial" w:cs="Arial"/>
          <w:sz w:val="21"/>
          <w:szCs w:val="21"/>
        </w:rPr>
        <w:t>a. Maintain the Facility’s written policy on care of residents by means of a special care unit (OAC 3701-16-07(E)(5)), describing the unit’s services, philosophy, and how they differ from the rest of the Facility.</w:t>
      </w:r>
    </w:p>
    <w:p>
      <w:pPr>
        <w:pStyle w:val="Normal"/>
        <w:tabs>
          <w:tab w:val="left" w:pos="720" w:leader="none"/>
        </w:tabs>
        <w:spacing w:lineRule="exact" w:line="264" w:before="0" w:after="80"/>
        <w:ind w:hanging="360" w:start="720"/>
        <w:rPr/>
      </w:pPr>
      <w:r>
        <w:rPr>
          <w:rFonts w:eastAsia="Arial" w:cs="Arial"/>
          <w:sz w:val="21"/>
          <w:szCs w:val="21"/>
        </w:rPr>
        <w:t>b. Before admitting or transferring a resident to a special care unit that restricts freedom of movement, ensure a physician or other authorized professional has determined the admission or transfer is needed, and update this determination at each periodic reassessment for both improvement and decline (OAC 3701-16-08(F)).</w:t>
      </w:r>
    </w:p>
    <w:p>
      <w:pPr>
        <w:pStyle w:val="Normal"/>
        <w:tabs>
          <w:tab w:val="left" w:pos="720" w:leader="none"/>
        </w:tabs>
        <w:spacing w:lineRule="exact" w:line="264" w:before="0" w:after="80"/>
        <w:ind w:hanging="360" w:start="720"/>
        <w:rPr/>
      </w:pPr>
      <w:r>
        <w:rPr>
          <w:rFonts w:eastAsia="Arial" w:cs="Arial"/>
          <w:sz w:val="21"/>
          <w:szCs w:val="21"/>
        </w:rPr>
        <w:t>c. Before admission to the unit, provide the resident an updated resident agreement and the Facility’s special-care-unit policy.</w:t>
      </w:r>
    </w:p>
    <w:p>
      <w:pPr>
        <w:pStyle w:val="Normal"/>
        <w:pBdr>
          <w:bottom w:val="single" w:sz="4" w:space="1" w:color="2E5E45"/>
        </w:pBdr>
        <w:spacing w:before="160" w:after="80"/>
        <w:rPr/>
      </w:pPr>
      <w:r>
        <w:rPr>
          <w:rFonts w:eastAsia="Arial" w:cs="Arial"/>
          <w:b/>
          <w:bCs/>
          <w:color w:val="1A4731"/>
          <w:sz w:val="20"/>
          <w:szCs w:val="20"/>
        </w:rPr>
        <w:t>PROCEDURE — STAFFING, TRAINING &amp; SAFETY</w:t>
      </w:r>
    </w:p>
    <w:p>
      <w:pPr>
        <w:pStyle w:val="Normal"/>
        <w:tabs>
          <w:tab w:val="left" w:pos="720" w:leader="none"/>
        </w:tabs>
        <w:spacing w:lineRule="exact" w:line="264" w:before="0" w:after="80"/>
        <w:ind w:hanging="360" w:start="720"/>
        <w:rPr/>
      </w:pPr>
      <w:r>
        <w:rPr>
          <w:rFonts w:eastAsia="Arial" w:cs="Arial"/>
          <w:sz w:val="21"/>
          <w:szCs w:val="21"/>
        </w:rPr>
        <w:t>d. Provide sufficient staff to meet the needs and ensure the safety of residents in the special care unit, and ensure staff serving residents with cognitive impairment complete the required dementia training — at least two (2) hours within fourteen (14) days of the first day of work and at least four (4) hours of continuing education in Alzheimer’s disease or dementia.</w:t>
      </w:r>
    </w:p>
    <w:p>
      <w:pPr>
        <w:pStyle w:val="Normal"/>
        <w:tabs>
          <w:tab w:val="left" w:pos="720" w:leader="none"/>
        </w:tabs>
        <w:spacing w:lineRule="exact" w:line="264" w:before="0" w:after="80"/>
        <w:ind w:hanging="360" w:start="720"/>
        <w:rPr/>
      </w:pPr>
      <w:r>
        <w:rPr>
          <w:rFonts w:eastAsia="Arial" w:cs="Arial"/>
          <w:sz w:val="21"/>
          <w:szCs w:val="21"/>
        </w:rPr>
        <w:t>e. Maintain the physical environment and design features that support the functioning and safety of residents in the unit, including secured or controlled egress consistent with fire-safety code where the unit restricts freedom of movement.</w:t>
      </w:r>
    </w:p>
    <w:p>
      <w:pPr>
        <w:pStyle w:val="Normal"/>
        <w:tabs>
          <w:tab w:val="left" w:pos="720" w:leader="none"/>
        </w:tabs>
        <w:spacing w:lineRule="exact" w:line="264" w:before="0" w:after="80"/>
        <w:ind w:hanging="360" w:start="720"/>
        <w:rPr/>
      </w:pPr>
      <w:r>
        <w:rPr>
          <w:rFonts w:eastAsia="Arial" w:cs="Arial"/>
          <w:sz w:val="21"/>
          <w:szCs w:val="21"/>
        </w:rPr>
        <w:t>f. Use dementia-appropriate communication and non-restraint approaches to behavioral expressions of unmet need (the Facility shall not physically, chemically, or through isolation restrain residents), and review special-care-unit incidents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Special Care Unit Policy &amp; Disclosure</w:t>
      </w:r>
    </w:p>
    <w:p>
      <w:pPr>
        <w:pStyle w:val="ListParagraph"/>
        <w:numPr>
          <w:ilvl w:val="0"/>
          <w:numId w:val="1"/>
        </w:numPr>
        <w:spacing w:lineRule="exact" w:line="264" w:before="0" w:after="60"/>
        <w:rPr/>
      </w:pPr>
      <w:r>
        <w:rPr>
          <w:rFonts w:eastAsia="Arial" w:cs="Arial"/>
          <w:sz w:val="21"/>
          <w:szCs w:val="21"/>
        </w:rPr>
        <w:t>Physician Determination for Special Care Unit Admission</w:t>
      </w:r>
    </w:p>
    <w:p>
      <w:pPr>
        <w:pStyle w:val="ListParagraph"/>
        <w:numPr>
          <w:ilvl w:val="0"/>
          <w:numId w:val="1"/>
        </w:numPr>
        <w:spacing w:lineRule="exact" w:line="264" w:before="0" w:after="60"/>
        <w:rPr/>
      </w:pPr>
      <w:r>
        <w:rPr>
          <w:rFonts w:eastAsia="Arial" w:cs="Arial"/>
          <w:sz w:val="21"/>
          <w:szCs w:val="21"/>
        </w:rPr>
        <w:t>Dementia Training Records (2-hour / 4-hour)</w:t>
      </w:r>
    </w:p>
    <w:p>
      <w:pPr>
        <w:pStyle w:val="ListParagraph"/>
        <w:numPr>
          <w:ilvl w:val="0"/>
          <w:numId w:val="1"/>
        </w:numPr>
        <w:spacing w:lineRule="exact" w:line="264" w:before="0" w:after="60"/>
        <w:rPr/>
      </w:pPr>
      <w:r>
        <w:rPr>
          <w:rFonts w:eastAsia="Arial" w:cs="Arial"/>
          <w:sz w:val="21"/>
          <w:szCs w:val="21"/>
        </w:rPr>
        <w:t>Secured Egress / Safety Check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Ohio agencies and resources, guidance on customizing the manual (including the current-rules note and the Assisted Living Waiver), and a residents’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Ohio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Residents’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Pre-Admission Assessment (3701-16-08)</w:t>
      </w:r>
    </w:p>
    <w:p>
      <w:pPr>
        <w:pStyle w:val="ListParagraph"/>
        <w:numPr>
          <w:ilvl w:val="0"/>
          <w:numId w:val="1"/>
        </w:numPr>
        <w:spacing w:lineRule="exact" w:line="264" w:before="0" w:after="60"/>
        <w:rPr/>
      </w:pPr>
      <w:r>
        <w:rPr>
          <w:rFonts w:eastAsia="Arial" w:cs="Arial"/>
          <w:sz w:val="21"/>
          <w:szCs w:val="21"/>
        </w:rPr>
        <w:t>Resident Agreement (3701-16-07)</w:t>
      </w:r>
    </w:p>
    <w:p>
      <w:pPr>
        <w:pStyle w:val="ListParagraph"/>
        <w:numPr>
          <w:ilvl w:val="0"/>
          <w:numId w:val="1"/>
        </w:numPr>
        <w:spacing w:lineRule="exact" w:line="264" w:before="0" w:after="60"/>
        <w:rPr/>
      </w:pPr>
      <w:r>
        <w:rPr>
          <w:rFonts w:eastAsia="Arial" w:cs="Arial"/>
          <w:sz w:val="21"/>
          <w:szCs w:val="21"/>
        </w:rPr>
        <w:t>Risk Agreement (optional)</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 &amp; Change in Health Status Notification</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RCF License</w:t>
      </w:r>
    </w:p>
    <w:p>
      <w:pPr>
        <w:pStyle w:val="ListParagraph"/>
        <w:numPr>
          <w:ilvl w:val="0"/>
          <w:numId w:val="1"/>
        </w:numPr>
        <w:spacing w:lineRule="exact" w:line="264" w:before="0" w:after="60"/>
        <w:rPr/>
      </w:pPr>
      <w:r>
        <w:rPr>
          <w:rFonts w:eastAsia="Arial" w:cs="Arial"/>
          <w:sz w:val="21"/>
          <w:szCs w:val="21"/>
        </w:rPr>
        <w:t>Zoning / Use Confirmation</w:t>
      </w:r>
    </w:p>
    <w:p>
      <w:pPr>
        <w:pStyle w:val="ListParagraph"/>
        <w:numPr>
          <w:ilvl w:val="0"/>
          <w:numId w:val="1"/>
        </w:numPr>
        <w:spacing w:lineRule="exact" w:line="264" w:before="0" w:after="60"/>
        <w:rPr/>
      </w:pPr>
      <w:r>
        <w:rPr>
          <w:rFonts w:eastAsia="Arial" w:cs="Arial"/>
          <w:sz w:val="21"/>
          <w:szCs w:val="21"/>
        </w:rPr>
        <w:t>CHOP / Financial Solvency Documentation</w:t>
      </w:r>
    </w:p>
    <w:p>
      <w:pPr>
        <w:pStyle w:val="ListParagraph"/>
        <w:numPr>
          <w:ilvl w:val="0"/>
          <w:numId w:val="1"/>
        </w:numPr>
        <w:spacing w:lineRule="exact" w:line="264" w:before="0" w:after="60"/>
        <w:rPr/>
      </w:pPr>
      <w:r>
        <w:rPr>
          <w:rFonts w:eastAsia="Arial" w:cs="Arial"/>
          <w:sz w:val="21"/>
          <w:szCs w:val="21"/>
        </w:rPr>
        <w:t>Criminal Records Check (ORC 3721.121)</w:t>
      </w:r>
    </w:p>
    <w:p>
      <w:pPr>
        <w:pStyle w:val="ListParagraph"/>
        <w:numPr>
          <w:ilvl w:val="0"/>
          <w:numId w:val="1"/>
        </w:numPr>
        <w:spacing w:lineRule="exact" w:line="264" w:before="0" w:after="60"/>
        <w:rPr/>
      </w:pPr>
      <w:r>
        <w:rPr>
          <w:rFonts w:eastAsia="Arial" w:cs="Arial"/>
          <w:sz w:val="21"/>
          <w:szCs w:val="21"/>
        </w:rPr>
        <w:t>TB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Initial Training Checklist</w:t>
      </w:r>
    </w:p>
    <w:p>
      <w:pPr>
        <w:pStyle w:val="ListParagraph"/>
        <w:numPr>
          <w:ilvl w:val="0"/>
          <w:numId w:val="1"/>
        </w:numPr>
        <w:spacing w:lineRule="exact" w:line="264" w:before="0" w:after="60"/>
        <w:rPr/>
      </w:pPr>
      <w:r>
        <w:rPr>
          <w:rFonts w:eastAsia="Arial" w:cs="Arial"/>
          <w:sz w:val="21"/>
          <w:szCs w:val="21"/>
        </w:rPr>
        <w:t>Medication Administration Training (14-hour) &amp; Competency</w:t>
      </w:r>
    </w:p>
    <w:p>
      <w:pPr>
        <w:pStyle w:val="ListParagraph"/>
        <w:numPr>
          <w:ilvl w:val="0"/>
          <w:numId w:val="1"/>
        </w:numPr>
        <w:spacing w:lineRule="exact" w:line="264" w:before="0" w:after="60"/>
        <w:rPr/>
      </w:pPr>
      <w:r>
        <w:rPr>
          <w:rFonts w:eastAsia="Arial" w:cs="Arial"/>
          <w:sz w:val="21"/>
          <w:szCs w:val="21"/>
        </w:rPr>
        <w:t>Dementia Training Record (2-hour initial / 4-hour CE)</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Resident Call System Response Log</w:t>
      </w:r>
    </w:p>
    <w:p>
      <w:pPr>
        <w:pStyle w:val="ListParagraph"/>
        <w:numPr>
          <w:ilvl w:val="0"/>
          <w:numId w:val="1"/>
        </w:numPr>
        <w:spacing w:lineRule="exact" w:line="264" w:before="0" w:after="60"/>
        <w:rPr/>
      </w:pPr>
      <w:r>
        <w:rPr>
          <w:rFonts w:eastAsia="Arial" w:cs="Arial"/>
          <w:sz w:val="21"/>
          <w:szCs w:val="21"/>
        </w:rPr>
        <w:t>Health Assessment (3701-16-08)</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Reassessment / Change-of-Condition Record</w:t>
      </w:r>
    </w:p>
    <w:p>
      <w:pPr>
        <w:pStyle w:val="ListParagraph"/>
        <w:numPr>
          <w:ilvl w:val="0"/>
          <w:numId w:val="1"/>
        </w:numPr>
        <w:spacing w:lineRule="exact" w:line="264" w:before="0" w:after="60"/>
        <w:rPr/>
      </w:pPr>
      <w:r>
        <w:rPr>
          <w:rFonts w:eastAsia="Arial" w:cs="Arial"/>
          <w:sz w:val="21"/>
          <w:szCs w:val="21"/>
        </w:rPr>
        <w:t>Special Care Unit Admission Determination</w:t>
      </w:r>
    </w:p>
    <w:p>
      <w:pPr>
        <w:pStyle w:val="ListParagraph"/>
        <w:numPr>
          <w:ilvl w:val="0"/>
          <w:numId w:val="1"/>
        </w:numPr>
        <w:spacing w:lineRule="exact" w:line="264" w:before="0" w:after="60"/>
        <w:rPr/>
      </w:pPr>
      <w:r>
        <w:rPr>
          <w:rFonts w:eastAsia="Arial" w:cs="Arial"/>
          <w:sz w:val="21"/>
          <w:szCs w:val="21"/>
        </w:rPr>
        <w:t>Personal Care / Service Record</w:t>
      </w:r>
    </w:p>
    <w:p>
      <w:pPr>
        <w:pStyle w:val="ListParagraph"/>
        <w:numPr>
          <w:ilvl w:val="0"/>
          <w:numId w:val="1"/>
        </w:numPr>
        <w:spacing w:lineRule="exact" w:line="264" w:before="0" w:after="60"/>
        <w:rPr/>
      </w:pPr>
      <w:r>
        <w:rPr>
          <w:rFonts w:eastAsia="Arial" w:cs="Arial"/>
          <w:sz w:val="21"/>
          <w:szCs w:val="21"/>
        </w:rPr>
        <w:t>Therapeutic Diet Record</w:t>
      </w:r>
    </w:p>
    <w:p>
      <w:pPr>
        <w:pStyle w:val="ListParagraph"/>
        <w:numPr>
          <w:ilvl w:val="0"/>
          <w:numId w:val="1"/>
        </w:numPr>
        <w:spacing w:lineRule="exact" w:line="264" w:before="0" w:after="60"/>
        <w:rPr/>
      </w:pPr>
      <w:r>
        <w:rPr>
          <w:rFonts w:eastAsia="Arial" w:cs="Arial"/>
          <w:sz w:val="21"/>
          <w:szCs w:val="21"/>
        </w:rPr>
        <w:t>Activities Calendar &amp; Participation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Resident Medication Record (MAR)</w:t>
      </w:r>
    </w:p>
    <w:p>
      <w:pPr>
        <w:pStyle w:val="ListParagraph"/>
        <w:numPr>
          <w:ilvl w:val="0"/>
          <w:numId w:val="1"/>
        </w:numPr>
        <w:spacing w:lineRule="exact" w:line="264" w:before="0" w:after="60"/>
        <w:rPr/>
      </w:pPr>
      <w:r>
        <w:rPr>
          <w:rFonts w:eastAsia="Arial" w:cs="Arial"/>
          <w:sz w:val="21"/>
          <w:szCs w:val="21"/>
        </w:rPr>
        <w:t>Assistance with Self-Administration Log</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Carbon Monoxide / Fire System Inspection Log</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Tuberculosis (TB) Control Plan</w:t>
      </w:r>
    </w:p>
    <w:p>
      <w:pPr>
        <w:pStyle w:val="ListParagraph"/>
        <w:numPr>
          <w:ilvl w:val="0"/>
          <w:numId w:val="1"/>
        </w:numPr>
        <w:spacing w:lineRule="exact" w:line="264" w:before="0" w:after="60"/>
        <w:rPr/>
      </w:pPr>
      <w:r>
        <w:rPr>
          <w:rFonts w:eastAsia="Arial" w:cs="Arial"/>
          <w:sz w:val="21"/>
          <w:szCs w:val="21"/>
        </w:rPr>
        <w:t>Water Management Plan &amp; Monitoring Log</w:t>
      </w:r>
    </w:p>
    <w:p>
      <w:pPr>
        <w:pStyle w:val="ListParagraph"/>
        <w:numPr>
          <w:ilvl w:val="0"/>
          <w:numId w:val="1"/>
        </w:numPr>
        <w:spacing w:lineRule="exact" w:line="264" w:before="0" w:after="60"/>
        <w:rPr/>
      </w:pPr>
      <w:r>
        <w:rPr>
          <w:rFonts w:eastAsia="Arial" w:cs="Arial"/>
          <w:sz w:val="21"/>
          <w:szCs w:val="21"/>
        </w:rPr>
        <w:t>Outbreak Response / Line List &amp; Communicable Disease Reporting Record</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Special Care Unit Policy &amp; Disclosure (if operated)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Ohio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Department of Health (ODH), Division of Quality Assurance, Bureau of Long Term Care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3701-16 — Residential Care Facilities (updated eff. 7/12/2024)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Revised Code Chapter 3721 (incl. ORC 3721.011 skilled care limits; 3721.13 Residents’ Bill of Rights)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Criminal records check, ORC 3721.121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Administration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Medication-administration training (14-hour) &amp; competency; Ohio Board of Nursing where applicable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Assisted Living Waiver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Department of Aging (ODA), OAC Chapter 173-39 (Medicaid Assisted Living Waiver — optional certification)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Adult Protective Services (county); law enforcement; ODH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Long-Term Care Ombudsman (1-800-282-1206)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department and Ohio Department of Health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 /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planning/zoning department and fire authority</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Ohio’s Residential Care Facility regulations (OAC Chapter 3701-16) and the Residential Care Facility statute (ORC Chapter 3721),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RESIDENTIAL CARE FACILITY (RCF) — Ohio’s license for what is commonly called assisted living, providing accommodations, supervision, and personal care services (and, within limits, medication administration and part-time intermittent skilled nursing) to adults. It is a single license type; some requirements scale with the licensed capacity and services provided.</w:t>
      </w:r>
    </w:p>
    <w:p>
      <w:pPr>
        <w:pStyle w:val="Normal"/>
        <w:spacing w:lineRule="exact" w:line="276" w:before="0" w:after="120"/>
        <w:rPr/>
      </w:pPr>
      <w:r>
        <w:rPr>
          <w:rFonts w:eastAsia="Arial" w:cs="Arial"/>
          <w:sz w:val="21"/>
          <w:szCs w:val="21"/>
        </w:rPr>
        <w:t>Current rules. Ohio substantially revised the RCF rules effective July 12, 2024 (OAC 3701-16-01 to 3701-16-18), including updates to change-of-operator, water management, infection control, personnel, dietary, and disaster-preparedness requirements. This manual is built to that current framework; confirm the current version before adopting.</w:t>
      </w:r>
    </w:p>
    <w:p>
      <w:pPr>
        <w:pStyle w:val="Normal"/>
        <w:spacing w:lineRule="exact" w:line="276" w:before="0" w:after="120"/>
        <w:rPr/>
      </w:pPr>
      <w:r>
        <w:rPr>
          <w:rFonts w:eastAsia="Arial" w:cs="Arial"/>
          <w:sz w:val="21"/>
          <w:szCs w:val="21"/>
        </w:rPr>
        <w:t>Special care unit / dementia. Where the Facility operates a special care unit for residents with dementia (including a unit that restricts freedom of movement), the Special Care Unit / Dementia Care policy applies the additional requirements; use it only if you operate such a unit.</w:t>
      </w:r>
    </w:p>
    <w:p>
      <w:pPr>
        <w:pStyle w:val="Normal"/>
        <w:spacing w:lineRule="exact" w:line="276" w:before="0" w:after="120"/>
        <w:rPr/>
      </w:pPr>
      <w:r>
        <w:rPr>
          <w:rFonts w:eastAsia="Arial" w:cs="Arial"/>
          <w:sz w:val="21"/>
          <w:szCs w:val="21"/>
        </w:rPr>
        <w:t>Assisted Living Waiver. Participation in the Ohio Department of Aging’s Medicaid Assisted Living Waiver (OAC Chapter 173-39) is an optional payer certification layered on the ODH license; if you participate, maintain the additional waiver documentation. This manual is built to the ODH RCF licensing framework.</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ODH survey; confirm your background checks, medication-administration training, TB and water-management plans; confirm your licensure, zoning, and disaster-preparedness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Residents’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residential care facility under the Ohio Residents’ Bill of Rights (ORC 3721.13) and OAC Chapter 3701-16, including the Facility’s obligations, the procedures for raising a grievance, and the contact information for the Long-Term Care Ombudsman and the Ohio Department of Health.</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Ohio — Residential Care Facility (RCF)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Ohio — Residential Care Facility (RCF)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2026-07-01T13:37:45Z</dcterms:created>
  <dc:creator>PolicyReady.org</dc:creator>
  <dc:description/>
  <dc:language>en-US</dc:language>
  <cp:lastModifiedBy>Un-named</cp:lastModifiedBy>
  <dcterms:modified xsi:type="dcterms:W3CDTF">2026-07-01T13:37:45Z</dcterms:modified>
  <cp:revision>1</cp:revision>
  <dc:subject/>
  <dc:title>Ohio Residential Care Facility (RCF) Policy &amp; Procedure Manual</dc:title>
</cp:coreProperties>
</file>