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SOUTH CAROLINA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Community Residential Care Facility (CRCF)</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[CRCF License Number]</w:t>
      </w:r>
    </w:p>
    <w:p>
      <w:pPr>
        <w:pStyle w:val="Normal"/>
        <w:spacing w:before="1600" w:after="0"/>
        <w:jc w:val="center"/>
        <w:rPr/>
      </w:pPr>
      <w:r>
        <w:rPr>
          <w:rFonts w:eastAsia="Arial" w:cs="Arial"/>
          <w:color w:val="666666"/>
          <w:sz w:val="18"/>
          <w:szCs w:val="18"/>
        </w:rPr>
        <w:t>Aligned to South Carolina DPH Regulation 60-84 — Standards for Licensing</w:t>
      </w:r>
    </w:p>
    <w:p>
      <w:pPr>
        <w:pStyle w:val="Normal"/>
        <w:spacing w:before="60" w:after="0"/>
        <w:jc w:val="center"/>
        <w:rPr/>
      </w:pPr>
      <w:r>
        <w:rPr>
          <w:rFonts w:eastAsia="Arial" w:cs="Arial"/>
          <w:color w:val="666666"/>
          <w:sz w:val="18"/>
          <w:szCs w:val="18"/>
        </w:rPr>
        <w:t>Community Residential Care Facilities — and the Joint Commission ALC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DPH CRCF license. It covers admission, retention, and discharge; residents’ rights under the Long Term Care Bill of Rights; abuse and neglect reporting; resident funds; and licensure, the licensed CRCF administrator, and required staff designations.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Discharge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Administrator &amp; Facility Operations</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S.C. Code § 44-7-10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the South Carolina Department of Public Health Standards for Licensing Community Residential Care Facilities (Regulation 60-84) and S.C. Code § 44-7-10 et seq.</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South Carolina Department of Public Health (DPH) as a Community Residential Care Facility (CRCF). A CRCF offers room and board and provides or coordinates a degree of personal care for a period in excess of 24 consecutive hours for two or more persons 18 years or older who are not related to the licensee within the third degree of consanguinity, and is designed to accommodate residents’ changing needs and preferences and to maximize dignity, autonomy, privacy, independence, and safety. The Facility may be referred to as an assisted living facility. Where the Facility operates an Alzheimer’s Special Care Unit, the ASCU policy applies the additional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can meet, alone or in combination with hospice or home health services, and shall not admit or retain residents whom the regulation specifies may not be served in a CRCF. The Facility shall transfer or discharge a resident whose needs it can no longer meet.</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Before admission, evaluate the prospective resident to determine that the Facility can meet the resident’s needs, obtain an admission physical examination and required health information (including tuberculosis screening), and enter into an admission agreement.</w:t>
      </w:r>
    </w:p>
    <w:p>
      <w:pPr>
        <w:pStyle w:val="Normal"/>
        <w:tabs>
          <w:tab w:val="left" w:pos="720" w:leader="none"/>
        </w:tabs>
        <w:spacing w:lineRule="exact" w:line="264" w:before="0" w:after="80"/>
        <w:ind w:hanging="360" w:start="720"/>
        <w:rPr/>
      </w:pPr>
      <w:r>
        <w:rPr>
          <w:rFonts w:eastAsia="Arial" w:cs="Arial"/>
          <w:sz w:val="21"/>
          <w:szCs w:val="21"/>
        </w:rPr>
        <w:t>b. Do not admit a person whom the regulation specifies should not be admitted or retained in a CRCF (for example, a person who requires care beyond the personal-care scope of a CRCF, such as continuous skilled nursing care), and document the admission determination.</w:t>
      </w:r>
    </w:p>
    <w:p>
      <w:pPr>
        <w:pStyle w:val="Normal"/>
        <w:tabs>
          <w:tab w:val="left" w:pos="720" w:leader="none"/>
        </w:tabs>
        <w:spacing w:lineRule="exact" w:line="264" w:before="0" w:after="80"/>
        <w:ind w:hanging="360" w:start="720"/>
        <w:rPr/>
      </w:pPr>
      <w:r>
        <w:rPr>
          <w:rFonts w:eastAsia="Arial" w:cs="Arial"/>
          <w:sz w:val="21"/>
          <w:szCs w:val="21"/>
        </w:rPr>
        <w:t>c. Provide the resident and responsible party the residents’ rights, the disclosure information the Facility is required to provide, and, where applicable, the Alzheimer’s Special Care Unit disclosure.</w:t>
      </w:r>
    </w:p>
    <w:p>
      <w:pPr>
        <w:pStyle w:val="Normal"/>
        <w:pBdr>
          <w:bottom w:val="single" w:sz="4" w:space="1" w:color="2E5E45"/>
        </w:pBdr>
        <w:spacing w:before="160" w:after="80"/>
        <w:rPr/>
      </w:pPr>
      <w:r>
        <w:rPr>
          <w:rFonts w:eastAsia="Arial" w:cs="Arial"/>
          <w:b/>
          <w:bCs/>
          <w:color w:val="1A4731"/>
          <w:sz w:val="20"/>
          <w:szCs w:val="20"/>
        </w:rPr>
        <w:t>PROCEDURE — RETENTION, TRANSFER &amp; DISCHARGE</w:t>
      </w:r>
    </w:p>
    <w:p>
      <w:pPr>
        <w:pStyle w:val="Normal"/>
        <w:tabs>
          <w:tab w:val="left" w:pos="720" w:leader="none"/>
        </w:tabs>
        <w:spacing w:lineRule="exact" w:line="264" w:before="0" w:after="80"/>
        <w:ind w:hanging="360" w:start="720"/>
        <w:rPr/>
      </w:pPr>
      <w:r>
        <w:rPr>
          <w:rFonts w:eastAsia="Arial" w:cs="Arial"/>
          <w:sz w:val="21"/>
          <w:szCs w:val="21"/>
        </w:rPr>
        <w:t>d. Reassess the resident on a significant change in condition and confirm the Facility can continue to meet the resident’s needs, alone or in combination with services provided by hospice or home health agencies.</w:t>
      </w:r>
    </w:p>
    <w:p>
      <w:pPr>
        <w:pStyle w:val="Normal"/>
        <w:tabs>
          <w:tab w:val="left" w:pos="720" w:leader="none"/>
        </w:tabs>
        <w:spacing w:lineRule="exact" w:line="264" w:before="0" w:after="80"/>
        <w:ind w:hanging="360" w:start="720"/>
        <w:rPr/>
      </w:pPr>
      <w:r>
        <w:rPr>
          <w:rFonts w:eastAsia="Arial" w:cs="Arial"/>
          <w:sz w:val="21"/>
          <w:szCs w:val="21"/>
        </w:rPr>
        <w:t>e. Transfer or discharge a resident whose needs cannot be met by the Facility in combination with hospice or home health services, providing notice and coordinating a safe transfer.</w:t>
      </w:r>
    </w:p>
    <w:p>
      <w:pPr>
        <w:pStyle w:val="Normal"/>
        <w:tabs>
          <w:tab w:val="left" w:pos="720" w:leader="none"/>
        </w:tabs>
        <w:spacing w:lineRule="exact" w:line="264" w:before="0" w:after="80"/>
        <w:ind w:hanging="360" w:start="720"/>
        <w:rPr/>
      </w:pPr>
      <w:r>
        <w:rPr>
          <w:rFonts w:eastAsia="Arial" w:cs="Arial"/>
          <w:sz w:val="21"/>
          <w:szCs w:val="21"/>
        </w:rPr>
        <w:t>f. Document the basis for any transfer or discharge, the notice provided,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Pre-Admission Evaluation</w:t>
      </w:r>
    </w:p>
    <w:p>
      <w:pPr>
        <w:pStyle w:val="ListParagraph"/>
        <w:numPr>
          <w:ilvl w:val="0"/>
          <w:numId w:val="1"/>
        </w:numPr>
        <w:spacing w:lineRule="exact" w:line="264" w:before="0" w:after="60"/>
        <w:rPr/>
      </w:pPr>
      <w:r>
        <w:rPr>
          <w:rFonts w:eastAsia="Arial" w:cs="Arial"/>
          <w:sz w:val="21"/>
          <w:szCs w:val="21"/>
        </w:rPr>
        <w:t>Admission Physical &amp; TB Screening</w:t>
      </w:r>
    </w:p>
    <w:p>
      <w:pPr>
        <w:pStyle w:val="ListParagraph"/>
        <w:numPr>
          <w:ilvl w:val="0"/>
          <w:numId w:val="1"/>
        </w:numPr>
        <w:spacing w:lineRule="exact" w:line="264" w:before="0" w:after="60"/>
        <w:rPr/>
      </w:pPr>
      <w:r>
        <w:rPr>
          <w:rFonts w:eastAsia="Arial" w:cs="Arial"/>
          <w:sz w:val="21"/>
          <w:szCs w:val="21"/>
        </w:rPr>
        <w:t>Admission Agreement</w:t>
      </w:r>
    </w:p>
    <w:p>
      <w:pPr>
        <w:pStyle w:val="ListParagraph"/>
        <w:numPr>
          <w:ilvl w:val="0"/>
          <w:numId w:val="1"/>
        </w:numPr>
        <w:spacing w:lineRule="exact" w:line="264" w:before="0" w:after="60"/>
        <w:rPr/>
      </w:pPr>
      <w:r>
        <w:rPr>
          <w:rFonts w:eastAsia="Arial" w:cs="Arial"/>
          <w:sz w:val="21"/>
          <w:szCs w:val="21"/>
        </w:rPr>
        <w:t>Notice of Transfer / Discharge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Bill of Rights for Residents of Long Term Care Facilities, S.C. Code § 44-81-10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under the South Carolina Bill of Rights for Residents of Long Term Care Facilities and Regulation 60-84,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a written copy of residents’ rights at admission, and post grievance and Long Term Care Ombudsman contact information.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exploitation, and improper physical or chemical restraint, consistent with the Bill of Rights for Residents of Long Term Care Facilities.</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possessions, to manage personal finances or receive an accounting, to communication and visitation, and to participate in decisions about care and services.</w:t>
      </w:r>
    </w:p>
    <w:p>
      <w:pPr>
        <w:pStyle w:val="Normal"/>
        <w:tabs>
          <w:tab w:val="left" w:pos="720" w:leader="none"/>
        </w:tabs>
        <w:spacing w:lineRule="exact" w:line="264" w:before="0" w:after="80"/>
        <w:ind w:hanging="360" w:start="720"/>
        <w:rPr/>
      </w:pPr>
      <w:r>
        <w:rPr>
          <w:rFonts w:eastAsia="Arial" w:cs="Arial"/>
          <w:sz w:val="21"/>
          <w:szCs w:val="21"/>
        </w:rPr>
        <w:t>c. Provide each resident a written copy of residents’ rights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d. Provide residents and responsible parties a method to present grievances, and post the Long Term Care Ombudsman and DPH complaint contact information.</w:t>
      </w:r>
    </w:p>
    <w:p>
      <w:pPr>
        <w:pStyle w:val="Normal"/>
        <w:tabs>
          <w:tab w:val="left" w:pos="720" w:leader="none"/>
        </w:tabs>
        <w:spacing w:lineRule="exact" w:line="264" w:before="0" w:after="80"/>
        <w:ind w:hanging="360" w:start="720"/>
        <w:rPr/>
      </w:pPr>
      <w:r>
        <w:rPr>
          <w:rFonts w:eastAsia="Arial" w:cs="Arial"/>
          <w:sz w:val="21"/>
          <w:szCs w:val="21"/>
        </w:rPr>
        <w:t>e.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f. Do not retaliate against any resident who presents a grievance or contacts the Ombudsman or DPH.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S.C. Omnibus Adult Protection Act, S.C. Code § 43-35-5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South Carolina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and reports and investigates incidents as required by Regulation 60-84 and the South Carolina Omnibus Adult Protection Act.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or exploitation of a vulnerable adult to the appropriate investigative entity (Adult Protective Services, the Vulnerable Adults Investigations Unit, or law enforcement as applicable)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incidents to the Department of Public Health as required by Regulation 60-84, and notify the resident’s physician and responsible party of significant changes and incidents.</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DPH, the Ombudsman,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Protection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responsible party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Administrator &amp; Facility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Administrator &amp; Facility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S.C. Code § 44-7-260 (CRCF administrator license)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DPH license, is led by a licensed CRCF administrator, and designates the staff the regulation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CRCF license issued by the Department of Public Health, post it conspicuously, be administered by a licensed CRCF administrator, designate in writing a staff member to act in the administrator’s absence, and designate a recreational program staff member.</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CRCF license issued by DPH and post it in a conspicuous place in a public area of the Facility; do not admit residents before the effective date of the license, and do not represent the Facility as a CRCF without a license.</w:t>
      </w:r>
    </w:p>
    <w:p>
      <w:pPr>
        <w:pStyle w:val="Normal"/>
        <w:tabs>
          <w:tab w:val="left" w:pos="720" w:leader="none"/>
        </w:tabs>
        <w:spacing w:lineRule="exact" w:line="264" w:before="0" w:after="80"/>
        <w:ind w:hanging="360" w:start="720"/>
        <w:rPr/>
      </w:pPr>
      <w:r>
        <w:rPr>
          <w:rFonts w:eastAsia="Arial" w:cs="Arial"/>
          <w:sz w:val="21"/>
          <w:szCs w:val="21"/>
        </w:rPr>
        <w:t>b. Ensure the administrator is licensed as a CRCF administrator in accordance with S.C. Code § 44-7-260 (by the S.C. Board of Long Term Health Care Administrators), is in charge of all Facility functions and activities, and demonstrates adequate knowledge of Regulation 60-84.</w:t>
      </w:r>
    </w:p>
    <w:p>
      <w:pPr>
        <w:pStyle w:val="Normal"/>
        <w:tabs>
          <w:tab w:val="left" w:pos="720" w:leader="none"/>
        </w:tabs>
        <w:spacing w:lineRule="exact" w:line="264" w:before="0" w:after="80"/>
        <w:ind w:hanging="360" w:start="720"/>
        <w:rPr/>
      </w:pPr>
      <w:r>
        <w:rPr>
          <w:rFonts w:eastAsia="Arial" w:cs="Arial"/>
          <w:sz w:val="21"/>
          <w:szCs w:val="21"/>
        </w:rPr>
        <w:t>c. Designate a staff member in writing to act in the absence of the administrator, maintaining a listing of the lines of authority by position title and the names of the persons filling those positions.</w:t>
      </w:r>
    </w:p>
    <w:p>
      <w:pPr>
        <w:pStyle w:val="Normal"/>
        <w:tabs>
          <w:tab w:val="left" w:pos="720" w:leader="none"/>
        </w:tabs>
        <w:spacing w:lineRule="exact" w:line="264" w:before="0" w:after="80"/>
        <w:ind w:hanging="360" w:start="720"/>
        <w:rPr/>
      </w:pPr>
      <w:r>
        <w:rPr>
          <w:rFonts w:eastAsia="Arial" w:cs="Arial"/>
          <w:sz w:val="21"/>
          <w:szCs w:val="21"/>
        </w:rPr>
        <w:t>d. Designate a recreational program staff member responsible for developing the program and obtaining and maintaining recreational supplies, and, where services are obtained from an outside source, maintain a written agreement describing the services and confirming they are provided by qualified individuals in compliance with the regulation.</w:t>
      </w:r>
    </w:p>
    <w:p>
      <w:pPr>
        <w:pStyle w:val="Normal"/>
        <w:tabs>
          <w:tab w:val="left" w:pos="720" w:leader="none"/>
        </w:tabs>
        <w:spacing w:lineRule="exact" w:line="264" w:before="0" w:after="80"/>
        <w:ind w:hanging="360" w:start="720"/>
        <w:rPr/>
      </w:pPr>
      <w:r>
        <w:rPr>
          <w:rFonts w:eastAsia="Arial" w:cs="Arial"/>
          <w:sz w:val="21"/>
          <w:szCs w:val="21"/>
        </w:rPr>
        <w:t>e. Where a deficiency is cited, submit and implement an acceptable plan of correction, and cooperate with DPH inspections and complaint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CRCF License</w:t>
      </w:r>
    </w:p>
    <w:p>
      <w:pPr>
        <w:pStyle w:val="ListParagraph"/>
        <w:numPr>
          <w:ilvl w:val="0"/>
          <w:numId w:val="1"/>
        </w:numPr>
        <w:spacing w:lineRule="exact" w:line="264" w:before="0" w:after="60"/>
        <w:rPr/>
      </w:pPr>
      <w:r>
        <w:rPr>
          <w:rFonts w:eastAsia="Arial" w:cs="Arial"/>
          <w:sz w:val="21"/>
          <w:szCs w:val="21"/>
        </w:rPr>
        <w:t>Administrator License (Board of LTHCA)</w:t>
      </w:r>
    </w:p>
    <w:p>
      <w:pPr>
        <w:pStyle w:val="ListParagraph"/>
        <w:numPr>
          <w:ilvl w:val="0"/>
          <w:numId w:val="1"/>
        </w:numPr>
        <w:spacing w:lineRule="exact" w:line="264" w:before="0" w:after="60"/>
        <w:rPr/>
      </w:pPr>
      <w:r>
        <w:rPr>
          <w:rFonts w:eastAsia="Arial" w:cs="Arial"/>
          <w:sz w:val="21"/>
          <w:szCs w:val="21"/>
        </w:rPr>
        <w:t>Written Designation of Acting Administrator</w:t>
      </w:r>
    </w:p>
    <w:p>
      <w:pPr>
        <w:pStyle w:val="ListParagraph"/>
        <w:numPr>
          <w:ilvl w:val="0"/>
          <w:numId w:val="1"/>
        </w:numPr>
        <w:spacing w:lineRule="exact" w:line="264" w:before="0" w:after="60"/>
        <w:rPr/>
      </w:pPr>
      <w:r>
        <w:rPr>
          <w:rFonts w:eastAsia="Arial" w:cs="Arial"/>
          <w:sz w:val="21"/>
          <w:szCs w:val="21"/>
        </w:rPr>
        <w:t>Recreational Program Designation</w:t>
      </w:r>
    </w:p>
    <w:p>
      <w:pPr>
        <w:pStyle w:val="ListParagraph"/>
        <w:numPr>
          <w:ilvl w:val="0"/>
          <w:numId w:val="1"/>
        </w:numPr>
        <w:spacing w:lineRule="exact" w:line="264" w:before="0" w:after="60"/>
        <w:rPr/>
      </w:pPr>
      <w:r>
        <w:rPr>
          <w:rFonts w:eastAsia="Arial" w:cs="Arial"/>
          <w:sz w:val="21"/>
          <w:szCs w:val="21"/>
        </w:rPr>
        <w:t>Outside-Source Service Agreements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background checks under § 44-7-2910, the required in-service training topics provided at least annually, and the staffing (including the peak-hours ratio and continuous on-duty coverage) Regulation 60-84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In-Service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Staffing &amp; Coverage</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S.C. Code § 44-7-2910 (criminal record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direct care volunteer, and private sitter is screened and suitable to work with residents through the required criminal background check,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 criminal background check under S.C. Code § 44-7-2910 before employing or contracting any staff member or direct care volunteer, shall not employ an individual with a disqualifying prior conviction,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Before a person is employed or contracted as a staff member or direct care volunteer, obtain a criminal background check pursuant to S.C. Code § 44-7-2910, and apply the same requirement to private sitters as the regulation provides.</w:t>
      </w:r>
    </w:p>
    <w:p>
      <w:pPr>
        <w:pStyle w:val="Normal"/>
        <w:tabs>
          <w:tab w:val="left" w:pos="720" w:leader="none"/>
        </w:tabs>
        <w:spacing w:lineRule="exact" w:line="264" w:before="0" w:after="80"/>
        <w:ind w:hanging="360" w:start="720"/>
        <w:rPr/>
      </w:pPr>
      <w:r>
        <w:rPr>
          <w:rFonts w:eastAsia="Arial" w:cs="Arial"/>
          <w:sz w:val="21"/>
          <w:szCs w:val="21"/>
        </w:rPr>
        <w:t>b. Do not employ or contract any individual who has a disqualifying prior conviction under the criminal-record-check requirements.</w:t>
      </w:r>
    </w:p>
    <w:p>
      <w:pPr>
        <w:pStyle w:val="Normal"/>
        <w:tabs>
          <w:tab w:val="left" w:pos="720" w:leader="none"/>
        </w:tabs>
        <w:spacing w:lineRule="exact" w:line="264" w:before="0" w:after="80"/>
        <w:ind w:hanging="360" w:start="720"/>
        <w:rPr/>
      </w:pPr>
      <w:r>
        <w:rPr>
          <w:rFonts w:eastAsia="Arial" w:cs="Arial"/>
          <w:sz w:val="21"/>
          <w:szCs w:val="21"/>
        </w:rPr>
        <w:t>c. Maintain documentation of each background check in the personnel record.</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including tuberculosis screening (for example, by BAMT/IGRA or as otherwise required), for staff who provide direct care.</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application, job description, qualifications and credentials, background check,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DPH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 44-7-2910)</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In-Service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In-Service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in-service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in-service training on the topics Regulation 60-84 requires, provided at least annually.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orientation to all personnel and shall plan and provide in-service training on a continuous basis, not less than annually, covering the required subjects.</w:t>
      </w:r>
    </w:p>
    <w:p>
      <w:pPr>
        <w:pStyle w:val="Normal"/>
        <w:pBdr>
          <w:bottom w:val="single" w:sz="4" w:space="1" w:color="2E5E45"/>
        </w:pBdr>
        <w:spacing w:before="160" w:after="80"/>
        <w:rPr/>
      </w:pPr>
      <w:r>
        <w:rPr>
          <w:rFonts w:eastAsia="Arial" w:cs="Arial"/>
          <w:b/>
          <w:bCs/>
          <w:color w:val="1A4731"/>
          <w:sz w:val="20"/>
          <w:szCs w:val="20"/>
        </w:rPr>
        <w:t>PROCEDURE — ORIENTATION &amp; IN-SERVICE TOPICS</w:t>
      </w:r>
    </w:p>
    <w:p>
      <w:pPr>
        <w:pStyle w:val="Normal"/>
        <w:tabs>
          <w:tab w:val="left" w:pos="720" w:leader="none"/>
        </w:tabs>
        <w:spacing w:lineRule="exact" w:line="264" w:before="0" w:after="80"/>
        <w:ind w:hanging="360" w:start="720"/>
        <w:rPr/>
      </w:pPr>
      <w:r>
        <w:rPr>
          <w:rFonts w:eastAsia="Arial" w:cs="Arial"/>
          <w:sz w:val="21"/>
          <w:szCs w:val="21"/>
        </w:rPr>
        <w:t>a. Provide basic information on the required topics during orientation, and plan and provide in-service training for all personnel covering at least: basic first aid; procedures for checking and recording vital signs; care of persons with communicable diseases; use of restraints; medication management; care for persons with dementia (if applicable); CPR; confidentiality and residents’ rights; OSHA standards for bloodborne pathogens; and fire response training.</w:t>
      </w:r>
    </w:p>
    <w:p>
      <w:pPr>
        <w:pStyle w:val="Normal"/>
        <w:tabs>
          <w:tab w:val="left" w:pos="720" w:leader="none"/>
        </w:tabs>
        <w:spacing w:lineRule="exact" w:line="264" w:before="0" w:after="80"/>
        <w:ind w:hanging="360" w:start="720"/>
        <w:rPr/>
      </w:pPr>
      <w:r>
        <w:rPr>
          <w:rFonts w:eastAsia="Arial" w:cs="Arial"/>
          <w:sz w:val="21"/>
          <w:szCs w:val="21"/>
        </w:rPr>
        <w:t>b. Provide hazardous-chemical (HazCom) training on the location and use of Safety Data Sheets as part of orientation, consistent with the Hazardous Chemicals policy.</w:t>
      </w:r>
    </w:p>
    <w:p>
      <w:pPr>
        <w:pStyle w:val="Normal"/>
        <w:tabs>
          <w:tab w:val="left" w:pos="720" w:leader="none"/>
        </w:tabs>
        <w:spacing w:lineRule="exact" w:line="264" w:before="0" w:after="80"/>
        <w:ind w:hanging="360" w:start="720"/>
        <w:rPr/>
      </w:pPr>
      <w:r>
        <w:rPr>
          <w:rFonts w:eastAsia="Arial" w:cs="Arial"/>
          <w:sz w:val="21"/>
          <w:szCs w:val="21"/>
        </w:rPr>
        <w:t>c. Provide the in-service training on a continuous basis and not less than annually, and provide enhanced dementia training for staff in an Alzheimer’s Special Care Unit consistent with the ASCU policy.</w:t>
      </w:r>
    </w:p>
    <w:p>
      <w:pPr>
        <w:pStyle w:val="Normal"/>
        <w:pBdr>
          <w:bottom w:val="single" w:sz="4" w:space="1" w:color="2E5E45"/>
        </w:pBdr>
        <w:spacing w:before="160" w:after="80"/>
        <w:rPr/>
      </w:pPr>
      <w:r>
        <w:rPr>
          <w:rFonts w:eastAsia="Arial" w:cs="Arial"/>
          <w:b/>
          <w:bCs/>
          <w:color w:val="1A4731"/>
          <w:sz w:val="20"/>
          <w:szCs w:val="20"/>
        </w:rPr>
        <w:t>PROCEDURE — RECORDS</w:t>
      </w:r>
    </w:p>
    <w:p>
      <w:pPr>
        <w:pStyle w:val="Normal"/>
        <w:tabs>
          <w:tab w:val="left" w:pos="720" w:leader="none"/>
        </w:tabs>
        <w:spacing w:lineRule="exact" w:line="264" w:before="0" w:after="80"/>
        <w:ind w:hanging="360" w:start="720"/>
        <w:rPr/>
      </w:pPr>
      <w:r>
        <w:rPr>
          <w:rFonts w:eastAsia="Arial" w:cs="Arial"/>
          <w:sz w:val="21"/>
          <w:szCs w:val="21"/>
        </w:rPr>
        <w:t>d. Verify competency for direct care tasks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e. Maintain training and competency records, including dates, topics, and attendance,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In-Service Training Plan &amp; Attendance Log</w:t>
      </w:r>
    </w:p>
    <w:p>
      <w:pPr>
        <w:pStyle w:val="ListParagraph"/>
        <w:numPr>
          <w:ilvl w:val="0"/>
          <w:numId w:val="1"/>
        </w:numPr>
        <w:spacing w:lineRule="exact" w:line="264" w:before="0" w:after="60"/>
        <w:rPr/>
      </w:pPr>
      <w:r>
        <w:rPr>
          <w:rFonts w:eastAsia="Arial" w:cs="Arial"/>
          <w:sz w:val="21"/>
          <w:szCs w:val="21"/>
        </w:rPr>
        <w:t>Competency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Staffing &amp; Coverage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Staffing &amp; Coverage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 503 (staffing ratios)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sufficient staff to meet residents’ needs at all times, including the staffing ratios Regulation 60-84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number and qualifications of staff members and volunteers determined by the number and condition of the residents, meet the staffing ratios in Regulation 60-84 § 503, and have a staff member actively on duty and present in the Facility at all times the Facility is occupied by residents.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at least one staff member or volunteer on duty for each eight (8) residents or fraction thereof during peak hours, and maintain the staffing required by Regulation 60-84 § 503 during non-peak hours, adjusting staffing to the number and condition of the residents.</w:t>
      </w:r>
    </w:p>
    <w:p>
      <w:pPr>
        <w:pStyle w:val="Normal"/>
        <w:tabs>
          <w:tab w:val="left" w:pos="720" w:leader="none"/>
        </w:tabs>
        <w:spacing w:lineRule="exact" w:line="264" w:before="0" w:after="80"/>
        <w:ind w:hanging="360" w:start="720"/>
        <w:rPr/>
      </w:pPr>
      <w:r>
        <w:rPr>
          <w:rFonts w:eastAsia="Arial" w:cs="Arial"/>
          <w:sz w:val="21"/>
          <w:szCs w:val="21"/>
        </w:rPr>
        <w:t>b. Ensure a staff member is actively on duty and present in the Facility at all times the Facility is occupied by residents, to whom residents can immediately report injuries, symptoms of illness, or emergencies, and who can recognize and report significant changes in a resident’s physical or mental condition.</w:t>
      </w:r>
    </w:p>
    <w:p>
      <w:pPr>
        <w:pStyle w:val="Normal"/>
        <w:tabs>
          <w:tab w:val="left" w:pos="720" w:leader="none"/>
        </w:tabs>
        <w:spacing w:lineRule="exact" w:line="264" w:before="0" w:after="80"/>
        <w:ind w:hanging="360" w:start="720"/>
        <w:rPr/>
      </w:pPr>
      <w:r>
        <w:rPr>
          <w:rFonts w:eastAsia="Arial" w:cs="Arial"/>
          <w:sz w:val="21"/>
          <w:szCs w:val="21"/>
        </w:rPr>
        <w:t>c. Where the Facility operates an Alzheimer’s Special Care Unit, staff it consistent with the ASCU policy and the applicable ratios, and maintain a written staffing plan and schedule reflecting the coverage pattern.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Daily Staffing / Coverage Record</w:t>
      </w:r>
    </w:p>
    <w:p>
      <w:pPr>
        <w:pStyle w:val="ListParagraph"/>
        <w:numPr>
          <w:ilvl w:val="0"/>
          <w:numId w:val="1"/>
        </w:numPr>
        <w:spacing w:lineRule="exact" w:line="264" w:before="0" w:after="60"/>
        <w:rPr/>
      </w:pPr>
      <w:r>
        <w:rPr>
          <w:rFonts w:eastAsia="Arial" w:cs="Arial"/>
          <w:sz w:val="21"/>
          <w:szCs w:val="21"/>
        </w:rPr>
        <w:t>On-Duty Staff Assignment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resident assessment and individual care plan, personal care and activities of daily living with a recreational program,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Assessment &amp; Individual Care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Personal Care, Activities of Daily Living &amp; Recreation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Assessment &amp; Individual Care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Assessment &amp; Individual Care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resident’s needs are assessed and addressed through a current individual care plan, consistent with Regulation 60-84.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each resident’s needs at admission and on a change in condition, develop and maintain an individual care plan describing the personal care and services the Facility will provide, and coordinate any hospice or home health services the resident receives.</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Assess each resident at admission, based on the admission physical examination and current medical, functional, and social information, to identify the resident’s needs and confirm the Facility can meet them.</w:t>
      </w:r>
    </w:p>
    <w:p>
      <w:pPr>
        <w:pStyle w:val="Normal"/>
        <w:tabs>
          <w:tab w:val="left" w:pos="720" w:leader="none"/>
        </w:tabs>
        <w:spacing w:lineRule="exact" w:line="264" w:before="0" w:after="80"/>
        <w:ind w:hanging="360" w:start="720"/>
        <w:rPr/>
      </w:pPr>
      <w:r>
        <w:rPr>
          <w:rFonts w:eastAsia="Arial" w:cs="Arial"/>
          <w:sz w:val="21"/>
          <w:szCs w:val="21"/>
        </w:rPr>
        <w:t>b. Reassess on a significant change in condition, and confirm the resident’s needs remain within what the Facility can provide, alone or in combination with hospice or home health services.</w:t>
      </w:r>
    </w:p>
    <w:p>
      <w:pPr>
        <w:pStyle w:val="Normal"/>
        <w:tabs>
          <w:tab w:val="left" w:pos="720" w:leader="none"/>
        </w:tabs>
        <w:spacing w:lineRule="exact" w:line="264" w:before="0" w:after="80"/>
        <w:ind w:hanging="360" w:start="720"/>
        <w:rPr/>
      </w:pPr>
      <w:r>
        <w:rPr>
          <w:rFonts w:eastAsia="Arial" w:cs="Arial"/>
          <w:sz w:val="21"/>
          <w:szCs w:val="21"/>
        </w:rPr>
        <w:t>c. Where a resident’s needs exceed what the Facility can meet, initiate transfer or discharge planning consistent with the Admission, Retention &amp; Discharge policy.</w:t>
      </w:r>
    </w:p>
    <w:p>
      <w:pPr>
        <w:pStyle w:val="Normal"/>
        <w:pBdr>
          <w:bottom w:val="single" w:sz="4" w:space="1" w:color="2E5E45"/>
        </w:pBdr>
        <w:spacing w:before="160" w:after="80"/>
        <w:rPr/>
      </w:pPr>
      <w:r>
        <w:rPr>
          <w:rFonts w:eastAsia="Arial" w:cs="Arial"/>
          <w:b/>
          <w:bCs/>
          <w:color w:val="1A4731"/>
          <w:sz w:val="20"/>
          <w:szCs w:val="20"/>
        </w:rPr>
        <w:t>PROCEDURE — INDIVIDUAL CARE PLAN</w:t>
      </w:r>
    </w:p>
    <w:p>
      <w:pPr>
        <w:pStyle w:val="Normal"/>
        <w:tabs>
          <w:tab w:val="left" w:pos="720" w:leader="none"/>
        </w:tabs>
        <w:spacing w:lineRule="exact" w:line="264" w:before="0" w:after="80"/>
        <w:ind w:hanging="360" w:start="720"/>
        <w:rPr/>
      </w:pPr>
      <w:r>
        <w:rPr>
          <w:rFonts w:eastAsia="Arial" w:cs="Arial"/>
          <w:sz w:val="21"/>
          <w:szCs w:val="21"/>
        </w:rPr>
        <w:t>d. Develop an individual care plan describing the personal care and services the Facility will provide, including assistance with activities of daily living, supervision, medication assistance or administration, and recreational participation.</w:t>
      </w:r>
    </w:p>
    <w:p>
      <w:pPr>
        <w:pStyle w:val="Normal"/>
        <w:tabs>
          <w:tab w:val="left" w:pos="720" w:leader="none"/>
        </w:tabs>
        <w:spacing w:lineRule="exact" w:line="264" w:before="0" w:after="80"/>
        <w:ind w:hanging="360" w:start="720"/>
        <w:rPr/>
      </w:pPr>
      <w:r>
        <w:rPr>
          <w:rFonts w:eastAsia="Arial" w:cs="Arial"/>
          <w:sz w:val="21"/>
          <w:szCs w:val="21"/>
        </w:rPr>
        <w:t>e. Coordinate any services provided by hospice or home health agencies through written agreement, and document how and when those services are provided.</w:t>
      </w:r>
    </w:p>
    <w:p>
      <w:pPr>
        <w:pStyle w:val="Normal"/>
        <w:tabs>
          <w:tab w:val="left" w:pos="720" w:leader="none"/>
        </w:tabs>
        <w:spacing w:lineRule="exact" w:line="264" w:before="0" w:after="80"/>
        <w:ind w:hanging="360" w:start="720"/>
        <w:rPr/>
      </w:pPr>
      <w:r>
        <w:rPr>
          <w:rFonts w:eastAsia="Arial" w:cs="Arial"/>
          <w:sz w:val="21"/>
          <w:szCs w:val="21"/>
        </w:rPr>
        <w:t>f. Review and update the care plan on change of condition, and document the services provided.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Individual Care Plan</w:t>
      </w:r>
    </w:p>
    <w:p>
      <w:pPr>
        <w:pStyle w:val="ListParagraph"/>
        <w:numPr>
          <w:ilvl w:val="0"/>
          <w:numId w:val="1"/>
        </w:numPr>
        <w:spacing w:lineRule="exact" w:line="264" w:before="0" w:after="60"/>
        <w:rPr/>
      </w:pPr>
      <w:r>
        <w:rPr>
          <w:rFonts w:eastAsia="Arial" w:cs="Arial"/>
          <w:sz w:val="21"/>
          <w:szCs w:val="21"/>
        </w:rPr>
        <w:t>Hospice / Home Health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Personal Care, Activities of Daily Living &amp; Recreation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Personal Care, Activities of Daily Living &amp; Recreation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personal care, supervision, and a recreational program according to each resident’s care plan, while supporting dignity, autonomy,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or coordinate personal care and assistance with activities of daily living, supervision appropriate to residents’ needs, and a recreational program, together with room, board, and laundry services.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or coordinate assistance with activities of daily living — such as mobility, bathing, dressing, grooming, personal hygiene, and eating — as identified in the care plan, maximizing residents’ dignity, autonomy, privacy, and independence.</w:t>
      </w:r>
    </w:p>
    <w:p>
      <w:pPr>
        <w:pStyle w:val="Normal"/>
        <w:tabs>
          <w:tab w:val="left" w:pos="720" w:leader="none"/>
        </w:tabs>
        <w:spacing w:lineRule="exact" w:line="264" w:before="0" w:after="80"/>
        <w:ind w:hanging="360" w:start="720"/>
        <w:rPr/>
      </w:pPr>
      <w:r>
        <w:rPr>
          <w:rFonts w:eastAsia="Arial" w:cs="Arial"/>
          <w:sz w:val="21"/>
          <w:szCs w:val="21"/>
        </w:rPr>
        <w:t>b. Provide supervision appropriate to residents’ needs, maintaining awareness of residents’ status and the ability to recognize and respond to changes and emergencies.</w:t>
      </w:r>
    </w:p>
    <w:p>
      <w:pPr>
        <w:pStyle w:val="Normal"/>
        <w:tabs>
          <w:tab w:val="left" w:pos="720" w:leader="none"/>
        </w:tabs>
        <w:spacing w:lineRule="exact" w:line="264" w:before="0" w:after="80"/>
        <w:ind w:hanging="360" w:start="720"/>
        <w:rPr/>
      </w:pPr>
      <w:r>
        <w:rPr>
          <w:rFonts w:eastAsia="Arial" w:cs="Arial"/>
          <w:sz w:val="21"/>
          <w:szCs w:val="21"/>
        </w:rPr>
        <w:t>c. Provide a recreational program under the designated recreational program staff member, with activities appropriate to residents’ interests and abilities.</w:t>
      </w:r>
    </w:p>
    <w:p>
      <w:pPr>
        <w:pStyle w:val="Normal"/>
        <w:tabs>
          <w:tab w:val="left" w:pos="720" w:leader="none"/>
        </w:tabs>
        <w:spacing w:lineRule="exact" w:line="264" w:before="0" w:after="80"/>
        <w:ind w:hanging="360" w:start="720"/>
        <w:rPr/>
      </w:pPr>
      <w:r>
        <w:rPr>
          <w:rFonts w:eastAsia="Arial" w:cs="Arial"/>
          <w:sz w:val="21"/>
          <w:szCs w:val="21"/>
        </w:rPr>
        <w:t>d. Report changes in a resident’s condition to the resident’s physician or authorized healthcare provider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 Personal Care Record</w:t>
      </w:r>
    </w:p>
    <w:p>
      <w:pPr>
        <w:pStyle w:val="ListParagraph"/>
        <w:numPr>
          <w:ilvl w:val="0"/>
          <w:numId w:val="1"/>
        </w:numPr>
        <w:spacing w:lineRule="exact" w:line="264" w:before="0" w:after="60"/>
        <w:rPr/>
      </w:pPr>
      <w:r>
        <w:rPr>
          <w:rFonts w:eastAsia="Arial" w:cs="Arial"/>
          <w:sz w:val="21"/>
          <w:szCs w:val="21"/>
        </w:rPr>
        <w:t>Recreational Activity Calendar</w:t>
      </w:r>
    </w:p>
    <w:p>
      <w:pPr>
        <w:pStyle w:val="ListParagraph"/>
        <w:numPr>
          <w:ilvl w:val="0"/>
          <w:numId w:val="1"/>
        </w:numPr>
        <w:spacing w:lineRule="exact" w:line="264" w:before="0" w:after="60"/>
        <w:rPr/>
      </w:pPr>
      <w:r>
        <w:rPr>
          <w:rFonts w:eastAsia="Arial" w:cs="Arial"/>
          <w:sz w:val="21"/>
          <w:szCs w:val="21"/>
        </w:rPr>
        <w:t>Change-of-Condition Notification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care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at admission and on change of condition and address identified risk in the care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resident’s physician or authorized healthcare provider and responsible party, and review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Regulation 60-84 — administration on physician or authorized-provider orders by trained staff acting in a surrogate family role (with the specific limits on injections), the conditions for resident self-administration, and the ordering, storage, and disposal of medications.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Administration &amp; Self-Administration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Orders, Storage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Administration &amp; Self-Administration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Administration &amp; Self-Administration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administering medication/treatments)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and treatments are administered safely and only on proper orders, that staff who administer are trained, and that self-administration, where permitted, meets the regulation’s conditions.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Medications and treatments, including oxygen, shall be administered to residents only upon the orders of a physician or other authorized healthcare provider. Facility staff members may administer routine medications, acting in a surrogate family role, provided they have been trained by individuals licensed to administer medications. The Facility may permit or elect not to permit self-administration; where permitted, it shall meet the regulation’s conditions.</w:t>
      </w:r>
    </w:p>
    <w:p>
      <w:pPr>
        <w:pStyle w:val="Normal"/>
        <w:pBdr>
          <w:bottom w:val="single" w:sz="4" w:space="1" w:color="2E5E45"/>
        </w:pBdr>
        <w:spacing w:before="160" w:after="80"/>
        <w:rPr/>
      </w:pPr>
      <w:r>
        <w:rPr>
          <w:rFonts w:eastAsia="Arial" w:cs="Arial"/>
          <w:b/>
          <w:bCs/>
          <w:color w:val="1A4731"/>
          <w:sz w:val="20"/>
          <w:szCs w:val="20"/>
        </w:rPr>
        <w:t>PROCEDURE — ADMINISTRATION</w:t>
      </w:r>
    </w:p>
    <w:p>
      <w:pPr>
        <w:pStyle w:val="Normal"/>
        <w:tabs>
          <w:tab w:val="left" w:pos="720" w:leader="none"/>
        </w:tabs>
        <w:spacing w:lineRule="exact" w:line="264" w:before="0" w:after="80"/>
        <w:ind w:hanging="360" w:start="720"/>
        <w:rPr/>
      </w:pPr>
      <w:r>
        <w:rPr>
          <w:rFonts w:eastAsia="Arial" w:cs="Arial"/>
          <w:sz w:val="21"/>
          <w:szCs w:val="21"/>
        </w:rPr>
        <w:t>a. Administer medications and treatments only on the orders (including standing orders) of a physician or other authorized healthcare provider; ensure staff who administer routine medications have been trained to perform the task properly by individuals licensed to administer medications.</w:t>
      </w:r>
    </w:p>
    <w:p>
      <w:pPr>
        <w:pStyle w:val="Normal"/>
        <w:tabs>
          <w:tab w:val="left" w:pos="720" w:leader="none"/>
        </w:tabs>
        <w:spacing w:lineRule="exact" w:line="264" w:before="0" w:after="80"/>
        <w:ind w:hanging="360" w:start="720"/>
        <w:rPr/>
      </w:pPr>
      <w:r>
        <w:rPr>
          <w:rFonts w:eastAsia="Arial" w:cs="Arial"/>
          <w:sz w:val="21"/>
          <w:szCs w:val="21"/>
        </w:rPr>
        <w:t>b. Limit staff-administered injections to those permitted — injections for diabetes and conditions associated with anaphylactic reactions under established medical protocol; a staff licensed nurse may administer influenza and vitamin B-12 injections and perform tuberculin skin tests; do not provide sliding-scale insulin injections by facility staff members; monitor blood sugar only where staff are trained and the Facility holds a CLIA Certificate of Waiver.</w:t>
      </w:r>
    </w:p>
    <w:p>
      <w:pPr>
        <w:pStyle w:val="Normal"/>
        <w:tabs>
          <w:tab w:val="left" w:pos="720" w:leader="none"/>
        </w:tabs>
        <w:spacing w:lineRule="exact" w:line="264" w:before="0" w:after="80"/>
        <w:ind w:hanging="360" w:start="720"/>
        <w:rPr/>
      </w:pPr>
      <w:r>
        <w:rPr>
          <w:rFonts w:eastAsia="Arial" w:cs="Arial"/>
          <w:sz w:val="21"/>
          <w:szCs w:val="21"/>
        </w:rPr>
        <w:t>c. Ensure doses are administered by the same staff member who prepared them, with preparation no earlier than one hour prior to administration and no preparation of doses for more than one scheduled administration.</w:t>
      </w:r>
    </w:p>
    <w:p>
      <w:pPr>
        <w:pStyle w:val="Normal"/>
        <w:tabs>
          <w:tab w:val="left" w:pos="720" w:leader="none"/>
        </w:tabs>
        <w:spacing w:lineRule="exact" w:line="264" w:before="0" w:after="80"/>
        <w:ind w:hanging="360" w:start="720"/>
        <w:rPr/>
      </w:pPr>
      <w:r>
        <w:rPr>
          <w:rFonts w:eastAsia="Arial" w:cs="Arial"/>
          <w:sz w:val="21"/>
          <w:szCs w:val="21"/>
        </w:rPr>
        <w:t>d. Record each dose on the medication administration record (MAR) — medication name, dosage, mode of administration, date, time, and the signature of the individual administering or supervising — and conduct a documented MAR review between outgoing and incoming staff at each shift change.</w:t>
      </w:r>
    </w:p>
    <w:p>
      <w:pPr>
        <w:pStyle w:val="Normal"/>
        <w:pBdr>
          <w:bottom w:val="single" w:sz="4" w:space="1" w:color="2E5E45"/>
        </w:pBdr>
        <w:spacing w:before="160" w:after="80"/>
        <w:rPr/>
      </w:pPr>
      <w:r>
        <w:rPr>
          <w:rFonts w:eastAsia="Arial" w:cs="Arial"/>
          <w:b/>
          <w:bCs/>
          <w:color w:val="1A4731"/>
          <w:sz w:val="20"/>
          <w:szCs w:val="20"/>
        </w:rPr>
        <w:t>PROCEDURE — SELF-ADMINISTRATION</w:t>
      </w:r>
    </w:p>
    <w:p>
      <w:pPr>
        <w:pStyle w:val="Normal"/>
        <w:tabs>
          <w:tab w:val="left" w:pos="720" w:leader="none"/>
        </w:tabs>
        <w:spacing w:lineRule="exact" w:line="264" w:before="0" w:after="80"/>
        <w:ind w:hanging="360" w:start="720"/>
        <w:rPr/>
      </w:pPr>
      <w:r>
        <w:rPr>
          <w:rFonts w:eastAsia="Arial" w:cs="Arial"/>
          <w:sz w:val="21"/>
          <w:szCs w:val="21"/>
        </w:rPr>
        <w:t>e. Permit self-administration only where either specific written orders of the physician or other authorized healthcare provider are obtained on a semi-annual basis, or the Facility ascertains and documents, at least quarterly, by resident demonstration to staff, that the resident remains capable of self-administering medications.</w:t>
      </w:r>
    </w:p>
    <w:p>
      <w:pPr>
        <w:pStyle w:val="Normal"/>
        <w:tabs>
          <w:tab w:val="left" w:pos="720" w:leader="none"/>
        </w:tabs>
        <w:spacing w:lineRule="exact" w:line="264" w:before="0" w:after="80"/>
        <w:ind w:hanging="360" w:start="720"/>
        <w:rPr/>
      </w:pPr>
      <w:r>
        <w:rPr>
          <w:rFonts w:eastAsia="Arial" w:cs="Arial"/>
          <w:sz w:val="21"/>
          <w:szCs w:val="21"/>
        </w:rPr>
        <w:t>f. Where the Facility elects not to permit self-administration, administer medications consistent with this policy.</w:t>
      </w:r>
    </w:p>
    <w:p>
      <w:pPr>
        <w:pStyle w:val="Normal"/>
        <w:tabs>
          <w:tab w:val="left" w:pos="720" w:leader="none"/>
        </w:tabs>
        <w:spacing w:lineRule="exact" w:line="264" w:before="0" w:after="80"/>
        <w:ind w:hanging="360" w:start="720"/>
        <w:rPr/>
      </w:pPr>
      <w:r>
        <w:rPr>
          <w:rFonts w:eastAsia="Arial" w:cs="Arial"/>
          <w:sz w:val="21"/>
          <w:szCs w:val="21"/>
        </w:rPr>
        <w:t>g. When a resident who is unable to self-administer leaves the Facility for an extended period, provide the proper amount of medication with dosage, mode, date, and time to the responsible person in charge of the resident, document the details in the MAR, and use a properly labeled vial or bottle where medication is transferred.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Physician / Provider Medication &amp; Treatment Orders</w:t>
      </w:r>
    </w:p>
    <w:p>
      <w:pPr>
        <w:pStyle w:val="ListParagraph"/>
        <w:numPr>
          <w:ilvl w:val="0"/>
          <w:numId w:val="1"/>
        </w:numPr>
        <w:spacing w:lineRule="exact" w:line="264" w:before="0" w:after="60"/>
        <w:rPr/>
      </w:pPr>
      <w:r>
        <w:rPr>
          <w:rFonts w:eastAsia="Arial" w:cs="Arial"/>
          <w:sz w:val="21"/>
          <w:szCs w:val="21"/>
        </w:rPr>
        <w:t>Self-Administration Assessment &amp; Documentation</w:t>
      </w:r>
    </w:p>
    <w:p>
      <w:pPr>
        <w:pStyle w:val="ListParagraph"/>
        <w:numPr>
          <w:ilvl w:val="0"/>
          <w:numId w:val="1"/>
        </w:numPr>
        <w:spacing w:lineRule="exact" w:line="264" w:before="0" w:after="60"/>
        <w:rPr/>
      </w:pPr>
      <w:r>
        <w:rPr>
          <w:rFonts w:eastAsia="Arial" w:cs="Arial"/>
          <w:sz w:val="21"/>
          <w:szCs w:val="21"/>
        </w:rPr>
        <w:t>Shift-Change MAR Review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Orders, Storage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Orders, Storage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properly ordered, secured, stored, and disposed of, consistent with Regulation 60-84 and applicable controlled-substance laws.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manage medications, medical supplies, and biologicals in accordance with local, state, and Federal laws — securing, storing, administering, and disposing of them properly — and shall obtain and document proper orders.</w:t>
      </w:r>
    </w:p>
    <w:p>
      <w:pPr>
        <w:pStyle w:val="Normal"/>
        <w:pBdr>
          <w:bottom w:val="single" w:sz="4" w:space="1" w:color="2E5E45"/>
        </w:pBdr>
        <w:spacing w:before="160" w:after="80"/>
        <w:rPr/>
      </w:pPr>
      <w:r>
        <w:rPr>
          <w:rFonts w:eastAsia="Arial" w:cs="Arial"/>
          <w:b/>
          <w:bCs/>
          <w:color w:val="1A4731"/>
          <w:sz w:val="20"/>
          <w:szCs w:val="20"/>
        </w:rPr>
        <w:t>PROCEDURE — ORDERS</w:t>
      </w:r>
    </w:p>
    <w:p>
      <w:pPr>
        <w:pStyle w:val="Normal"/>
        <w:tabs>
          <w:tab w:val="left" w:pos="720" w:leader="none"/>
        </w:tabs>
        <w:spacing w:lineRule="exact" w:line="264" w:before="0" w:after="80"/>
        <w:ind w:hanging="360" w:start="720"/>
        <w:rPr/>
      </w:pPr>
      <w:r>
        <w:rPr>
          <w:rFonts w:eastAsia="Arial" w:cs="Arial"/>
          <w:sz w:val="21"/>
          <w:szCs w:val="21"/>
        </w:rPr>
        <w:t>a. Receive orders (including verbal orders) only through staff members authorized by the Facility, and ensure each order is signed and dated by a physician or other authorized healthcare provider no later than three (3) business days after the order is given.</w:t>
      </w:r>
    </w:p>
    <w:p>
      <w:pPr>
        <w:pStyle w:val="Normal"/>
        <w:tabs>
          <w:tab w:val="left" w:pos="720" w:leader="none"/>
        </w:tabs>
        <w:spacing w:lineRule="exact" w:line="264" w:before="0" w:after="80"/>
        <w:ind w:hanging="360" w:start="720"/>
        <w:rPr/>
      </w:pPr>
      <w:r>
        <w:rPr>
          <w:rFonts w:eastAsia="Arial" w:cs="Arial"/>
          <w:sz w:val="21"/>
          <w:szCs w:val="21"/>
        </w:rPr>
        <w:t>b. Administer medications a resident brings at admission only where the medication is in the original labeled container and the order is subsequently obtained as part of the admission physical examination; where the medication or the resident’s condition raises concerns, consult a physician or other authorized healthcare provider before administering.</w:t>
      </w:r>
    </w:p>
    <w:p>
      <w:pPr>
        <w:pStyle w:val="Normal"/>
        <w:tabs>
          <w:tab w:val="left" w:pos="720" w:leader="none"/>
        </w:tabs>
        <w:spacing w:lineRule="exact" w:line="264" w:before="0" w:after="80"/>
        <w:ind w:hanging="360" w:start="720"/>
        <w:rPr/>
      </w:pPr>
      <w:r>
        <w:rPr>
          <w:rFonts w:eastAsia="Arial" w:cs="Arial"/>
          <w:sz w:val="21"/>
          <w:szCs w:val="21"/>
        </w:rPr>
        <w:t>c. Keep current medication reference materials (published within the previous three years) available to staff, and do not provide or administer medication ordered for one resident to any other resident.</w:t>
      </w:r>
    </w:p>
    <w:p>
      <w:pPr>
        <w:pStyle w:val="Normal"/>
        <w:pBdr>
          <w:bottom w:val="single" w:sz="4" w:space="1" w:color="2E5E45"/>
        </w:pBdr>
        <w:spacing w:before="160" w:after="80"/>
        <w:rPr/>
      </w:pPr>
      <w:r>
        <w:rPr>
          <w:rFonts w:eastAsia="Arial" w:cs="Arial"/>
          <w:b/>
          <w:bCs/>
          <w:color w:val="1A4731"/>
          <w:sz w:val="20"/>
          <w:szCs w:val="20"/>
        </w:rPr>
        <w:t>PROCEDURE — STORAGE &amp; DISPOSAL</w:t>
      </w:r>
    </w:p>
    <w:p>
      <w:pPr>
        <w:pStyle w:val="Normal"/>
        <w:tabs>
          <w:tab w:val="left" w:pos="720" w:leader="none"/>
        </w:tabs>
        <w:spacing w:lineRule="exact" w:line="264" w:before="0" w:after="80"/>
        <w:ind w:hanging="360" w:start="720"/>
        <w:rPr/>
      </w:pPr>
      <w:r>
        <w:rPr>
          <w:rFonts w:eastAsia="Arial" w:cs="Arial"/>
          <w:sz w:val="21"/>
          <w:szCs w:val="21"/>
        </w:rPr>
        <w:t>d. Secure and store medications, including controlled substances, in accordance with applicable laws, separating medications discontinued by order from current medications and storing discontinued medications for no more than thirty (30) days.</w:t>
      </w:r>
    </w:p>
    <w:p>
      <w:pPr>
        <w:pStyle w:val="Normal"/>
        <w:tabs>
          <w:tab w:val="left" w:pos="720" w:leader="none"/>
        </w:tabs>
        <w:spacing w:lineRule="exact" w:line="264" w:before="0" w:after="80"/>
        <w:ind w:hanging="360" w:start="720"/>
        <w:rPr/>
      </w:pPr>
      <w:r>
        <w:rPr>
          <w:rFonts w:eastAsia="Arial" w:cs="Arial"/>
          <w:sz w:val="21"/>
          <w:szCs w:val="21"/>
        </w:rPr>
        <w:t>e. Witness the destruction of medications by the administrator or designee, indicate the mode of destruction, document the steps, and retain destruction records for two (2) years; accomplish destruction of controlled substances only by the administrator or designee, witnessed by the administrator or designee and a staff member trained by individuals licensed to administer medications.</w:t>
      </w:r>
    </w:p>
    <w:p>
      <w:pPr>
        <w:pStyle w:val="Normal"/>
        <w:tabs>
          <w:tab w:val="left" w:pos="720" w:leader="none"/>
        </w:tabs>
        <w:spacing w:lineRule="exact" w:line="264" w:before="0" w:after="80"/>
        <w:ind w:hanging="360" w:start="720"/>
        <w:rPr/>
      </w:pPr>
      <w:r>
        <w:rPr>
          <w:rFonts w:eastAsia="Arial" w:cs="Arial"/>
          <w:sz w:val="21"/>
          <w:szCs w:val="21"/>
        </w:rPr>
        <w:t>f. Address disposition of medications at discharge, death, or transfer, returning unused portions to the dispensing pharmacy where permitted.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 Treatment Order Record</w:t>
      </w:r>
    </w:p>
    <w:p>
      <w:pPr>
        <w:pStyle w:val="ListParagraph"/>
        <w:numPr>
          <w:ilvl w:val="0"/>
          <w:numId w:val="1"/>
        </w:numPr>
        <w:spacing w:lineRule="exact" w:line="264" w:before="0" w:after="60"/>
        <w:rPr/>
      </w:pPr>
      <w:r>
        <w:rPr>
          <w:rFonts w:eastAsia="Arial" w:cs="Arial"/>
          <w:sz w:val="21"/>
          <w:szCs w:val="21"/>
        </w:rPr>
        <w:t>Controlled Substance Log</w:t>
      </w:r>
    </w:p>
    <w:p>
      <w:pPr>
        <w:pStyle w:val="ListParagraph"/>
        <w:numPr>
          <w:ilvl w:val="0"/>
          <w:numId w:val="1"/>
        </w:numPr>
        <w:spacing w:lineRule="exact" w:line="264" w:before="0" w:after="60"/>
        <w:rPr/>
      </w:pPr>
      <w:r>
        <w:rPr>
          <w:rFonts w:eastAsia="Arial" w:cs="Arial"/>
          <w:sz w:val="21"/>
          <w:szCs w:val="21"/>
        </w:rPr>
        <w:t>Medication Destruction Record (retain 2 yrs)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disaster response, infection prevention and control with TB screening (including COVID-19), hazardous-chemical safety, and the physical environment and dietary services (three meals and snacks daily) required for a CRCF.</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Disaster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Disaster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Disaster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Regulation 60-84.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disaster plan, maintain fire-safety systems, train staff, conduct drills, and coordinate with local emergency services, accounting for residents’ evacuation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disaster plan addressing fire, severe weather (including hurricane and related evacuation), utility failure, evacuation and relocation, and continuity of resident care.</w:t>
      </w:r>
    </w:p>
    <w:p>
      <w:pPr>
        <w:pStyle w:val="Normal"/>
        <w:tabs>
          <w:tab w:val="left" w:pos="720" w:leader="none"/>
        </w:tabs>
        <w:spacing w:lineRule="exact" w:line="264" w:before="0" w:after="80"/>
        <w:ind w:hanging="360" w:start="720"/>
        <w:rPr/>
      </w:pPr>
      <w:r>
        <w:rPr>
          <w:rFonts w:eastAsia="Arial" w:cs="Arial"/>
          <w:sz w:val="21"/>
          <w:szCs w:val="21"/>
        </w:rPr>
        <w:t>b. Maintain fire-safety systems and equipment, and ensure a staff member capable of responding to an emergency is on duty and present at all times the Facility is occupied.</w:t>
      </w:r>
    </w:p>
    <w:p>
      <w:pPr>
        <w:pStyle w:val="Normal"/>
        <w:tabs>
          <w:tab w:val="left" w:pos="720" w:leader="none"/>
        </w:tabs>
        <w:spacing w:lineRule="exact" w:line="264" w:before="0" w:after="80"/>
        <w:ind w:hanging="360" w:start="720"/>
        <w:rPr/>
      </w:pPr>
      <w:r>
        <w:rPr>
          <w:rFonts w:eastAsia="Arial" w:cs="Arial"/>
          <w:sz w:val="21"/>
          <w:szCs w:val="21"/>
        </w:rPr>
        <w:t>c. Assess each resident’s evacuation needs and address them in planning, providing for residents who need assistance to evacuate.</w:t>
      </w:r>
    </w:p>
    <w:p>
      <w:pPr>
        <w:pStyle w:val="Normal"/>
        <w:tabs>
          <w:tab w:val="left" w:pos="720" w:leader="none"/>
        </w:tabs>
        <w:spacing w:lineRule="exact" w:line="264" w:before="0" w:after="80"/>
        <w:ind w:hanging="360" w:start="720"/>
        <w:rPr/>
      </w:pPr>
      <w:r>
        <w:rPr>
          <w:rFonts w:eastAsia="Arial" w:cs="Arial"/>
          <w:sz w:val="21"/>
          <w:szCs w:val="21"/>
        </w:rPr>
        <w:t>d. Conduct and document fire and disaster drills on the schedule required by rule,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CDC guidance; TB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tuberculosis, and other communicable diseases — among residents, staff, and visitors through standard precautions, surveillance, and outbreak response.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CDC guidelines, including standard precautions, tuberculosis screening, staff training, surveillance, and an outbreak-response protocol for communicable diseases including COVID-19.</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 consistent with OSHA bloodborne pathogen standards.</w:t>
      </w:r>
    </w:p>
    <w:p>
      <w:pPr>
        <w:pStyle w:val="Normal"/>
        <w:tabs>
          <w:tab w:val="left" w:pos="720" w:leader="none"/>
        </w:tabs>
        <w:spacing w:lineRule="exact" w:line="264" w:before="0" w:after="80"/>
        <w:ind w:hanging="360" w:start="720"/>
        <w:rPr/>
      </w:pPr>
      <w:r>
        <w:rPr>
          <w:rFonts w:eastAsia="Arial" w:cs="Arial"/>
          <w:sz w:val="21"/>
          <w:szCs w:val="21"/>
        </w:rPr>
        <w:t>b. Complete tuberculosis screening for residents and staff as required (for example, by BAMT/IGRA), and manage residents’ and staff members’ communicable conditions appropriately.</w:t>
      </w:r>
    </w:p>
    <w:p>
      <w:pPr>
        <w:pStyle w:val="Normal"/>
        <w:tabs>
          <w:tab w:val="left" w:pos="720" w:leader="none"/>
        </w:tabs>
        <w:spacing w:lineRule="exact" w:line="264" w:before="0" w:after="80"/>
        <w:ind w:hanging="360" w:start="720"/>
        <w:rPr/>
      </w:pPr>
      <w:r>
        <w:rPr>
          <w:rFonts w:eastAsia="Arial" w:cs="Arial"/>
          <w:sz w:val="21"/>
          <w:szCs w:val="21"/>
        </w:rPr>
        <w:t>c. Provide staff training in care of persons with communicable diseases and infection control, and support resident and staff access to recommended vaccinations (including seasonal influenza and COVID-19) consistent with current guidance.</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communicable diseases and outbreaks (including COVID-19) to the Department of Public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TB Screening Records</w:t>
      </w:r>
    </w:p>
    <w:p>
      <w:pPr>
        <w:pStyle w:val="ListParagraph"/>
        <w:numPr>
          <w:ilvl w:val="0"/>
          <w:numId w:val="1"/>
        </w:numPr>
        <w:spacing w:lineRule="exact" w:line="264" w:before="0" w:after="60"/>
        <w:rPr/>
      </w:pPr>
      <w:r>
        <w:rPr>
          <w:rFonts w:eastAsia="Arial" w:cs="Arial"/>
          <w:sz w:val="21"/>
          <w:szCs w:val="21"/>
        </w:rPr>
        <w:t>Outbreak Response / Line 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dietary; physical plant)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clean physical environment and to provide meals and dietary services that meet residents’ nutritional needs, consistent with Regulation 60-84.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building and grounds in a safe, clean, and sanitary condition consistent with applicable building and fire-safety codes, and shall provide three meals and snacks daily that meet residents’ dietary needs.</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buildings and grounds in a safe, clean, and sanitary condition consistent with applicable building and fire-safety requirements,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a hazardous-materials program consistent with the Hazardous Chemicals &amp; SDS Management policy.</w:t>
      </w:r>
    </w:p>
    <w:p>
      <w:pPr>
        <w:pStyle w:val="Normal"/>
        <w:tabs>
          <w:tab w:val="left" w:pos="720" w:leader="none"/>
        </w:tabs>
        <w:spacing w:lineRule="exact" w:line="264" w:before="0" w:after="80"/>
        <w:ind w:hanging="360" w:start="720"/>
        <w:rPr/>
      </w:pPr>
      <w:r>
        <w:rPr>
          <w:rFonts w:eastAsia="Arial" w:cs="Arial"/>
          <w:sz w:val="21"/>
          <w:szCs w:val="21"/>
        </w:rPr>
        <w:t>c. Provide a physical environment that supports residents’ dignity, privacy, and safety.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three (3) meals and snacks daily that meet residents’ dietary needs, ensuring that no more than fourteen (14) hours elapse between the serving of the evening meal and breakfast the following day.</w:t>
      </w:r>
    </w:p>
    <w:p>
      <w:pPr>
        <w:pStyle w:val="Normal"/>
        <w:tabs>
          <w:tab w:val="left" w:pos="720" w:leader="none"/>
        </w:tabs>
        <w:spacing w:lineRule="exact" w:line="264" w:before="0" w:after="80"/>
        <w:ind w:hanging="360" w:start="720"/>
        <w:rPr/>
      </w:pPr>
      <w:r>
        <w:rPr>
          <w:rFonts w:eastAsia="Arial" w:cs="Arial"/>
          <w:sz w:val="21"/>
          <w:szCs w:val="21"/>
        </w:rPr>
        <w:t>e. Do not use tray service unless the resident is medically unable to go to the dining room or, occasionally, if the resident prefers, and ensure trained staff or volunteers with knowledge of food values supervise food service and make appropriate substitutions.</w:t>
      </w:r>
    </w:p>
    <w:p>
      <w:pPr>
        <w:pStyle w:val="Normal"/>
        <w:tabs>
          <w:tab w:val="left" w:pos="720" w:leader="none"/>
        </w:tabs>
        <w:spacing w:lineRule="exact" w:line="264" w:before="0" w:after="80"/>
        <w:ind w:hanging="360" w:start="720"/>
        <w:rPr/>
      </w:pPr>
      <w:r>
        <w:rPr>
          <w:rFonts w:eastAsia="Arial" w:cs="Arial"/>
          <w:sz w:val="21"/>
          <w:szCs w:val="21"/>
        </w:rPr>
        <w:t>f. Where special diets are provided, ensure menus are prepared by a professionally qualified dietician or reviewed by the physician or other qualified medical provider, and store, prepare, and serve food under sanitary conditions.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(incl. special diets)</w:t>
      </w:r>
    </w:p>
    <w:p>
      <w:pPr>
        <w:pStyle w:val="ListParagraph"/>
        <w:numPr>
          <w:ilvl w:val="0"/>
          <w:numId w:val="1"/>
        </w:numPr>
        <w:spacing w:lineRule="exact" w:line="264" w:before="0" w:after="60"/>
        <w:rPr/>
      </w:pPr>
      <w:r>
        <w:rPr>
          <w:rFonts w:eastAsia="Arial" w:cs="Arial"/>
          <w:sz w:val="21"/>
          <w:szCs w:val="21"/>
        </w:rPr>
        <w:t>Food Service Sanitation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written quality improvement program Regulation 60-84 requires (aligned with Joint Commission Assisted Living Community principles), and — where the Facility operates one — the additional requirements for an Alzheimer’s Special Care Unit under the Disclosure Act.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Alzheimer’s Special Care Unit (ASCU)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resident records);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Regulation 60-84.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South Carolina law, retain records as required, and make records available to DPH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and emergency-contact information; the admission agreement; the admission physical examination and TB screening; the assessment and individual care plan; physician or authorized-provider orders; the medication administration record;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Retain resident records, medication destruction records (two years), and other documentation for the periods required by rule, and maintain them securely.</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 quality improvement); JC ALC principles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the written quality improvement program Regulation 60-84 requires — setting desired outcomes, identifying causes of deviation, and driving improvement —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quality improvement program that establishes desired outcomes and the criteria by which effectiveness is measured, identifies and evaluates causes of deviation from desired outcomes, develops action plans to prevent future deviations, establishes quality indicators, and analyzes appropriateness of care and services, supported by non-punitive reporting and leadership accountability.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administrator and licensee accountable for quality and safety.</w:t>
      </w:r>
    </w:p>
    <w:p>
      <w:pPr>
        <w:pStyle w:val="Normal"/>
        <w:pBdr>
          <w:bottom w:val="single" w:sz="4" w:space="1" w:color="2E5E45"/>
        </w:pBdr>
        <w:spacing w:before="160" w:after="80"/>
        <w:rPr/>
      </w:pPr>
      <w:r>
        <w:rPr>
          <w:rFonts w:eastAsia="Arial" w:cs="Arial"/>
          <w:b/>
          <w:bCs/>
          <w:color w:val="1A4731"/>
          <w:sz w:val="20"/>
          <w:szCs w:val="20"/>
        </w:rPr>
        <w:t>PROCEDURE — QUALITY IMPROVEMENT</w:t>
      </w:r>
    </w:p>
    <w:p>
      <w:pPr>
        <w:pStyle w:val="Normal"/>
        <w:tabs>
          <w:tab w:val="left" w:pos="720" w:leader="none"/>
        </w:tabs>
        <w:spacing w:lineRule="exact" w:line="264" w:before="0" w:after="80"/>
        <w:ind w:hanging="360" w:start="720"/>
        <w:rPr/>
      </w:pPr>
      <w:r>
        <w:rPr>
          <w:rFonts w:eastAsia="Arial" w:cs="Arial"/>
          <w:sz w:val="21"/>
          <w:szCs w:val="21"/>
        </w:rPr>
        <w:t>c. Establish desired outcomes and the criteria by which effectiveness is accomplished, and establish quality indicators aligned with Joint Commission ALC performance domains.</w:t>
      </w:r>
    </w:p>
    <w:p>
      <w:pPr>
        <w:pStyle w:val="Normal"/>
        <w:tabs>
          <w:tab w:val="left" w:pos="720" w:leader="none"/>
        </w:tabs>
        <w:spacing w:lineRule="exact" w:line="264" w:before="0" w:after="80"/>
        <w:ind w:hanging="360" w:start="720"/>
        <w:rPr/>
      </w:pPr>
      <w:r>
        <w:rPr>
          <w:rFonts w:eastAsia="Arial" w:cs="Arial"/>
          <w:sz w:val="21"/>
          <w:szCs w:val="21"/>
        </w:rPr>
        <w:t>d. Identify and evaluate the causes of deviation from desired outcomes, develop action plans to prevent future deviations, and analyze the appropriateness of care and services.</w:t>
      </w:r>
    </w:p>
    <w:p>
      <w:pPr>
        <w:pStyle w:val="Normal"/>
        <w:tabs>
          <w:tab w:val="left" w:pos="720" w:leader="none"/>
        </w:tabs>
        <w:spacing w:lineRule="exact" w:line="264" w:before="0" w:after="80"/>
        <w:ind w:hanging="360" w:start="720"/>
        <w:rPr/>
      </w:pPr>
      <w:r>
        <w:rPr>
          <w:rFonts w:eastAsia="Arial" w:cs="Arial"/>
          <w:sz w:val="21"/>
          <w:szCs w:val="21"/>
        </w:rPr>
        <w:t>e. Use a Plan-Do-Study-Act cycle to implement, study, and sustain improvements;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administrator and licensee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Program Plan</w:t>
      </w:r>
    </w:p>
    <w:p>
      <w:pPr>
        <w:pStyle w:val="ListParagraph"/>
        <w:numPr>
          <w:ilvl w:val="0"/>
          <w:numId w:val="1"/>
        </w:numPr>
        <w:spacing w:lineRule="exact" w:line="264" w:before="0" w:after="60"/>
        <w:rPr/>
      </w:pPr>
      <w:r>
        <w:rPr>
          <w:rFonts w:eastAsia="Arial" w:cs="Arial"/>
          <w:sz w:val="21"/>
          <w:szCs w:val="21"/>
        </w:rPr>
        <w:t>Quality Indicator Dashboard</w:t>
      </w:r>
    </w:p>
    <w:p>
      <w:pPr>
        <w:pStyle w:val="ListParagraph"/>
        <w:numPr>
          <w:ilvl w:val="0"/>
          <w:numId w:val="1"/>
        </w:numPr>
        <w:spacing w:lineRule="exact" w:line="264" w:before="0" w:after="60"/>
        <w:rPr/>
      </w:pPr>
      <w:r>
        <w:rPr>
          <w:rFonts w:eastAsia="Arial" w:cs="Arial"/>
          <w:sz w:val="21"/>
          <w:szCs w:val="21"/>
        </w:rPr>
        <w:t>PDSA / 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Alzheimer’s Special Care Unit (ASCU)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Alzheimer’s Special Care Unit (ASCU)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 DPH Reg. 60-84 (CRCF); Alzheimer’s Special Care Disclosure Act, S.C. Code § 44-36-510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an Alzheimer’s Special Care Unit (ASCU) or program — a secure special program or unit for residents with a diagnosis of probable Alzheimer’s disease and/or related dementia that advertises, markets, or promotes itself as providing specialized dementia care — consistent with Regulation 60-84 and the Alzheimer’s Special Care Disclosure Act. This policy applies only where the Facility operates an ASCU or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offers or provides an Alzheimer’s Special Care Unit or program, it shall provide the written disclosure the Alzheimer’s Special Care Disclosure Act (S.C. Code § 44-36-510 et seq.) requires, provide dementia-appropriate care and staff training, and maintain the secure environment and additional safeguards,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DISCLOSURE</w:t>
      </w:r>
    </w:p>
    <w:p>
      <w:pPr>
        <w:pStyle w:val="Normal"/>
        <w:tabs>
          <w:tab w:val="left" w:pos="720" w:leader="none"/>
        </w:tabs>
        <w:spacing w:lineRule="exact" w:line="264" w:before="0" w:after="80"/>
        <w:ind w:hanging="360" w:start="720"/>
        <w:rPr/>
      </w:pPr>
      <w:r>
        <w:rPr>
          <w:rFonts w:eastAsia="Arial" w:cs="Arial"/>
          <w:sz w:val="21"/>
          <w:szCs w:val="21"/>
        </w:rPr>
        <w:t>a. Provide a written disclosure of the special care unit’s form of care or treatment as required by S.C. Code § 44-36-520, describing the philosophy and how it addresses residents’ needs; the process for admission, transfer, and discharge; assessment, care planning, and implementation; staffing patterns and training; the physical environment and security features; activities; family involvement; and the costs and fees.</w:t>
      </w:r>
    </w:p>
    <w:p>
      <w:pPr>
        <w:pStyle w:val="Normal"/>
        <w:tabs>
          <w:tab w:val="left" w:pos="720" w:leader="none"/>
        </w:tabs>
        <w:spacing w:lineRule="exact" w:line="264" w:before="0" w:after="80"/>
        <w:ind w:hanging="360" w:start="720"/>
        <w:rPr/>
      </w:pPr>
      <w:r>
        <w:rPr>
          <w:rFonts w:eastAsia="Arial" w:cs="Arial"/>
          <w:sz w:val="21"/>
          <w:szCs w:val="21"/>
        </w:rPr>
        <w:t>b. Make the disclosure available to the Department and to residents and responsible parties, and update it as the program changes.</w:t>
      </w:r>
    </w:p>
    <w:p>
      <w:pPr>
        <w:pStyle w:val="Normal"/>
        <w:pBdr>
          <w:bottom w:val="single" w:sz="4" w:space="1" w:color="2E5E45"/>
        </w:pBdr>
        <w:spacing w:before="160" w:after="80"/>
        <w:rPr/>
      </w:pPr>
      <w:r>
        <w:rPr>
          <w:rFonts w:eastAsia="Arial" w:cs="Arial"/>
          <w:b/>
          <w:bCs/>
          <w:color w:val="1A4731"/>
          <w:sz w:val="20"/>
          <w:szCs w:val="20"/>
        </w:rPr>
        <w:t>PROCEDURE — CARE, STAFFING &amp; ENVIRONMENT</w:t>
      </w:r>
    </w:p>
    <w:p>
      <w:pPr>
        <w:pStyle w:val="Normal"/>
        <w:tabs>
          <w:tab w:val="left" w:pos="720" w:leader="none"/>
        </w:tabs>
        <w:spacing w:lineRule="exact" w:line="264" w:before="0" w:after="80"/>
        <w:ind w:hanging="360" w:start="720"/>
        <w:rPr/>
      </w:pPr>
      <w:r>
        <w:rPr>
          <w:rFonts w:eastAsia="Arial" w:cs="Arial"/>
          <w:sz w:val="21"/>
          <w:szCs w:val="21"/>
        </w:rPr>
        <w:t>c. Provide dementia-appropriate assessment, care planning, and activities, and ensure staff who serve residents in the ASCU receive dementia-specific training (in addition to the general in-service training), including behavioral approaches, communication, wandering and elopement prevention, and emergency evacuation of residents with cognitive impairment.</w:t>
      </w:r>
    </w:p>
    <w:p>
      <w:pPr>
        <w:pStyle w:val="Normal"/>
        <w:tabs>
          <w:tab w:val="left" w:pos="720" w:leader="none"/>
        </w:tabs>
        <w:spacing w:lineRule="exact" w:line="264" w:before="0" w:after="80"/>
        <w:ind w:hanging="360" w:start="720"/>
        <w:rPr/>
      </w:pPr>
      <w:r>
        <w:rPr>
          <w:rFonts w:eastAsia="Arial" w:cs="Arial"/>
          <w:sz w:val="21"/>
          <w:szCs w:val="21"/>
        </w:rPr>
        <w:t>d. Maintain a secure environment designed to prevent or limit egress by residents outside the designated or separated areas while preserving life-safety evacuation, and staff the unit consistent with the applicable ratios and the residents’ needs.</w:t>
      </w:r>
    </w:p>
    <w:p>
      <w:pPr>
        <w:pStyle w:val="Normal"/>
        <w:tabs>
          <w:tab w:val="left" w:pos="720" w:leader="none"/>
        </w:tabs>
        <w:spacing w:lineRule="exact" w:line="264" w:before="0" w:after="80"/>
        <w:ind w:hanging="360" w:start="720"/>
        <w:rPr/>
      </w:pPr>
      <w:r>
        <w:rPr>
          <w:rFonts w:eastAsia="Arial" w:cs="Arial"/>
          <w:sz w:val="21"/>
          <w:szCs w:val="21"/>
        </w:rPr>
        <w:t>e. Review ASCU incidents, including elopement risk and behavioral events, through the quality improvement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Alzheimer’s Special Care Disclosure Statement</w:t>
      </w:r>
    </w:p>
    <w:p>
      <w:pPr>
        <w:pStyle w:val="ListParagraph"/>
        <w:numPr>
          <w:ilvl w:val="0"/>
          <w:numId w:val="1"/>
        </w:numPr>
        <w:spacing w:lineRule="exact" w:line="264" w:before="0" w:after="60"/>
        <w:rPr/>
      </w:pPr>
      <w:r>
        <w:rPr>
          <w:rFonts w:eastAsia="Arial" w:cs="Arial"/>
          <w:sz w:val="21"/>
          <w:szCs w:val="21"/>
        </w:rPr>
        <w:t>Dementia Training Records</w:t>
      </w:r>
    </w:p>
    <w:p>
      <w:pPr>
        <w:pStyle w:val="ListParagraph"/>
        <w:numPr>
          <w:ilvl w:val="0"/>
          <w:numId w:val="1"/>
        </w:numPr>
        <w:spacing w:lineRule="exact" w:line="264" w:before="0" w:after="60"/>
        <w:rPr/>
      </w:pPr>
      <w:r>
        <w:rPr>
          <w:rFonts w:eastAsia="Arial" w:cs="Arial"/>
          <w:sz w:val="21"/>
          <w:szCs w:val="21"/>
        </w:rPr>
        <w:t>Secure Environment / Elopement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South Carolina agencies and resources, guidance on customizing the manual (including the agency/regulation note and the administrator-license note), and a residents’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South Carolina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Residents’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Pre-Admission Evaluation</w:t>
      </w:r>
    </w:p>
    <w:p>
      <w:pPr>
        <w:pStyle w:val="ListParagraph"/>
        <w:numPr>
          <w:ilvl w:val="0"/>
          <w:numId w:val="1"/>
        </w:numPr>
        <w:spacing w:lineRule="exact" w:line="264" w:before="0" w:after="60"/>
        <w:rPr/>
      </w:pPr>
      <w:r>
        <w:rPr>
          <w:rFonts w:eastAsia="Arial" w:cs="Arial"/>
          <w:sz w:val="21"/>
          <w:szCs w:val="21"/>
        </w:rPr>
        <w:t>Admission Physical &amp; TB Screening</w:t>
      </w:r>
    </w:p>
    <w:p>
      <w:pPr>
        <w:pStyle w:val="ListParagraph"/>
        <w:numPr>
          <w:ilvl w:val="0"/>
          <w:numId w:val="1"/>
        </w:numPr>
        <w:spacing w:lineRule="exact" w:line="264" w:before="0" w:after="60"/>
        <w:rPr/>
      </w:pPr>
      <w:r>
        <w:rPr>
          <w:rFonts w:eastAsia="Arial" w:cs="Arial"/>
          <w:sz w:val="21"/>
          <w:szCs w:val="21"/>
        </w:rPr>
        <w:t>Admission Agreement</w:t>
      </w:r>
    </w:p>
    <w:p>
      <w:pPr>
        <w:pStyle w:val="ListParagraph"/>
        <w:numPr>
          <w:ilvl w:val="0"/>
          <w:numId w:val="1"/>
        </w:numPr>
        <w:spacing w:lineRule="exact" w:line="264" w:before="0" w:after="60"/>
        <w:rPr/>
      </w:pPr>
      <w:r>
        <w:rPr>
          <w:rFonts w:eastAsia="Arial" w:cs="Arial"/>
          <w:sz w:val="21"/>
          <w:szCs w:val="21"/>
        </w:rPr>
        <w:t>Notice of Transfer / Discharge</w:t>
      </w:r>
    </w:p>
    <w:p>
      <w:pPr>
        <w:pStyle w:val="ListParagraph"/>
        <w:numPr>
          <w:ilvl w:val="0"/>
          <w:numId w:val="1"/>
        </w:numPr>
        <w:spacing w:lineRule="exact" w:line="264" w:before="0" w:after="60"/>
        <w:rPr/>
      </w:pPr>
      <w:r>
        <w:rPr>
          <w:rFonts w:eastAsia="Arial" w:cs="Arial"/>
          <w:sz w:val="21"/>
          <w:szCs w:val="21"/>
        </w:rPr>
        <w:t>Residents’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Protection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CRCF License</w:t>
      </w:r>
    </w:p>
    <w:p>
      <w:pPr>
        <w:pStyle w:val="ListParagraph"/>
        <w:numPr>
          <w:ilvl w:val="0"/>
          <w:numId w:val="1"/>
        </w:numPr>
        <w:spacing w:lineRule="exact" w:line="264" w:before="0" w:after="60"/>
        <w:rPr/>
      </w:pPr>
      <w:r>
        <w:rPr>
          <w:rFonts w:eastAsia="Arial" w:cs="Arial"/>
          <w:sz w:val="21"/>
          <w:szCs w:val="21"/>
        </w:rPr>
        <w:t>Administrator License (Board of LTHCA)</w:t>
      </w:r>
    </w:p>
    <w:p>
      <w:pPr>
        <w:pStyle w:val="ListParagraph"/>
        <w:numPr>
          <w:ilvl w:val="0"/>
          <w:numId w:val="1"/>
        </w:numPr>
        <w:spacing w:lineRule="exact" w:line="264" w:before="0" w:after="60"/>
        <w:rPr/>
      </w:pPr>
      <w:r>
        <w:rPr>
          <w:rFonts w:eastAsia="Arial" w:cs="Arial"/>
          <w:sz w:val="21"/>
          <w:szCs w:val="21"/>
        </w:rPr>
        <w:t>Written Designation of Acting Administrator</w:t>
      </w:r>
    </w:p>
    <w:p>
      <w:pPr>
        <w:pStyle w:val="ListParagraph"/>
        <w:numPr>
          <w:ilvl w:val="0"/>
          <w:numId w:val="1"/>
        </w:numPr>
        <w:spacing w:lineRule="exact" w:line="264" w:before="0" w:after="60"/>
        <w:rPr/>
      </w:pPr>
      <w:r>
        <w:rPr>
          <w:rFonts w:eastAsia="Arial" w:cs="Arial"/>
          <w:sz w:val="21"/>
          <w:szCs w:val="21"/>
        </w:rPr>
        <w:t>Recreational Program Designation</w:t>
      </w:r>
    </w:p>
    <w:p>
      <w:pPr>
        <w:pStyle w:val="ListParagraph"/>
        <w:numPr>
          <w:ilvl w:val="0"/>
          <w:numId w:val="1"/>
        </w:numPr>
        <w:spacing w:lineRule="exact" w:line="264" w:before="0" w:after="60"/>
        <w:rPr/>
      </w:pPr>
      <w:r>
        <w:rPr>
          <w:rFonts w:eastAsia="Arial" w:cs="Arial"/>
          <w:sz w:val="21"/>
          <w:szCs w:val="21"/>
        </w:rPr>
        <w:t>Outside-Source Service Agreements</w:t>
      </w:r>
    </w:p>
    <w:p>
      <w:pPr>
        <w:pStyle w:val="ListParagraph"/>
        <w:numPr>
          <w:ilvl w:val="0"/>
          <w:numId w:val="1"/>
        </w:numPr>
        <w:spacing w:lineRule="exact" w:line="264" w:before="0" w:after="60"/>
        <w:rPr/>
      </w:pPr>
      <w:r>
        <w:rPr>
          <w:rFonts w:eastAsia="Arial" w:cs="Arial"/>
          <w:sz w:val="21"/>
          <w:szCs w:val="21"/>
        </w:rPr>
        <w:t>Criminal Background Check (§ 44-7-2910)</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In-Service Training Plan &amp; Attendance Log</w:t>
      </w:r>
    </w:p>
    <w:p>
      <w:pPr>
        <w:pStyle w:val="ListParagraph"/>
        <w:numPr>
          <w:ilvl w:val="0"/>
          <w:numId w:val="1"/>
        </w:numPr>
        <w:spacing w:lineRule="exact" w:line="264" w:before="0" w:after="60"/>
        <w:rPr/>
      </w:pPr>
      <w:r>
        <w:rPr>
          <w:rFonts w:eastAsia="Arial" w:cs="Arial"/>
          <w:sz w:val="21"/>
          <w:szCs w:val="21"/>
        </w:rPr>
        <w:t>Competency Verification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Daily Staffing / Coverage Record</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Individual Care Plan</w:t>
      </w:r>
    </w:p>
    <w:p>
      <w:pPr>
        <w:pStyle w:val="ListParagraph"/>
        <w:numPr>
          <w:ilvl w:val="0"/>
          <w:numId w:val="1"/>
        </w:numPr>
        <w:spacing w:lineRule="exact" w:line="264" w:before="0" w:after="60"/>
        <w:rPr/>
      </w:pPr>
      <w:r>
        <w:rPr>
          <w:rFonts w:eastAsia="Arial" w:cs="Arial"/>
          <w:sz w:val="21"/>
          <w:szCs w:val="21"/>
        </w:rPr>
        <w:t>Hospice / Home Health Coordination Record</w:t>
      </w:r>
    </w:p>
    <w:p>
      <w:pPr>
        <w:pStyle w:val="ListParagraph"/>
        <w:numPr>
          <w:ilvl w:val="0"/>
          <w:numId w:val="1"/>
        </w:numPr>
        <w:spacing w:lineRule="exact" w:line="264" w:before="0" w:after="60"/>
        <w:rPr/>
      </w:pPr>
      <w:r>
        <w:rPr>
          <w:rFonts w:eastAsia="Arial" w:cs="Arial"/>
          <w:sz w:val="21"/>
          <w:szCs w:val="21"/>
        </w:rPr>
        <w:t>ADL / Personal Care Record</w:t>
      </w:r>
    </w:p>
    <w:p>
      <w:pPr>
        <w:pStyle w:val="ListParagraph"/>
        <w:numPr>
          <w:ilvl w:val="0"/>
          <w:numId w:val="1"/>
        </w:numPr>
        <w:spacing w:lineRule="exact" w:line="264" w:before="0" w:after="60"/>
        <w:rPr/>
      </w:pPr>
      <w:r>
        <w:rPr>
          <w:rFonts w:eastAsia="Arial" w:cs="Arial"/>
          <w:sz w:val="21"/>
          <w:szCs w:val="21"/>
        </w:rPr>
        <w:t>Recreational Activity Calendar</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Physician / Provider Medication &amp; Treatment Orders</w:t>
      </w:r>
    </w:p>
    <w:p>
      <w:pPr>
        <w:pStyle w:val="ListParagraph"/>
        <w:numPr>
          <w:ilvl w:val="0"/>
          <w:numId w:val="1"/>
        </w:numPr>
        <w:spacing w:lineRule="exact" w:line="264" w:before="0" w:after="60"/>
        <w:rPr/>
      </w:pPr>
      <w:r>
        <w:rPr>
          <w:rFonts w:eastAsia="Arial" w:cs="Arial"/>
          <w:sz w:val="21"/>
          <w:szCs w:val="21"/>
        </w:rPr>
        <w:t>Self-Administration Assessment &amp; Documentation</w:t>
      </w:r>
    </w:p>
    <w:p>
      <w:pPr>
        <w:pStyle w:val="ListParagraph"/>
        <w:numPr>
          <w:ilvl w:val="0"/>
          <w:numId w:val="1"/>
        </w:numPr>
        <w:spacing w:lineRule="exact" w:line="264" w:before="0" w:after="60"/>
        <w:rPr/>
      </w:pPr>
      <w:r>
        <w:rPr>
          <w:rFonts w:eastAsia="Arial" w:cs="Arial"/>
          <w:sz w:val="21"/>
          <w:szCs w:val="21"/>
        </w:rPr>
        <w:t>Shift-Change MAR Review Log</w:t>
      </w:r>
    </w:p>
    <w:p>
      <w:pPr>
        <w:pStyle w:val="ListParagraph"/>
        <w:numPr>
          <w:ilvl w:val="0"/>
          <w:numId w:val="1"/>
        </w:numPr>
        <w:spacing w:lineRule="exact" w:line="264" w:before="0" w:after="60"/>
        <w:rPr/>
      </w:pPr>
      <w:r>
        <w:rPr>
          <w:rFonts w:eastAsia="Arial" w:cs="Arial"/>
          <w:sz w:val="21"/>
          <w:szCs w:val="21"/>
        </w:rPr>
        <w:t>Controlled Substance Log</w:t>
      </w:r>
    </w:p>
    <w:p>
      <w:pPr>
        <w:pStyle w:val="ListParagraph"/>
        <w:numPr>
          <w:ilvl w:val="0"/>
          <w:numId w:val="1"/>
        </w:numPr>
        <w:spacing w:lineRule="exact" w:line="264" w:before="0" w:after="60"/>
        <w:rPr/>
      </w:pPr>
      <w:r>
        <w:rPr>
          <w:rFonts w:eastAsia="Arial" w:cs="Arial"/>
          <w:sz w:val="21"/>
          <w:szCs w:val="21"/>
        </w:rPr>
        <w:t>Medication Destruction Record (retain 2 yrs)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Fire &amp; Disaster Drill Records</w:t>
      </w:r>
    </w:p>
    <w:p>
      <w:pPr>
        <w:pStyle w:val="ListParagraph"/>
        <w:numPr>
          <w:ilvl w:val="0"/>
          <w:numId w:val="1"/>
        </w:numPr>
        <w:spacing w:lineRule="exact" w:line="264" w:before="0" w:after="60"/>
        <w:rPr/>
      </w:pPr>
      <w:r>
        <w:rPr>
          <w:rFonts w:eastAsia="Arial" w:cs="Arial"/>
          <w:sz w:val="21"/>
          <w:szCs w:val="21"/>
        </w:rPr>
        <w:t>Resident Evacuation Needs List</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TB Screening Records</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(incl. special diets) &amp; Food Service Sanitation Log</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Quality Improvement Program Plan &amp; PDSA / Root-Cause Records</w:t>
      </w:r>
    </w:p>
    <w:p>
      <w:pPr>
        <w:pStyle w:val="ListParagraph"/>
        <w:numPr>
          <w:ilvl w:val="0"/>
          <w:numId w:val="1"/>
        </w:numPr>
        <w:spacing w:lineRule="exact" w:line="264" w:before="0" w:after="60"/>
        <w:rPr/>
      </w:pPr>
      <w:r>
        <w:rPr>
          <w:rFonts w:eastAsia="Arial" w:cs="Arial"/>
          <w:sz w:val="21"/>
          <w:szCs w:val="21"/>
        </w:rPr>
        <w:t>Alzheimer’s Special Care Disclosure Statement &amp; Dementia Training Records (if ASCU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South Carolina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names, addresses,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Department of Public Health (DPH), Healthcare Quality / Bureau of Healthcare Quality (formerly DHEC Division of Health Licensing)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Code Ann. Regs. 60-84 — Standards for Licensing Community Residential Care Facilities (formerly Reg. 61-84 under DHEC)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Code § 44-7-10 et seq. (Health Facility Licensing); § 44-7-260 (CRCF administrator license); § 44-7-2910 (criminal record checks)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Administrator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Board of Long Term Health Care Administrators (LTHCA)</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Dementia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Alzheimer’s Special Care Disclosure Act — S.C. Code § 44-36-510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Residents’ Rights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Bill of Rights for Residents of Long Term Care Facilities — S.C. Code § 44-81-10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S.C. Omnibus Adult Protection Act (§ 43-35-5 et seq.); Adult Protective Services / Vulnerable Adults Investigations; law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South Carolina Long Term Care Ombudsman Program (Lt. Governor’s Office on Aging)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Financial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Optional State Supplementation (OSS) for eligible CRCF residents; SSI — optional payer layer</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the South Carolina Department of Public Health Standards for Licensing Community Residential Care Facilities (Regulation 60-84) and S.C. Code § 44-7-10 et seq.,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COMMUNITY RESIDENTIAL CARE FACILITY (CRCF) — South Carolina’s licensed assisted living category, regulated by the Department of Public Health. A CRCF provides room, board, and personal care, may administer medications, and may permit resident self-administration under the regulation’s conditions. Facilities meeting the CRCF definition may market themselves as “assisted living.”</w:t>
      </w:r>
    </w:p>
    <w:p>
      <w:pPr>
        <w:pStyle w:val="Normal"/>
        <w:spacing w:lineRule="exact" w:line="276" w:before="0" w:after="120"/>
        <w:rPr/>
      </w:pPr>
      <w:r>
        <w:rPr>
          <w:rFonts w:eastAsia="Arial" w:cs="Arial"/>
          <w:sz w:val="21"/>
          <w:szCs w:val="21"/>
        </w:rPr>
        <w:t>Agency and regulation note. South Carolina reorganized its health agency: community residential care licensing moved from DHEC to the Department of Public Health (DPH), and the governing regulation was renumbered from 61-84 to 60-84. Many older references (including some legal databases) still cite DHEC and 61-84; this manual is built to the current DPH framework and Regulation 60-84. Verify the current regulation citation and agency contacts in Appendix B before relying on them.</w:t>
      </w:r>
    </w:p>
    <w:p>
      <w:pPr>
        <w:pStyle w:val="Normal"/>
        <w:spacing w:lineRule="exact" w:line="276" w:before="0" w:after="120"/>
        <w:rPr/>
      </w:pPr>
      <w:r>
        <w:rPr>
          <w:rFonts w:eastAsia="Arial" w:cs="Arial"/>
          <w:sz w:val="21"/>
          <w:szCs w:val="21"/>
        </w:rPr>
        <w:t>Administrator license. South Carolina requires the facility administrator to hold a CRCF administrator license from the S.C. Board of Long Term Health Care Administrators (S.C. Code § 44-7-260) — a genuine occupational license, not just a certification — and a staff member must be designated in writing to act in the administrator’s absence.</w:t>
      </w:r>
    </w:p>
    <w:p>
      <w:pPr>
        <w:pStyle w:val="Normal"/>
        <w:spacing w:lineRule="exact" w:line="276" w:before="0" w:after="120"/>
        <w:rPr/>
      </w:pPr>
      <w:r>
        <w:rPr>
          <w:rFonts w:eastAsia="Arial" w:cs="Arial"/>
          <w:sz w:val="21"/>
          <w:szCs w:val="21"/>
        </w:rPr>
        <w:t>Alzheimer’s Special Care Unit. Where the Facility offers or provides an Alzheimer’s Special Care Unit or program, the ASCU policy applies the additional disclosure, training, and secure-environment requirements under the Alzheimer’s Special Care Disclosure Act; use it only if you operate such a unit or program.</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DPH survey; confirm your license and administrator license, your staffing (including the peak-hours ratio and on-duty coverage), the admission and retention criteria, the medication administration and self-administration policy, and your criminal-background-check and in-service-training program;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Residents’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Community Residential Care Facility under the South Carolina Bill of Rights for Residents of Long Term Care Facilities and Regulation 60-84, including the Facility’s obligations, the grievance procedure, and the contact information for the Long Term Care Ombudsman and the Department of Public Health.</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Responsible party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South Carolina — Community Residential Care Facility (CRCF)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South Carolina — Community Residential Care Facility (CRCF)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2026-07-01T18:08:36Z</dcterms:created>
  <dc:creator>PolicyReady.org</dc:creator>
  <dc:description/>
  <dc:language>en-US</dc:language>
  <cp:lastModifiedBy>Un-named</cp:lastModifiedBy>
  <dcterms:modified xsi:type="dcterms:W3CDTF">2026-07-01T18:08:36Z</dcterms:modified>
  <cp:revision>1</cp:revision>
  <dc:subject/>
  <dc:title>South Carolina Community Residential Care Facility (CRCF) Policy &amp; Procedure Manual</dc:title>
</cp:coreProperties>
</file>