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TENNESSEE</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Assisted-Care Living Facility (ACLF)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[ACLF License Number]</w:t>
      </w:r>
    </w:p>
    <w:p>
      <w:pPr>
        <w:pStyle w:val="Normal"/>
        <w:spacing w:before="1600" w:after="0"/>
        <w:jc w:val="center"/>
        <w:rPr/>
      </w:pPr>
      <w:r>
        <w:rPr>
          <w:rFonts w:eastAsia="Arial" w:cs="Arial"/>
          <w:color w:val="666666"/>
          <w:sz w:val="18"/>
          <w:szCs w:val="18"/>
        </w:rPr>
        <w:t>Aligned to the Tennessee Health Facilities Commission Rules for</w:t>
      </w:r>
    </w:p>
    <w:p>
      <w:pPr>
        <w:pStyle w:val="Normal"/>
        <w:spacing w:before="60" w:after="0"/>
        <w:jc w:val="center"/>
        <w:rPr/>
      </w:pPr>
      <w:r>
        <w:rPr>
          <w:rFonts w:eastAsia="Arial" w:cs="Arial"/>
          <w:color w:val="666666"/>
          <w:sz w:val="18"/>
          <w:szCs w:val="18"/>
        </w:rPr>
        <w:t>Assisted-Care Living Facilities (Chapter 0720-26) and the Joint Commission ALC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Health Facilities Commission ACLF license. It covers admission and the resident agreement (including the ambulatory requirement and admission exclusions), residents’ rights, abuse and neglect reporting and the Abuse Registry, resident funds, and licensure and facility operations.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Resident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&amp; Facility Operations</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Resident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Resident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T.C.A. § 68-11-201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the Tennessee Health Facilities Commission Rules for Assisted-Care Living Facilities (Chapter 0720-26) and T.C.A. § 68-11-201 et seq.</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Tennessee Health Facilities Commission (HFC) as an Assisted-Care Living Facility (ACLF). An ACLF accepts primarily aged persons for domiciliary care and provides on site room, board, and non-medical living assistance services appropriate to residents’ needs, together with the medical services an ACLF is permitted to provide directly — medication procedures and administration of medications that are typically self-administered (limited to oral medications, topicals, suppositories, and injections, excluding intravenous) pursuant to a physician’s order, and emergency response. Other services that a licensed home care organization provides (part-time or intermittent nursing care, physical, occupational, and speech therapy, medical social services, and durable medical equipment) may be provided in the Facility only through a licensed home care organization.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 are ambulatory (or who can independently transfer to and propel a wheelchair for life-safety evacuation), whose needs it can safely and effectively meet, and who do not fall within the admission exclusions, and shall enter into a written agreement with each resident.</w:t>
      </w:r>
    </w:p>
    <w:p>
      <w:pPr>
        <w:pStyle w:val="Normal"/>
        <w:pBdr>
          <w:bottom w:val="single" w:sz="4" w:space="1" w:color="2E5E45"/>
        </w:pBdr>
        <w:spacing w:before="160" w:after="80"/>
        <w:rPr/>
      </w:pPr>
      <w:r>
        <w:rPr>
          <w:rFonts w:eastAsia="Arial" w:cs="Arial"/>
          <w:b/>
          <w:bCs/>
          <w:color w:val="1A4731"/>
          <w:sz w:val="20"/>
          <w:szCs w:val="20"/>
        </w:rPr>
        <w:t>PROCEDURE — AMBULATORY REQUIREMENT</w:t>
      </w:r>
    </w:p>
    <w:p>
      <w:pPr>
        <w:pStyle w:val="Normal"/>
        <w:tabs>
          <w:tab w:val="left" w:pos="720" w:leader="none"/>
        </w:tabs>
        <w:spacing w:lineRule="exact" w:line="264" w:before="0" w:after="80"/>
        <w:ind w:hanging="360" w:start="720"/>
        <w:rPr/>
      </w:pPr>
      <w:r>
        <w:rPr>
          <w:rFonts w:eastAsia="Arial" w:cs="Arial"/>
          <w:sz w:val="21"/>
          <w:szCs w:val="21"/>
        </w:rPr>
        <w:t>a. Confirm each resident is ambulatory — able to bear weight, pivot, and safely walk with a cane, walker, or other mechanical supportive device, with or without minimal assistance of another person.</w:t>
      </w:r>
    </w:p>
    <w:p>
      <w:pPr>
        <w:pStyle w:val="Normal"/>
        <w:tabs>
          <w:tab w:val="left" w:pos="720" w:leader="none"/>
        </w:tabs>
        <w:spacing w:lineRule="exact" w:line="264" w:before="0" w:after="80"/>
        <w:ind w:hanging="360" w:start="720"/>
        <w:rPr/>
      </w:pPr>
      <w:r>
        <w:rPr>
          <w:rFonts w:eastAsia="Arial" w:cs="Arial"/>
          <w:sz w:val="21"/>
          <w:szCs w:val="21"/>
        </w:rPr>
        <w:t>b. For a resident who uses a wheelchair, confirm the resident can transfer to and propel the wheelchair independently for purposes of life-safety evacuation; a resident who cannot do so independently may receive assistance to transfer and with other activities of daily living only where the Facility can safely evacuate the resident.</w:t>
      </w:r>
    </w:p>
    <w:p>
      <w:pPr>
        <w:pStyle w:val="Normal"/>
        <w:pBdr>
          <w:bottom w:val="single" w:sz="4" w:space="1" w:color="2E5E45"/>
        </w:pBdr>
        <w:spacing w:before="160" w:after="80"/>
        <w:rPr/>
      </w:pPr>
      <w:r>
        <w:rPr>
          <w:rFonts w:eastAsia="Arial" w:cs="Arial"/>
          <w:b/>
          <w:bCs/>
          <w:color w:val="1A4731"/>
          <w:sz w:val="20"/>
          <w:szCs w:val="20"/>
        </w:rPr>
        <w:t>PROCEDURE — ADMISSION EXCLUSIONS</w:t>
      </w:r>
    </w:p>
    <w:p>
      <w:pPr>
        <w:pStyle w:val="Normal"/>
        <w:tabs>
          <w:tab w:val="left" w:pos="720" w:leader="none"/>
        </w:tabs>
        <w:spacing w:lineRule="exact" w:line="264" w:before="0" w:after="80"/>
        <w:ind w:hanging="360" w:start="720"/>
        <w:rPr/>
      </w:pPr>
      <w:r>
        <w:rPr>
          <w:rFonts w:eastAsia="Arial" w:cs="Arial"/>
          <w:sz w:val="21"/>
          <w:szCs w:val="21"/>
        </w:rPr>
        <w:t>c. Do not admit or continue to reside a person who is in the latter stages of Alzheimer’s disease or related disorders, who requires physical or chemical restraints, or who poses a serious threat to self or others.</w:t>
      </w:r>
    </w:p>
    <w:p>
      <w:pPr>
        <w:pStyle w:val="Normal"/>
        <w:tabs>
          <w:tab w:val="left" w:pos="720" w:leader="none"/>
        </w:tabs>
        <w:spacing w:lineRule="exact" w:line="264" w:before="0" w:after="80"/>
        <w:ind w:hanging="360" w:start="720"/>
        <w:rPr/>
      </w:pPr>
      <w:r>
        <w:rPr>
          <w:rFonts w:eastAsia="Arial" w:cs="Arial"/>
          <w:sz w:val="21"/>
          <w:szCs w:val="21"/>
        </w:rPr>
        <w:t>d. Do not admit or continue to reside a person who requires nasopharyngeal or tracheotomy aspiration; the initial phases of a regimen involving the administration of medical gases; a nasogastric tube; gastrostomy feedings; arterial blood gases; insertion, sterile irrigation, and replacement of catheters; or intravenous therapy or intravenous feedings; or whose needs cannot be safely and effectively met in the ACLF.</w:t>
      </w:r>
    </w:p>
    <w:p>
      <w:pPr>
        <w:pStyle w:val="Normal"/>
        <w:tabs>
          <w:tab w:val="left" w:pos="720" w:leader="none"/>
        </w:tabs>
        <w:spacing w:lineRule="exact" w:line="264" w:before="0" w:after="80"/>
        <w:ind w:hanging="360" w:start="720"/>
        <w:rPr/>
      </w:pPr>
      <w:r>
        <w:rPr>
          <w:rFonts w:eastAsia="Arial" w:cs="Arial"/>
          <w:sz w:val="21"/>
          <w:szCs w:val="21"/>
        </w:rPr>
        <w:t>e. Apply the intermittent exception only as the rules permit — for a limited intermittent basis (three 21-day periods) that a physician certifies — and coordinate hospice residents’ continued residence with appropriate coordination of care through a licensed hospice or home care organization.</w:t>
      </w:r>
    </w:p>
    <w:p>
      <w:pPr>
        <w:pStyle w:val="Normal"/>
        <w:tabs>
          <w:tab w:val="left" w:pos="720" w:leader="none"/>
        </w:tabs>
        <w:spacing w:lineRule="exact" w:line="264" w:before="0" w:after="80"/>
        <w:ind w:hanging="360" w:start="720"/>
        <w:rPr/>
      </w:pPr>
      <w:r>
        <w:rPr>
          <w:rFonts w:eastAsia="Arial" w:cs="Arial"/>
          <w:sz w:val="21"/>
          <w:szCs w:val="21"/>
        </w:rPr>
        <w:t>f. Where a resident’s condition changes such that the resident meets an admission exclusion, initiate transfer or discharge with appropriate notice and coordination.</w:t>
      </w:r>
    </w:p>
    <w:p>
      <w:pPr>
        <w:pStyle w:val="Normal"/>
        <w:pBdr>
          <w:bottom w:val="single" w:sz="4" w:space="1" w:color="2E5E45"/>
        </w:pBdr>
        <w:spacing w:before="160" w:after="80"/>
        <w:rPr/>
      </w:pPr>
      <w:r>
        <w:rPr>
          <w:rFonts w:eastAsia="Arial" w:cs="Arial"/>
          <w:b/>
          <w:bCs/>
          <w:color w:val="1A4731"/>
          <w:sz w:val="20"/>
          <w:szCs w:val="20"/>
        </w:rPr>
        <w:t>PROCEDURE — RESIDENT AGREEMENT &amp; RECORDS</w:t>
      </w:r>
    </w:p>
    <w:p>
      <w:pPr>
        <w:pStyle w:val="Normal"/>
        <w:tabs>
          <w:tab w:val="left" w:pos="720" w:leader="none"/>
        </w:tabs>
        <w:spacing w:lineRule="exact" w:line="264" w:before="0" w:after="80"/>
        <w:ind w:hanging="360" w:start="720"/>
        <w:rPr/>
      </w:pPr>
      <w:r>
        <w:rPr>
          <w:rFonts w:eastAsia="Arial" w:cs="Arial"/>
          <w:sz w:val="21"/>
          <w:szCs w:val="21"/>
        </w:rPr>
        <w:t>g. Enter into a written agreement with each resident describing services, charges, residency rules, and discharge and transfer provisions, and provide the resident information about resident rights and the complaint process.</w:t>
      </w:r>
    </w:p>
    <w:p>
      <w:pPr>
        <w:pStyle w:val="Normal"/>
        <w:tabs>
          <w:tab w:val="left" w:pos="720" w:leader="none"/>
        </w:tabs>
        <w:spacing w:lineRule="exact" w:line="264" w:before="0" w:after="80"/>
        <w:ind w:hanging="360" w:start="720"/>
        <w:rPr/>
      </w:pPr>
      <w:r>
        <w:rPr>
          <w:rFonts w:eastAsia="Arial" w:cs="Arial"/>
          <w:sz w:val="21"/>
          <w:szCs w:val="21"/>
        </w:rPr>
        <w:t>h. Obtain a physician’s order and current medical information as required, and document each resident’s medical history, physician consultations, services, medications, and discharge information.</w:t>
      </w:r>
    </w:p>
    <w:p>
      <w:pPr>
        <w:pStyle w:val="Normal"/>
        <w:tabs>
          <w:tab w:val="left" w:pos="720" w:leader="none"/>
        </w:tabs>
        <w:spacing w:lineRule="exact" w:line="264" w:before="0" w:after="80"/>
        <w:ind w:hanging="360" w:start="720"/>
        <w:rPr/>
      </w:pPr>
      <w:r>
        <w:rPr>
          <w:rFonts w:eastAsia="Arial" w:cs="Arial"/>
          <w:sz w:val="21"/>
          <w:szCs w:val="21"/>
        </w:rPr>
        <w:t>i. Document the basis for any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Resident Agreement</w:t>
      </w:r>
    </w:p>
    <w:p>
      <w:pPr>
        <w:pStyle w:val="ListParagraph"/>
        <w:numPr>
          <w:ilvl w:val="0"/>
          <w:numId w:val="1"/>
        </w:numPr>
        <w:spacing w:lineRule="exact" w:line="264" w:before="0" w:after="60"/>
        <w:rPr/>
      </w:pPr>
      <w:r>
        <w:rPr>
          <w:rFonts w:eastAsia="Arial" w:cs="Arial"/>
          <w:sz w:val="21"/>
          <w:szCs w:val="21"/>
        </w:rPr>
        <w:t>Pre-Admission / Ambulatory Screening</w:t>
      </w:r>
    </w:p>
    <w:p>
      <w:pPr>
        <w:pStyle w:val="ListParagraph"/>
        <w:numPr>
          <w:ilvl w:val="0"/>
          <w:numId w:val="1"/>
        </w:numPr>
        <w:spacing w:lineRule="exact" w:line="264" w:before="0" w:after="60"/>
        <w:rPr/>
      </w:pPr>
      <w:r>
        <w:rPr>
          <w:rFonts w:eastAsia="Arial" w:cs="Arial"/>
          <w:sz w:val="21"/>
          <w:szCs w:val="21"/>
        </w:rPr>
        <w:t>Physician’s Order &amp; Medical History</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T.C.A. § 68-11-201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and to provide a process for raising and resolving grievances, consistent with the ACLF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inform each resident of those rights, post complaint information, and respond to grievances without retaliation.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mental and physical abuse, neglect, exploitation, and improper physical or chemical restraint.</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possessions, to manage personal finances or receive an accounting, to communication and visitation, and to participate in decisions about services and care.</w:t>
      </w:r>
    </w:p>
    <w:p>
      <w:pPr>
        <w:pStyle w:val="Normal"/>
        <w:tabs>
          <w:tab w:val="left" w:pos="720" w:leader="none"/>
        </w:tabs>
        <w:spacing w:lineRule="exact" w:line="264" w:before="0" w:after="80"/>
        <w:ind w:hanging="360" w:start="720"/>
        <w:rPr/>
      </w:pPr>
      <w:r>
        <w:rPr>
          <w:rFonts w:eastAsia="Arial" w:cs="Arial"/>
          <w:sz w:val="21"/>
          <w:szCs w:val="21"/>
        </w:rPr>
        <w:t>c. Inform each resident of their rights, and where a resident’s right to be free from mental and physical abuse is violated, notify the Office of Licensure within the timeframe required by rule.</w:t>
      </w:r>
    </w:p>
    <w:p>
      <w:pPr>
        <w:pStyle w:val="Normal"/>
        <w:tabs>
          <w:tab w:val="left" w:pos="720" w:leader="none"/>
        </w:tabs>
        <w:spacing w:lineRule="exact" w:line="264" w:before="0" w:after="80"/>
        <w:ind w:hanging="360" w:start="720"/>
        <w:rPr/>
      </w:pPr>
      <w:r>
        <w:rPr>
          <w:rFonts w:eastAsia="Arial" w:cs="Arial"/>
          <w:sz w:val="21"/>
          <w:szCs w:val="21"/>
        </w:rPr>
        <w:t>d. Provide each resident written information about their rights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 &amp; COMPLAINTS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method to present a grievance, and post information on how to file a complaint with the Health Facilities Commission and how to contact the Long-Term Care Ombudsman.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or discriminate against any resident or employee because of information lawfully provided to the Commission, the Ombudsman, or other authorities, or cooperation with them.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Complaint Information Posting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Abuse Registry; T.C.A. § 71-6-101 et seq. (adult protection)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Tennessee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reports and investigates incidents as required by the ACLF rules, and does not employ any individual listed on the Tennessee Abuse Registry.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or exploitation of an adult to Tennessee Adult Protective Services and to law enforcement as applicable,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Notify the Office of Licensure / Health Facilities Commission of reportable events within the timeframes required by rule, and notify the resident’s physician and responsible party.</w:t>
      </w:r>
    </w:p>
    <w:p>
      <w:pPr>
        <w:pStyle w:val="Normal"/>
        <w:tabs>
          <w:tab w:val="left" w:pos="720" w:leader="none"/>
        </w:tabs>
        <w:spacing w:lineRule="exact" w:line="264" w:before="0" w:after="80"/>
        <w:ind w:hanging="360" w:start="720"/>
        <w:rPr/>
      </w:pPr>
      <w:r>
        <w:rPr>
          <w:rFonts w:eastAsia="Arial" w:cs="Arial"/>
          <w:sz w:val="21"/>
          <w:szCs w:val="21"/>
        </w:rPr>
        <w:t>c. Do not employ any person or use any attendant who is listed on the Department’s Abuse Registry; verify the Abuse Registry before hire and as required.</w:t>
      </w:r>
    </w:p>
    <w:p>
      <w:pPr>
        <w:pStyle w:val="Normal"/>
        <w:tabs>
          <w:tab w:val="left" w:pos="720" w:leader="none"/>
        </w:tabs>
        <w:spacing w:lineRule="exact" w:line="264" w:before="0" w:after="80"/>
        <w:ind w:hanging="360" w:start="720"/>
        <w:rPr/>
      </w:pPr>
      <w:r>
        <w:rPr>
          <w:rFonts w:eastAsia="Arial" w:cs="Arial"/>
          <w:sz w:val="21"/>
          <w:szCs w:val="21"/>
        </w:rPr>
        <w:t>d. Investigate each allegation, documenting facts, dates and times, individuals involved, and findings, institute corrective measures, and protect the reporting party from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APS / Law Enforcement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&amp; Facility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&amp; Facility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T.C.A. § 68-11-201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ACLF license issued by the Health Facilities Commission and operates within the terms of that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ACLF license (issued to the named person and premises, non-transferable, expiring annually on June 30), display it conspicuously, and operate in compliance with the ACLF rules and the terms of the license.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ACLF license issued by the Tennessee Health Facilities Commission, submit the annual renewal application and fee (based on the number of ACLF beds) before expiration, and display the license conspicuously.</w:t>
      </w:r>
    </w:p>
    <w:p>
      <w:pPr>
        <w:pStyle w:val="Normal"/>
        <w:tabs>
          <w:tab w:val="left" w:pos="720" w:leader="none"/>
        </w:tabs>
        <w:spacing w:lineRule="exact" w:line="264" w:before="0" w:after="80"/>
        <w:ind w:hanging="360" w:start="720"/>
        <w:rPr/>
      </w:pPr>
      <w:r>
        <w:rPr>
          <w:rFonts w:eastAsia="Arial" w:cs="Arial"/>
          <w:sz w:val="21"/>
          <w:szCs w:val="21"/>
        </w:rPr>
        <w:t>b. Operate only the premises and beds named on the license; report any proposed change of ownership, including a change in controlling interest, and any change of administrator as required.</w:t>
      </w:r>
    </w:p>
    <w:p>
      <w:pPr>
        <w:pStyle w:val="Normal"/>
        <w:tabs>
          <w:tab w:val="left" w:pos="720" w:leader="none"/>
        </w:tabs>
        <w:spacing w:lineRule="exact" w:line="264" w:before="0" w:after="80"/>
        <w:ind w:hanging="360" w:start="720"/>
        <w:rPr/>
      </w:pPr>
      <w:r>
        <w:rPr>
          <w:rFonts w:eastAsia="Arial" w:cs="Arial"/>
          <w:sz w:val="21"/>
          <w:szCs w:val="21"/>
        </w:rPr>
        <w:t>c. Where a deficiency is cited, submit a plan of correction to the Office of Licensure within the required timeframe and implement it.</w:t>
      </w:r>
    </w:p>
    <w:p>
      <w:pPr>
        <w:pStyle w:val="Normal"/>
        <w:tabs>
          <w:tab w:val="left" w:pos="720" w:leader="none"/>
        </w:tabs>
        <w:spacing w:lineRule="exact" w:line="264" w:before="0" w:after="80"/>
        <w:ind w:hanging="360" w:start="720"/>
        <w:rPr/>
      </w:pPr>
      <w:r>
        <w:rPr>
          <w:rFonts w:eastAsia="Arial" w:cs="Arial"/>
          <w:sz w:val="21"/>
          <w:szCs w:val="21"/>
        </w:rPr>
        <w:t>d. Retain licensure documentation in the administrative records and cooperate with Commission surveys and complaint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ACLF License</w:t>
      </w:r>
    </w:p>
    <w:p>
      <w:pPr>
        <w:pStyle w:val="ListParagraph"/>
        <w:numPr>
          <w:ilvl w:val="0"/>
          <w:numId w:val="1"/>
        </w:numPr>
        <w:spacing w:lineRule="exact" w:line="264" w:before="0" w:after="60"/>
        <w:rPr/>
      </w:pPr>
      <w:r>
        <w:rPr>
          <w:rFonts w:eastAsia="Arial" w:cs="Arial"/>
          <w:sz w:val="21"/>
          <w:szCs w:val="21"/>
        </w:rPr>
        <w:t>Renewal Application Record</w:t>
      </w:r>
    </w:p>
    <w:p>
      <w:pPr>
        <w:pStyle w:val="ListParagraph"/>
        <w:numPr>
          <w:ilvl w:val="0"/>
          <w:numId w:val="1"/>
        </w:numPr>
        <w:spacing w:lineRule="exact" w:line="264" w:before="0" w:after="60"/>
        <w:rPr/>
      </w:pPr>
      <w:r>
        <w:rPr>
          <w:rFonts w:eastAsia="Arial" w:cs="Arial"/>
          <w:sz w:val="21"/>
          <w:szCs w:val="21"/>
        </w:rPr>
        <w:t>Plan of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Abuse Registry verification and criminal background checks, orientation and annual in-service training, administrator certification, and the administrator, awake attendant, nurse-availability, and dietician staffing an ACLF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Background Checks &amp; Abuse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Attendant, Nurse &amp; Dietician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Background Checks &amp; Abuse Registry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Background Checks &amp; Abuse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Abuse Registry; TN background check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required background check and Abuse Registry verification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verify the Tennessee Abuse Registry and complete required criminal background checks before employing staff who provide resident care, shall not employ any individual listed on the Abuse Registry,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BACKGROUND SCREENING</w:t>
      </w:r>
    </w:p>
    <w:p>
      <w:pPr>
        <w:pStyle w:val="Normal"/>
        <w:tabs>
          <w:tab w:val="left" w:pos="720" w:leader="none"/>
        </w:tabs>
        <w:spacing w:lineRule="exact" w:line="264" w:before="0" w:after="80"/>
        <w:ind w:hanging="360" w:start="720"/>
        <w:rPr/>
      </w:pPr>
      <w:r>
        <w:rPr>
          <w:rFonts w:eastAsia="Arial" w:cs="Arial"/>
          <w:sz w:val="21"/>
          <w:szCs w:val="21"/>
        </w:rPr>
        <w:t>a. Verify the Tennessee Abuse Registry for each applicant and do not employ or use any person or attendant listed on the Registry; re-verify as required.</w:t>
      </w:r>
    </w:p>
    <w:p>
      <w:pPr>
        <w:pStyle w:val="Normal"/>
        <w:tabs>
          <w:tab w:val="left" w:pos="720" w:leader="none"/>
        </w:tabs>
        <w:spacing w:lineRule="exact" w:line="264" w:before="0" w:after="80"/>
        <w:ind w:hanging="360" w:start="720"/>
        <w:rPr/>
      </w:pPr>
      <w:r>
        <w:rPr>
          <w:rFonts w:eastAsia="Arial" w:cs="Arial"/>
          <w:sz w:val="21"/>
          <w:szCs w:val="21"/>
        </w:rPr>
        <w:t>b. Complete the required criminal background check for staff who provide direct resident care before employment, consistent with Tennessee requirements, and do not employ an individual with a disqualifying result.</w:t>
      </w:r>
    </w:p>
    <w:p>
      <w:pPr>
        <w:pStyle w:val="Normal"/>
        <w:tabs>
          <w:tab w:val="left" w:pos="720" w:leader="none"/>
        </w:tabs>
        <w:spacing w:lineRule="exact" w:line="264" w:before="0" w:after="80"/>
        <w:ind w:hanging="360" w:start="720"/>
        <w:rPr/>
      </w:pPr>
      <w:r>
        <w:rPr>
          <w:rFonts w:eastAsia="Arial" w:cs="Arial"/>
          <w:sz w:val="21"/>
          <w:szCs w:val="21"/>
        </w:rPr>
        <w:t>c. Maintain documentation of Abuse Registry verification and background checks in each personnel record.</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including tuberculosis screening as required, for staff who provide resident care.</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employment application, job description, qualifications and credentials, background screening,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the Health Facilities Commission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administrator certification (biennial)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are oriented and trained for their roles and that the administrator maintains certification, consistent with the ACLF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orientation and role-appropriate training to all staff, provide documented annual in-service training, and ensure the administrator maintains current certification.</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before independent assignment covering resident rights and abuse reporting and the Abuse Registry, emergency and disaster procedures, infection control and standard precautions, medication procedures within the staff member’s role, resident confidentiality, and the job’s specific duties.</w:t>
      </w:r>
    </w:p>
    <w:p>
      <w:pPr>
        <w:pStyle w:val="Normal"/>
        <w:tabs>
          <w:tab w:val="left" w:pos="720" w:leader="none"/>
        </w:tabs>
        <w:spacing w:lineRule="exact" w:line="264" w:before="0" w:after="80"/>
        <w:ind w:hanging="360" w:start="720"/>
        <w:rPr/>
      </w:pPr>
      <w:r>
        <w:rPr>
          <w:rFonts w:eastAsia="Arial" w:cs="Arial"/>
          <w:sz w:val="21"/>
          <w:szCs w:val="21"/>
        </w:rPr>
        <w:t>b. Provide hazardous-chemical (HazCom) training on the location and use of Safety Data Sheets as part of orientation, consistent with the Hazardous Chemicals policy.</w:t>
      </w:r>
    </w:p>
    <w:p>
      <w:pPr>
        <w:pStyle w:val="Normal"/>
        <w:tabs>
          <w:tab w:val="left" w:pos="720" w:leader="none"/>
        </w:tabs>
        <w:spacing w:lineRule="exact" w:line="264" w:before="0" w:after="80"/>
        <w:ind w:hanging="360" w:start="720"/>
        <w:rPr/>
      </w:pPr>
      <w:r>
        <w:rPr>
          <w:rFonts w:eastAsia="Arial" w:cs="Arial"/>
          <w:sz w:val="21"/>
          <w:szCs w:val="21"/>
        </w:rPr>
        <w:t>c. Provide documented annual in-service training and additional training on dementia care for staff assigned to a secured unit, consistent with the Secured Unit policy.</w:t>
      </w:r>
    </w:p>
    <w:p>
      <w:pPr>
        <w:pStyle w:val="Normal"/>
        <w:pBdr>
          <w:bottom w:val="single" w:sz="4" w:space="1" w:color="2E5E45"/>
        </w:pBdr>
        <w:spacing w:before="160" w:after="80"/>
        <w:rPr/>
      </w:pPr>
      <w:r>
        <w:rPr>
          <w:rFonts w:eastAsia="Arial" w:cs="Arial"/>
          <w:b/>
          <w:bCs/>
          <w:color w:val="1A4731"/>
          <w:sz w:val="20"/>
          <w:szCs w:val="20"/>
        </w:rPr>
        <w:t>PROCEDURE — ADMINISTRATOR CERTIFICATION &amp; COMPETENCY</w:t>
      </w:r>
    </w:p>
    <w:p>
      <w:pPr>
        <w:pStyle w:val="Normal"/>
        <w:tabs>
          <w:tab w:val="left" w:pos="720" w:leader="none"/>
        </w:tabs>
        <w:spacing w:lineRule="exact" w:line="264" w:before="0" w:after="80"/>
        <w:ind w:hanging="360" w:start="720"/>
        <w:rPr/>
      </w:pPr>
      <w:r>
        <w:rPr>
          <w:rFonts w:eastAsia="Arial" w:cs="Arial"/>
          <w:sz w:val="21"/>
          <w:szCs w:val="21"/>
        </w:rPr>
        <w:t>d. Ensure the administrator holds current ACLF administrator certification (or a licensed nursing home administrator license) and renews certification biennially on June 30, completing required continuing education.</w:t>
      </w:r>
    </w:p>
    <w:p>
      <w:pPr>
        <w:pStyle w:val="Normal"/>
        <w:tabs>
          <w:tab w:val="left" w:pos="720" w:leader="none"/>
        </w:tabs>
        <w:spacing w:lineRule="exact" w:line="264" w:before="0" w:after="80"/>
        <w:ind w:hanging="360" w:start="720"/>
        <w:rPr/>
      </w:pPr>
      <w:r>
        <w:rPr>
          <w:rFonts w:eastAsia="Arial" w:cs="Arial"/>
          <w:sz w:val="21"/>
          <w:szCs w:val="21"/>
        </w:rPr>
        <w:t>e. Verify competency for care tasks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competency, and certification records in the personnel files.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Annual In-Service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Attendant, Nurse &amp; Dietician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Attendant, Nurse &amp; Dietician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the administrator, awake attendant, nursing availability, and dietary staffing required for an ACLF, with sufficient staff to meet residents’ needs.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a certified administrator (or a licensed nursing home administrator), maintain a designated attendant who is awake and responsible for providing personal services to residents, have a licensed nurse available as needed, and use a qualified dietician on staff or as a consultant, with a sufficient number of staff to meet residents’ needs at all times.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 certified ACLF administrator (or a licensed nursing home administrator) responsible for the daily operation of the Facility.</w:t>
      </w:r>
    </w:p>
    <w:p>
      <w:pPr>
        <w:pStyle w:val="Normal"/>
        <w:tabs>
          <w:tab w:val="left" w:pos="720" w:leader="none"/>
        </w:tabs>
        <w:spacing w:lineRule="exact" w:line="264" w:before="0" w:after="80"/>
        <w:ind w:hanging="360" w:start="720"/>
        <w:rPr/>
      </w:pPr>
      <w:r>
        <w:rPr>
          <w:rFonts w:eastAsia="Arial" w:cs="Arial"/>
          <w:sz w:val="21"/>
          <w:szCs w:val="21"/>
        </w:rPr>
        <w:t>b. Maintain at all times a designated attendant who is awake and responsible for providing personal services to residents, and maintain a sufficient number of staff to meet each resident’s needs, including the need for personal services and emergency response (there is no fixed minimum ratio; staffing must be adequate to resident acuity and census, and must be demonstrable during surveys).</w:t>
      </w:r>
    </w:p>
    <w:p>
      <w:pPr>
        <w:pStyle w:val="Normal"/>
        <w:tabs>
          <w:tab w:val="left" w:pos="720" w:leader="none"/>
        </w:tabs>
        <w:spacing w:lineRule="exact" w:line="264" w:before="0" w:after="80"/>
        <w:ind w:hanging="360" w:start="720"/>
        <w:rPr/>
      </w:pPr>
      <w:r>
        <w:rPr>
          <w:rFonts w:eastAsia="Arial" w:cs="Arial"/>
          <w:sz w:val="21"/>
          <w:szCs w:val="21"/>
        </w:rPr>
        <w:t>c. Have a licensed nurse available as needed for the services the ACLF is permitted to provide, and coordinate any nursing, therapy, or other home-care services through a licensed home care organization.</w:t>
      </w:r>
    </w:p>
    <w:p>
      <w:pPr>
        <w:pStyle w:val="Normal"/>
        <w:tabs>
          <w:tab w:val="left" w:pos="720" w:leader="none"/>
        </w:tabs>
        <w:spacing w:lineRule="exact" w:line="264" w:before="0" w:after="80"/>
        <w:ind w:hanging="360" w:start="720"/>
        <w:rPr/>
      </w:pPr>
      <w:r>
        <w:rPr>
          <w:rFonts w:eastAsia="Arial" w:cs="Arial"/>
          <w:sz w:val="21"/>
          <w:szCs w:val="21"/>
        </w:rPr>
        <w:t>d. Use a qualified dietician (on staff or as a consultant) for menu planning and dietary oversight, consistent with the Dietary Services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 Schedule (awake attendant coverage)</w:t>
      </w:r>
    </w:p>
    <w:p>
      <w:pPr>
        <w:pStyle w:val="ListParagraph"/>
        <w:numPr>
          <w:ilvl w:val="0"/>
          <w:numId w:val="1"/>
        </w:numPr>
        <w:spacing w:lineRule="exact" w:line="264" w:before="0" w:after="60"/>
        <w:rPr/>
      </w:pPr>
      <w:r>
        <w:rPr>
          <w:rFonts w:eastAsia="Arial" w:cs="Arial"/>
          <w:sz w:val="21"/>
          <w:szCs w:val="21"/>
        </w:rPr>
        <w:t>Nurse Availability Record</w:t>
      </w:r>
    </w:p>
    <w:p>
      <w:pPr>
        <w:pStyle w:val="ListParagraph"/>
        <w:numPr>
          <w:ilvl w:val="0"/>
          <w:numId w:val="1"/>
        </w:numPr>
        <w:spacing w:lineRule="exact" w:line="264" w:before="0" w:after="60"/>
        <w:rPr/>
      </w:pPr>
      <w:r>
        <w:rPr>
          <w:rFonts w:eastAsia="Arial" w:cs="Arial"/>
          <w:sz w:val="21"/>
          <w:szCs w:val="21"/>
        </w:rPr>
        <w:t>Dietician Agreement / Consultation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resident assessment and service plan, non-medical living assistance and activities of daily living within the ACLF scope,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Assessment &amp;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Non-Medical Living Assistance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Assessment &amp;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Assessment &amp;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resident’s needs are assessed and addressed through a current service plan, consistent with the ACLF rules and the resident’s physician orders.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each resident’s needs at admission and on a change in condition, develop and maintain a service plan describing the non-medical living assistance and permitted medical services the Facility will provide, and coordinate any home care organization services the resident receives.</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Assess each resident at admission to confirm the resident meets the ambulatory and admission criteria and to identify the resident’s needs for non-medical living assistance and for permitted medical services (medication assistance/administration and emergency response).</w:t>
      </w:r>
    </w:p>
    <w:p>
      <w:pPr>
        <w:pStyle w:val="Normal"/>
        <w:tabs>
          <w:tab w:val="left" w:pos="720" w:leader="none"/>
        </w:tabs>
        <w:spacing w:lineRule="exact" w:line="264" w:before="0" w:after="80"/>
        <w:ind w:hanging="360" w:start="720"/>
        <w:rPr/>
      </w:pPr>
      <w:r>
        <w:rPr>
          <w:rFonts w:eastAsia="Arial" w:cs="Arial"/>
          <w:sz w:val="21"/>
          <w:szCs w:val="21"/>
        </w:rPr>
        <w:t>b. Reassess on a significant change in condition, and confirm that the resident’s needs continue to be within what the ACLF is permitted and able to provide.</w:t>
      </w:r>
    </w:p>
    <w:p>
      <w:pPr>
        <w:pStyle w:val="Normal"/>
        <w:tabs>
          <w:tab w:val="left" w:pos="720" w:leader="none"/>
        </w:tabs>
        <w:spacing w:lineRule="exact" w:line="264" w:before="0" w:after="80"/>
        <w:ind w:hanging="360" w:start="720"/>
        <w:rPr/>
      </w:pPr>
      <w:r>
        <w:rPr>
          <w:rFonts w:eastAsia="Arial" w:cs="Arial"/>
          <w:sz w:val="21"/>
          <w:szCs w:val="21"/>
        </w:rPr>
        <w:t>c. Where a resident’s needs exceed the ACLF scope or meet an admission exclusion, initiate transfer or discharge planning.</w:t>
      </w:r>
    </w:p>
    <w:p>
      <w:pPr>
        <w:pStyle w:val="Normal"/>
        <w:pBdr>
          <w:bottom w:val="single" w:sz="4" w:space="1" w:color="2E5E45"/>
        </w:pBdr>
        <w:spacing w:before="160" w:after="80"/>
        <w:rPr/>
      </w:pPr>
      <w:r>
        <w:rPr>
          <w:rFonts w:eastAsia="Arial" w:cs="Arial"/>
          <w:b/>
          <w:bCs/>
          <w:color w:val="1A4731"/>
          <w:sz w:val="20"/>
          <w:szCs w:val="20"/>
        </w:rPr>
        <w:t>PROCEDURE — SERVICE PLANNING</w:t>
      </w:r>
    </w:p>
    <w:p>
      <w:pPr>
        <w:pStyle w:val="Normal"/>
        <w:tabs>
          <w:tab w:val="left" w:pos="720" w:leader="none"/>
        </w:tabs>
        <w:spacing w:lineRule="exact" w:line="264" w:before="0" w:after="80"/>
        <w:ind w:hanging="360" w:start="720"/>
        <w:rPr/>
      </w:pPr>
      <w:r>
        <w:rPr>
          <w:rFonts w:eastAsia="Arial" w:cs="Arial"/>
          <w:sz w:val="21"/>
          <w:szCs w:val="21"/>
        </w:rPr>
        <w:t>d. Develop a service plan describing the assistance with activities of daily living and the permitted medical services the Facility will provide, based on the assessment and physician orders.</w:t>
      </w:r>
    </w:p>
    <w:p>
      <w:pPr>
        <w:pStyle w:val="Normal"/>
        <w:tabs>
          <w:tab w:val="left" w:pos="720" w:leader="none"/>
        </w:tabs>
        <w:spacing w:lineRule="exact" w:line="264" w:before="0" w:after="80"/>
        <w:ind w:hanging="360" w:start="720"/>
        <w:rPr/>
      </w:pPr>
      <w:r>
        <w:rPr>
          <w:rFonts w:eastAsia="Arial" w:cs="Arial"/>
          <w:sz w:val="21"/>
          <w:szCs w:val="21"/>
        </w:rPr>
        <w:t>e. Coordinate any part-time or intermittent nursing, therapy, medical social services, or durable medical equipment through a licensed home care organization, and coordinate hospice care where applicable.</w:t>
      </w:r>
    </w:p>
    <w:p>
      <w:pPr>
        <w:pStyle w:val="Normal"/>
        <w:tabs>
          <w:tab w:val="left" w:pos="720" w:leader="none"/>
        </w:tabs>
        <w:spacing w:lineRule="exact" w:line="264" w:before="0" w:after="80"/>
        <w:ind w:hanging="360" w:start="720"/>
        <w:rPr/>
      </w:pPr>
      <w:r>
        <w:rPr>
          <w:rFonts w:eastAsia="Arial" w:cs="Arial"/>
          <w:sz w:val="21"/>
          <w:szCs w:val="21"/>
        </w:rPr>
        <w:t>f. Review and update the service plan on change of condition, and document the services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Service Plan</w:t>
      </w:r>
    </w:p>
    <w:p>
      <w:pPr>
        <w:pStyle w:val="ListParagraph"/>
        <w:numPr>
          <w:ilvl w:val="0"/>
          <w:numId w:val="1"/>
        </w:numPr>
        <w:spacing w:lineRule="exact" w:line="264" w:before="0" w:after="60"/>
        <w:rPr/>
      </w:pPr>
      <w:r>
        <w:rPr>
          <w:rFonts w:eastAsia="Arial" w:cs="Arial"/>
          <w:sz w:val="21"/>
          <w:szCs w:val="21"/>
        </w:rPr>
        <w:t>Home Care Organization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Non-Medical Living Assistance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Non-Medical Living Assistance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non-medical living assistance, protective care, emergency response, and activities according to each resident’s service plan,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non-medical living assistance with activities of daily living, protective care and daily awareness of each resident’s whereabouts, readiness to intervene in a crisis, emergency response, and social and recreational activities, together with room, board, and laundry services.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non-medical living assistance with activities of daily living — such as assistance with mobility, bathing, dressing, grooming, personal hygiene, and eating — as identified in the service plan.</w:t>
      </w:r>
    </w:p>
    <w:p>
      <w:pPr>
        <w:pStyle w:val="Normal"/>
        <w:tabs>
          <w:tab w:val="left" w:pos="720" w:leader="none"/>
        </w:tabs>
        <w:spacing w:lineRule="exact" w:line="264" w:before="0" w:after="80"/>
        <w:ind w:hanging="360" w:start="720"/>
        <w:rPr/>
      </w:pPr>
      <w:r>
        <w:rPr>
          <w:rFonts w:eastAsia="Arial" w:cs="Arial"/>
          <w:sz w:val="21"/>
          <w:szCs w:val="21"/>
        </w:rPr>
        <w:t>b. Provide protective care, safety while in the ACLF, daily awareness of each resident’s whereabouts, and the ability and readiness to intervene if a crisis arises, and provide emergency response.</w:t>
      </w:r>
    </w:p>
    <w:p>
      <w:pPr>
        <w:pStyle w:val="Normal"/>
        <w:tabs>
          <w:tab w:val="left" w:pos="720" w:leader="none"/>
        </w:tabs>
        <w:spacing w:lineRule="exact" w:line="264" w:before="0" w:after="80"/>
        <w:ind w:hanging="360" w:start="720"/>
        <w:rPr/>
      </w:pPr>
      <w:r>
        <w:rPr>
          <w:rFonts w:eastAsia="Arial" w:cs="Arial"/>
          <w:sz w:val="21"/>
          <w:szCs w:val="21"/>
        </w:rPr>
        <w:t>c. Provide room and board, laundry services, a suitable and comfortable area for activities and family visits, current reading materials, and a telephone accessible to residents to make and receive personal calls 24 hours a day.</w:t>
      </w:r>
    </w:p>
    <w:p>
      <w:pPr>
        <w:pStyle w:val="Normal"/>
        <w:tabs>
          <w:tab w:val="left" w:pos="720" w:leader="none"/>
        </w:tabs>
        <w:spacing w:lineRule="exact" w:line="264" w:before="0" w:after="80"/>
        <w:ind w:hanging="360" w:start="720"/>
        <w:rPr/>
      </w:pPr>
      <w:r>
        <w:rPr>
          <w:rFonts w:eastAsia="Arial" w:cs="Arial"/>
          <w:sz w:val="21"/>
          <w:szCs w:val="21"/>
        </w:rPr>
        <w:t>d. Provide social and recreational activities, and report changes in a resident’s condition to the resident’s physician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 Non-Medical Assistance Record</w:t>
      </w:r>
    </w:p>
    <w:p>
      <w:pPr>
        <w:pStyle w:val="ListParagraph"/>
        <w:numPr>
          <w:ilvl w:val="0"/>
          <w:numId w:val="1"/>
        </w:numPr>
        <w:spacing w:lineRule="exact" w:line="264" w:before="0" w:after="60"/>
        <w:rPr/>
      </w:pPr>
      <w:r>
        <w:rPr>
          <w:rFonts w:eastAsia="Arial" w:cs="Arial"/>
          <w:sz w:val="21"/>
          <w:szCs w:val="21"/>
        </w:rPr>
        <w:t>Activity Calendar</w:t>
      </w:r>
    </w:p>
    <w:p>
      <w:pPr>
        <w:pStyle w:val="ListParagraph"/>
        <w:numPr>
          <w:ilvl w:val="0"/>
          <w:numId w:val="1"/>
        </w:numPr>
        <w:spacing w:lineRule="exact" w:line="264" w:before="0" w:after="60"/>
        <w:rPr/>
      </w:pPr>
      <w:r>
        <w:rPr>
          <w:rFonts w:eastAsia="Arial" w:cs="Arial"/>
          <w:sz w:val="21"/>
          <w:szCs w:val="21"/>
        </w:rPr>
        <w:t>Change-of-Condition Notification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at admission and on change of condition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resident’s physician and responsible party, and review through the performance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the ACLF rules — resident self-administration, the assistance staff may provide, and the ACLF’s limited authority to administer medications that are typically self-administered (oral, topical, suppository, and non-IV injection) pursuant to a physician’s order, plus secure storage and the safe handling of errors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Assistance &amp; Administration of Self-Administered Medications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Assistance &amp; Administration of Self-Administered Medications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Assistance &amp; Administration of Self-Administered Medications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self-administration definition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self-administer medications where able, that staff provide only the assistance permitted, and that any administration by the ACLF is limited to medications that are typically self-administered, all consistent with the ACLF rules and physician orders.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self-administer their own medications where able; staff may assist with self-administration; and the ACLF may directly administer medications that are typically self-administered — limited to oral medications, topicals, suppositories, and injections, excluding intravenous — pursuant to a physician’s order. The Facility shall store medications securely and maintain accurate medication records.</w:t>
      </w:r>
    </w:p>
    <w:p>
      <w:pPr>
        <w:pStyle w:val="Normal"/>
        <w:pBdr>
          <w:bottom w:val="single" w:sz="4" w:space="1" w:color="2E5E45"/>
        </w:pBdr>
        <w:spacing w:before="160" w:after="80"/>
        <w:rPr/>
      </w:pPr>
      <w:r>
        <w:rPr>
          <w:rFonts w:eastAsia="Arial" w:cs="Arial"/>
          <w:b/>
          <w:bCs/>
          <w:color w:val="1A4731"/>
          <w:sz w:val="20"/>
          <w:szCs w:val="20"/>
        </w:rPr>
        <w:t>PROCEDURE — SELF-ADMINISTRATION &amp; ASSISTANCE</w:t>
      </w:r>
    </w:p>
    <w:p>
      <w:pPr>
        <w:pStyle w:val="Normal"/>
        <w:tabs>
          <w:tab w:val="left" w:pos="720" w:leader="none"/>
        </w:tabs>
        <w:spacing w:lineRule="exact" w:line="264" w:before="0" w:after="80"/>
        <w:ind w:hanging="360" w:start="720"/>
        <w:rPr/>
      </w:pPr>
      <w:r>
        <w:rPr>
          <w:rFonts w:eastAsia="Arial" w:cs="Arial"/>
          <w:sz w:val="21"/>
          <w:szCs w:val="21"/>
        </w:rPr>
        <w:t>a. Support self-administration of medication for residents who are able — that is, residents who can administer medicine to themselves with no more than help reading labels, physically opening the container or packaging, being reminded of their medication, or being observed while taking it.</w:t>
      </w:r>
    </w:p>
    <w:p>
      <w:pPr>
        <w:pStyle w:val="Normal"/>
        <w:tabs>
          <w:tab w:val="left" w:pos="720" w:leader="none"/>
        </w:tabs>
        <w:spacing w:lineRule="exact" w:line="264" w:before="0" w:after="80"/>
        <w:ind w:hanging="360" w:start="720"/>
        <w:rPr/>
      </w:pPr>
      <w:r>
        <w:rPr>
          <w:rFonts w:eastAsia="Arial" w:cs="Arial"/>
          <w:sz w:val="21"/>
          <w:szCs w:val="21"/>
        </w:rPr>
        <w:t>b. Provide permitted assistance — reading labels, opening bottles, reminding residents of their medication, observing the resident while taking medication, and checking the self-administered dose against the physician’s order — consistent with the rules.</w:t>
      </w:r>
    </w:p>
    <w:p>
      <w:pPr>
        <w:pStyle w:val="Normal"/>
        <w:tabs>
          <w:tab w:val="left" w:pos="720" w:leader="none"/>
        </w:tabs>
        <w:spacing w:lineRule="exact" w:line="264" w:before="0" w:after="80"/>
        <w:ind w:hanging="360" w:start="720"/>
        <w:rPr/>
      </w:pPr>
      <w:r>
        <w:rPr>
          <w:rFonts w:eastAsia="Arial" w:cs="Arial"/>
          <w:sz w:val="21"/>
          <w:szCs w:val="21"/>
        </w:rPr>
        <w:t>c. Where the ACLF administers medications that are typically self-administered (oral, topical, suppository, and non-intravenous injections) pursuant to a physician’s order, ensure administration is performed by appropriately qualified staff consistent with the rules, and record each dose on the medication record.</w:t>
      </w:r>
    </w:p>
    <w:p>
      <w:pPr>
        <w:pStyle w:val="Normal"/>
        <w:tabs>
          <w:tab w:val="left" w:pos="720" w:leader="none"/>
        </w:tabs>
        <w:spacing w:lineRule="exact" w:line="264" w:before="0" w:after="80"/>
        <w:ind w:hanging="360" w:start="720"/>
        <w:rPr/>
      </w:pPr>
      <w:r>
        <w:rPr>
          <w:rFonts w:eastAsia="Arial" w:cs="Arial"/>
          <w:sz w:val="21"/>
          <w:szCs w:val="21"/>
        </w:rPr>
        <w:t>d. Do not provide intravenous medications or other services beyond the ACLF scope; coordinate any such needs through a licensed home care organization or initiate transfer where the need is an admission exclusion.</w:t>
      </w:r>
    </w:p>
    <w:p>
      <w:pPr>
        <w:pStyle w:val="Normal"/>
        <w:pBdr>
          <w:bottom w:val="single" w:sz="4" w:space="1" w:color="2E5E45"/>
        </w:pBdr>
        <w:spacing w:before="160" w:after="80"/>
        <w:rPr/>
      </w:pPr>
      <w:r>
        <w:rPr>
          <w:rFonts w:eastAsia="Arial" w:cs="Arial"/>
          <w:b/>
          <w:bCs/>
          <w:color w:val="1A4731"/>
          <w:sz w:val="20"/>
          <w:szCs w:val="20"/>
        </w:rPr>
        <w:t>PROCEDURE — STORAGE &amp; RECORDS</w:t>
      </w:r>
    </w:p>
    <w:p>
      <w:pPr>
        <w:pStyle w:val="Normal"/>
        <w:tabs>
          <w:tab w:val="left" w:pos="720" w:leader="none"/>
        </w:tabs>
        <w:spacing w:lineRule="exact" w:line="264" w:before="0" w:after="80"/>
        <w:ind w:hanging="360" w:start="720"/>
        <w:rPr/>
      </w:pPr>
      <w:r>
        <w:rPr>
          <w:rFonts w:eastAsia="Arial" w:cs="Arial"/>
          <w:sz w:val="21"/>
          <w:szCs w:val="21"/>
        </w:rPr>
        <w:t>e. Store medications securely so that no resident can obtain another resident’s medication, with controlled substances secured and access limited to authorized staff,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f. Maintain accurate medication records, obtain physician orders for medications the Facility assists with or administers, and reconcile medications at admission and at return from a hospital or other setting.</w:t>
      </w:r>
    </w:p>
    <w:p>
      <w:pPr>
        <w:pStyle w:val="Normal"/>
        <w:tabs>
          <w:tab w:val="left" w:pos="720" w:leader="none"/>
        </w:tabs>
        <w:spacing w:lineRule="exact" w:line="264" w:before="0" w:after="80"/>
        <w:ind w:hanging="360" w:start="720"/>
        <w:rPr/>
      </w:pPr>
      <w:r>
        <w:rPr>
          <w:rFonts w:eastAsia="Arial" w:cs="Arial"/>
          <w:sz w:val="21"/>
          <w:szCs w:val="21"/>
        </w:rPr>
        <w:t>g. Observe residents for effectiveness and adverse effects and report concerns to the physician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Administration / Assistance Record</w:t>
      </w:r>
    </w:p>
    <w:p>
      <w:pPr>
        <w:pStyle w:val="ListParagraph"/>
        <w:numPr>
          <w:ilvl w:val="0"/>
          <w:numId w:val="1"/>
        </w:numPr>
        <w:spacing w:lineRule="exact" w:line="264" w:before="0" w:after="60"/>
        <w:rPr/>
      </w:pPr>
      <w:r>
        <w:rPr>
          <w:rFonts w:eastAsia="Arial" w:cs="Arial"/>
          <w:sz w:val="21"/>
          <w:szCs w:val="21"/>
        </w:rPr>
        <w:t>Physician Medication Orders</w:t>
      </w:r>
    </w:p>
    <w:p>
      <w:pPr>
        <w:pStyle w:val="ListParagraph"/>
        <w:numPr>
          <w:ilvl w:val="0"/>
          <w:numId w:val="1"/>
        </w:numPr>
        <w:spacing w:lineRule="exact" w:line="264" w:before="0" w:after="60"/>
        <w:rPr/>
      </w:pPr>
      <w:r>
        <w:rPr>
          <w:rFonts w:eastAsia="Arial" w:cs="Arial"/>
          <w:sz w:val="21"/>
          <w:szCs w:val="21"/>
        </w:rPr>
        <w:t>Medication Reconciliation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storage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through the performance improvement program and as otherwise required, and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physician and responsible party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medication errors for patterns through the performance improvement program and report as required.</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Store medications securely so that no resident can access another resident’s medication, and maintain proper labeling and separation from hazardous chemicals.</w:t>
      </w:r>
    </w:p>
    <w:p>
      <w:pPr>
        <w:pStyle w:val="Normal"/>
        <w:tabs>
          <w:tab w:val="left" w:pos="720" w:leader="none"/>
        </w:tabs>
        <w:spacing w:lineRule="exact" w:line="264" w:before="0" w:after="80"/>
        <w:ind w:hanging="360" w:start="720"/>
        <w:rPr/>
      </w:pPr>
      <w:r>
        <w:rPr>
          <w:rFonts w:eastAsia="Arial" w:cs="Arial"/>
          <w:sz w:val="21"/>
          <w:szCs w:val="21"/>
        </w:rPr>
        <w:t>e. Dispose of discontinued, expired, or unused facility-held medications by a non-retrievable method, verified by a witness, documenting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disposal.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disaster response (including severe weather and earthquake), infection prevention and control with an annual influenza program (including COVID-19), hazardous-chemical safety, and the physical environment and dietary services required for an ACLF.</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Disaster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Disaster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Disaster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disaster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the ACLF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disaster plan, maintain fire-safety systems, train staff, conduct drills, and coordinate with local emergency services, accounting for residents’ life-safety evacuation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disaster plan addressing fire, severe cold and hot weather, earthquake, utility failure, evacuation and relocation, and continuity of resident care.</w:t>
      </w:r>
    </w:p>
    <w:p>
      <w:pPr>
        <w:pStyle w:val="Normal"/>
        <w:tabs>
          <w:tab w:val="left" w:pos="720" w:leader="none"/>
        </w:tabs>
        <w:spacing w:lineRule="exact" w:line="264" w:before="0" w:after="80"/>
        <w:ind w:hanging="360" w:start="720"/>
        <w:rPr/>
      </w:pPr>
      <w:r>
        <w:rPr>
          <w:rFonts w:eastAsia="Arial" w:cs="Arial"/>
          <w:sz w:val="21"/>
          <w:szCs w:val="21"/>
        </w:rPr>
        <w:t>b. Maintain fire-safety systems and equipment, and ensure staff capable of responding to an emergency are present at all times, consistent with the awake-attendant staffing requirement.</w:t>
      </w:r>
    </w:p>
    <w:p>
      <w:pPr>
        <w:pStyle w:val="Normal"/>
        <w:tabs>
          <w:tab w:val="left" w:pos="720" w:leader="none"/>
        </w:tabs>
        <w:spacing w:lineRule="exact" w:line="264" w:before="0" w:after="80"/>
        <w:ind w:hanging="360" w:start="720"/>
        <w:rPr/>
      </w:pPr>
      <w:r>
        <w:rPr>
          <w:rFonts w:eastAsia="Arial" w:cs="Arial"/>
          <w:sz w:val="21"/>
          <w:szCs w:val="21"/>
        </w:rPr>
        <w:t>c. Account for each resident’s ability to evacuate (the ambulatory and wheelchair-evacuation requirements) in emergency planning, and provide for residents who need assistance to evacuate.</w:t>
      </w:r>
    </w:p>
    <w:p>
      <w:pPr>
        <w:pStyle w:val="Normal"/>
        <w:tabs>
          <w:tab w:val="left" w:pos="720" w:leader="none"/>
        </w:tabs>
        <w:spacing w:lineRule="exact" w:line="264" w:before="0" w:after="80"/>
        <w:ind w:hanging="360" w:start="720"/>
        <w:rPr/>
      </w:pPr>
      <w:r>
        <w:rPr>
          <w:rFonts w:eastAsia="Arial" w:cs="Arial"/>
          <w:sz w:val="21"/>
          <w:szCs w:val="21"/>
        </w:rPr>
        <w:t>d. Conduct and document drills on the schedule required by rule (including fire drills),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CDC guidance; annual influenza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an influenza vaccination program, surveillance, and outbreak response.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adopt and use standard precautions in accordance with CDC guidelines for preventing transmission of infections, HIV, and communicable diseases, maintain a written communicable-disease protocol, maintain an annual influenza vaccination program, and respond to outbreaks including COVID-19.</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in accordance with CDC guidelines,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Maintain a written protocol so that neither a resident nor an employee with a reportable communicable disease resides or works in the setting except as the protocol permits, and maintain an annual influenza vaccination program.</w:t>
      </w:r>
    </w:p>
    <w:p>
      <w:pPr>
        <w:pStyle w:val="Normal"/>
        <w:tabs>
          <w:tab w:val="left" w:pos="720" w:leader="none"/>
        </w:tabs>
        <w:spacing w:lineRule="exact" w:line="264" w:before="0" w:after="80"/>
        <w:ind w:hanging="360" w:start="720"/>
        <w:rPr/>
      </w:pPr>
      <w:r>
        <w:rPr>
          <w:rFonts w:eastAsia="Arial" w:cs="Arial"/>
          <w:sz w:val="21"/>
          <w:szCs w:val="21"/>
        </w:rPr>
        <w:t>c. Provide staff training in infection control and communicable diseases, and support resident and staff access to recommended vaccinations (including seasonal influenza and COVID-19) consistent with current guidance.</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Tennessee Department of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performance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Influenza Vaccination Program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performance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dietary; physical plant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clean physical environment and to provide dietary services that meet residents’ nutritional needs, consistent with the ACLF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 and grounds in a safe, clean, and sanitary condition consistent with applicable building and fire-safety codes, and shall provide dietary services with planned menus, an adequate food supply, and a sanitary kitchen.</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a safe, clean, and sanitary condition consistent with the applicable International Building Code and fire-safety requirements (apartment-style private units are not required); ensure resident furniture provided meets applicable fire-safety standards.</w:t>
      </w:r>
    </w:p>
    <w:p>
      <w:pPr>
        <w:pStyle w:val="Normal"/>
        <w:tabs>
          <w:tab w:val="left" w:pos="720" w:leader="none"/>
        </w:tabs>
        <w:spacing w:lineRule="exact" w:line="264" w:before="0" w:after="80"/>
        <w:ind w:hanging="360" w:start="720"/>
        <w:rPr/>
      </w:pPr>
      <w:r>
        <w:rPr>
          <w:rFonts w:eastAsia="Arial" w:cs="Arial"/>
          <w:sz w:val="21"/>
          <w:szCs w:val="21"/>
        </w:rPr>
        <w:t>b. Maintain a telephone accessible to residents 24 hours a day, and suitable areas for activities and family visits.</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Use a qualified dietician (on staff or as a consultant) and plan menus at least one week in advance to meet residents’ nutritional needs, accommodating physician-ordered therapeutic diets.</w:t>
      </w:r>
    </w:p>
    <w:p>
      <w:pPr>
        <w:pStyle w:val="Normal"/>
        <w:tabs>
          <w:tab w:val="left" w:pos="720" w:leader="none"/>
        </w:tabs>
        <w:spacing w:lineRule="exact" w:line="264" w:before="0" w:after="80"/>
        <w:ind w:hanging="360" w:start="720"/>
        <w:rPr/>
      </w:pPr>
      <w:r>
        <w:rPr>
          <w:rFonts w:eastAsia="Arial" w:cs="Arial"/>
          <w:sz w:val="21"/>
          <w:szCs w:val="21"/>
        </w:rPr>
        <w:t>e. Maintain and properly store at least a 48-hour food supply at all times, and provide at least three meals per day with adequate dining space.</w:t>
      </w:r>
    </w:p>
    <w:p>
      <w:pPr>
        <w:pStyle w:val="Normal"/>
        <w:tabs>
          <w:tab w:val="left" w:pos="720" w:leader="none"/>
        </w:tabs>
        <w:spacing w:lineRule="exact" w:line="264" w:before="0" w:after="80"/>
        <w:ind w:hanging="360" w:start="720"/>
        <w:rPr/>
      </w:pPr>
      <w:r>
        <w:rPr>
          <w:rFonts w:eastAsia="Arial" w:cs="Arial"/>
          <w:sz w:val="21"/>
          <w:szCs w:val="21"/>
        </w:rPr>
        <w:t>f. Maintain the kitchen in a clean and sanitary condition and ensure dietary staff meet applicable food-safety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Plan (1 week advance)</w:t>
      </w:r>
    </w:p>
    <w:p>
      <w:pPr>
        <w:pStyle w:val="ListParagraph"/>
        <w:numPr>
          <w:ilvl w:val="0"/>
          <w:numId w:val="1"/>
        </w:numPr>
        <w:spacing w:lineRule="exact" w:line="264" w:before="0" w:after="60"/>
        <w:rPr/>
      </w:pPr>
      <w:r>
        <w:rPr>
          <w:rFonts w:eastAsia="Arial" w:cs="Arial"/>
          <w:sz w:val="21"/>
          <w:szCs w:val="21"/>
        </w:rPr>
        <w:t>Food Supply / Kitchen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facility-wide performance improvement program required by the ACLF rules and aligned with Joint Commission Assisted Living Community principles, and — where the Facility operates one — the additional requirements for a secured unit serving residents with dementia.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Performance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Secured Unit &amp;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the ACLF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Tennessee law, retain records as required, and make records available to the Health Facilities Commission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and emergency-contact information; the resident agreement; the resident’s medical history and physician consultations; the assessment and service plan; medication records; records of services provided; and discharge information.</w:t>
      </w:r>
    </w:p>
    <w:p>
      <w:pPr>
        <w:pStyle w:val="Normal"/>
        <w:tabs>
          <w:tab w:val="left" w:pos="720" w:leader="none"/>
        </w:tabs>
        <w:spacing w:lineRule="exact" w:line="264" w:before="0" w:after="80"/>
        <w:ind w:hanging="360" w:start="720"/>
        <w:rPr/>
      </w:pPr>
      <w:r>
        <w:rPr>
          <w:rFonts w:eastAsia="Arial" w:cs="Arial"/>
          <w:sz w:val="21"/>
          <w:szCs w:val="21"/>
        </w:rPr>
        <w:t>b. Retain records for the periods required by rule and maintain them securely.</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Performance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Performance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 facility-wide performance improvement); JC ALC principles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effective facility-wide performance improvement program that measures performance, addresses deficiencies, and sustains a culture of safety, as required by the ACLF rules and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develop and implement an effective facility-wide performance improvement program, address deficiencies identified by the program, document the outcome of remedial action, support non-punitive reporting, and maintain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administrator and ownership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Develop and implement a facility-wide performance improvement plan, identify meaningful measures aligned with Joint Commission ALC performance domains, and collect and analyze data on them.</w:t>
      </w:r>
    </w:p>
    <w:p>
      <w:pPr>
        <w:pStyle w:val="Normal"/>
        <w:tabs>
          <w:tab w:val="left" w:pos="720" w:leader="none"/>
        </w:tabs>
        <w:spacing w:lineRule="exact" w:line="264" w:before="0" w:after="80"/>
        <w:ind w:hanging="360" w:start="720"/>
        <w:rPr/>
      </w:pPr>
      <w:r>
        <w:rPr>
          <w:rFonts w:eastAsia="Arial" w:cs="Arial"/>
          <w:sz w:val="21"/>
          <w:szCs w:val="21"/>
        </w:rPr>
        <w:t>d. Address deficiencies identified by the program, implement remedial action, and document the outcome.</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administrator and ownership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Performance Improvement Plan</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Secured Unit &amp;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Secured Unit &amp;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HFC Rules Ch. 0720-26 (ACLF — secured unit)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 secured unit — a distinct part of the ACLF where residents are intentionally denied egress except as necessary to comply with life-safety requirements — typically to serve residents with dementia who are not in the latter stages of Alzheimer’s disease. This policy applies only where the Facility operates a secured unit.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 secured unit, it shall maintain the distinct, physically identifiable unit and life-safety egress required by the rules, provide dementia-appropriate care and staff training, and continue to apply the admission exclusion for residents in the latter stages of Alzheimer’s disease or related disorders,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UNIT STRUCTURE &amp; LIFE SAFETY</w:t>
      </w:r>
    </w:p>
    <w:p>
      <w:pPr>
        <w:pStyle w:val="Normal"/>
        <w:tabs>
          <w:tab w:val="left" w:pos="720" w:leader="none"/>
        </w:tabs>
        <w:spacing w:lineRule="exact" w:line="264" w:before="0" w:after="80"/>
        <w:ind w:hanging="360" w:start="720"/>
        <w:rPr/>
      </w:pPr>
      <w:r>
        <w:rPr>
          <w:rFonts w:eastAsia="Arial" w:cs="Arial"/>
          <w:sz w:val="21"/>
          <w:szCs w:val="21"/>
        </w:rPr>
        <w:t>a. Operate the secured unit as a distinct part that is physically identifiable and operated distinguishably from the rest of the Facility, consisting of all the beds within the unit (for example, a separate building, floor, wing, or ward).</w:t>
      </w:r>
    </w:p>
    <w:p>
      <w:pPr>
        <w:pStyle w:val="Normal"/>
        <w:tabs>
          <w:tab w:val="left" w:pos="720" w:leader="none"/>
        </w:tabs>
        <w:spacing w:lineRule="exact" w:line="264" w:before="0" w:after="80"/>
        <w:ind w:hanging="360" w:start="720"/>
        <w:rPr/>
      </w:pPr>
      <w:r>
        <w:rPr>
          <w:rFonts w:eastAsia="Arial" w:cs="Arial"/>
          <w:sz w:val="21"/>
          <w:szCs w:val="21"/>
        </w:rPr>
        <w:t>b. Ensure residents are intentionally denied egress only as the secured-unit rules permit, and provide egress as necessary to comply with life-safety requirements, including during fire and other emergencies.</w:t>
      </w:r>
    </w:p>
    <w:p>
      <w:pPr>
        <w:pStyle w:val="Normal"/>
        <w:tabs>
          <w:tab w:val="left" w:pos="720" w:leader="none"/>
        </w:tabs>
        <w:spacing w:lineRule="exact" w:line="264" w:before="0" w:after="80"/>
        <w:ind w:hanging="360" w:start="720"/>
        <w:rPr/>
      </w:pPr>
      <w:r>
        <w:rPr>
          <w:rFonts w:eastAsia="Arial" w:cs="Arial"/>
          <w:sz w:val="21"/>
          <w:szCs w:val="21"/>
        </w:rPr>
        <w:t>c. Maintain a physical environment and monitoring appropriate to residents with cognitive impairment, minimizing elopement risk while preserving life-safety evacuation.</w:t>
      </w:r>
    </w:p>
    <w:p>
      <w:pPr>
        <w:pStyle w:val="Normal"/>
        <w:pBdr>
          <w:bottom w:val="single" w:sz="4" w:space="1" w:color="2E5E45"/>
        </w:pBdr>
        <w:spacing w:before="160" w:after="80"/>
        <w:rPr/>
      </w:pPr>
      <w:r>
        <w:rPr>
          <w:rFonts w:eastAsia="Arial" w:cs="Arial"/>
          <w:b/>
          <w:bCs/>
          <w:color w:val="1A4731"/>
          <w:sz w:val="20"/>
          <w:szCs w:val="20"/>
        </w:rPr>
        <w:t>PROCEDURE — ADMISSION, CARE &amp; TRAINING</w:t>
      </w:r>
    </w:p>
    <w:p>
      <w:pPr>
        <w:pStyle w:val="Normal"/>
        <w:tabs>
          <w:tab w:val="left" w:pos="720" w:leader="none"/>
        </w:tabs>
        <w:spacing w:lineRule="exact" w:line="264" w:before="0" w:after="80"/>
        <w:ind w:hanging="360" w:start="720"/>
        <w:rPr/>
      </w:pPr>
      <w:r>
        <w:rPr>
          <w:rFonts w:eastAsia="Arial" w:cs="Arial"/>
          <w:sz w:val="21"/>
          <w:szCs w:val="21"/>
        </w:rPr>
        <w:t>d. Apply the admission criteria: do not admit or retain a resident who is in the latter stages of Alzheimer’s disease or related disorders, and reassess residents whose dementia progresses to that stage for transfer or discharge.</w:t>
      </w:r>
    </w:p>
    <w:p>
      <w:pPr>
        <w:pStyle w:val="Normal"/>
        <w:tabs>
          <w:tab w:val="left" w:pos="720" w:leader="none"/>
        </w:tabs>
        <w:spacing w:lineRule="exact" w:line="264" w:before="0" w:after="80"/>
        <w:ind w:hanging="360" w:start="720"/>
        <w:rPr/>
      </w:pPr>
      <w:r>
        <w:rPr>
          <w:rFonts w:eastAsia="Arial" w:cs="Arial"/>
          <w:sz w:val="21"/>
          <w:szCs w:val="21"/>
        </w:rPr>
        <w:t>e. Provide dementia-appropriate care and activities, and provide staff assigned to the secured unit with additional training in dementia care, behavioral approaches, communication, wandering and egress, and emergency evacuation of residents with cognitive impairment.</w:t>
      </w:r>
    </w:p>
    <w:p>
      <w:pPr>
        <w:pStyle w:val="Normal"/>
        <w:tabs>
          <w:tab w:val="left" w:pos="720" w:leader="none"/>
        </w:tabs>
        <w:spacing w:lineRule="exact" w:line="264" w:before="0" w:after="80"/>
        <w:ind w:hanging="360" w:start="720"/>
        <w:rPr/>
      </w:pPr>
      <w:r>
        <w:rPr>
          <w:rFonts w:eastAsia="Arial" w:cs="Arial"/>
          <w:sz w:val="21"/>
          <w:szCs w:val="21"/>
        </w:rPr>
        <w:t>f. Review secured-unit incidents, including elopement risk and behavioral events, through the performance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Secured Unit Designation &amp; Life-Safety Egress Record</w:t>
      </w:r>
    </w:p>
    <w:p>
      <w:pPr>
        <w:pStyle w:val="ListParagraph"/>
        <w:numPr>
          <w:ilvl w:val="0"/>
          <w:numId w:val="1"/>
        </w:numPr>
        <w:spacing w:lineRule="exact" w:line="264" w:before="0" w:after="60"/>
        <w:rPr/>
      </w:pPr>
      <w:r>
        <w:rPr>
          <w:rFonts w:eastAsia="Arial" w:cs="Arial"/>
          <w:sz w:val="21"/>
          <w:szCs w:val="21"/>
        </w:rPr>
        <w:t>Dementia Care Training Records</w:t>
      </w:r>
    </w:p>
    <w:p>
      <w:pPr>
        <w:pStyle w:val="ListParagraph"/>
        <w:numPr>
          <w:ilvl w:val="0"/>
          <w:numId w:val="1"/>
        </w:numPr>
        <w:spacing w:lineRule="exact" w:line="264" w:before="0" w:after="60"/>
        <w:rPr/>
      </w:pPr>
      <w:r>
        <w:rPr>
          <w:rFonts w:eastAsia="Arial" w:cs="Arial"/>
          <w:sz w:val="21"/>
          <w:szCs w:val="21"/>
        </w:rPr>
        <w:t>Secured Unit Incident / Elopement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Tennessee agencies and resources, guidance on customizing the manual (including which Tennessee category this manual is for and the agency/rule note),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Tennessee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Resident Agreement</w:t>
      </w:r>
    </w:p>
    <w:p>
      <w:pPr>
        <w:pStyle w:val="ListParagraph"/>
        <w:numPr>
          <w:ilvl w:val="0"/>
          <w:numId w:val="1"/>
        </w:numPr>
        <w:spacing w:lineRule="exact" w:line="264" w:before="0" w:after="60"/>
        <w:rPr/>
      </w:pPr>
      <w:r>
        <w:rPr>
          <w:rFonts w:eastAsia="Arial" w:cs="Arial"/>
          <w:sz w:val="21"/>
          <w:szCs w:val="21"/>
        </w:rPr>
        <w:t>Pre-Admission / Ambulatory Screening</w:t>
      </w:r>
    </w:p>
    <w:p>
      <w:pPr>
        <w:pStyle w:val="ListParagraph"/>
        <w:numPr>
          <w:ilvl w:val="0"/>
          <w:numId w:val="1"/>
        </w:numPr>
        <w:spacing w:lineRule="exact" w:line="264" w:before="0" w:after="60"/>
        <w:rPr/>
      </w:pPr>
      <w:r>
        <w:rPr>
          <w:rFonts w:eastAsia="Arial" w:cs="Arial"/>
          <w:sz w:val="21"/>
          <w:szCs w:val="21"/>
        </w:rPr>
        <w:t>Physician’s Order &amp; Medical History</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Complaint Information Posting</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APS / Law Enforcement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ACLF License</w:t>
      </w:r>
    </w:p>
    <w:p>
      <w:pPr>
        <w:pStyle w:val="ListParagraph"/>
        <w:numPr>
          <w:ilvl w:val="0"/>
          <w:numId w:val="1"/>
        </w:numPr>
        <w:spacing w:lineRule="exact" w:line="264" w:before="0" w:after="60"/>
        <w:rPr/>
      </w:pPr>
      <w:r>
        <w:rPr>
          <w:rFonts w:eastAsia="Arial" w:cs="Arial"/>
          <w:sz w:val="21"/>
          <w:szCs w:val="21"/>
        </w:rPr>
        <w:t>Renewal Application Record</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Annual In-Service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Staffing Plan / Schedule (awake attendant)</w:t>
      </w:r>
    </w:p>
    <w:p>
      <w:pPr>
        <w:pStyle w:val="ListParagraph"/>
        <w:numPr>
          <w:ilvl w:val="0"/>
          <w:numId w:val="1"/>
        </w:numPr>
        <w:spacing w:lineRule="exact" w:line="264" w:before="0" w:after="60"/>
        <w:rPr/>
      </w:pPr>
      <w:r>
        <w:rPr>
          <w:rFonts w:eastAsia="Arial" w:cs="Arial"/>
          <w:sz w:val="21"/>
          <w:szCs w:val="21"/>
        </w:rPr>
        <w:t>Nurse Availability Record</w:t>
      </w:r>
    </w:p>
    <w:p>
      <w:pPr>
        <w:pStyle w:val="ListParagraph"/>
        <w:numPr>
          <w:ilvl w:val="0"/>
          <w:numId w:val="1"/>
        </w:numPr>
        <w:spacing w:lineRule="exact" w:line="264" w:before="0" w:after="60"/>
        <w:rPr/>
      </w:pPr>
      <w:r>
        <w:rPr>
          <w:rFonts w:eastAsia="Arial" w:cs="Arial"/>
          <w:sz w:val="21"/>
          <w:szCs w:val="21"/>
        </w:rPr>
        <w:t>Dietician Agreement / Consultation Record</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Service Plan</w:t>
      </w:r>
    </w:p>
    <w:p>
      <w:pPr>
        <w:pStyle w:val="ListParagraph"/>
        <w:numPr>
          <w:ilvl w:val="0"/>
          <w:numId w:val="1"/>
        </w:numPr>
        <w:spacing w:lineRule="exact" w:line="264" w:before="0" w:after="60"/>
        <w:rPr/>
      </w:pPr>
      <w:r>
        <w:rPr>
          <w:rFonts w:eastAsia="Arial" w:cs="Arial"/>
          <w:sz w:val="21"/>
          <w:szCs w:val="21"/>
        </w:rPr>
        <w:t>Home Care Organization Coordination Record</w:t>
      </w:r>
    </w:p>
    <w:p>
      <w:pPr>
        <w:pStyle w:val="ListParagraph"/>
        <w:numPr>
          <w:ilvl w:val="0"/>
          <w:numId w:val="1"/>
        </w:numPr>
        <w:spacing w:lineRule="exact" w:line="264" w:before="0" w:after="60"/>
        <w:rPr/>
      </w:pPr>
      <w:r>
        <w:rPr>
          <w:rFonts w:eastAsia="Arial" w:cs="Arial"/>
          <w:sz w:val="21"/>
          <w:szCs w:val="21"/>
        </w:rPr>
        <w:t>ADL / Non-Medical Assistance Record</w:t>
      </w:r>
    </w:p>
    <w:p>
      <w:pPr>
        <w:pStyle w:val="ListParagraph"/>
        <w:numPr>
          <w:ilvl w:val="0"/>
          <w:numId w:val="1"/>
        </w:numPr>
        <w:spacing w:lineRule="exact" w:line="264" w:before="0" w:after="60"/>
        <w:rPr/>
      </w:pPr>
      <w:r>
        <w:rPr>
          <w:rFonts w:eastAsia="Arial" w:cs="Arial"/>
          <w:sz w:val="21"/>
          <w:szCs w:val="21"/>
        </w:rPr>
        <w:t>Activity Calendar</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Administration / Assistance Record</w:t>
      </w:r>
    </w:p>
    <w:p>
      <w:pPr>
        <w:pStyle w:val="ListParagraph"/>
        <w:numPr>
          <w:ilvl w:val="0"/>
          <w:numId w:val="1"/>
        </w:numPr>
        <w:spacing w:lineRule="exact" w:line="264" w:before="0" w:after="60"/>
        <w:rPr/>
      </w:pPr>
      <w:r>
        <w:rPr>
          <w:rFonts w:eastAsia="Arial" w:cs="Arial"/>
          <w:sz w:val="21"/>
          <w:szCs w:val="21"/>
        </w:rPr>
        <w:t>Physician Medication Orders</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Influenza Vaccination Program Record</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Plan &amp; Food Supply / Kitchen Sanitation Log</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Performance Improvement Plan &amp; PDSA / Root-Cause Records</w:t>
      </w:r>
    </w:p>
    <w:p>
      <w:pPr>
        <w:pStyle w:val="ListParagraph"/>
        <w:numPr>
          <w:ilvl w:val="0"/>
          <w:numId w:val="1"/>
        </w:numPr>
        <w:spacing w:lineRule="exact" w:line="264" w:before="0" w:after="60"/>
        <w:rPr/>
      </w:pPr>
      <w:r>
        <w:rPr>
          <w:rFonts w:eastAsia="Arial" w:cs="Arial"/>
          <w:sz w:val="21"/>
          <w:szCs w:val="21"/>
        </w:rPr>
        <w:t>Secured Unit Designation &amp; Dementia Care Training Records (if secured unit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Tennessee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names, addresses,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Health Facilities Commission (HFC), Division of Licensure and Regulation — Andrew Jackson State Building, 502 Deaderick Street, 9th Floor, Nashville, TN 37243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TN HFC Rules Chapter 0720-26 — Assisted-Care Living Facilities (transferred from Dept. of Health Ch. 1200-08-25 per Public Chapter 1119 of 2022, eff. 7/1/2022)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T.C.A. § 68-11-201 et seq. (long-term care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 Abuse Registry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Abuse Registry; criminal background check for staff providing resident care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Adult Protective Services (1-888-277-8366); law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Long-Term Care Ombudsman Program (Commission on Aging and Disability)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Department of Health (communicable disease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TennCare CHOICES (assisted living for CHOICES members); Statewide Elderly and Disabled HCBS waiver — optional payer layer</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Categories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Residential Homes for the Aged (RHA) now licensed by the Dept. of Disability and Aging — see the separate RHA manual; Adult Care Homes are a separate small-home category</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the Tennessee Health Facilities Commission Rules for Assisted-Care Living Facilities (Chapter 0720-26) and T.C.A. § 68-11-201 et seq.,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an ASSISTED-CARE LIVING FACILITY (ACLF) — Tennessee’s licensed assisted living category, regulated by the Health Facilities Commission. An ACLF serves primarily aged, ambulatory residents, provides non-medical living assistance, and may assist with or administer medications that are typically self-administered (oral, topical, suppository, and non-IV injection) plus emergency response, with other clinical services delivered through a licensed home care organization. If your setting is a Residential Home for the Aged (RHA) — a lighter category now licensed by the Tennessee Department of Disability and Aging, where residents must self-administer medication and the home provides personal services only — use the separate Tennessee Residential Home for the Aged manual instead.</w:t>
      </w:r>
    </w:p>
    <w:p>
      <w:pPr>
        <w:pStyle w:val="Normal"/>
        <w:spacing w:lineRule="exact" w:line="276" w:before="0" w:after="120"/>
        <w:rPr/>
      </w:pPr>
      <w:r>
        <w:rPr>
          <w:rFonts w:eastAsia="Arial" w:cs="Arial"/>
          <w:sz w:val="21"/>
          <w:szCs w:val="21"/>
        </w:rPr>
        <w:t>Agency and rule note. Tennessee transferred the ACLF rules out of the Department of Health (former Chapter 1200-08-25) to the Health Facilities Commission (Chapter 0720-26) effective July 1, 2022, and in November 2025 the Commission consolidated to a single Nashville office. Many older references still cite the Department of Health and 1200-08-25; this manual is built to the current Health Facilities Commission framework. Verify the current chapter and agency contacts in Appendix B before relying on them.</w:t>
      </w:r>
    </w:p>
    <w:p>
      <w:pPr>
        <w:pStyle w:val="Normal"/>
        <w:spacing w:lineRule="exact" w:line="276" w:before="0" w:after="120"/>
        <w:rPr/>
      </w:pPr>
      <w:r>
        <w:rPr>
          <w:rFonts w:eastAsia="Arial" w:cs="Arial"/>
          <w:sz w:val="21"/>
          <w:szCs w:val="21"/>
        </w:rPr>
        <w:t>Secured unit / dementia care. Where the Facility operates a secured unit, the Secured Unit &amp; Dementia Care policy applies the additional requirements; use it only if you operate a secured unit. Note that a resident in the latter stages of Alzheimer’s disease or related disorders is an admission exclusion for an ACLF, so a secured unit serves residents with earlier or mid-stage dementia.</w:t>
      </w:r>
    </w:p>
    <w:p>
      <w:pPr>
        <w:pStyle w:val="Normal"/>
        <w:spacing w:lineRule="exact" w:line="276" w:before="0" w:after="120"/>
        <w:rPr/>
      </w:pPr>
      <w:r>
        <w:rPr>
          <w:rFonts w:eastAsia="Arial" w:cs="Arial"/>
          <w:sz w:val="21"/>
          <w:szCs w:val="21"/>
        </w:rPr>
        <w:t>Medicaid. TennCare CHOICES is an optional payer layer for eligible residents, with a room-and-board cap for CHOICES members; if you participate, maintain the additional CHOICES documentation. This manual is built to the ACLF licensing framework.</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Commission survey; confirm your license and renewal, administrator certification, awake-attendant staffing and nurse availability, the ambulatory and admission criteria, the self-administration and medication policy, and your Abuse Registry and background-check process;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Assisted-Care Living Facility under the Tennessee Health Facilities Commission rules, including the Facility’s obligations, the grievance procedure, and the contact information for the Long-Term Care Ombudsman and the Health Facilities Commission.</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Responsible party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Assisted-Care Living Facility (ACLF)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Assisted-Care Living Facility (ACLF)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2026-07-01T14:39:13Z</dcterms:created>
  <dc:creator>PolicyReady.org</dc:creator>
  <dc:description/>
  <dc:language>en-US</dc:language>
  <cp:lastModifiedBy>Un-named</cp:lastModifiedBy>
  <dcterms:modified xsi:type="dcterms:W3CDTF">2026-07-01T14:39:13Z</dcterms:modified>
  <cp:revision>1</cp:revision>
  <dc:subject/>
  <dc:title>Tennessee Assisted-Care Living Facility (ACLF) Policy &amp; Procedure Manual</dc:title>
</cp:coreProperties>
</file>