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TEXAS</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Assisted Living Facility — Type A &amp; Type B</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[HHSC License Number]</w:t>
      </w:r>
    </w:p>
    <w:p>
      <w:pPr>
        <w:pStyle w:val="Normal"/>
        <w:spacing w:before="1600" w:after="0"/>
        <w:jc w:val="center"/>
        <w:rPr/>
      </w:pPr>
      <w:r>
        <w:rPr>
          <w:rFonts w:eastAsia="Arial" w:cs="Arial"/>
          <w:color w:val="666666"/>
          <w:sz w:val="18"/>
          <w:szCs w:val="18"/>
        </w:rPr>
        <w:t>Aligned to 26 TAC Chapter 553 and Health &amp; Safety Code Chapter 247</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protects, and resolves concerns for the residents it serves under its HHSC license. It covers Type A / Type B admission and placement, the Resident’s Bill of Rights, incident and abuse reporting, resident funds, and land-use compliance.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Type A / Type B Placement &amp; Continued Residency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Incident Reporting &amp; Self-Reporting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Zoning &amp; Local Land Use Compliance</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Type A / Type B Placement &amp; Continued Residency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Type A / Type B Placement &amp; Continued Residency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Health &amp; Safety Code Chapter 247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determines whether an individual is appropriate for admission and continued residency within its license type, consistent with 26 Texas Administrative Code, Chapter 553, and Health and Safety Code, Chapter 247.</w:t>
      </w:r>
    </w:p>
    <w:p>
      <w:pPr>
        <w:pStyle w:val="Normal"/>
        <w:pBdr>
          <w:bottom w:val="single" w:sz="4" w:space="1" w:color="2E5E45"/>
        </w:pBdr>
        <w:spacing w:before="160" w:after="80"/>
        <w:rPr/>
      </w:pPr>
      <w:r>
        <w:rPr>
          <w:rFonts w:eastAsia="Arial" w:cs="Arial"/>
          <w:b/>
          <w:bCs/>
          <w:color w:val="1A4731"/>
          <w:sz w:val="20"/>
          <w:szCs w:val="20"/>
        </w:rPr>
        <w:t>SCOPE OF SERVICE &amp; LICENSE TYPE</w:t>
      </w:r>
    </w:p>
    <w:p>
      <w:pPr>
        <w:pStyle w:val="Normal"/>
        <w:spacing w:lineRule="exact" w:line="276" w:before="0" w:after="120"/>
        <w:rPr/>
      </w:pPr>
      <w:r>
        <w:rPr>
          <w:rFonts w:eastAsia="Arial" w:cs="Arial"/>
          <w:sz w:val="21"/>
          <w:szCs w:val="21"/>
        </w:rPr>
        <w:t>This Facility is licensed by the Texas Health and Human Services Commission (HHSC) as an assisted living facility under 26 TAC Chapter 553. HHSC licenses ALFs by the residents’ physical and mental ability to evacuate in an emergency and whether they require nighttime attendance. A Type A facility serves residents who are physically and mentally capable of evacuating unassisted, do not require routine attendance during sleeping hours, and can follow directions in an emergency. A Type B facility serves residents who may require staff assistance to evacuate, may be incapable of following directions in an emergency, require staff attendance during nighttime sleeping hours, and may require assistance transferring. The Facility shall accept and retain only residents whose needs fall within its license type.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each resident before or upon admission, develop an individualized service plan, and admit or retain only residents whose needs can be met within the Facility’s license type and scope of services.</w:t>
      </w:r>
    </w:p>
    <w:p>
      <w:pPr>
        <w:pStyle w:val="Normal"/>
        <w:pBdr>
          <w:bottom w:val="single" w:sz="4" w:space="1" w:color="2E5E45"/>
        </w:pBdr>
        <w:spacing w:before="160" w:after="80"/>
        <w:rPr/>
      </w:pPr>
      <w:r>
        <w:rPr>
          <w:rFonts w:eastAsia="Arial" w:cs="Arial"/>
          <w:b/>
          <w:bCs/>
          <w:color w:val="1A4731"/>
          <w:sz w:val="20"/>
          <w:szCs w:val="20"/>
        </w:rPr>
        <w:t>PROCEDURE — ASSESSMENT &amp; SERVICE PLAN</w:t>
      </w:r>
    </w:p>
    <w:p>
      <w:pPr>
        <w:pStyle w:val="Normal"/>
        <w:tabs>
          <w:tab w:val="left" w:pos="720" w:leader="none"/>
        </w:tabs>
        <w:spacing w:lineRule="exact" w:line="264" w:before="0" w:after="80"/>
        <w:ind w:hanging="360" w:start="720"/>
        <w:rPr/>
      </w:pPr>
      <w:r>
        <w:rPr>
          <w:rFonts w:eastAsia="Arial" w:cs="Arial"/>
          <w:sz w:val="21"/>
          <w:szCs w:val="21"/>
        </w:rPr>
        <w:t>a. Assess each resident before or upon admission and develop an individualized service plan that matches the care provided (activities of daily living, medication support, mobility, and other needs).</w:t>
      </w:r>
    </w:p>
    <w:p>
      <w:pPr>
        <w:pStyle w:val="Normal"/>
        <w:tabs>
          <w:tab w:val="left" w:pos="720" w:leader="none"/>
        </w:tabs>
        <w:spacing w:lineRule="exact" w:line="264" w:before="0" w:after="80"/>
        <w:ind w:hanging="360" w:start="720"/>
        <w:rPr/>
      </w:pPr>
      <w:r>
        <w:rPr>
          <w:rFonts w:eastAsia="Arial" w:cs="Arial"/>
          <w:sz w:val="21"/>
          <w:szCs w:val="21"/>
        </w:rPr>
        <w:t>b. Obtain a physician’s or practitioner’s assessment/medical evaluation as required by Chapter 553, and document the resident’s diagnoses, medications, and needs.</w:t>
      </w:r>
    </w:p>
    <w:p>
      <w:pPr>
        <w:pStyle w:val="Normal"/>
        <w:tabs>
          <w:tab w:val="left" w:pos="720" w:leader="none"/>
        </w:tabs>
        <w:spacing w:lineRule="exact" w:line="264" w:before="0" w:after="80"/>
        <w:ind w:hanging="360" w:start="720"/>
        <w:rPr/>
      </w:pPr>
      <w:r>
        <w:rPr>
          <w:rFonts w:eastAsia="Arial" w:cs="Arial"/>
          <w:sz w:val="21"/>
          <w:szCs w:val="21"/>
        </w:rPr>
        <w:t>c. Provide each resident, at or before admission, a copy of the Resident’s Bill of Rights and the Facility’s disclosure statement, and execute a residency agreement.</w:t>
      </w:r>
    </w:p>
    <w:p>
      <w:pPr>
        <w:pStyle w:val="Normal"/>
        <w:pBdr>
          <w:bottom w:val="single" w:sz="4" w:space="1" w:color="2E5E45"/>
        </w:pBdr>
        <w:spacing w:before="160" w:after="80"/>
        <w:rPr/>
      </w:pPr>
      <w:r>
        <w:rPr>
          <w:rFonts w:eastAsia="Arial" w:cs="Arial"/>
          <w:b/>
          <w:bCs/>
          <w:color w:val="1A4731"/>
          <w:sz w:val="20"/>
          <w:szCs w:val="20"/>
        </w:rPr>
        <w:t>PROCEDURE — TYPE A / TYPE B ADMISSION CRITERIA</w:t>
      </w:r>
    </w:p>
    <w:p>
      <w:pPr>
        <w:pStyle w:val="Normal"/>
        <w:tabs>
          <w:tab w:val="left" w:pos="720" w:leader="none"/>
        </w:tabs>
        <w:spacing w:lineRule="exact" w:line="264" w:before="0" w:after="80"/>
        <w:ind w:hanging="360" w:start="720"/>
        <w:rPr/>
      </w:pPr>
      <w:r>
        <w:rPr>
          <w:rFonts w:eastAsia="Arial" w:cs="Arial"/>
          <w:sz w:val="21"/>
          <w:szCs w:val="21"/>
        </w:rPr>
        <w:t>d. Type A: accept only residents who are physically and mentally capable of evacuating the Facility unassisted, do not require routine attendance during nighttime sleeping hours, and are capable of following directions in an emergency.</w:t>
      </w:r>
    </w:p>
    <w:p>
      <w:pPr>
        <w:pStyle w:val="Normal"/>
        <w:tabs>
          <w:tab w:val="left" w:pos="720" w:leader="none"/>
        </w:tabs>
        <w:spacing w:lineRule="exact" w:line="264" w:before="0" w:after="80"/>
        <w:ind w:hanging="360" w:start="720"/>
        <w:rPr/>
      </w:pPr>
      <w:r>
        <w:rPr>
          <w:rFonts w:eastAsia="Arial" w:cs="Arial"/>
          <w:sz w:val="21"/>
          <w:szCs w:val="21"/>
        </w:rPr>
        <w:t>e. Type B: a facility with a Type B license may accept residents who require staff assistance to evacuate, are incapable of following directions in an emergency, require staff attendance during nighttime sleeping hours, and require assistance transferring to and from a wheelchair — but may not retain a resident who is permanently bedfast or requires care beyond the license type.</w:t>
      </w:r>
    </w:p>
    <w:p>
      <w:pPr>
        <w:pStyle w:val="Normal"/>
        <w:tabs>
          <w:tab w:val="left" w:pos="720" w:leader="none"/>
        </w:tabs>
        <w:spacing w:lineRule="exact" w:line="264" w:before="0" w:after="80"/>
        <w:ind w:hanging="360" w:start="720"/>
        <w:rPr/>
      </w:pPr>
      <w:r>
        <w:rPr>
          <w:rFonts w:eastAsia="Arial" w:cs="Arial"/>
          <w:sz w:val="21"/>
          <w:szCs w:val="21"/>
        </w:rPr>
        <w:t>f. Do not admit or retain a resident whose needs exceed the Facility’s license type; where a resident’s condition changes so that needs exceed the license type, follow the discharge/relocation procedure.</w:t>
      </w:r>
    </w:p>
    <w:p>
      <w:pPr>
        <w:pStyle w:val="Normal"/>
        <w:tabs>
          <w:tab w:val="left" w:pos="720" w:leader="none"/>
        </w:tabs>
        <w:spacing w:lineRule="exact" w:line="264" w:before="0" w:after="80"/>
        <w:ind w:hanging="360" w:start="720"/>
        <w:rPr/>
      </w:pPr>
      <w:r>
        <w:rPr>
          <w:rFonts w:eastAsia="Arial" w:cs="Arial"/>
          <w:sz w:val="21"/>
          <w:szCs w:val="21"/>
        </w:rPr>
        <w:t>g. Where the Facility provides services to residents with Alzheimer’s disease or related conditions, or advertises or markets such care, comply with the Alzheimer’s/Memory Care Certification policy (Type B with certification).</w:t>
      </w:r>
    </w:p>
    <w:p>
      <w:pPr>
        <w:pStyle w:val="Normal"/>
        <w:pBdr>
          <w:bottom w:val="single" w:sz="4" w:space="1" w:color="2E5E45"/>
        </w:pBdr>
        <w:spacing w:before="160" w:after="80"/>
        <w:rPr/>
      </w:pPr>
      <w:r>
        <w:rPr>
          <w:rFonts w:eastAsia="Arial" w:cs="Arial"/>
          <w:b/>
          <w:bCs/>
          <w:color w:val="1A4731"/>
          <w:sz w:val="20"/>
          <w:szCs w:val="20"/>
        </w:rPr>
        <w:t>PROCEDURE — CONTINUED RESIDENCY &amp; DISCHARGE</w:t>
      </w:r>
    </w:p>
    <w:p>
      <w:pPr>
        <w:pStyle w:val="Normal"/>
        <w:tabs>
          <w:tab w:val="left" w:pos="720" w:leader="none"/>
        </w:tabs>
        <w:spacing w:lineRule="exact" w:line="264" w:before="0" w:after="80"/>
        <w:ind w:hanging="360" w:start="720"/>
        <w:rPr/>
      </w:pPr>
      <w:r>
        <w:rPr>
          <w:rFonts w:eastAsia="Arial" w:cs="Arial"/>
          <w:sz w:val="21"/>
          <w:szCs w:val="21"/>
        </w:rPr>
        <w:t>h. Monitor each resident’s continued appropriateness for the license type and scope of services.</w:t>
      </w:r>
    </w:p>
    <w:p>
      <w:pPr>
        <w:pStyle w:val="Normal"/>
        <w:tabs>
          <w:tab w:val="left" w:pos="720" w:leader="none"/>
        </w:tabs>
        <w:spacing w:lineRule="exact" w:line="264" w:before="0" w:after="80"/>
        <w:ind w:hanging="360" w:start="720"/>
        <w:rPr/>
      </w:pPr>
      <w:r>
        <w:rPr>
          <w:rFonts w:eastAsia="Arial" w:cs="Arial"/>
          <w:sz w:val="21"/>
          <w:szCs w:val="21"/>
        </w:rPr>
        <w:t>i. Where the Facility must discharge or relocate a resident, provide the notice required by Chapter 553 and coordinate the transfer with the resident, the resident’s legal representative, and the receiving provider.</w:t>
      </w:r>
    </w:p>
    <w:p>
      <w:pPr>
        <w:pStyle w:val="Normal"/>
        <w:tabs>
          <w:tab w:val="left" w:pos="720" w:leader="none"/>
        </w:tabs>
        <w:spacing w:lineRule="exact" w:line="264" w:before="0" w:after="80"/>
        <w:ind w:hanging="360" w:start="720"/>
        <w:rPr/>
      </w:pPr>
      <w:r>
        <w:rPr>
          <w:rFonts w:eastAsia="Arial" w:cs="Arial"/>
          <w:sz w:val="21"/>
          <w:szCs w:val="21"/>
        </w:rPr>
        <w:t>j. Document the basis for discharge or relocation and the coordination of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Resident Assessment &amp; Individualized Service Plan</w:t>
      </w:r>
    </w:p>
    <w:p>
      <w:pPr>
        <w:pStyle w:val="ListParagraph"/>
        <w:numPr>
          <w:ilvl w:val="0"/>
          <w:numId w:val="1"/>
        </w:numPr>
        <w:spacing w:lineRule="exact" w:line="264" w:before="0" w:after="60"/>
        <w:rPr/>
      </w:pPr>
      <w:r>
        <w:rPr>
          <w:rFonts w:eastAsia="Arial" w:cs="Arial"/>
          <w:sz w:val="21"/>
          <w:szCs w:val="21"/>
        </w:rPr>
        <w:t>Physician / Practitioner Medical Evaluation</w:t>
      </w:r>
    </w:p>
    <w:p>
      <w:pPr>
        <w:pStyle w:val="ListParagraph"/>
        <w:numPr>
          <w:ilvl w:val="0"/>
          <w:numId w:val="1"/>
        </w:numPr>
        <w:spacing w:lineRule="exact" w:line="264" w:before="0" w:after="60"/>
        <w:rPr/>
      </w:pPr>
      <w:r>
        <w:rPr>
          <w:rFonts w:eastAsia="Arial" w:cs="Arial"/>
          <w:sz w:val="21"/>
          <w:szCs w:val="21"/>
        </w:rPr>
        <w:t>Residency Agreement &amp; Disclosure Statement</w:t>
      </w:r>
    </w:p>
    <w:p>
      <w:pPr>
        <w:pStyle w:val="ListParagraph"/>
        <w:numPr>
          <w:ilvl w:val="0"/>
          <w:numId w:val="1"/>
        </w:numPr>
        <w:spacing w:lineRule="exact" w:line="264" w:before="0" w:after="60"/>
        <w:rPr/>
      </w:pPr>
      <w:r>
        <w:rPr>
          <w:rFonts w:eastAsia="Arial" w:cs="Arial"/>
          <w:sz w:val="21"/>
          <w:szCs w:val="21"/>
        </w:rPr>
        <w:t>Notice of Discharge / Relocation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(Resident’s Bill of Rights); Health &amp; Safety Code Chapter 247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as guaranteed by the Resident’s Bill of Rights in 26 TAC Chapter 553 and Health and Safety Code Chapter 247, and to provide a process for raising and resolving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observe and protect the rights of each resident, provide each resident a written copy of the Resident’s Bill of Rights at admission, and post the Long-Term Care Ombudsman and complaint contact information.</w:t>
      </w:r>
    </w:p>
    <w:p>
      <w:pPr>
        <w:pStyle w:val="Normal"/>
        <w:pBdr>
          <w:bottom w:val="single" w:sz="4" w:space="1" w:color="2E5E45"/>
        </w:pBdr>
        <w:spacing w:before="160" w:after="80"/>
        <w:rPr/>
      </w:pPr>
      <w:r>
        <w:rPr>
          <w:rFonts w:eastAsia="Arial" w:cs="Arial"/>
          <w:b/>
          <w:bCs/>
          <w:color w:val="1A4731"/>
          <w:sz w:val="20"/>
          <w:szCs w:val="20"/>
        </w:rPr>
        <w:t>PROCEDURE — RESIDENT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be treated with dignity and respect and to be free from abuse, neglect, and exploitation.</w:t>
      </w:r>
    </w:p>
    <w:p>
      <w:pPr>
        <w:pStyle w:val="Normal"/>
        <w:tabs>
          <w:tab w:val="left" w:pos="720" w:leader="none"/>
        </w:tabs>
        <w:spacing w:lineRule="exact" w:line="264" w:before="0" w:after="80"/>
        <w:ind w:hanging="360" w:start="720"/>
        <w:rPr/>
      </w:pPr>
      <w:r>
        <w:rPr>
          <w:rFonts w:eastAsia="Arial" w:cs="Arial"/>
          <w:sz w:val="21"/>
          <w:szCs w:val="21"/>
        </w:rPr>
        <w:t>b. Ensure the right to privacy, to manage personal finances, to retain personal possessions, and to unrestricted private communication and visitation consistent with rule.</w:t>
      </w:r>
    </w:p>
    <w:p>
      <w:pPr>
        <w:pStyle w:val="Normal"/>
        <w:tabs>
          <w:tab w:val="left" w:pos="720" w:leader="none"/>
        </w:tabs>
        <w:spacing w:lineRule="exact" w:line="264" w:before="0" w:after="80"/>
        <w:ind w:hanging="360" w:start="720"/>
        <w:rPr/>
      </w:pPr>
      <w:r>
        <w:rPr>
          <w:rFonts w:eastAsia="Arial" w:cs="Arial"/>
          <w:sz w:val="21"/>
          <w:szCs w:val="21"/>
        </w:rPr>
        <w:t>c. Ensure the right to participate in the development of and decisions about the resident’s service plan and to refuse treatment.</w:t>
      </w:r>
    </w:p>
    <w:p>
      <w:pPr>
        <w:pStyle w:val="Normal"/>
        <w:tabs>
          <w:tab w:val="left" w:pos="720" w:leader="none"/>
        </w:tabs>
        <w:spacing w:lineRule="exact" w:line="264" w:before="0" w:after="80"/>
        <w:ind w:hanging="360" w:start="720"/>
        <w:rPr/>
      </w:pPr>
      <w:r>
        <w:rPr>
          <w:rFonts w:eastAsia="Arial" w:cs="Arial"/>
          <w:sz w:val="21"/>
          <w:szCs w:val="21"/>
        </w:rPr>
        <w:t>d. Ensure the right to voice grievances and recommend changes without restraint, interference, coercion, discrimination, or reprisal, and the right to access the Long-Term Care Ombudsman.</w:t>
      </w:r>
    </w:p>
    <w:p>
      <w:pPr>
        <w:pStyle w:val="Normal"/>
        <w:tabs>
          <w:tab w:val="left" w:pos="720" w:leader="none"/>
        </w:tabs>
        <w:spacing w:lineRule="exact" w:line="264" w:before="0" w:after="80"/>
        <w:ind w:hanging="360" w:start="720"/>
        <w:rPr/>
      </w:pPr>
      <w:r>
        <w:rPr>
          <w:rFonts w:eastAsia="Arial" w:cs="Arial"/>
          <w:sz w:val="21"/>
          <w:szCs w:val="21"/>
        </w:rPr>
        <w:t>e. Provide each resident a written copy of the Resident’s Bill of Rights upon admission and obtain acknowledgment.</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f. Provide residents and representatives a documented method to present a grievance, and post the Long-Term Care Ombudsman number (1-800-252-2412) and the HHSC complaint number.</w:t>
      </w:r>
    </w:p>
    <w:p>
      <w:pPr>
        <w:pStyle w:val="Normal"/>
        <w:tabs>
          <w:tab w:val="left" w:pos="720" w:leader="none"/>
        </w:tabs>
        <w:spacing w:lineRule="exact" w:line="264" w:before="0" w:after="80"/>
        <w:ind w:hanging="360" w:start="720"/>
        <w:rPr/>
      </w:pPr>
      <w:r>
        <w:rPr>
          <w:rFonts w:eastAsia="Arial" w:cs="Arial"/>
          <w:sz w:val="21"/>
          <w:szCs w:val="21"/>
        </w:rPr>
        <w:t>g.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h. Do not retaliate against any resident who presents a grievance or contacts the Ombudsman or HHSC.</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Resident’s Bill of Rights &amp;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Incident Reporting &amp; Self-Reporting of Abuse, Neglect &amp; Exploitation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Incident Reporting &amp; Self-Reporting of Abuse, Neglect &amp; Exploitation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Health &amp; Safety Code Chapters 247, 260A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and allegations of abuse, neglect, and exploitation are identified, responded to, reported to HHSC and other authorities, and investigated within the required timeframes.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report and self-report incidents and allegations of abuse, neglect, and exploitation as required by Health and Safety Code Chapter 260A and 26 TAC Chapter 553, and maintain documentation of each incident and investigation.</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and respond to incidents involving a resident, protecting the resident’s immediate health and safety.</w:t>
      </w:r>
    </w:p>
    <w:p>
      <w:pPr>
        <w:pStyle w:val="Normal"/>
        <w:tabs>
          <w:tab w:val="left" w:pos="720" w:leader="none"/>
        </w:tabs>
        <w:spacing w:lineRule="exact" w:line="264" w:before="0" w:after="80"/>
        <w:ind w:hanging="360" w:start="720"/>
        <w:rPr/>
      </w:pPr>
      <w:r>
        <w:rPr>
          <w:rFonts w:eastAsia="Arial" w:cs="Arial"/>
          <w:sz w:val="21"/>
          <w:szCs w:val="21"/>
        </w:rPr>
        <w:t>b. Report and self-report abuse, neglect, and exploitation to HHSC (and to the Department of Family and Protective Services and law enforcement as applicable) within the timeframes required by Chapter 260A.</w:t>
      </w:r>
    </w:p>
    <w:p>
      <w:pPr>
        <w:pStyle w:val="Normal"/>
        <w:tabs>
          <w:tab w:val="left" w:pos="720" w:leader="none"/>
        </w:tabs>
        <w:spacing w:lineRule="exact" w:line="264" w:before="0" w:after="80"/>
        <w:ind w:hanging="360" w:start="720"/>
        <w:rPr/>
      </w:pPr>
      <w:r>
        <w:rPr>
          <w:rFonts w:eastAsia="Arial" w:cs="Arial"/>
          <w:sz w:val="21"/>
          <w:szCs w:val="21"/>
        </w:rPr>
        <w:t>c. Immediately remove from resident contact and suspend any employee who is listed on the Employee Misconduct Registry or Nurse Aide Registry, or who is otherwise designated unemployable, consistent with current law (including HB 1009 abuse-registry suspension).</w:t>
      </w:r>
    </w:p>
    <w:p>
      <w:pPr>
        <w:pStyle w:val="Normal"/>
        <w:tabs>
          <w:tab w:val="left" w:pos="720" w:leader="none"/>
        </w:tabs>
        <w:spacing w:lineRule="exact" w:line="264" w:before="0" w:after="80"/>
        <w:ind w:hanging="360" w:start="720"/>
        <w:rPr/>
      </w:pPr>
      <w:r>
        <w:rPr>
          <w:rFonts w:eastAsia="Arial" w:cs="Arial"/>
          <w:sz w:val="21"/>
          <w:szCs w:val="21"/>
        </w:rPr>
        <w:t>d. Document each incident, the investigation, individuals involved, and the corrective action taken, and review incidents through the quality improvement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Registry Check &amp; Suspension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Health &amp; Safety Code Chapter 247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personal property where the Facility manages or holds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not required to manage resident funds. Where the Facility holds or manages a resident’s funds or property, it shall do so under written authorization, maintain records and separate accounting, and return funds and property with a final accounting on discharge or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receiving, holding, or managing any resident funds or property, and maintain a written record of all funds and property received.</w:t>
      </w:r>
    </w:p>
    <w:p>
      <w:pPr>
        <w:pStyle w:val="Normal"/>
        <w:tabs>
          <w:tab w:val="left" w:pos="720" w:leader="none"/>
        </w:tabs>
        <w:spacing w:lineRule="exact" w:line="264" w:before="0" w:after="80"/>
        <w:ind w:hanging="360" w:start="720"/>
        <w:rPr/>
      </w:pPr>
      <w:r>
        <w:rPr>
          <w:rFonts w:eastAsia="Arial" w:cs="Arial"/>
          <w:sz w:val="21"/>
          <w:szCs w:val="21"/>
        </w:rPr>
        <w:t>b. Maintain a separate accounting for each resident, record each deposit and disbursement with supporting documentation, and keep resident funds separate from Facility operating funds.</w:t>
      </w:r>
    </w:p>
    <w:p>
      <w:pPr>
        <w:pStyle w:val="Normal"/>
        <w:tabs>
          <w:tab w:val="left" w:pos="720" w:leader="none"/>
        </w:tabs>
        <w:spacing w:lineRule="exact" w:line="264" w:before="0" w:after="80"/>
        <w:ind w:hanging="360" w:start="720"/>
        <w:rPr/>
      </w:pPr>
      <w:r>
        <w:rPr>
          <w:rFonts w:eastAsia="Arial" w:cs="Arial"/>
          <w:sz w:val="21"/>
          <w:szCs w:val="21"/>
        </w:rPr>
        <w:t>c. Provide the resident or representative access to the accounting on request, and provide a quarterly or on-request statement as applicable.</w:t>
      </w:r>
    </w:p>
    <w:p>
      <w:pPr>
        <w:pStyle w:val="Normal"/>
        <w:tabs>
          <w:tab w:val="left" w:pos="720" w:leader="none"/>
        </w:tabs>
        <w:spacing w:lineRule="exact" w:line="264" w:before="0" w:after="80"/>
        <w:ind w:hanging="360" w:start="720"/>
        <w:rPr/>
      </w:pPr>
      <w:r>
        <w:rPr>
          <w:rFonts w:eastAsia="Arial" w:cs="Arial"/>
          <w:sz w:val="21"/>
          <w:szCs w:val="21"/>
        </w:rPr>
        <w:t>d. Return all funds and property with a final accounting upon discharge or death, and comply with any bonding or safeguarding requirements under rule.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Funds &amp; Property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Zoning &amp; Local Land Use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Zoning &amp; Local Land Use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Local zoning / land use code; Health &amp; Safety Code Chapter 247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operates in a location and use classification permitted under applicable local land use regulations, in addition to its HHSC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HHSC license does not by itself authorize operation at a given location. The Facility shall confirm that its use is permitted under the applicable local zoning and land use code and shall retain documentation of that confirmation.</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the property’s zone district and confirm whether an assisted living facility of the intended size and type is a permitted or conditional use through the local city or county land use code.</w:t>
      </w:r>
    </w:p>
    <w:p>
      <w:pPr>
        <w:pStyle w:val="Normal"/>
        <w:tabs>
          <w:tab w:val="left" w:pos="720" w:leader="none"/>
        </w:tabs>
        <w:spacing w:lineRule="exact" w:line="264" w:before="0" w:after="80"/>
        <w:ind w:hanging="360" w:start="720"/>
        <w:rPr/>
      </w:pPr>
      <w:r>
        <w:rPr>
          <w:rFonts w:eastAsia="Arial" w:cs="Arial"/>
          <w:sz w:val="21"/>
          <w:szCs w:val="21"/>
        </w:rPr>
        <w:t>b. Request a zoning verification with the local planning department before establishing or relocating the Facility, and confirm any conditional use approval, parking, and dimensional standards.</w:t>
      </w:r>
    </w:p>
    <w:p>
      <w:pPr>
        <w:pStyle w:val="Normal"/>
        <w:tabs>
          <w:tab w:val="left" w:pos="720" w:leader="none"/>
        </w:tabs>
        <w:spacing w:lineRule="exact" w:line="264" w:before="0" w:after="80"/>
        <w:ind w:hanging="360" w:start="720"/>
        <w:rPr/>
      </w:pPr>
      <w:r>
        <w:rPr>
          <w:rFonts w:eastAsia="Arial" w:cs="Arial"/>
          <w:sz w:val="21"/>
          <w:szCs w:val="21"/>
        </w:rPr>
        <w:t>c. Confirm the building, fire, and life-safety occupancy basis for the Facility with the local building and fire authorities, including the fire alarm, smoke detection, and any sprinkler requirements under NFPA standards applicable to the size and type.</w:t>
      </w:r>
    </w:p>
    <w:p>
      <w:pPr>
        <w:pStyle w:val="Normal"/>
        <w:tabs>
          <w:tab w:val="left" w:pos="720" w:leader="none"/>
        </w:tabs>
        <w:spacing w:lineRule="exact" w:line="264" w:before="0" w:after="80"/>
        <w:ind w:hanging="360" w:start="720"/>
        <w:rPr/>
      </w:pPr>
      <w:r>
        <w:rPr>
          <w:rFonts w:eastAsia="Arial" w:cs="Arial"/>
          <w:sz w:val="21"/>
          <w:szCs w:val="21"/>
        </w:rPr>
        <w:t>d. Retain written confirmation of zoning, use classification, and fire-safety approvals in the Facility’s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Zoning / Use Classification Confirmation (retained correspondence)</w:t>
      </w:r>
    </w:p>
    <w:p>
      <w:pPr>
        <w:pStyle w:val="ListParagraph"/>
        <w:numPr>
          <w:ilvl w:val="0"/>
          <w:numId w:val="1"/>
        </w:numPr>
        <w:spacing w:lineRule="exact" w:line="264" w:before="0" w:after="60"/>
        <w:rPr/>
      </w:pPr>
      <w:r>
        <w:rPr>
          <w:rFonts w:eastAsia="Arial" w:cs="Arial"/>
          <w:sz w:val="21"/>
          <w:szCs w:val="21"/>
        </w:rPr>
        <w:t>Fire Marshal / Life-Safety Approval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to do it — criminal history and registry checks, health documentation, the dementia training now required of all staff (HB 1673), continuing education and competency, and the qualifications and 24-hour course required of the manager.</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Criminal History &amp; Registry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Training, Dementia Training &amp; Continuing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Manager / Administrator Qualifications &amp; Responsibilities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Criminal History &amp; Registry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Criminal History &amp; Registry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&amp; Safety Code Chapter 250; 26 TAC Chapter 553; HB 1009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employee is screened and suitable to work with residents through criminal history and registry checks, and meets health documentation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conduct a criminal history check and the required registry checks for each employee before the employee provides services, and shall not employ or retain any individual barred by law or listed on a disqualifying registry.</w:t>
      </w:r>
    </w:p>
    <w:p>
      <w:pPr>
        <w:pStyle w:val="Normal"/>
        <w:pBdr>
          <w:bottom w:val="single" w:sz="4" w:space="1" w:color="2E5E45"/>
        </w:pBdr>
        <w:spacing w:before="160" w:after="80"/>
        <w:rPr/>
      </w:pPr>
      <w:r>
        <w:rPr>
          <w:rFonts w:eastAsia="Arial" w:cs="Arial"/>
          <w:b/>
          <w:bCs/>
          <w:color w:val="1A4731"/>
          <w:sz w:val="20"/>
          <w:szCs w:val="20"/>
        </w:rPr>
        <w:t>PROCEDURE — CRIMINAL HISTORY &amp; REGISTRIES</w:t>
      </w:r>
    </w:p>
    <w:p>
      <w:pPr>
        <w:pStyle w:val="Normal"/>
        <w:tabs>
          <w:tab w:val="left" w:pos="720" w:leader="none"/>
        </w:tabs>
        <w:spacing w:lineRule="exact" w:line="264" w:before="0" w:after="80"/>
        <w:ind w:hanging="360" w:start="720"/>
        <w:rPr/>
      </w:pPr>
      <w:r>
        <w:rPr>
          <w:rFonts w:eastAsia="Arial" w:cs="Arial"/>
          <w:sz w:val="21"/>
          <w:szCs w:val="21"/>
        </w:rPr>
        <w:t>a. Conduct a criminal history check for each employee before the employee begins working in the Facility, consistent with Health and Safety Code Chapter 250.</w:t>
      </w:r>
    </w:p>
    <w:p>
      <w:pPr>
        <w:pStyle w:val="Normal"/>
        <w:tabs>
          <w:tab w:val="left" w:pos="720" w:leader="none"/>
        </w:tabs>
        <w:spacing w:lineRule="exact" w:line="264" w:before="0" w:after="80"/>
        <w:ind w:hanging="360" w:start="720"/>
        <w:rPr/>
      </w:pPr>
      <w:r>
        <w:rPr>
          <w:rFonts w:eastAsia="Arial" w:cs="Arial"/>
          <w:sz w:val="21"/>
          <w:szCs w:val="21"/>
        </w:rPr>
        <w:t>b. Check the Nurse Aide Registry and the Employee Misconduct Registry (EMR) before hiring and at the required intervals, and do not employ or retain any individual with a disqualifying finding.</w:t>
      </w:r>
    </w:p>
    <w:p>
      <w:pPr>
        <w:pStyle w:val="Normal"/>
        <w:tabs>
          <w:tab w:val="left" w:pos="720" w:leader="none"/>
        </w:tabs>
        <w:spacing w:lineRule="exact" w:line="264" w:before="0" w:after="80"/>
        <w:ind w:hanging="360" w:start="720"/>
        <w:rPr/>
      </w:pPr>
      <w:r>
        <w:rPr>
          <w:rFonts w:eastAsia="Arial" w:cs="Arial"/>
          <w:sz w:val="21"/>
          <w:szCs w:val="21"/>
        </w:rPr>
        <w:t>c. Immediately suspend and remove from resident contact any employee who is listed on the applicable abuse/misconduct registry, consistent with current law (HB 1009).</w:t>
      </w:r>
    </w:p>
    <w:p>
      <w:pPr>
        <w:pStyle w:val="Normal"/>
        <w:tabs>
          <w:tab w:val="left" w:pos="720" w:leader="none"/>
        </w:tabs>
        <w:spacing w:lineRule="exact" w:line="264" w:before="0" w:after="80"/>
        <w:ind w:hanging="360" w:start="720"/>
        <w:rPr/>
      </w:pPr>
      <w:r>
        <w:rPr>
          <w:rFonts w:eastAsia="Arial" w:cs="Arial"/>
          <w:sz w:val="21"/>
          <w:szCs w:val="21"/>
        </w:rPr>
        <w:t>d. Maintain documentation of all checks in each personnel record.</w:t>
      </w:r>
    </w:p>
    <w:p>
      <w:pPr>
        <w:pStyle w:val="Normal"/>
        <w:pBdr>
          <w:bottom w:val="single" w:sz="4" w:space="1" w:color="2E5E45"/>
        </w:pBdr>
        <w:spacing w:before="160" w:after="80"/>
        <w:rPr/>
      </w:pPr>
      <w:r>
        <w:rPr>
          <w:rFonts w:eastAsia="Arial" w:cs="Arial"/>
          <w:b/>
          <w:bCs/>
          <w:color w:val="1A4731"/>
          <w:sz w:val="20"/>
          <w:szCs w:val="20"/>
        </w:rPr>
        <w:t>PROCEDURE — HEALTH &amp; PERSONNEL RECORDS</w:t>
      </w:r>
    </w:p>
    <w:p>
      <w:pPr>
        <w:pStyle w:val="Normal"/>
        <w:tabs>
          <w:tab w:val="left" w:pos="720" w:leader="none"/>
        </w:tabs>
        <w:spacing w:lineRule="exact" w:line="264" w:before="0" w:after="80"/>
        <w:ind w:hanging="360" w:start="720"/>
        <w:rPr/>
      </w:pPr>
      <w:r>
        <w:rPr>
          <w:rFonts w:eastAsia="Arial" w:cs="Arial"/>
          <w:sz w:val="21"/>
          <w:szCs w:val="21"/>
        </w:rPr>
        <w:t>e. Obtain documentation that each employee is free of communicable disease, including tuberculosis screening as required.</w:t>
      </w:r>
    </w:p>
    <w:p>
      <w:pPr>
        <w:pStyle w:val="Normal"/>
        <w:tabs>
          <w:tab w:val="left" w:pos="720" w:leader="none"/>
        </w:tabs>
        <w:spacing w:lineRule="exact" w:line="264" w:before="0" w:after="80"/>
        <w:ind w:hanging="360" w:start="720"/>
        <w:rPr/>
      </w:pPr>
      <w:r>
        <w:rPr>
          <w:rFonts w:eastAsia="Arial" w:cs="Arial"/>
          <w:sz w:val="21"/>
          <w:szCs w:val="21"/>
        </w:rPr>
        <w:t>f. Maintain a personnel record for each employee that includes job description, qualifications, criminal history and registry results, required training, and health documentation.</w:t>
      </w:r>
    </w:p>
    <w:p>
      <w:pPr>
        <w:pStyle w:val="Normal"/>
        <w:tabs>
          <w:tab w:val="left" w:pos="720" w:leader="none"/>
        </w:tabs>
        <w:spacing w:lineRule="exact" w:line="264" w:before="0" w:after="80"/>
        <w:ind w:hanging="360" w:start="720"/>
        <w:rPr/>
      </w:pPr>
      <w:r>
        <w:rPr>
          <w:rFonts w:eastAsia="Arial" w:cs="Arial"/>
          <w:sz w:val="21"/>
          <w:szCs w:val="21"/>
        </w:rPr>
        <w:t>g. Ensure at least one staff member trained in first aid and, where required, CPR is available consistent with rule.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Criminal History Check Record</w:t>
      </w:r>
    </w:p>
    <w:p>
      <w:pPr>
        <w:pStyle w:val="ListParagraph"/>
        <w:numPr>
          <w:ilvl w:val="0"/>
          <w:numId w:val="1"/>
        </w:numPr>
        <w:spacing w:lineRule="exact" w:line="264" w:before="0" w:after="60"/>
        <w:rPr/>
      </w:pPr>
      <w:r>
        <w:rPr>
          <w:rFonts w:eastAsia="Arial" w:cs="Arial"/>
          <w:sz w:val="21"/>
          <w:szCs w:val="21"/>
        </w:rPr>
        <w:t>Nurse Aide / Employee Misconduct Registry Check</w:t>
      </w:r>
    </w:p>
    <w:p>
      <w:pPr>
        <w:pStyle w:val="ListParagraph"/>
        <w:numPr>
          <w:ilvl w:val="0"/>
          <w:numId w:val="1"/>
        </w:numPr>
        <w:spacing w:lineRule="exact" w:line="264" w:before="0" w:after="60"/>
        <w:rPr/>
      </w:pPr>
      <w:r>
        <w:rPr>
          <w:rFonts w:eastAsia="Arial" w:cs="Arial"/>
          <w:sz w:val="21"/>
          <w:szCs w:val="21"/>
        </w:rPr>
        <w:t>TB / Communicable Disease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Training, Dementia Training &amp; Continuing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Training, Dementia Training &amp; Continuing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HB 1673 (dementia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complete required orientation, dementia training, and continuing education, and demonstrate competency, consistent with 26 TAC Chapter 553 and current Texas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employee completes orientation before providing care, completes the required dementia training and annual continuing education, and demonstrates competency before performing assigned duties.</w:t>
      </w:r>
    </w:p>
    <w:p>
      <w:pPr>
        <w:pStyle w:val="Normal"/>
        <w:pBdr>
          <w:bottom w:val="single" w:sz="4" w:space="1" w:color="2E5E45"/>
        </w:pBdr>
        <w:spacing w:before="160" w:after="80"/>
        <w:rPr/>
      </w:pPr>
      <w:r>
        <w:rPr>
          <w:rFonts w:eastAsia="Arial" w:cs="Arial"/>
          <w:b/>
          <w:bCs/>
          <w:color w:val="1A4731"/>
          <w:sz w:val="20"/>
          <w:szCs w:val="20"/>
        </w:rPr>
        <w:t>PROCEDURE — ORIENTATION &amp; DEMENTIA TRAINING</w:t>
      </w:r>
    </w:p>
    <w:p>
      <w:pPr>
        <w:pStyle w:val="Normal"/>
        <w:tabs>
          <w:tab w:val="left" w:pos="720" w:leader="none"/>
        </w:tabs>
        <w:spacing w:lineRule="exact" w:line="264" w:before="0" w:after="80"/>
        <w:ind w:hanging="360" w:start="720"/>
        <w:rPr/>
      </w:pPr>
      <w:r>
        <w:rPr>
          <w:rFonts w:eastAsia="Arial" w:cs="Arial"/>
          <w:sz w:val="21"/>
          <w:szCs w:val="21"/>
        </w:rPr>
        <w:t>a. Provide new-employee orientation covering the Resident’s Bill of Rights, recognizing and reporting abuse/neglect/exploitation, emergency procedures, infection control and hand hygiene, and hazardous chemical safety and the location of Safety Data Sheets, before the employee provides direct care.</w:t>
      </w:r>
    </w:p>
    <w:p>
      <w:pPr>
        <w:pStyle w:val="Normal"/>
        <w:tabs>
          <w:tab w:val="left" w:pos="720" w:leader="none"/>
        </w:tabs>
        <w:spacing w:lineRule="exact" w:line="264" w:before="0" w:after="80"/>
        <w:ind w:hanging="360" w:start="720"/>
        <w:rPr/>
      </w:pPr>
      <w:r>
        <w:rPr>
          <w:rFonts w:eastAsia="Arial" w:cs="Arial"/>
          <w:sz w:val="21"/>
          <w:szCs w:val="21"/>
        </w:rPr>
        <w:t>b. Ensure all direct-care staff complete dementia care training as required by current Texas law (HB 1673), which applies to staff in all facilities, not only memory care facilities.</w:t>
      </w:r>
    </w:p>
    <w:p>
      <w:pPr>
        <w:pStyle w:val="Normal"/>
        <w:tabs>
          <w:tab w:val="left" w:pos="720" w:leader="none"/>
        </w:tabs>
        <w:spacing w:lineRule="exact" w:line="264" w:before="0" w:after="80"/>
        <w:ind w:hanging="360" w:start="720"/>
        <w:rPr/>
      </w:pPr>
      <w:r>
        <w:rPr>
          <w:rFonts w:eastAsia="Arial" w:cs="Arial"/>
          <w:sz w:val="21"/>
          <w:szCs w:val="21"/>
        </w:rPr>
        <w:t>c. Where the Facility holds Alzheimer’s/memory care certification, ensure the additional certification-specific training is completed (see the Alzheimer’s / Memory Care Certification policy).</w:t>
      </w:r>
    </w:p>
    <w:p>
      <w:pPr>
        <w:pStyle w:val="Normal"/>
        <w:pBdr>
          <w:bottom w:val="single" w:sz="4" w:space="1" w:color="2E5E45"/>
        </w:pBdr>
        <w:spacing w:before="160" w:after="80"/>
        <w:rPr/>
      </w:pPr>
      <w:r>
        <w:rPr>
          <w:rFonts w:eastAsia="Arial" w:cs="Arial"/>
          <w:b/>
          <w:bCs/>
          <w:color w:val="1A4731"/>
          <w:sz w:val="20"/>
          <w:szCs w:val="20"/>
        </w:rPr>
        <w:t>PROCEDURE — CONTINUING EDUCATION &amp; COMPETENCY</w:t>
      </w:r>
    </w:p>
    <w:p>
      <w:pPr>
        <w:pStyle w:val="Normal"/>
        <w:tabs>
          <w:tab w:val="left" w:pos="720" w:leader="none"/>
        </w:tabs>
        <w:spacing w:lineRule="exact" w:line="264" w:before="0" w:after="80"/>
        <w:ind w:hanging="360" w:start="720"/>
        <w:rPr/>
      </w:pPr>
      <w:r>
        <w:rPr>
          <w:rFonts w:eastAsia="Arial" w:cs="Arial"/>
          <w:sz w:val="21"/>
          <w:szCs w:val="21"/>
        </w:rPr>
        <w:t>d. Ensure direct-care staff complete the required annual continuing education (a minimum of the hours required by rule) covering topics such as emergency procedures, managing challenging behaviors, and the Resident’s Bill of Rights.</w:t>
      </w:r>
    </w:p>
    <w:p>
      <w:pPr>
        <w:pStyle w:val="Normal"/>
        <w:tabs>
          <w:tab w:val="left" w:pos="720" w:leader="none"/>
        </w:tabs>
        <w:spacing w:lineRule="exact" w:line="264" w:before="0" w:after="80"/>
        <w:ind w:hanging="360" w:start="720"/>
        <w:rPr/>
      </w:pPr>
      <w:r>
        <w:rPr>
          <w:rFonts w:eastAsia="Arial" w:cs="Arial"/>
          <w:sz w:val="21"/>
          <w:szCs w:val="21"/>
        </w:rPr>
        <w:t>e. Verify competency for each major duty through observation or return demonstration before independent assignment, and document it.</w:t>
      </w:r>
    </w:p>
    <w:p>
      <w:pPr>
        <w:pStyle w:val="Normal"/>
        <w:tabs>
          <w:tab w:val="left" w:pos="720" w:leader="none"/>
        </w:tabs>
        <w:spacing w:lineRule="exact" w:line="264" w:before="0" w:after="80"/>
        <w:ind w:hanging="360" w:start="720"/>
        <w:rPr/>
      </w:pPr>
      <w:r>
        <w:rPr>
          <w:rFonts w:eastAsia="Arial" w:cs="Arial"/>
          <w:sz w:val="21"/>
          <w:szCs w:val="21"/>
        </w:rPr>
        <w:t>f. Maintain training and continuing-education records, including dates, topics, and hours, in each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Dementia Training Record (HB 1673)</w:t>
      </w:r>
    </w:p>
    <w:p>
      <w:pPr>
        <w:pStyle w:val="ListParagraph"/>
        <w:numPr>
          <w:ilvl w:val="0"/>
          <w:numId w:val="1"/>
        </w:numPr>
        <w:spacing w:lineRule="exact" w:line="264" w:before="0" w:after="60"/>
        <w:rPr/>
      </w:pPr>
      <w:r>
        <w:rPr>
          <w:rFonts w:eastAsia="Arial" w:cs="Arial"/>
          <w:sz w:val="21"/>
          <w:szCs w:val="21"/>
        </w:rPr>
        <w:t>Continuing Education Log &amp; Competency Assessment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Manager / Administrator Qualifications &amp; Responsibilities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Manager / Administrator Qualifications &amp; Responsibilities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(manager qualifications &amp; 24-hour course)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operated by a qualified manager accountable for daily operation and regulatory compliance, consistent with 26 TAC Chapter 553.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designate a qualified manager who meets the education/experience and training requirements of Chapter 553, completes the required management course and continuing education, and is responsible for the operation and maintenance of the Facility.</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Designate a manager who meets the applicable qualifications: for a large facility (17 or more residents), a relevant associate’s or bachelor’s degree, or a high school diploma/equivalency plus at least one year of management experience in a health-care setting; for a small facility, at least a high school diploma or equivalency as required by rule.</w:t>
      </w:r>
    </w:p>
    <w:p>
      <w:pPr>
        <w:pStyle w:val="Normal"/>
        <w:tabs>
          <w:tab w:val="left" w:pos="720" w:leader="none"/>
        </w:tabs>
        <w:spacing w:lineRule="exact" w:line="264" w:before="0" w:after="80"/>
        <w:ind w:hanging="360" w:start="720"/>
        <w:rPr/>
      </w:pPr>
      <w:r>
        <w:rPr>
          <w:rFonts w:eastAsia="Arial" w:cs="Arial"/>
          <w:sz w:val="21"/>
          <w:szCs w:val="21"/>
        </w:rPr>
        <w:t>b. Ensure the manager completes the required 24-hour management course covering resident assessment, management principles, and state licensing standards, with the required hours on licensing standards completed within the first three months of employment.</w:t>
      </w:r>
    </w:p>
    <w:p>
      <w:pPr>
        <w:pStyle w:val="Normal"/>
        <w:tabs>
          <w:tab w:val="left" w:pos="720" w:leader="none"/>
        </w:tabs>
        <w:spacing w:lineRule="exact" w:line="264" w:before="0" w:after="80"/>
        <w:ind w:hanging="360" w:start="720"/>
        <w:rPr/>
      </w:pPr>
      <w:r>
        <w:rPr>
          <w:rFonts w:eastAsia="Arial" w:cs="Arial"/>
          <w:sz w:val="21"/>
          <w:szCs w:val="21"/>
        </w:rPr>
        <w:t>c. Ensure the manager completes the required 12 hours of continuing education annually.</w:t>
      </w:r>
    </w:p>
    <w:p>
      <w:pPr>
        <w:pStyle w:val="Normal"/>
        <w:tabs>
          <w:tab w:val="left" w:pos="720" w:leader="none"/>
        </w:tabs>
        <w:spacing w:lineRule="exact" w:line="264" w:before="0" w:after="80"/>
        <w:ind w:hanging="360" w:start="720"/>
        <w:rPr/>
      </w:pPr>
      <w:r>
        <w:rPr>
          <w:rFonts w:eastAsia="Arial" w:cs="Arial"/>
          <w:sz w:val="21"/>
          <w:szCs w:val="21"/>
        </w:rPr>
        <w:t>d. Ensure the Facility discloses its normal staffing pattern to residents on admission and staffs based on resident needs, with night staff immediately available in small facilities and awake/available staff in larger facilities as required.</w:t>
      </w:r>
    </w:p>
    <w:p>
      <w:pPr>
        <w:pStyle w:val="Normal"/>
        <w:tabs>
          <w:tab w:val="left" w:pos="720" w:leader="none"/>
        </w:tabs>
        <w:spacing w:lineRule="exact" w:line="264" w:before="0" w:after="80"/>
        <w:ind w:hanging="360" w:start="720"/>
        <w:rPr/>
      </w:pPr>
      <w:r>
        <w:rPr>
          <w:rFonts w:eastAsia="Arial" w:cs="Arial"/>
          <w:sz w:val="21"/>
          <w:szCs w:val="21"/>
        </w:rPr>
        <w:t>e. Notify HHSC of a change of manager as required, and maintain documentation of qualifications, course completion, and continuing education.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Manager Qualification &amp; 24-Hour Course Record</w:t>
      </w:r>
    </w:p>
    <w:p>
      <w:pPr>
        <w:pStyle w:val="ListParagraph"/>
        <w:numPr>
          <w:ilvl w:val="0"/>
          <w:numId w:val="1"/>
        </w:numPr>
        <w:spacing w:lineRule="exact" w:line="264" w:before="0" w:after="60"/>
        <w:rPr/>
      </w:pPr>
      <w:r>
        <w:rPr>
          <w:rFonts w:eastAsia="Arial" w:cs="Arial"/>
          <w:sz w:val="21"/>
          <w:szCs w:val="21"/>
        </w:rPr>
        <w:t>Continuing Education Log</w:t>
      </w:r>
    </w:p>
    <w:p>
      <w:pPr>
        <w:pStyle w:val="ListParagraph"/>
        <w:numPr>
          <w:ilvl w:val="0"/>
          <w:numId w:val="1"/>
        </w:numPr>
        <w:spacing w:lineRule="exact" w:line="264" w:before="0" w:after="60"/>
        <w:rPr/>
      </w:pPr>
      <w:r>
        <w:rPr>
          <w:rFonts w:eastAsia="Arial" w:cs="Arial"/>
          <w:sz w:val="21"/>
          <w:szCs w:val="21"/>
        </w:rPr>
        <w:t>Staffing Pattern Disclosure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supervises residents, delivers personal services and assistance with activities of daily living under an individualized service plan, manages falls, and — where the Facility holds Alzheimer’s certification on a Type B license — provides memory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Care, Services &amp; Service Plans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Fall Management &amp; Resident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Alzheimer’s / Memory Care Certification (Type B)</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Care, Services &amp; Service Plans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Care, Services &amp; Service Plans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Health &amp; Safety Code Chapter 247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the supervision, personal services, and assistance with activities of daily living required to meet each resident’s needs, guided by an individualized service plan, consistent with 26 TAC Chapter 553.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care and services appropriate to the needs of the residents it admits within its license type, maintain a current individualized service plan for each resident, and provide three nutritious meals daily with attention to dietary needs and preferences.</w:t>
      </w:r>
    </w:p>
    <w:p>
      <w:pPr>
        <w:pStyle w:val="Normal"/>
        <w:pBdr>
          <w:bottom w:val="single" w:sz="4" w:space="1" w:color="2E5E45"/>
        </w:pBdr>
        <w:spacing w:before="160" w:after="80"/>
        <w:rPr/>
      </w:pPr>
      <w:r>
        <w:rPr>
          <w:rFonts w:eastAsia="Arial" w:cs="Arial"/>
          <w:b/>
          <w:bCs/>
          <w:color w:val="1A4731"/>
          <w:sz w:val="20"/>
          <w:szCs w:val="20"/>
        </w:rPr>
        <w:t>PROCEDURE — SUPERVISION &amp; PERSONAL SERVICES</w:t>
      </w:r>
    </w:p>
    <w:p>
      <w:pPr>
        <w:pStyle w:val="Normal"/>
        <w:tabs>
          <w:tab w:val="left" w:pos="720" w:leader="none"/>
        </w:tabs>
        <w:spacing w:lineRule="exact" w:line="264" w:before="0" w:after="80"/>
        <w:ind w:hanging="360" w:start="720"/>
        <w:rPr/>
      </w:pPr>
      <w:r>
        <w:rPr>
          <w:rFonts w:eastAsia="Arial" w:cs="Arial"/>
          <w:sz w:val="21"/>
          <w:szCs w:val="21"/>
        </w:rPr>
        <w:t>a. Provide supervision and assistance with activities of daily living — bathing, dressing, grooming, eating, toileting, transferring, and mobility — as identified in each resident’s service plan.</w:t>
      </w:r>
    </w:p>
    <w:p>
      <w:pPr>
        <w:pStyle w:val="Normal"/>
        <w:tabs>
          <w:tab w:val="left" w:pos="720" w:leader="none"/>
        </w:tabs>
        <w:spacing w:lineRule="exact" w:line="264" w:before="0" w:after="80"/>
        <w:ind w:hanging="360" w:start="720"/>
        <w:rPr/>
      </w:pPr>
      <w:r>
        <w:rPr>
          <w:rFonts w:eastAsia="Arial" w:cs="Arial"/>
          <w:sz w:val="21"/>
          <w:szCs w:val="21"/>
        </w:rPr>
        <w:t>b. Provide three nutritious meals daily and appropriate snacks, accommodate therapeutic diets ordered by a practitioner, and meet residents’ dietary needs and preferences.</w:t>
      </w:r>
    </w:p>
    <w:p>
      <w:pPr>
        <w:pStyle w:val="Normal"/>
        <w:tabs>
          <w:tab w:val="left" w:pos="720" w:leader="none"/>
        </w:tabs>
        <w:spacing w:lineRule="exact" w:line="264" w:before="0" w:after="80"/>
        <w:ind w:hanging="360" w:start="720"/>
        <w:rPr/>
      </w:pPr>
      <w:r>
        <w:rPr>
          <w:rFonts w:eastAsia="Arial" w:cs="Arial"/>
          <w:sz w:val="21"/>
          <w:szCs w:val="21"/>
        </w:rPr>
        <w:t>c. Arrange for or assist residents in obtaining health care and social services, and observe and report changes in condition to the resident’s health care provider and legal representative.</w:t>
      </w:r>
    </w:p>
    <w:p>
      <w:pPr>
        <w:pStyle w:val="Normal"/>
        <w:pBdr>
          <w:bottom w:val="single" w:sz="4" w:space="1" w:color="2E5E45"/>
        </w:pBdr>
        <w:spacing w:before="160" w:after="80"/>
        <w:rPr/>
      </w:pPr>
      <w:r>
        <w:rPr>
          <w:rFonts w:eastAsia="Arial" w:cs="Arial"/>
          <w:b/>
          <w:bCs/>
          <w:color w:val="1A4731"/>
          <w:sz w:val="20"/>
          <w:szCs w:val="20"/>
        </w:rPr>
        <w:t>PROCEDURE — SERVICE PLANS &amp; RECORDS</w:t>
      </w:r>
    </w:p>
    <w:p>
      <w:pPr>
        <w:pStyle w:val="Normal"/>
        <w:tabs>
          <w:tab w:val="left" w:pos="720" w:leader="none"/>
        </w:tabs>
        <w:spacing w:lineRule="exact" w:line="264" w:before="0" w:after="80"/>
        <w:ind w:hanging="360" w:start="720"/>
        <w:rPr/>
      </w:pPr>
      <w:r>
        <w:rPr>
          <w:rFonts w:eastAsia="Arial" w:cs="Arial"/>
          <w:sz w:val="21"/>
          <w:szCs w:val="21"/>
        </w:rPr>
        <w:t>d. Maintain a current individualized service plan for each resident that matches the care provided and is updated when the resident’s condition or needs change.</w:t>
      </w:r>
    </w:p>
    <w:p>
      <w:pPr>
        <w:pStyle w:val="Normal"/>
        <w:tabs>
          <w:tab w:val="left" w:pos="720" w:leader="none"/>
        </w:tabs>
        <w:spacing w:lineRule="exact" w:line="264" w:before="0" w:after="80"/>
        <w:ind w:hanging="360" w:start="720"/>
        <w:rPr/>
      </w:pPr>
      <w:r>
        <w:rPr>
          <w:rFonts w:eastAsia="Arial" w:cs="Arial"/>
          <w:sz w:val="21"/>
          <w:szCs w:val="21"/>
        </w:rPr>
        <w:t>e. Maintain a record for each resident reflecting the services provided and observed changes in condition.</w:t>
      </w:r>
    </w:p>
    <w:p>
      <w:pPr>
        <w:pStyle w:val="Normal"/>
        <w:tabs>
          <w:tab w:val="left" w:pos="720" w:leader="none"/>
        </w:tabs>
        <w:spacing w:lineRule="exact" w:line="264" w:before="0" w:after="80"/>
        <w:ind w:hanging="360" w:start="720"/>
        <w:rPr/>
      </w:pPr>
      <w:r>
        <w:rPr>
          <w:rFonts w:eastAsia="Arial" w:cs="Arial"/>
          <w:sz w:val="21"/>
          <w:szCs w:val="21"/>
        </w:rPr>
        <w:t>f. Coordinate with third-party providers such as home health agencies and hospices when a resident receives services from them, consistent with the Facility’s license type.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Service Plan</w:t>
      </w:r>
    </w:p>
    <w:p>
      <w:pPr>
        <w:pStyle w:val="ListParagraph"/>
        <w:numPr>
          <w:ilvl w:val="0"/>
          <w:numId w:val="1"/>
        </w:numPr>
        <w:spacing w:lineRule="exact" w:line="264" w:before="0" w:after="60"/>
        <w:rPr/>
      </w:pPr>
      <w:r>
        <w:rPr>
          <w:rFonts w:eastAsia="Arial" w:cs="Arial"/>
          <w:sz w:val="21"/>
          <w:szCs w:val="21"/>
        </w:rPr>
        <w:t>Resident Service Record</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service plan,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and address identified risk in the service plan,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the evaluation and response, notifications to the representative and health care provider,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Alzheimer’s / Memory Care Certification (Type B)</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Alzheimer’s / Memory Care Certification (Type 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Health &amp; Safety Code Chapter 247 (Alzheimer’s certification)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when the Facility provides, advertises, or markets specialized care for residents with Alzheimer’s disease or related conditions, which requires a Type B license with Alzheimer’s certification. This policy applies only where the Facility holds that certification.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that advertises, markets, or otherwise promotes its capacity to provide personal care services for people with Alzheimer’s disease or related conditions must hold a Type B license with Alzheimer’s certification and meet the additional assessment, staffing, training, safety, and disclosure requirements for those residents.</w:t>
      </w:r>
    </w:p>
    <w:p>
      <w:pPr>
        <w:pStyle w:val="Normal"/>
        <w:pBdr>
          <w:bottom w:val="single" w:sz="4" w:space="1" w:color="2E5E45"/>
        </w:pBdr>
        <w:spacing w:before="160" w:after="80"/>
        <w:rPr/>
      </w:pPr>
      <w:r>
        <w:rPr>
          <w:rFonts w:eastAsia="Arial" w:cs="Arial"/>
          <w:b/>
          <w:bCs/>
          <w:color w:val="1A4731"/>
          <w:sz w:val="20"/>
          <w:szCs w:val="20"/>
        </w:rPr>
        <w:t>PROCEDURE — CERTIFICATION &amp; STAFFING</w:t>
      </w:r>
    </w:p>
    <w:p>
      <w:pPr>
        <w:pStyle w:val="Normal"/>
        <w:tabs>
          <w:tab w:val="left" w:pos="720" w:leader="none"/>
        </w:tabs>
        <w:spacing w:lineRule="exact" w:line="264" w:before="0" w:after="80"/>
        <w:ind w:hanging="360" w:start="720"/>
        <w:rPr/>
      </w:pPr>
      <w:r>
        <w:rPr>
          <w:rFonts w:eastAsia="Arial" w:cs="Arial"/>
          <w:sz w:val="21"/>
          <w:szCs w:val="21"/>
        </w:rPr>
        <w:t>a. Obtain and maintain Alzheimer’s certification on the Type B license before advertising, marketing, or providing specialized Alzheimer’s/dementia care.</w:t>
      </w:r>
    </w:p>
    <w:p>
      <w:pPr>
        <w:pStyle w:val="Normal"/>
        <w:tabs>
          <w:tab w:val="left" w:pos="720" w:leader="none"/>
        </w:tabs>
        <w:spacing w:lineRule="exact" w:line="264" w:before="0" w:after="80"/>
        <w:ind w:hanging="360" w:start="720"/>
        <w:rPr/>
      </w:pPr>
      <w:r>
        <w:rPr>
          <w:rFonts w:eastAsia="Arial" w:cs="Arial"/>
          <w:sz w:val="21"/>
          <w:szCs w:val="21"/>
        </w:rPr>
        <w:t>b. Ensure the manager or supervisor of the certified facility or unit meets the qualifications required for Alzheimer’s care (age, education, or experience) under Chapter 553.</w:t>
      </w:r>
    </w:p>
    <w:p>
      <w:pPr>
        <w:pStyle w:val="Normal"/>
        <w:tabs>
          <w:tab w:val="left" w:pos="720" w:leader="none"/>
        </w:tabs>
        <w:spacing w:lineRule="exact" w:line="264" w:before="0" w:after="80"/>
        <w:ind w:hanging="360" w:start="720"/>
        <w:rPr/>
      </w:pPr>
      <w:r>
        <w:rPr>
          <w:rFonts w:eastAsia="Arial" w:cs="Arial"/>
          <w:sz w:val="21"/>
          <w:szCs w:val="21"/>
        </w:rPr>
        <w:t>c. Ensure staff who work with residents with Alzheimer’s disease complete the additional certification-specific training in addition to the dementia training required of all staff (HB 1673).</w:t>
      </w:r>
    </w:p>
    <w:p>
      <w:pPr>
        <w:pStyle w:val="Normal"/>
        <w:pBdr>
          <w:bottom w:val="single" w:sz="4" w:space="1" w:color="2E5E45"/>
        </w:pBdr>
        <w:spacing w:before="160" w:after="80"/>
        <w:rPr/>
      </w:pPr>
      <w:r>
        <w:rPr>
          <w:rFonts w:eastAsia="Arial" w:cs="Arial"/>
          <w:b/>
          <w:bCs/>
          <w:color w:val="1A4731"/>
          <w:sz w:val="20"/>
          <w:szCs w:val="20"/>
        </w:rPr>
        <w:t>PROCEDURE — CARE, SAFETY &amp; DISCLOSURE</w:t>
      </w:r>
    </w:p>
    <w:p>
      <w:pPr>
        <w:pStyle w:val="Normal"/>
        <w:tabs>
          <w:tab w:val="left" w:pos="720" w:leader="none"/>
        </w:tabs>
        <w:spacing w:lineRule="exact" w:line="264" w:before="0" w:after="80"/>
        <w:ind w:hanging="360" w:start="720"/>
        <w:rPr/>
      </w:pPr>
      <w:r>
        <w:rPr>
          <w:rFonts w:eastAsia="Arial" w:cs="Arial"/>
          <w:sz w:val="21"/>
          <w:szCs w:val="21"/>
        </w:rPr>
        <w:t>d. Assess each resident with Alzheimer’s disease or a related condition and provide individualized care, meaningful activities, and behavioral support using non-restraint approaches.</w:t>
      </w:r>
    </w:p>
    <w:p>
      <w:pPr>
        <w:pStyle w:val="Normal"/>
        <w:tabs>
          <w:tab w:val="left" w:pos="720" w:leader="none"/>
        </w:tabs>
        <w:spacing w:lineRule="exact" w:line="264" w:before="0" w:after="80"/>
        <w:ind w:hanging="360" w:start="720"/>
        <w:rPr/>
      </w:pPr>
      <w:r>
        <w:rPr>
          <w:rFonts w:eastAsia="Arial" w:cs="Arial"/>
          <w:sz w:val="21"/>
          <w:szCs w:val="21"/>
        </w:rPr>
        <w:t>e. Maintain a safe environment appropriate to residents at risk of wandering or unsafe exit-seeking, consistent with the emergency preparedness and physical-plant requirements and applicable fire/life-safety egress provisions.</w:t>
      </w:r>
    </w:p>
    <w:p>
      <w:pPr>
        <w:pStyle w:val="Normal"/>
        <w:tabs>
          <w:tab w:val="left" w:pos="720" w:leader="none"/>
        </w:tabs>
        <w:spacing w:lineRule="exact" w:line="264" w:before="0" w:after="80"/>
        <w:ind w:hanging="360" w:start="720"/>
        <w:rPr/>
      </w:pPr>
      <w:r>
        <w:rPr>
          <w:rFonts w:eastAsia="Arial" w:cs="Arial"/>
          <w:sz w:val="21"/>
          <w:szCs w:val="21"/>
        </w:rPr>
        <w:t>f. Provide the disclosure statement describing the specialized care, services, and cost, and maintain required documentation for HHSC review.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Alzheimer’s Certification Documentation</w:t>
      </w:r>
    </w:p>
    <w:p>
      <w:pPr>
        <w:pStyle w:val="ListParagraph"/>
        <w:numPr>
          <w:ilvl w:val="0"/>
          <w:numId w:val="1"/>
        </w:numPr>
        <w:spacing w:lineRule="exact" w:line="264" w:before="0" w:after="60"/>
        <w:rPr/>
      </w:pPr>
      <w:r>
        <w:rPr>
          <w:rFonts w:eastAsia="Arial" w:cs="Arial"/>
          <w:sz w:val="21"/>
          <w:szCs w:val="21"/>
        </w:rPr>
        <w:t>Memory Care Service Plan &amp; Behavioral Support Plan</w:t>
      </w:r>
    </w:p>
    <w:p>
      <w:pPr>
        <w:pStyle w:val="ListParagraph"/>
        <w:numPr>
          <w:ilvl w:val="0"/>
          <w:numId w:val="1"/>
        </w:numPr>
        <w:spacing w:lineRule="exact" w:line="264" w:before="0" w:after="60"/>
        <w:rPr/>
      </w:pPr>
      <w:r>
        <w:rPr>
          <w:rFonts w:eastAsia="Arial" w:cs="Arial"/>
          <w:sz w:val="21"/>
          <w:szCs w:val="21"/>
        </w:rPr>
        <w:t>Alzheimer’s Disclosure Statement</w:t>
      </w:r>
    </w:p>
    <w:p>
      <w:pPr>
        <w:pStyle w:val="ListParagraph"/>
        <w:numPr>
          <w:ilvl w:val="0"/>
          <w:numId w:val="1"/>
        </w:numPr>
        <w:spacing w:lineRule="exact" w:line="264" w:before="0" w:after="60"/>
        <w:rPr/>
      </w:pPr>
      <w:r>
        <w:rPr>
          <w:rFonts w:eastAsia="Arial" w:cs="Arial"/>
          <w:sz w:val="21"/>
          <w:szCs w:val="21"/>
        </w:rPr>
        <w:t>Certification Training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Texas’s distinction between assistance with self-administration (which trained staff may provide) and administration (which only a licensed nurse, a permitted medication aide under nurse supervision, or an RN-delegated employee may perform) — together with the safe handling of medication errors, destruction,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 Assistance With Self-Administration &amp; 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Destruction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 Assistance With Self-Administration &amp; 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 Assistance With Self-Administration &amp; 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Health &amp; Safety Code Chapter 247; medication aide / RN delegation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handled and supported safely and that Texas’s distinction between assistance with self-administration and administration of medication is followed, consistent with 26 TAC Chapter 553.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staff may provide assistance with the self-administration of medication. Administration of medication may only be performed by a licensed nurse, a permitted medication aide acting under a nurse’s supervision, or an employee to whom a registered nurse has specifically delegated the task in accordance with the Nursing Practice Act and rule.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Assistance with self-administration — supportive activities such as reminding the resident to take medication, opening the container, reading the label, and observing the resident, without administering the medication.</w:t>
      </w:r>
    </w:p>
    <w:p>
      <w:pPr>
        <w:pStyle w:val="Normal"/>
        <w:spacing w:lineRule="exact" w:line="276" w:before="0" w:after="120"/>
        <w:rPr/>
      </w:pPr>
      <w:r>
        <w:rPr>
          <w:rFonts w:eastAsia="Arial" w:cs="Arial"/>
          <w:sz w:val="21"/>
          <w:szCs w:val="21"/>
        </w:rPr>
        <w:t>Administration — the act of giving a medication to a resident, which may be performed only by a licensed nurse, a permitted medication aide under nurse supervision, or an employee to whom an RN has delegated the task.</w:t>
      </w:r>
    </w:p>
    <w:p>
      <w:pPr>
        <w:pStyle w:val="Normal"/>
        <w:pBdr>
          <w:bottom w:val="single" w:sz="4" w:space="1" w:color="2E5E45"/>
        </w:pBdr>
        <w:spacing w:before="160" w:after="80"/>
        <w:rPr/>
      </w:pPr>
      <w:r>
        <w:rPr>
          <w:rFonts w:eastAsia="Arial" w:cs="Arial"/>
          <w:b/>
          <w:bCs/>
          <w:color w:val="1A4731"/>
          <w:sz w:val="20"/>
          <w:szCs w:val="20"/>
        </w:rPr>
        <w:t>PROCEDURE — ASSISTANCE WITH SELF-ADMINISTRATION</w:t>
      </w:r>
    </w:p>
    <w:p>
      <w:pPr>
        <w:pStyle w:val="Normal"/>
        <w:tabs>
          <w:tab w:val="left" w:pos="720" w:leader="none"/>
        </w:tabs>
        <w:spacing w:lineRule="exact" w:line="264" w:before="0" w:after="80"/>
        <w:ind w:hanging="360" w:start="720"/>
        <w:rPr/>
      </w:pPr>
      <w:r>
        <w:rPr>
          <w:rFonts w:eastAsia="Arial" w:cs="Arial"/>
          <w:sz w:val="21"/>
          <w:szCs w:val="21"/>
        </w:rPr>
        <w:t>a. Where staff assist with self-administration, ensure staff are trained and provide only reminding, opening containers, reading labels, and similar support, following the practitioner’s directions.</w:t>
      </w:r>
    </w:p>
    <w:p>
      <w:pPr>
        <w:pStyle w:val="Normal"/>
        <w:tabs>
          <w:tab w:val="left" w:pos="720" w:leader="none"/>
        </w:tabs>
        <w:spacing w:lineRule="exact" w:line="264" w:before="0" w:after="80"/>
        <w:ind w:hanging="360" w:start="720"/>
        <w:rPr/>
      </w:pPr>
      <w:r>
        <w:rPr>
          <w:rFonts w:eastAsia="Arial" w:cs="Arial"/>
          <w:sz w:val="21"/>
          <w:szCs w:val="21"/>
        </w:rPr>
        <w:t>b. Store medication securely, separate from hazardous chemicals, with controlled substances secured and access limited to authorized staff, and keep each resident’s medication in its properly labeled container.</w:t>
      </w:r>
    </w:p>
    <w:p>
      <w:pPr>
        <w:pStyle w:val="Normal"/>
        <w:tabs>
          <w:tab w:val="left" w:pos="720" w:leader="none"/>
        </w:tabs>
        <w:spacing w:lineRule="exact" w:line="264" w:before="0" w:after="80"/>
        <w:ind w:hanging="360" w:start="720"/>
        <w:rPr/>
      </w:pPr>
      <w:r>
        <w:rPr>
          <w:rFonts w:eastAsia="Arial" w:cs="Arial"/>
          <w:sz w:val="21"/>
          <w:szCs w:val="21"/>
        </w:rPr>
        <w:t>c. Document assistance and observe for apparent adverse reactions, reporting concerns to the practitioner and representative.</w:t>
      </w:r>
    </w:p>
    <w:p>
      <w:pPr>
        <w:pStyle w:val="Normal"/>
        <w:pBdr>
          <w:bottom w:val="single" w:sz="4" w:space="1" w:color="2E5E45"/>
        </w:pBdr>
        <w:spacing w:before="160" w:after="80"/>
        <w:rPr/>
      </w:pPr>
      <w:r>
        <w:rPr>
          <w:rFonts w:eastAsia="Arial" w:cs="Arial"/>
          <w:b/>
          <w:bCs/>
          <w:color w:val="1A4731"/>
          <w:sz w:val="20"/>
          <w:szCs w:val="20"/>
        </w:rPr>
        <w:t>PROCEDURE — ADMINISTRATION &amp; DELEGATION</w:t>
      </w:r>
    </w:p>
    <w:p>
      <w:pPr>
        <w:pStyle w:val="Normal"/>
        <w:tabs>
          <w:tab w:val="left" w:pos="720" w:leader="none"/>
        </w:tabs>
        <w:spacing w:lineRule="exact" w:line="264" w:before="0" w:after="80"/>
        <w:ind w:hanging="360" w:start="720"/>
        <w:rPr/>
      </w:pPr>
      <w:r>
        <w:rPr>
          <w:rFonts w:eastAsia="Arial" w:cs="Arial"/>
          <w:sz w:val="21"/>
          <w:szCs w:val="21"/>
        </w:rPr>
        <w:t>d. Ensure administration of medication is performed only by a licensed nurse, a permitted medication aide under a nurse’s supervision, or an employee to whom an RN has specifically delegated the task consistent with the Nursing Practice Act.</w:t>
      </w:r>
    </w:p>
    <w:p>
      <w:pPr>
        <w:pStyle w:val="Normal"/>
        <w:tabs>
          <w:tab w:val="left" w:pos="720" w:leader="none"/>
        </w:tabs>
        <w:spacing w:lineRule="exact" w:line="264" w:before="0" w:after="80"/>
        <w:ind w:hanging="360" w:start="720"/>
        <w:rPr/>
      </w:pPr>
      <w:r>
        <w:rPr>
          <w:rFonts w:eastAsia="Arial" w:cs="Arial"/>
          <w:sz w:val="21"/>
          <w:szCs w:val="21"/>
        </w:rPr>
        <w:t>e. Maintain a medication administration record (MAR) where medications are administered, and reconcile medications at admission and at return from a hospital or other setting.</w:t>
      </w:r>
    </w:p>
    <w:p>
      <w:pPr>
        <w:pStyle w:val="Normal"/>
        <w:tabs>
          <w:tab w:val="left" w:pos="720" w:leader="none"/>
        </w:tabs>
        <w:spacing w:lineRule="exact" w:line="264" w:before="0" w:after="80"/>
        <w:ind w:hanging="360" w:start="720"/>
        <w:rPr/>
      </w:pPr>
      <w:r>
        <w:rPr>
          <w:rFonts w:eastAsia="Arial" w:cs="Arial"/>
          <w:sz w:val="21"/>
          <w:szCs w:val="21"/>
        </w:rPr>
        <w:t>f. Maintain documentation of medication aide permits and any RN delegation.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Assistance / Observation Record</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Aide Permit / RN Delegation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Destruction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Destruction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destruction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errors, report them as incidents where required, and destroy or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health care provider and legal representative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the medication error record for patterns through the quality improvement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PROCEDURE — DESTRUCTION &amp; DISPOSAL</w:t>
      </w:r>
    </w:p>
    <w:p>
      <w:pPr>
        <w:pStyle w:val="Normal"/>
        <w:tabs>
          <w:tab w:val="left" w:pos="720" w:leader="none"/>
        </w:tabs>
        <w:spacing w:lineRule="exact" w:line="264" w:before="0" w:after="80"/>
        <w:ind w:hanging="360" w:start="720"/>
        <w:rPr/>
      </w:pPr>
      <w:r>
        <w:rPr>
          <w:rFonts w:eastAsia="Arial" w:cs="Arial"/>
          <w:sz w:val="21"/>
          <w:szCs w:val="21"/>
        </w:rPr>
        <w:t>d. Destroy or dispose of discontinued, expired, or unused facility-held medications by a non-retrievable method within the timeframe required by Facility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Texas’s Emergency Preparedness and Response Plan with its eight core functions and the 211 disaster registry, infection prevention and control (including COVID-19 and communicable-disease outbreak response and reporting), hazardous-chemical safety, physical plant and fire safety, and the mandatory reporting of abuse, neglect, and exploitation.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Preparedness &amp; Response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 Outbreaks)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Physical Plant, Fire Safety &amp; Food Service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Abuse, Neglect &amp; Exploitation — Prevention &amp; Mandatory Reporting</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Preparedness &amp; Response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Preparedness &amp; Response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HHSC EP eight core functions; HB 4611 (disaster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prepared to protect residents during and after an emergency or disaster, consistent with 26 TAC Chapter 553 and the HHSC written emergency preparedness and response plan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Emergency Preparedness and Response Plan that addresses, at a minimum, the eight core functions of emergency management, keep a current printed copy accessible to staff at all times, train staff at least annually, and enroll in the state disaster registry as required.</w:t>
      </w:r>
    </w:p>
    <w:p>
      <w:pPr>
        <w:pStyle w:val="Normal"/>
        <w:pBdr>
          <w:bottom w:val="single" w:sz="4" w:space="1" w:color="2E5E45"/>
        </w:pBdr>
        <w:spacing w:before="160" w:after="80"/>
        <w:rPr/>
      </w:pPr>
      <w:r>
        <w:rPr>
          <w:rFonts w:eastAsia="Arial" w:cs="Arial"/>
          <w:b/>
          <w:bCs/>
          <w:color w:val="1A4731"/>
          <w:sz w:val="20"/>
          <w:szCs w:val="20"/>
        </w:rPr>
        <w:t>PROCEDURE — WRITTEN PLAN &amp; EIGHT CORE FUNCTIONS</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and Response Plan that addresses, at a minimum, the eight core functions of emergency management: direction and control; warning; communication; life safety and incident response; property protection; resident/client care and support (mass care); resource management; and recovery/continuity of operations.</w:t>
      </w:r>
    </w:p>
    <w:p>
      <w:pPr>
        <w:pStyle w:val="Normal"/>
        <w:tabs>
          <w:tab w:val="left" w:pos="720" w:leader="none"/>
        </w:tabs>
        <w:spacing w:lineRule="exact" w:line="264" w:before="0" w:after="80"/>
        <w:ind w:hanging="360" w:start="720"/>
        <w:rPr/>
      </w:pPr>
      <w:r>
        <w:rPr>
          <w:rFonts w:eastAsia="Arial" w:cs="Arial"/>
          <w:sz w:val="21"/>
          <w:szCs w:val="21"/>
        </w:rPr>
        <w:t>b. Address the hazards most likely to affect the Facility, including fire, severe weather, hurricane, flooding, utility failure, and communicable disease outbreak, and include evacuation, sheltering, transportation, and receiving-facility arrangements.</w:t>
      </w:r>
    </w:p>
    <w:p>
      <w:pPr>
        <w:pStyle w:val="Normal"/>
        <w:tabs>
          <w:tab w:val="left" w:pos="720" w:leader="none"/>
        </w:tabs>
        <w:spacing w:lineRule="exact" w:line="264" w:before="0" w:after="80"/>
        <w:ind w:hanging="360" w:start="720"/>
        <w:rPr/>
      </w:pPr>
      <w:r>
        <w:rPr>
          <w:rFonts w:eastAsia="Arial" w:cs="Arial"/>
          <w:sz w:val="21"/>
          <w:szCs w:val="21"/>
        </w:rPr>
        <w:t>c. Keep a current printed copy of the plan in a central location accessible to all staff at all times, and designate an emergency preparedness coordinator (EPC) responsible for activating the plan.</w:t>
      </w:r>
    </w:p>
    <w:p>
      <w:pPr>
        <w:pStyle w:val="Normal"/>
        <w:tabs>
          <w:tab w:val="left" w:pos="720" w:leader="none"/>
        </w:tabs>
        <w:spacing w:lineRule="exact" w:line="264" w:before="0" w:after="80"/>
        <w:ind w:hanging="360" w:start="720"/>
        <w:rPr/>
      </w:pPr>
      <w:r>
        <w:rPr>
          <w:rFonts w:eastAsia="Arial" w:cs="Arial"/>
          <w:sz w:val="21"/>
          <w:szCs w:val="21"/>
        </w:rPr>
        <w:t>d. Notify HHSC of changes in operation during an emergency (for example, by the required form) and notify HHSC of closure and re-opening as required.</w:t>
      </w:r>
    </w:p>
    <w:p>
      <w:pPr>
        <w:pStyle w:val="Normal"/>
        <w:pBdr>
          <w:bottom w:val="single" w:sz="4" w:space="1" w:color="2E5E45"/>
        </w:pBdr>
        <w:spacing w:before="160" w:after="80"/>
        <w:rPr/>
      </w:pPr>
      <w:r>
        <w:rPr>
          <w:rFonts w:eastAsia="Arial" w:cs="Arial"/>
          <w:b/>
          <w:bCs/>
          <w:color w:val="1A4731"/>
          <w:sz w:val="20"/>
          <w:szCs w:val="20"/>
        </w:rPr>
        <w:t>PROCEDURE — DISASTER REGISTRY, DRILLS &amp; POWER</w:t>
      </w:r>
    </w:p>
    <w:p>
      <w:pPr>
        <w:pStyle w:val="Normal"/>
        <w:tabs>
          <w:tab w:val="left" w:pos="720" w:leader="none"/>
        </w:tabs>
        <w:spacing w:lineRule="exact" w:line="264" w:before="0" w:after="80"/>
        <w:ind w:hanging="360" w:start="720"/>
        <w:rPr/>
      </w:pPr>
      <w:r>
        <w:rPr>
          <w:rFonts w:eastAsia="Arial" w:cs="Arial"/>
          <w:sz w:val="21"/>
          <w:szCs w:val="21"/>
        </w:rPr>
        <w:t>e. Enroll in the state disaster/emergency registry (211 Texas) as required by current law (HB 4611) and inform residents and families about it.</w:t>
      </w:r>
    </w:p>
    <w:p>
      <w:pPr>
        <w:pStyle w:val="Normal"/>
        <w:tabs>
          <w:tab w:val="left" w:pos="720" w:leader="none"/>
        </w:tabs>
        <w:spacing w:lineRule="exact" w:line="264" w:before="0" w:after="80"/>
        <w:ind w:hanging="360" w:start="720"/>
        <w:rPr/>
      </w:pPr>
      <w:r>
        <w:rPr>
          <w:rFonts w:eastAsia="Arial" w:cs="Arial"/>
          <w:sz w:val="21"/>
          <w:szCs w:val="21"/>
        </w:rPr>
        <w:t>f. Maintain a plan describing how residents will remain safe during a power outage, including maintaining safe temperatures and any backup power arrangements the Facility uses (note: statewide generator mandates are not currently required for ALFs, but the plan must address resident safety during outages).</w:t>
      </w:r>
    </w:p>
    <w:p>
      <w:pPr>
        <w:pStyle w:val="Normal"/>
        <w:tabs>
          <w:tab w:val="left" w:pos="720" w:leader="none"/>
        </w:tabs>
        <w:spacing w:lineRule="exact" w:line="264" w:before="0" w:after="80"/>
        <w:ind w:hanging="360" w:start="720"/>
        <w:rPr/>
      </w:pPr>
      <w:r>
        <w:rPr>
          <w:rFonts w:eastAsia="Arial" w:cs="Arial"/>
          <w:sz w:val="21"/>
          <w:szCs w:val="21"/>
        </w:rPr>
        <w:t>g. Conduct emergency and fire drills at the frequency required by rule, train all staff on their emergency roles at least annually, and document drills and training with corrective action.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&amp; Response Plan (eight core functions)</w:t>
      </w:r>
    </w:p>
    <w:p>
      <w:pPr>
        <w:pStyle w:val="ListParagraph"/>
        <w:numPr>
          <w:ilvl w:val="0"/>
          <w:numId w:val="1"/>
        </w:numPr>
        <w:spacing w:lineRule="exact" w:line="264" w:before="0" w:after="60"/>
        <w:rPr/>
      </w:pPr>
      <w:r>
        <w:rPr>
          <w:rFonts w:eastAsia="Arial" w:cs="Arial"/>
          <w:sz w:val="21"/>
          <w:szCs w:val="21"/>
        </w:rPr>
        <w:t>211 Texas Disaster Registry Enrollment</w:t>
      </w:r>
    </w:p>
    <w:p>
      <w:pPr>
        <w:pStyle w:val="ListParagraph"/>
        <w:numPr>
          <w:ilvl w:val="0"/>
          <w:numId w:val="1"/>
        </w:numPr>
        <w:spacing w:lineRule="exact" w:line="264" w:before="0" w:after="60"/>
        <w:rPr/>
      </w:pPr>
      <w:r>
        <w:rPr>
          <w:rFonts w:eastAsia="Arial" w:cs="Arial"/>
          <w:sz w:val="21"/>
          <w:szCs w:val="21"/>
        </w:rPr>
        <w:t>Drill &amp; Training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 Outbreaks)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 Outbreaks)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CDC/APIC guidelines; DSHS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residents, staff, and visitors through standard precautions, surveillance, outbreak response, and required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infection prevention and control program based on nationally recognized guidelines (such as CDC and APIC), including standard precautions, surveillance, staff training, and an outbreak-response protocol for communicable diseases including COVID-19, and shall report reportable and communicable diseases to the local health department and the Texas Department of State Health Services (DSHS) as required.</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Provide staff training in infection control and PPE use, and support resident and staff access to recommended vaccinations (including seasonal influenza and COVID-19) consistent with current guidance.</w:t>
      </w:r>
    </w:p>
    <w:p>
      <w:pPr>
        <w:pStyle w:val="Normal"/>
        <w:tabs>
          <w:tab w:val="left" w:pos="720" w:leader="none"/>
        </w:tabs>
        <w:spacing w:lineRule="exact" w:line="264" w:before="0" w:after="80"/>
        <w:ind w:hanging="360" w:start="720"/>
        <w:rPr/>
      </w:pPr>
      <w:r>
        <w:rPr>
          <w:rFonts w:eastAsia="Arial" w:cs="Arial"/>
          <w:sz w:val="21"/>
          <w:szCs w:val="21"/>
        </w:rPr>
        <w:t>c. Maintain an environmental hygiene schedule specifying cleaning and disinfection frequency for high-touch surfaces and shared equipment, and dispose of sharps and contaminated materials safely.</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cohorting or isolating affected residents, enhanced PPE and cleaning, symptom and temperature monitoring, testing consistent with current guidance, and limiting or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reportable conditions and communicable-disease outbreaks (including COVID-19) to the local health department and DSHS as required,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improvement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Outbreak Response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improvement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Physical Plant, Fire Safety &amp; Food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Physical Plant, Fire Safety &amp;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NFPA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well-maintained physical environment, functioning fire-safety systems, and safe food service consistent with 26 TAC Chapter 553 and applicable NFPA standards.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premises, resident living areas, bathrooms, and common areas in a safe and sanitary condition; maintain functioning fire alarm, smoke detection, and (where required) sprinkler systems meeting NFPA standards; and provide safe food service.</w:t>
      </w:r>
    </w:p>
    <w:p>
      <w:pPr>
        <w:pStyle w:val="Normal"/>
        <w:pBdr>
          <w:bottom w:val="single" w:sz="4" w:space="1" w:color="2E5E45"/>
        </w:pBdr>
        <w:spacing w:before="160" w:after="80"/>
        <w:rPr/>
      </w:pPr>
      <w:r>
        <w:rPr>
          <w:rFonts w:eastAsia="Arial" w:cs="Arial"/>
          <w:b/>
          <w:bCs/>
          <w:color w:val="1A4731"/>
          <w:sz w:val="20"/>
          <w:szCs w:val="20"/>
        </w:rPr>
        <w:t>PROCEDURE — PHYSICAL PLANT &amp; FIRE SAFETY</w:t>
      </w:r>
    </w:p>
    <w:p>
      <w:pPr>
        <w:pStyle w:val="Normal"/>
        <w:tabs>
          <w:tab w:val="left" w:pos="720" w:leader="none"/>
        </w:tabs>
        <w:spacing w:lineRule="exact" w:line="264" w:before="0" w:after="80"/>
        <w:ind w:hanging="360" w:start="720"/>
        <w:rPr/>
      </w:pPr>
      <w:r>
        <w:rPr>
          <w:rFonts w:eastAsia="Arial" w:cs="Arial"/>
          <w:sz w:val="21"/>
          <w:szCs w:val="21"/>
        </w:rPr>
        <w:t>a. Maintain the premises and equipment in good repair and in a safe, clean, and sanitary condition, and conduct routine safety inspections.</w:t>
      </w:r>
    </w:p>
    <w:p>
      <w:pPr>
        <w:pStyle w:val="Normal"/>
        <w:tabs>
          <w:tab w:val="left" w:pos="720" w:leader="none"/>
        </w:tabs>
        <w:spacing w:lineRule="exact" w:line="264" w:before="0" w:after="80"/>
        <w:ind w:hanging="360" w:start="720"/>
        <w:rPr/>
      </w:pPr>
      <w:r>
        <w:rPr>
          <w:rFonts w:eastAsia="Arial" w:cs="Arial"/>
          <w:sz w:val="21"/>
          <w:szCs w:val="21"/>
        </w:rPr>
        <w:t>b. Maintain functioning fire alarm and smoke detection systems, and a fire sprinkler system where required by the Facility’s size and type, meeting the applicable NFPA standards, and maintain fire-safety inspection documentation.</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FOOD SERVICE</w:t>
      </w:r>
    </w:p>
    <w:p>
      <w:pPr>
        <w:pStyle w:val="Normal"/>
        <w:tabs>
          <w:tab w:val="left" w:pos="720" w:leader="none"/>
        </w:tabs>
        <w:spacing w:lineRule="exact" w:line="264" w:before="0" w:after="80"/>
        <w:ind w:hanging="360" w:start="720"/>
        <w:rPr/>
      </w:pPr>
      <w:r>
        <w:rPr>
          <w:rFonts w:eastAsia="Arial" w:cs="Arial"/>
          <w:sz w:val="21"/>
          <w:szCs w:val="21"/>
        </w:rPr>
        <w:t>d. Provide three nutritious meals daily and appropriate snacks that meet residents’ nutritional needs and any therapeutic diet ordered by a practitioner.</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consistent with applicable food-service standards, and ensure food staff meet applicable food-handler requirements.</w:t>
      </w:r>
    </w:p>
    <w:p>
      <w:pPr>
        <w:pStyle w:val="Normal"/>
        <w:tabs>
          <w:tab w:val="left" w:pos="720" w:leader="none"/>
        </w:tabs>
        <w:spacing w:lineRule="exact" w:line="264" w:before="0" w:after="80"/>
        <w:ind w:hanging="360" w:start="720"/>
        <w:rPr/>
      </w:pPr>
      <w:r>
        <w:rPr>
          <w:rFonts w:eastAsia="Arial" w:cs="Arial"/>
          <w:sz w:val="21"/>
          <w:szCs w:val="21"/>
        </w:rPr>
        <w:t>f. Accommodate resident food and dining preferences consistent with resident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Fire-Safety System Inspection Records</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Abuse, Neglect &amp; Exploitation — Prevention &amp; Mandatory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Abuse, Neglect &amp; Exploitation — Prevention &amp; Mandatory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&amp; Safety Code Chapter 260A; 26 TAC Chapter 553; DFPS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from abuse, neglect, and exploitation through prevention, prompt mandatory reporting, and investigation.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abuse, neglect, and exploitation, requires immediate reporting of suspected mistreatment as required by Health and Safety Code Chapter 260A, and investigates all allegations.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to recognize and immediately report suspected abuse, neglect, or exploitation, and to protect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and self-report suspected mistreatment to HHSC and to the Department of Family and Protective Services and law enforcement as required by Chapter 260A, within the required timeframes.</w:t>
      </w:r>
    </w:p>
    <w:p>
      <w:pPr>
        <w:pStyle w:val="Normal"/>
        <w:tabs>
          <w:tab w:val="left" w:pos="720" w:leader="none"/>
        </w:tabs>
        <w:spacing w:lineRule="exact" w:line="264" w:before="0" w:after="80"/>
        <w:ind w:hanging="360" w:start="720"/>
        <w:rPr/>
      </w:pPr>
      <w:r>
        <w:rPr>
          <w:rFonts w:eastAsia="Arial" w:cs="Arial"/>
          <w:sz w:val="21"/>
          <w:szCs w:val="21"/>
        </w:rPr>
        <w:t>c. Immediately suspend and remove from resident contact any employee alleged to have committed abuse, neglect, or exploitation, and any employee listed on a disqualifying registry (HB 1009).</w:t>
      </w:r>
    </w:p>
    <w:p>
      <w:pPr>
        <w:pStyle w:val="Normal"/>
        <w:tabs>
          <w:tab w:val="left" w:pos="720" w:leader="none"/>
        </w:tabs>
        <w:spacing w:lineRule="exact" w:line="264" w:before="0" w:after="80"/>
        <w:ind w:hanging="360" w:start="720"/>
        <w:rPr/>
      </w:pPr>
      <w:r>
        <w:rPr>
          <w:rFonts w:eastAsia="Arial" w:cs="Arial"/>
          <w:sz w:val="21"/>
          <w:szCs w:val="21"/>
        </w:rPr>
        <w:t>d. Investigate each allegation, documenting facts, dates and times, witnesses, and findings, protect the reporting party from retaliation, and cooperate fully with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Investigation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resident records and documentation, and the quality improvement program aligned with Joint Commission Assisted Living Community principles.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Improvement Program</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26 TAC Chapter 553.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record for each resident, protect the confidentiality and security of resident information consistent with HIPAA and Texas law, and make records available to the resident and HHSC as required.</w:t>
      </w:r>
    </w:p>
    <w:p>
      <w:pPr>
        <w:pStyle w:val="Normal"/>
        <w:pBdr>
          <w:bottom w:val="single" w:sz="4" w:space="1" w:color="2E5E45"/>
        </w:pBdr>
        <w:spacing w:before="160" w:after="80"/>
        <w:rPr/>
      </w:pPr>
      <w:r>
        <w:rPr>
          <w:rFonts w:eastAsia="Arial" w:cs="Arial"/>
          <w:b/>
          <w:bCs/>
          <w:color w:val="1A4731"/>
          <w:sz w:val="20"/>
          <w:szCs w:val="20"/>
        </w:rPr>
        <w:t>PROCEDURE — RECORD CONTENTS</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information; the residency agreement and disclosure statement; the assessment and individualized service plan; the medical evaluation; records of services provided; the medication assistance/administration record; and incident documentation as applicable.</w:t>
      </w:r>
    </w:p>
    <w:p>
      <w:pPr>
        <w:pStyle w:val="Normal"/>
        <w:tabs>
          <w:tab w:val="left" w:pos="720" w:leader="none"/>
        </w:tabs>
        <w:spacing w:lineRule="exact" w:line="264" w:before="0" w:after="80"/>
        <w:ind w:hanging="360" w:start="720"/>
        <w:rPr/>
      </w:pPr>
      <w:r>
        <w:rPr>
          <w:rFonts w:eastAsia="Arial" w:cs="Arial"/>
          <w:sz w:val="21"/>
          <w:szCs w:val="21"/>
        </w:rPr>
        <w:t>b. Document care and changes in condition contemporaneously, accurately, and legibly.</w:t>
      </w:r>
    </w:p>
    <w:p>
      <w:pPr>
        <w:pStyle w:val="Normal"/>
        <w:tabs>
          <w:tab w:val="left" w:pos="720" w:leader="none"/>
        </w:tabs>
        <w:spacing w:lineRule="exact" w:line="264" w:before="0" w:after="80"/>
        <w:ind w:hanging="360" w:start="720"/>
        <w:rPr/>
      </w:pPr>
      <w:r>
        <w:rPr>
          <w:rFonts w:eastAsia="Arial" w:cs="Arial"/>
          <w:sz w:val="21"/>
          <w:szCs w:val="21"/>
        </w:rPr>
        <w:t>c. Retain records for the period required by rule and make them available to HHSC on request.</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records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from the resident’s record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Chapter 553;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improvement program that measures performance, drives improvement, and sustains a culture of safety,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improvement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ownership and the manager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and outbreaks, grievances, drills, and incidents for patterns, and report to ownership/management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Texas agencies and resources, guidance on customizing the manual (including notes on Type A / Type B and memory care),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Texas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Resident Assessment &amp; Individualized Service Plan</w:t>
      </w:r>
    </w:p>
    <w:p>
      <w:pPr>
        <w:pStyle w:val="ListParagraph"/>
        <w:numPr>
          <w:ilvl w:val="0"/>
          <w:numId w:val="1"/>
        </w:numPr>
        <w:spacing w:lineRule="exact" w:line="264" w:before="0" w:after="60"/>
        <w:rPr/>
      </w:pPr>
      <w:r>
        <w:rPr>
          <w:rFonts w:eastAsia="Arial" w:cs="Arial"/>
          <w:sz w:val="21"/>
          <w:szCs w:val="21"/>
        </w:rPr>
        <w:t>Physician / Practitioner Medical Evaluation</w:t>
      </w:r>
    </w:p>
    <w:p>
      <w:pPr>
        <w:pStyle w:val="ListParagraph"/>
        <w:numPr>
          <w:ilvl w:val="0"/>
          <w:numId w:val="1"/>
        </w:numPr>
        <w:spacing w:lineRule="exact" w:line="264" w:before="0" w:after="60"/>
        <w:rPr/>
      </w:pPr>
      <w:r>
        <w:rPr>
          <w:rFonts w:eastAsia="Arial" w:cs="Arial"/>
          <w:sz w:val="21"/>
          <w:szCs w:val="21"/>
        </w:rPr>
        <w:t>Residency Agreement &amp; Disclosure Statement</w:t>
      </w:r>
    </w:p>
    <w:p>
      <w:pPr>
        <w:pStyle w:val="ListParagraph"/>
        <w:numPr>
          <w:ilvl w:val="0"/>
          <w:numId w:val="1"/>
        </w:numPr>
        <w:spacing w:lineRule="exact" w:line="264" w:before="0" w:after="60"/>
        <w:rPr/>
      </w:pPr>
      <w:r>
        <w:rPr>
          <w:rFonts w:eastAsia="Arial" w:cs="Arial"/>
          <w:sz w:val="21"/>
          <w:szCs w:val="21"/>
        </w:rPr>
        <w:t>Notice of Discharge / Relocation</w:t>
      </w:r>
    </w:p>
    <w:p>
      <w:pPr>
        <w:pStyle w:val="ListParagraph"/>
        <w:numPr>
          <w:ilvl w:val="0"/>
          <w:numId w:val="1"/>
        </w:numPr>
        <w:spacing w:lineRule="exact" w:line="264" w:before="0" w:after="60"/>
        <w:rPr/>
      </w:pPr>
      <w:r>
        <w:rPr>
          <w:rFonts w:eastAsia="Arial" w:cs="Arial"/>
          <w:sz w:val="21"/>
          <w:szCs w:val="21"/>
        </w:rPr>
        <w:t>Resident’s Bill of Rights &amp;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Incident / ANE Report &amp; Investigation Record</w:t>
      </w:r>
    </w:p>
    <w:p>
      <w:pPr>
        <w:pStyle w:val="ListParagraph"/>
        <w:numPr>
          <w:ilvl w:val="0"/>
          <w:numId w:val="1"/>
        </w:numPr>
        <w:spacing w:lineRule="exact" w:line="264" w:before="0" w:after="60"/>
        <w:rPr/>
      </w:pPr>
      <w:r>
        <w:rPr>
          <w:rFonts w:eastAsia="Arial" w:cs="Arial"/>
          <w:sz w:val="21"/>
          <w:szCs w:val="21"/>
        </w:rPr>
        <w:t>Registry Check &amp; Suspension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Zoning / Fire Marshal Approval</w:t>
      </w:r>
    </w:p>
    <w:p>
      <w:pPr>
        <w:pStyle w:val="ListParagraph"/>
        <w:numPr>
          <w:ilvl w:val="0"/>
          <w:numId w:val="1"/>
        </w:numPr>
        <w:spacing w:lineRule="exact" w:line="264" w:before="0" w:after="60"/>
        <w:rPr/>
      </w:pPr>
      <w:r>
        <w:rPr>
          <w:rFonts w:eastAsia="Arial" w:cs="Arial"/>
          <w:sz w:val="21"/>
          <w:szCs w:val="21"/>
        </w:rPr>
        <w:t>Criminal History Check Record</w:t>
      </w:r>
    </w:p>
    <w:p>
      <w:pPr>
        <w:pStyle w:val="ListParagraph"/>
        <w:numPr>
          <w:ilvl w:val="0"/>
          <w:numId w:val="1"/>
        </w:numPr>
        <w:spacing w:lineRule="exact" w:line="264" w:before="0" w:after="60"/>
        <w:rPr/>
      </w:pPr>
      <w:r>
        <w:rPr>
          <w:rFonts w:eastAsia="Arial" w:cs="Arial"/>
          <w:sz w:val="21"/>
          <w:szCs w:val="21"/>
        </w:rPr>
        <w:t>Nurse Aide / Employee Misconduct Registry Check</w:t>
      </w:r>
    </w:p>
    <w:p>
      <w:pPr>
        <w:pStyle w:val="ListParagraph"/>
        <w:numPr>
          <w:ilvl w:val="0"/>
          <w:numId w:val="1"/>
        </w:numPr>
        <w:spacing w:lineRule="exact" w:line="264" w:before="0" w:after="60"/>
        <w:rPr/>
      </w:pPr>
      <w:r>
        <w:rPr>
          <w:rFonts w:eastAsia="Arial" w:cs="Arial"/>
          <w:sz w:val="21"/>
          <w:szCs w:val="21"/>
        </w:rPr>
        <w:t>TB / Communicable Disease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Dementia Training Record (HB 1673)</w:t>
      </w:r>
    </w:p>
    <w:p>
      <w:pPr>
        <w:pStyle w:val="ListParagraph"/>
        <w:numPr>
          <w:ilvl w:val="0"/>
          <w:numId w:val="1"/>
        </w:numPr>
        <w:spacing w:lineRule="exact" w:line="264" w:before="0" w:after="60"/>
        <w:rPr/>
      </w:pPr>
      <w:r>
        <w:rPr>
          <w:rFonts w:eastAsia="Arial" w:cs="Arial"/>
          <w:sz w:val="21"/>
          <w:szCs w:val="21"/>
        </w:rPr>
        <w:t>Continuing Education &amp; Competency Log</w:t>
      </w:r>
    </w:p>
    <w:p>
      <w:pPr>
        <w:pStyle w:val="ListParagraph"/>
        <w:numPr>
          <w:ilvl w:val="0"/>
          <w:numId w:val="1"/>
        </w:numPr>
        <w:spacing w:lineRule="exact" w:line="264" w:before="0" w:after="60"/>
        <w:rPr/>
      </w:pPr>
      <w:r>
        <w:rPr>
          <w:rFonts w:eastAsia="Arial" w:cs="Arial"/>
          <w:sz w:val="21"/>
          <w:szCs w:val="21"/>
        </w:rPr>
        <w:t>Manager Qualification &amp; 24-Hour Course Record</w:t>
      </w:r>
    </w:p>
    <w:p>
      <w:pPr>
        <w:pStyle w:val="ListParagraph"/>
        <w:numPr>
          <w:ilvl w:val="0"/>
          <w:numId w:val="1"/>
        </w:numPr>
        <w:spacing w:lineRule="exact" w:line="264" w:before="0" w:after="60"/>
        <w:rPr/>
      </w:pPr>
      <w:r>
        <w:rPr>
          <w:rFonts w:eastAsia="Arial" w:cs="Arial"/>
          <w:sz w:val="21"/>
          <w:szCs w:val="21"/>
        </w:rPr>
        <w:t>Staffing Pattern Disclosure</w:t>
      </w:r>
    </w:p>
    <w:p>
      <w:pPr>
        <w:pStyle w:val="ListParagraph"/>
        <w:numPr>
          <w:ilvl w:val="0"/>
          <w:numId w:val="1"/>
        </w:numPr>
        <w:spacing w:lineRule="exact" w:line="264" w:before="0" w:after="60"/>
        <w:rPr/>
      </w:pPr>
      <w:r>
        <w:rPr>
          <w:rFonts w:eastAsia="Arial" w:cs="Arial"/>
          <w:sz w:val="21"/>
          <w:szCs w:val="21"/>
        </w:rPr>
        <w:t>Resident Service Record</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Alzheimer’s Certification &amp; Disclosure (if certified)</w:t>
      </w:r>
    </w:p>
    <w:p>
      <w:pPr>
        <w:pStyle w:val="ListParagraph"/>
        <w:numPr>
          <w:ilvl w:val="0"/>
          <w:numId w:val="1"/>
        </w:numPr>
        <w:spacing w:lineRule="exact" w:line="264" w:before="0" w:after="60"/>
        <w:rPr/>
      </w:pPr>
      <w:r>
        <w:rPr>
          <w:rFonts w:eastAsia="Arial" w:cs="Arial"/>
          <w:sz w:val="21"/>
          <w:szCs w:val="21"/>
        </w:rPr>
        <w:t>Memory Care Service / Behavioral Support Plan</w:t>
      </w:r>
    </w:p>
    <w:p>
      <w:pPr>
        <w:pStyle w:val="ListParagraph"/>
        <w:numPr>
          <w:ilvl w:val="0"/>
          <w:numId w:val="1"/>
        </w:numPr>
        <w:spacing w:lineRule="exact" w:line="264" w:before="0" w:after="60"/>
        <w:rPr/>
      </w:pPr>
      <w:r>
        <w:rPr>
          <w:rFonts w:eastAsia="Arial" w:cs="Arial"/>
          <w:sz w:val="21"/>
          <w:szCs w:val="21"/>
        </w:rPr>
        <w:t>Medication Assistance / Observation Record</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Aide Permit / RN Delegation Record</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Emergency Preparedness &amp; Response Plan (eight core functions)</w:t>
      </w:r>
    </w:p>
    <w:p>
      <w:pPr>
        <w:pStyle w:val="ListParagraph"/>
        <w:numPr>
          <w:ilvl w:val="0"/>
          <w:numId w:val="1"/>
        </w:numPr>
        <w:spacing w:lineRule="exact" w:line="264" w:before="0" w:after="60"/>
        <w:rPr/>
      </w:pPr>
      <w:r>
        <w:rPr>
          <w:rFonts w:eastAsia="Arial" w:cs="Arial"/>
          <w:sz w:val="21"/>
          <w:szCs w:val="21"/>
        </w:rPr>
        <w:t>211 Texas Disaster Registry Enrollment</w:t>
      </w:r>
    </w:p>
    <w:p>
      <w:pPr>
        <w:pStyle w:val="ListParagraph"/>
        <w:numPr>
          <w:ilvl w:val="0"/>
          <w:numId w:val="1"/>
        </w:numPr>
        <w:spacing w:lineRule="exact" w:line="264" w:before="0" w:after="60"/>
        <w:rPr/>
      </w:pPr>
      <w:r>
        <w:rPr>
          <w:rFonts w:eastAsia="Arial" w:cs="Arial"/>
          <w:sz w:val="21"/>
          <w:szCs w:val="21"/>
        </w:rPr>
        <w:t>Drill &amp; Training Records</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Fire-Safety Inspection Records</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Texas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Texas Health and Human Services Commission (HHSC), Long-Term Care Regulatory — Assisted Living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Law</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Part I, Chapter 553 (Licensing Standards for ALFs); Health &amp; Safety Code Chapter 247</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License Types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Type A / Type B (and legacy Type C); Alzheimer’s certification on Type B for memory care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 Registries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Criminal history (Health &amp; Safety Code Chapter 250); Nurse Aide Registry; Employee Misconduct Registry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HHSC and Texas Department of Family and Protective Services (DFPS); Health &amp; Safety Code Chapter 260A</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Long-Term Care 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Office of the State Long-Term Care Ombudsman, 1-800-252-2412</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health department and Texas Department of State Health Services (DSHS)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Disaster Registry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211 Texas disaster / emergency assistance registry (HB 4611)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Consumer Rights &amp; Services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HHSC Consumer Rights and Services, 1-800-458-9858</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Land Use / Fire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planning department and fire marshal (occupancy, NFPA fire-safety)</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Texas assisted living facility regulations (26 TAC Chapter 553 and Health &amp; Safety Code Chapter 247) and the Joint Commission Assisted Living Community (ALC) accreditation framework. It is written to cover both Type A and Type B licensed facilities. It is provided as an editable document for the licensee to adopt as its own.</w:t>
      </w:r>
    </w:p>
    <w:p>
      <w:pPr>
        <w:pStyle w:val="Normal"/>
        <w:spacing w:lineRule="exact" w:line="276" w:before="0" w:after="120"/>
        <w:rPr/>
      </w:pPr>
      <w:r>
        <w:rPr>
          <w:rFonts w:eastAsia="Arial" w:cs="Arial"/>
          <w:sz w:val="21"/>
          <w:szCs w:val="21"/>
        </w:rPr>
        <w:t>Type A and Type B. Texas licenses ALFs by residents’ ability to evacuate and their nighttime needs. This manual covers both types; the admission policy addresses each type’s criteria, and Type B-specific requirements (staff assistance to evacuate, awake/attending night staff, transfer assistance) apply to Type B facilities. Apply the parts that match your license type.</w:t>
      </w:r>
    </w:p>
    <w:p>
      <w:pPr>
        <w:pStyle w:val="Normal"/>
        <w:spacing w:lineRule="exact" w:line="276" w:before="0" w:after="120"/>
        <w:rPr/>
      </w:pPr>
      <w:r>
        <w:rPr>
          <w:rFonts w:eastAsia="Arial" w:cs="Arial"/>
          <w:sz w:val="21"/>
          <w:szCs w:val="21"/>
        </w:rPr>
        <w:t>Memory care. A facility that provides, advertises, or markets specialized care for residents with Alzheimer’s disease or related conditions must hold a Type B license with Alzheimer’s certification; the Alzheimer’s / Memory Care Certification policy applies only if you hold that certification.</w:t>
      </w:r>
    </w:p>
    <w:p>
      <w:pPr>
        <w:pStyle w:val="Normal"/>
        <w:spacing w:lineRule="exact" w:line="276" w:before="0" w:after="120"/>
        <w:rPr/>
      </w:pPr>
      <w:r>
        <w:rPr>
          <w:rFonts w:eastAsia="Arial" w:cs="Arial"/>
          <w:sz w:val="21"/>
          <w:szCs w:val="21"/>
        </w:rPr>
        <w:t>Before adopting: replace every [bracketed] placeholder (Facility name, effective date, manager) with your own information; review each policy against your current operations and your most recent HHSC survey; confirm your license type and, if applicable, Alzheimer’s certification; enroll in the 211 Texas disaster registry; confirm your property’s zoning and fire-safety approvals;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assisted living facility under the Resident’s Bill of Rights (26 TAC Chapter 553 and Health &amp; Safety Code Chapter 247), including the Facility’s obligations, the procedures for raising a grievance, and the contact information for the Long-Term Care Ombudsman and HHSC.</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Legal representative (if applicable): ______________________________    Date: ______________</w:t>
      </w:r>
    </w:p>
    <w:p>
      <w:pPr>
        <w:pStyle w:val="Normal"/>
        <w:spacing w:before="200" w:after="0"/>
        <w:rPr/>
      </w:pPr>
      <w:r>
        <w:rPr>
          <w:rFonts w:eastAsia="Arial" w:cs="Arial"/>
          <w:sz w:val="21"/>
          <w:szCs w:val="21"/>
        </w:rPr>
        <w:t>Manager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Texas — Assisted Living Facility (Type A &amp; Type B)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Texas — Assisted Living Facility (Type A &amp; Type B)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2026-07-01T12:29:39Z</dcterms:created>
  <dc:creator>PolicyReady.org</dc:creator>
  <dc:description/>
  <dc:language>en-US</dc:language>
  <cp:lastModifiedBy>Un-named</cp:lastModifiedBy>
  <dcterms:modified xsi:type="dcterms:W3CDTF">2026-07-01T12:29:39Z</dcterms:modified>
  <cp:revision>1</cp:revision>
  <dc:subject/>
  <dc:title>Texas Assisted Living Facility (Type A &amp; Type B) Policy &amp; Procedure Manual</dc:title>
</cp:coreProperties>
</file>