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jc w:val="center"/>
        <w:rPr/>
      </w:pPr>
      <w:r>
        <w:rPr>
          <w:rFonts w:eastAsia="Arial" w:cs="Arial"/>
          <w:b/>
          <w:bCs/>
          <w:color w:val="1A4731"/>
          <w:spacing w:val="60"/>
          <w:sz w:val="36"/>
          <w:szCs w:val="36"/>
        </w:rPr>
        <w:t>TEXAS</w:t>
      </w:r>
    </w:p>
    <w:p>
      <w:pPr>
        <w:pStyle w:val="Normal"/>
        <w:pBdr>
          <w:bottom w:val="single" w:sz="18" w:space="8" w:color="1A4731"/>
        </w:pBdr>
        <w:spacing w:before="200" w:after="0"/>
        <w:jc w:val="center"/>
        <w:rPr/>
      </w:pPr>
      <w:r>
        <w:rPr>
          <w:rFonts w:eastAsia="Arial" w:cs="Arial"/>
          <w:b/>
          <w:bCs/>
          <w:color w:val="222222"/>
          <w:sz w:val="56"/>
          <w:szCs w:val="56"/>
        </w:rPr>
        <w:t>Policy &amp; Procedure Manual</w:t>
      </w:r>
    </w:p>
    <w:p>
      <w:pPr>
        <w:pStyle w:val="Normal"/>
        <w:spacing w:before="240" w:after="0"/>
        <w:jc w:val="center"/>
        <w:rPr/>
      </w:pPr>
      <w:r>
        <w:rPr>
          <w:rFonts w:eastAsia="Arial" w:cs="Arial"/>
          <w:color w:val="444444"/>
          <w:sz w:val="28"/>
          <w:szCs w:val="28"/>
        </w:rPr>
        <w:t>Chemical Dependency Treatment Facility — HHSC (26 TAC 564)</w:t>
      </w:r>
    </w:p>
    <w:p>
      <w:pPr>
        <w:pStyle w:val="Normal"/>
        <w:spacing w:before="1400" w:after="0"/>
        <w:jc w:val="center"/>
        <w:rPr/>
      </w:pPr>
      <w:r>
        <w:rPr>
          <w:rFonts w:eastAsia="Arial" w:cs="Arial"/>
          <w:color w:val="666666"/>
          <w:sz w:val="22"/>
          <w:szCs w:val="22"/>
        </w:rPr>
        <w:t>Prepared for:</w:t>
      </w:r>
    </w:p>
    <w:p>
      <w:pPr>
        <w:pStyle w:val="Normal"/>
        <w:spacing w:before="80" w:after="0"/>
        <w:jc w:val="center"/>
        <w:rPr/>
      </w:pPr>
      <w:r>
        <w:rPr>
          <w:rFonts w:eastAsia="Arial" w:cs="Arial"/>
          <w:b/>
          <w:bCs/>
          <w:sz w:val="26"/>
          <w:szCs w:val="26"/>
        </w:rPr>
        <w:t>[Organization Name]</w:t>
      </w:r>
    </w:p>
    <w:p>
      <w:pPr>
        <w:pStyle w:val="Normal"/>
        <w:spacing w:before="60" w:after="0"/>
        <w:jc w:val="center"/>
        <w:rPr/>
      </w:pPr>
      <w:r>
        <w:rPr>
          <w:rFonts w:eastAsia="Arial" w:cs="Arial"/>
          <w:color w:val="666666"/>
          <w:sz w:val="20"/>
          <w:szCs w:val="20"/>
        </w:rPr>
        <w:t>[Address]   •   [HHSC CDTF License Number]   •   [Licensed Service(s)]</w:t>
      </w:r>
    </w:p>
    <w:p>
      <w:pPr>
        <w:pStyle w:val="Normal"/>
        <w:spacing w:before="1600" w:after="0"/>
        <w:jc w:val="center"/>
        <w:rPr/>
      </w:pPr>
      <w:r>
        <w:rPr>
          <w:rFonts w:eastAsia="Arial" w:cs="Arial"/>
          <w:color w:val="666666"/>
          <w:sz w:val="18"/>
          <w:szCs w:val="18"/>
        </w:rPr>
        <w:t>Aligned to 26 TAC Chapter 564 and Texas Health and Safety Code Chapter 464</w:t>
      </w:r>
    </w:p>
    <w:p>
      <w:pPr>
        <w:pStyle w:val="Normal"/>
        <w:spacing w:before="60" w:after="0"/>
        <w:jc w:val="center"/>
        <w:rPr/>
      </w:pPr>
      <w:r>
        <w:rPr>
          <w:rFonts w:eastAsia="Arial" w:cs="Arial"/>
          <w:color w:val="666666"/>
          <w:sz w:val="18"/>
          <w:szCs w:val="18"/>
        </w:rPr>
        <w:t>Texas Health and Human Services Commission (HHSC), Health Care Regulation</w:t>
      </w:r>
    </w:p>
    <w:p>
      <w:pPr>
        <w:pStyle w:val="Normal"/>
        <w:spacing w:before="600" w:after="0"/>
        <w:jc w:val="center"/>
        <w:rPr/>
      </w:pPr>
      <w:r>
        <w:rPr>
          <w:rFonts w:eastAsia="Arial" w:cs="Arial"/>
          <w:color w:val="888888"/>
          <w:sz w:val="18"/>
          <w:szCs w:val="18"/>
        </w:rPr>
        <w:t>Effective Date: [Effective Date]</w:t>
      </w:r>
    </w:p>
    <w:p>
      <w:pPr>
        <w:pStyle w:val="Normal"/>
        <w:rPr/>
      </w:pPr>
      <w:r>
        <w:rPr/>
      </w:r>
      <w:r>
        <w:br w:type="page"/>
      </w:r>
    </w:p>
    <w:p>
      <w:pPr>
        <w:pStyle w:val="Normal"/>
        <w:pBdr>
          <w:bottom w:val="single" w:sz="12" w:space="4" w:color="1A4731"/>
        </w:pBdr>
        <w:spacing w:before="0" w:after="160"/>
        <w:rPr/>
      </w:pPr>
      <w:r>
        <w:rPr>
          <w:rFonts w:eastAsia="Arial" w:cs="Arial"/>
          <w:b/>
          <w:bCs/>
          <w:color w:val="1A4731"/>
          <w:sz w:val="36"/>
          <w:szCs w:val="36"/>
        </w:rPr>
        <w:t>Table of Contents</w:t>
      </w:r>
    </w:p>
    <w:sdt>
      <w:sdtPr>
        <w:docPartObj>
          <w:docPartGallery w:val="Table of Contents"/>
          <w:docPartUnique w:val="true"/>
        </w:docPartObj>
      </w:sdtPr>
      <w:sdtContent>
        <w:p>
          <w:pPr>
            <w:pStyle w:val="Normal"/>
            <w:rPr/>
          </w:pPr>
          <w:r>
            <w:fldChar w:fldCharType="begin"/>
          </w:r>
          <w:r>
            <w:rPr/>
            <w:instrText xml:space="preserve"> TOC \o "1-2" \h</w:instrText>
            <w:fldChar w:fldCharType="separate"/>
          </w:r>
          <w:sdt>
            <w:sdtPr>
              <w:alias w:val="Table of Contents"/>
              <w:text/>
            </w:sdtPr>
            <w:sdtContent>
              <w:r>
                <w:rPr/>
              </w:r>
            </w:sdtContent>
          </w:sdt>
          <w:r>
            <w:rPr/>
            <w:fldChar w:fldCharType="end"/>
          </w:r>
        </w:p>
      </w:sdtContent>
    </w:sdt>
    <w:p>
      <w:pPr>
        <w:pStyle w:val="Normal"/>
        <w:rPr/>
      </w:pPr>
      <w:r>
        <w:rPr/>
      </w:r>
    </w:p>
    <w:p>
      <w:pPr>
        <w:pStyle w:val="Normal"/>
        <w:rPr/>
      </w:pPr>
      <w:r>
        <w:rPr/>
      </w:r>
      <w:r>
        <w:br w:type="page"/>
      </w:r>
    </w:p>
    <w:p>
      <w:pPr>
        <w:pStyle w:val="Normal"/>
        <w:pBdr>
          <w:bottom w:val="single" w:sz="12" w:space="4" w:color="1A4731"/>
        </w:pBdr>
        <w:spacing w:before="0" w:after="120"/>
        <w:rPr/>
      </w:pPr>
      <w:r>
        <w:rPr>
          <w:rFonts w:eastAsia="Arial" w:cs="Arial"/>
          <w:b/>
          <w:bCs/>
          <w:color w:val="1A4731"/>
          <w:sz w:val="32"/>
          <w:szCs w:val="32"/>
        </w:rPr>
        <w:t>About This Manual</w:t>
      </w:r>
    </w:p>
    <w:p>
      <w:pPr>
        <w:pStyle w:val="Normal"/>
        <w:spacing w:lineRule="exact" w:line="276" w:before="0" w:after="120"/>
        <w:rPr/>
      </w:pPr>
      <w:r>
        <w:rPr>
          <w:rFonts w:eastAsia="Arial" w:cs="Arial"/>
          <w:sz w:val="21"/>
          <w:szCs w:val="21"/>
        </w:rPr>
        <w:t>This Policy &amp; Procedure Manual is a comprehensive, customizable template for a Texas Chemical Dependency Treatment Facility (CDTF) licensed by the Texas Health and Human Services Commission (HHSC). It is built to the licensing standards in 26 Texas Administrative Code (TAC) Chapter 564 (Treatment Facilities for Individuals with Substance-Related Disorders) and the statutory authority in Texas Health and Safety Code (HSC) Chapter 464. It is organized to also support alignment with the accreditation frameworks Texas recognizes, including CARF, The Joint Commission, and COA.</w:t>
      </w:r>
    </w:p>
    <w:p>
      <w:pPr>
        <w:pStyle w:val="Normal"/>
        <w:spacing w:lineRule="exact" w:line="276" w:before="0" w:after="120"/>
        <w:rPr/>
      </w:pPr>
      <w:r>
        <w:rPr>
          <w:rFonts w:eastAsia="Arial" w:cs="Arial"/>
          <w:sz w:val="21"/>
          <w:szCs w:val="21"/>
        </w:rPr>
        <w:t>How Texas licenses substance use treatment. HHSC, through its Health Care Regulation division, licenses facilities that provide chemical dependency (substance use disorder) treatment as CDTFs under HSC Chapter 464 and 26 TAC Chapter 564. The CDTF license is service-based: the facility applies for, and is surveyed against, the specific treatment services it intends to provide at a specific location. Texas mental health facilities such as private psychiatric hospitals and crisis stabilization units are licensed separately (under HSC Chapter 577 and 26 TAC Chapter 510) and are not covered by this manual; a provider that operates both holds separate licenses.</w:t>
      </w:r>
    </w:p>
    <w:p>
      <w:pPr>
        <w:pStyle w:val="Normal"/>
        <w:spacing w:lineRule="exact" w:line="276" w:before="0" w:after="120"/>
        <w:rPr/>
      </w:pPr>
      <w:r>
        <w:rPr>
          <w:rFonts w:eastAsia="Arial" w:cs="Arial"/>
          <w:sz w:val="21"/>
          <w:szCs w:val="21"/>
        </w:rPr>
        <w:t>Service types. Chapter 564 sets a body of standards that apply to every CDTF and then adds requirements for the specific treatment services a facility delivers. This manual mirrors that structure: Sections A through F contain the standards that apply regardless of service type, and Section G contains the service-type and specialty-program standards — detoxification, residential, and outpatient services, plus adolescent, co-occurring psychiatric and substance use disorder (COPSD), women-and-children, court-commitment, and therapeutic-community programs, and the substance-misuse educational program. Adopt the Section G policies only for the services your facility is licensed to provide.</w:t>
      </w:r>
    </w:p>
    <w:p>
      <w:pPr>
        <w:pStyle w:val="Normal"/>
        <w:spacing w:lineRule="exact" w:line="276" w:before="0" w:after="120"/>
        <w:rPr/>
      </w:pPr>
      <w:r>
        <w:rPr>
          <w:rFonts w:eastAsia="Arial" w:cs="Arial"/>
          <w:sz w:val="21"/>
          <w:szCs w:val="21"/>
        </w:rPr>
        <w:t>How the policies are organized. This manual is deliberately detailed. Each policy follows the same structure: a header block (title, department, regulatory reference, effective date, revision dates, and approval), followed by a Purpose, the Scope of the policy, Definitions where useful, a Policy statement that sets the governing standards, one or more Procedure sub-processes that break the work into concrete steps, Documentation and Oversight expectations where relevant, and a Related Forms list, and each policy closes with a Document History table. Replace every [bracketed] placeholder with your facility's information, and review each policy against your actual operations and your HHSC license before adopting.</w:t>
      </w:r>
    </w:p>
    <w:p>
      <w:pPr>
        <w:pStyle w:val="Normal"/>
        <w:spacing w:lineRule="exact" w:line="276" w:before="0" w:after="120"/>
        <w:rPr/>
      </w:pPr>
      <w:r>
        <w:rPr>
          <w:rFonts w:eastAsia="Arial" w:cs="Arial"/>
          <w:sz w:val="21"/>
          <w:szCs w:val="21"/>
        </w:rPr>
        <w:t>A note on terminology. Chapter 564 refers to the person receiving services as the client; to the licensed entity as the facility or provider; to the addiction counselor credential as the Licensed Chemical Dependency Counselor (LCDC), regulated under 26 TAC Chapter 562; and to a counselor working toward that credential as a counselor intern. Detoxification and certain services require a medical director. This manual uses those terms.</w:t>
      </w:r>
    </w:p>
    <w:p>
      <w:pPr>
        <w:pStyle w:val="Normal"/>
        <w:spacing w:lineRule="exact" w:line="276" w:before="0" w:after="120"/>
        <w:rPr/>
      </w:pPr>
      <w:r>
        <w:rPr>
          <w:rFonts w:eastAsia="Arial" w:cs="Arial"/>
          <w:sz w:val="21"/>
          <w:szCs w:val="21"/>
        </w:rPr>
        <w:t>A note on confidentiality. Substance use disorder treatment records are protected by the federal rule at 42 CFR Part 2 (“Confidentiality of Substance Use Disorder Patient Records”), by HIPAA (45 CFR Parts 160 and 164), and by the confidentiality standard in 26 TAC §564.13. Because these are among the most strictly protected records in health care, the confidentiality policy in Section C should be read closely and applied throughout.</w:t>
      </w:r>
    </w:p>
    <w:p>
      <w:pPr>
        <w:pStyle w:val="Normal"/>
        <w:spacing w:lineRule="exact" w:line="276" w:before="0" w:after="120"/>
        <w:rPr/>
      </w:pPr>
      <w:r>
        <w:rPr>
          <w:rFonts w:eastAsia="Arial" w:cs="Arial"/>
          <w:sz w:val="21"/>
          <w:szCs w:val="21"/>
        </w:rPr>
        <w:t>A note on marketing and admissions. Texas prohibits deceptive marketing and patient brokering in the treatment industry under HSC Chapter 164; the facility's marketing, referral, and admissions practices comply with that law, and this manual addresses those obligations.</w:t>
      </w:r>
    </w:p>
    <w:p>
      <w:pPr>
        <w:pStyle w:val="Normal"/>
        <w:spacing w:lineRule="exact" w:line="276" w:before="0" w:after="120"/>
        <w:rPr/>
      </w:pPr>
      <w:r>
        <w:rPr>
          <w:rFonts w:eastAsia="Arial" w:cs="Arial"/>
          <w:sz w:val="21"/>
          <w:szCs w:val="21"/>
        </w:rPr>
        <w:t>A note on the regulatory landscape. On April 30, 2024, HHSC administratively transferred the CDTF rules from 25 TAC Chapters 441 and 448 to 26 TAC Chapter 564; recent legislation (including H.B. 4 on outpatient telehealth and H.B. 5183 on the substance-misuse educational program) has also amended the framework. This manual is built to the current Chapter 564. Confirm the current version of Chapter 564 and HSC Chapter 464 with HHSC before adopting, and update the manual when the rules change.</w:t>
      </w:r>
    </w:p>
    <w:p>
      <w:pPr>
        <w:pStyle w:val="Normal"/>
        <w:spacing w:lineRule="exact" w:line="276" w:before="0" w:after="120"/>
        <w:rPr/>
      </w:pPr>
      <w:r>
        <w:rPr>
          <w:rFonts w:eastAsia="Arial" w:cs="Arial"/>
          <w:sz w:val="21"/>
          <w:szCs w:val="21"/>
        </w:rPr>
        <w:t>A note on accreditation and licensure term. The CDTF license is issued for a two-year term and is renewed with updated documentation and fees; the facility must pass an on-site survey before an initial license is issued. Confirm your facility's current accreditation obligations and align this manual with your accreditor's standards. Official HHSC forms (such as Form 3207, the CDTF License Application) are referenced by name only; obtain the current versions directly from HHSC.</w:t>
      </w:r>
    </w:p>
    <w:p>
      <w:pPr>
        <w:pStyle w:val="Normal"/>
        <w:spacing w:lineRule="exact" w:line="276" w:before="0" w:after="120"/>
        <w:rPr/>
      </w:pPr>
      <w:r>
        <w:rPr>
          <w:rFonts w:eastAsia="Arial" w:cs="Arial"/>
          <w:sz w:val="21"/>
          <w:szCs w:val="21"/>
        </w:rPr>
        <w:t>This manual is a template and is not legal advice. CDTF licensing is detailed and changes frequently; the facility should have qualified Texas counsel or a compliance professional review this manual against the current rules and the facility's license before adoption.</w:t>
      </w:r>
    </w:p>
    <w:p>
      <w:pPr>
        <w:pStyle w:val="Normal"/>
        <w:rPr/>
      </w:pPr>
      <w:r>
        <w:rPr/>
      </w:r>
      <w:r>
        <w:br w:type="page"/>
      </w:r>
    </w:p>
    <w:p>
      <w:pPr>
        <w:pStyle w:val="Normal"/>
        <w:spacing w:before="0" w:after="120"/>
        <w:jc w:val="start"/>
        <w:rPr/>
      </w:pPr>
      <w:r>
        <w:rPr>
          <w:rFonts w:eastAsia="Arial" w:cs="Arial"/>
          <w:b/>
          <w:bCs/>
          <w:color w:val="1A4731"/>
          <w:sz w:val="28"/>
          <w:szCs w:val="28"/>
        </w:rPr>
        <w:t>SECTION A</w:t>
      </w:r>
    </w:p>
    <w:p>
      <w:pPr>
        <w:pStyle w:val="Normal"/>
        <w:pBdr>
          <w:bottom w:val="single" w:sz="12" w:space="4" w:color="1A4731"/>
        </w:pBdr>
        <w:spacing w:before="0" w:after="240"/>
        <w:jc w:val="start"/>
        <w:rPr/>
      </w:pPr>
      <w:r>
        <w:rPr>
          <w:rFonts w:eastAsia="Arial" w:cs="Arial"/>
          <w:b/>
          <w:bCs/>
          <w:color w:val="222222"/>
          <w:sz w:val="40"/>
          <w:szCs w:val="40"/>
        </w:rPr>
        <w:t>Governance, Licensure &amp; Administration</w:t>
      </w:r>
    </w:p>
    <w:p>
      <w:pPr>
        <w:pStyle w:val="Normal"/>
        <w:spacing w:lineRule="exact" w:line="288" w:before="0" w:after="240"/>
        <w:rPr/>
      </w:pPr>
      <w:r>
        <w:rPr>
          <w:rFonts w:eastAsia="Arial" w:cs="Arial"/>
          <w:color w:val="444444"/>
          <w:sz w:val="22"/>
          <w:szCs w:val="22"/>
        </w:rPr>
        <w:t>This section establishes how the facility is governed and administered — its organization and governance, HHSC licensure and renewal, the operational plan and policies, quality management, reporting and required postings, and lawful marketing and admissions practices.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1.00  Facility Organization &amp; Governance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1.01  Licensure, Application &amp; Renewal</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1.02  Operational Plan, Policies &amp; Procedures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1.03  Quality Management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1.04  Reporting Measures &amp; Required Postings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1.05  Marketing, Admissions &amp; Prohibition on Patient Brokering</w:t>
      </w:r>
    </w:p>
    <w:p>
      <w:pPr>
        <w:pStyle w:val="Normal"/>
        <w:rPr/>
      </w:pPr>
      <w:r>
        <w:rPr/>
      </w:r>
      <w:r>
        <w:br w:type="page"/>
      </w:r>
    </w:p>
    <w:p>
      <w:pPr>
        <w:pStyle w:val="Heading2"/>
        <w:spacing w:before="0" w:after="120"/>
        <w:rPr/>
      </w:pPr>
      <w:r>
        <w:rPr>
          <w:rFonts w:eastAsia="Arial" w:cs="Arial" w:ascii="Arial" w:hAnsi="Arial"/>
          <w:b/>
          <w:bCs/>
          <w:color w:val="1A4731"/>
          <w:sz w:val="26"/>
          <w:szCs w:val="26"/>
        </w:rPr>
        <w:t>1.00  Facility Organization &amp; Governance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1.00  Facility Organization &amp; Governance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Governance, 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§564.501; HSC §464.009</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establish the facility's organizational structure and governance so that chemical dependency treatment services are delivered safely, lawfully, and consistent with 26 TAC Chapter 564 and HSC Chapter 464.</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governing body, the chief executive officer or facility director, and all management personnel, across every service the facility is licensed to provide.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is a legally constituted entity with a defined organizational structure that identifies the governing body, the chief executive officer or facility director responsible for operations, and the lines of authority, responsibility, and accountability among staff. The organizational structure is documented in writing, reflected in an organizational chart, and made available for HHSC review. The governing body is responsible for the facility's compliance with Chapter 564, HSC Chapter 464, and all other applicable law, and delegates day-to-day operational authority to the chief executive officer or facility director.</w:t>
      </w:r>
    </w:p>
    <w:p>
      <w:pPr>
        <w:pStyle w:val="Normal"/>
        <w:spacing w:lineRule="exact" w:line="276" w:before="0" w:after="120"/>
        <w:rPr/>
      </w:pPr>
      <w:r>
        <w:rPr>
          <w:rFonts w:eastAsia="Arial" w:cs="Arial"/>
          <w:sz w:val="21"/>
          <w:szCs w:val="21"/>
        </w:rPr>
        <w:t>The facility designates the personnel required for the services it provides, including a medical director where a service such as detoxification requires one, and ensures that responsibility for each function is clearly assigned.</w:t>
      </w:r>
    </w:p>
    <w:p>
      <w:pPr>
        <w:pStyle w:val="Normal"/>
        <w:pBdr>
          <w:bottom w:val="single" w:sz="4" w:space="1" w:color="2E5E45"/>
        </w:pBdr>
        <w:spacing w:before="160" w:after="80"/>
        <w:rPr/>
      </w:pPr>
      <w:r>
        <w:rPr>
          <w:rFonts w:eastAsia="Arial" w:cs="Arial"/>
          <w:b/>
          <w:bCs/>
          <w:color w:val="1A4731"/>
          <w:sz w:val="20"/>
          <w:szCs w:val="20"/>
        </w:rPr>
        <w:t>PROCEDURE — ORGANIZATION &amp; ACCOUNTABILITY</w:t>
      </w:r>
    </w:p>
    <w:p>
      <w:pPr>
        <w:pStyle w:val="Normal"/>
        <w:tabs>
          <w:tab w:val="left" w:pos="720" w:leader="none"/>
        </w:tabs>
        <w:spacing w:lineRule="exact" w:line="264" w:before="0" w:after="80"/>
        <w:ind w:hanging="360" w:start="720"/>
        <w:rPr/>
      </w:pPr>
      <w:r>
        <w:rPr>
          <w:rFonts w:eastAsia="Arial" w:cs="Arial"/>
          <w:sz w:val="21"/>
          <w:szCs w:val="21"/>
        </w:rPr>
        <w:t>a. Maintain the facility's legal-entity documentation and a written organizational structure with an organizational chart.</w:t>
      </w:r>
    </w:p>
    <w:p>
      <w:pPr>
        <w:pStyle w:val="Normal"/>
        <w:tabs>
          <w:tab w:val="left" w:pos="720" w:leader="none"/>
        </w:tabs>
        <w:spacing w:lineRule="exact" w:line="264" w:before="0" w:after="80"/>
        <w:ind w:hanging="360" w:start="720"/>
        <w:rPr/>
      </w:pPr>
      <w:r>
        <w:rPr>
          <w:rFonts w:eastAsia="Arial" w:cs="Arial"/>
          <w:sz w:val="21"/>
          <w:szCs w:val="21"/>
        </w:rPr>
        <w:t>b. Define lines of authority, responsibility, and accountability and assign responsibility for each required function.</w:t>
      </w:r>
    </w:p>
    <w:p>
      <w:pPr>
        <w:pStyle w:val="Normal"/>
        <w:tabs>
          <w:tab w:val="left" w:pos="720" w:leader="none"/>
        </w:tabs>
        <w:spacing w:lineRule="exact" w:line="264" w:before="0" w:after="80"/>
        <w:ind w:hanging="360" w:start="720"/>
        <w:rPr/>
      </w:pPr>
      <w:r>
        <w:rPr>
          <w:rFonts w:eastAsia="Arial" w:cs="Arial"/>
          <w:sz w:val="21"/>
          <w:szCs w:val="21"/>
        </w:rPr>
        <w:t>c. Designate required personnel, including a medical director where a service requires one, and make the structure available for HHSC review.</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3"/>
        </w:numPr>
        <w:spacing w:lineRule="exact" w:line="264" w:before="0" w:after="60"/>
        <w:rPr/>
      </w:pPr>
      <w:r>
        <w:rPr>
          <w:rFonts w:eastAsia="Arial" w:cs="Arial"/>
          <w:sz w:val="21"/>
          <w:szCs w:val="21"/>
        </w:rPr>
        <w:t>Organizational Chart</w:t>
      </w:r>
    </w:p>
    <w:p>
      <w:pPr>
        <w:pStyle w:val="ListParagraph"/>
        <w:numPr>
          <w:ilvl w:val="0"/>
          <w:numId w:val="1"/>
        </w:numPr>
        <w:spacing w:lineRule="exact" w:line="264" w:before="0" w:after="60"/>
        <w:rPr/>
      </w:pPr>
      <w:r>
        <w:rPr>
          <w:rFonts w:eastAsia="Arial" w:cs="Arial"/>
          <w:sz w:val="21"/>
          <w:szCs w:val="21"/>
        </w:rPr>
        <w:t>Governing Body Charter</w:t>
      </w:r>
    </w:p>
    <w:p>
      <w:pPr>
        <w:pStyle w:val="ListParagraph"/>
        <w:numPr>
          <w:ilvl w:val="0"/>
          <w:numId w:val="1"/>
        </w:numPr>
        <w:spacing w:lineRule="exact" w:line="264" w:before="0" w:after="60"/>
        <w:rPr/>
      </w:pPr>
      <w:r>
        <w:rPr>
          <w:rFonts w:eastAsia="Arial" w:cs="Arial"/>
          <w:sz w:val="21"/>
          <w:szCs w:val="21"/>
        </w:rPr>
        <w:t>Chief Executive Officer / Facility Director Job Description</w:t>
      </w:r>
    </w:p>
    <w:p>
      <w:pPr>
        <w:pStyle w:val="ListParagraph"/>
        <w:numPr>
          <w:ilvl w:val="0"/>
          <w:numId w:val="1"/>
        </w:numPr>
        <w:spacing w:lineRule="exact" w:line="264" w:before="0" w:after="60"/>
        <w:rPr/>
      </w:pPr>
      <w:r>
        <w:rPr>
          <w:rFonts w:eastAsia="Arial" w:cs="Arial"/>
          <w:sz w:val="21"/>
          <w:szCs w:val="21"/>
        </w:rPr>
        <w:t>Medical Director Designation (where applicable)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1.01  Licensure, Application &amp; Renewal</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1.01  Licensure, Application &amp; Renewal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Governance, 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§§564.401–564.409; HSC Ch. 464</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obtains and maintains its HHSC CDTF license for the services it provides and meets application, survey, renewal, and enforcement requirements.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governing body and chief executive officer and governs all licensure activity.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a current HHSC CDTF license under HSC Chapter 464 and 26 TAC Chapter 564 for each treatment service it provides at each licensed location, and does not provide a service for which it is not licensed. The facility submits a complete license application on the required HHSC forms with the license fee and supporting documentation, and passes an on-site (or pre-survey) inspection before an initial license is issued. The license is issued for a two-year term; the facility applies for renewal with updated documentation and fees before expiration and does not allow the license to lapse. The facility cooperates fully with HHSC inspections, surveys, investigations, and enforcement, and corrects any deficiency through a plan of correction within required timeframes.</w:t>
      </w:r>
    </w:p>
    <w:p>
      <w:pPr>
        <w:pStyle w:val="Normal"/>
        <w:spacing w:lineRule="exact" w:line="276" w:before="0" w:after="120"/>
        <w:rPr/>
      </w:pPr>
      <w:r>
        <w:rPr>
          <w:rFonts w:eastAsia="Arial" w:cs="Arial"/>
          <w:sz w:val="21"/>
          <w:szCs w:val="21"/>
        </w:rPr>
        <w:t>The facility understands that an application is maintained by HHSC for a limited period and is denied if compliance is not demonstrated, and that a licensee must comply with all conditions of licensure. Issuance of a CDTF license does not satisfy any other applicable licensure or authorization requirement.</w:t>
      </w:r>
    </w:p>
    <w:p>
      <w:pPr>
        <w:pStyle w:val="Normal"/>
        <w:pBdr>
          <w:bottom w:val="single" w:sz="4" w:space="1" w:color="2E5E45"/>
        </w:pBdr>
        <w:spacing w:before="160" w:after="80"/>
        <w:rPr/>
      </w:pPr>
      <w:r>
        <w:rPr>
          <w:rFonts w:eastAsia="Arial" w:cs="Arial"/>
          <w:b/>
          <w:bCs/>
          <w:color w:val="1A4731"/>
          <w:sz w:val="20"/>
          <w:szCs w:val="20"/>
        </w:rPr>
        <w:t>PROCEDURE — APPLICATION &amp; SURVEY</w:t>
      </w:r>
    </w:p>
    <w:p>
      <w:pPr>
        <w:pStyle w:val="Normal"/>
        <w:tabs>
          <w:tab w:val="left" w:pos="720" w:leader="none"/>
        </w:tabs>
        <w:spacing w:lineRule="exact" w:line="264" w:before="0" w:after="80"/>
        <w:ind w:hanging="360" w:start="720"/>
        <w:rPr/>
      </w:pPr>
      <w:r>
        <w:rPr>
          <w:rFonts w:eastAsia="Arial" w:cs="Arial"/>
          <w:sz w:val="21"/>
          <w:szCs w:val="21"/>
        </w:rPr>
        <w:t>a. Submit a complete CDTF license application on the required HHSC forms with the fee and supporting documentation for each service and location.</w:t>
      </w:r>
    </w:p>
    <w:p>
      <w:pPr>
        <w:pStyle w:val="Normal"/>
        <w:tabs>
          <w:tab w:val="left" w:pos="720" w:leader="none"/>
        </w:tabs>
        <w:spacing w:lineRule="exact" w:line="264" w:before="0" w:after="80"/>
        <w:ind w:hanging="360" w:start="720"/>
        <w:rPr/>
      </w:pPr>
      <w:r>
        <w:rPr>
          <w:rFonts w:eastAsia="Arial" w:cs="Arial"/>
          <w:sz w:val="21"/>
          <w:szCs w:val="21"/>
        </w:rPr>
        <w:t>b. Prepare for and pass the on-site or pre-survey inspection before an initial license is issued.</w:t>
      </w:r>
    </w:p>
    <w:p>
      <w:pPr>
        <w:pStyle w:val="Normal"/>
        <w:tabs>
          <w:tab w:val="left" w:pos="720" w:leader="none"/>
        </w:tabs>
        <w:spacing w:lineRule="exact" w:line="264" w:before="0" w:after="80"/>
        <w:ind w:hanging="360" w:start="720"/>
        <w:rPr/>
      </w:pPr>
      <w:r>
        <w:rPr>
          <w:rFonts w:eastAsia="Arial" w:cs="Arial"/>
          <w:sz w:val="21"/>
          <w:szCs w:val="21"/>
        </w:rPr>
        <w:t>c. Provide a service only after it is licensed and add a service or location by application before providing it.</w:t>
      </w:r>
    </w:p>
    <w:p>
      <w:pPr>
        <w:pStyle w:val="Normal"/>
        <w:pBdr>
          <w:bottom w:val="single" w:sz="4" w:space="1" w:color="2E5E45"/>
        </w:pBdr>
        <w:spacing w:before="160" w:after="80"/>
        <w:rPr/>
      </w:pPr>
      <w:r>
        <w:rPr>
          <w:rFonts w:eastAsia="Arial" w:cs="Arial"/>
          <w:b/>
          <w:bCs/>
          <w:color w:val="1A4731"/>
          <w:sz w:val="20"/>
          <w:szCs w:val="20"/>
        </w:rPr>
        <w:t>PROCEDURE — RENEWAL &amp; ENFORCEMENT</w:t>
      </w:r>
    </w:p>
    <w:p>
      <w:pPr>
        <w:pStyle w:val="Normal"/>
        <w:tabs>
          <w:tab w:val="left" w:pos="720" w:leader="none"/>
        </w:tabs>
        <w:spacing w:lineRule="exact" w:line="264" w:before="0" w:after="80"/>
        <w:ind w:hanging="360" w:start="720"/>
        <w:rPr/>
      </w:pPr>
      <w:r>
        <w:rPr>
          <w:rFonts w:eastAsia="Arial" w:cs="Arial"/>
          <w:sz w:val="21"/>
          <w:szCs w:val="21"/>
        </w:rPr>
        <w:t>d. Apply for renewal with updated documentation and fees before the two-year license expires and prevent lapse.</w:t>
      </w:r>
    </w:p>
    <w:p>
      <w:pPr>
        <w:pStyle w:val="Normal"/>
        <w:tabs>
          <w:tab w:val="left" w:pos="720" w:leader="none"/>
        </w:tabs>
        <w:spacing w:lineRule="exact" w:line="264" w:before="0" w:after="80"/>
        <w:ind w:hanging="360" w:start="720"/>
        <w:rPr/>
      </w:pPr>
      <w:r>
        <w:rPr>
          <w:rFonts w:eastAsia="Arial" w:cs="Arial"/>
          <w:sz w:val="21"/>
          <w:szCs w:val="21"/>
        </w:rPr>
        <w:t>e. Cooperate with inspections, surveys, and investigations and implement a plan of correction for any deficiency within required timeframes.</w:t>
      </w:r>
    </w:p>
    <w:p>
      <w:pPr>
        <w:pStyle w:val="Normal"/>
        <w:tabs>
          <w:tab w:val="left" w:pos="720" w:leader="none"/>
        </w:tabs>
        <w:spacing w:lineRule="exact" w:line="264" w:before="0" w:after="80"/>
        <w:ind w:hanging="360" w:start="720"/>
        <w:rPr/>
      </w:pPr>
      <w:r>
        <w:rPr>
          <w:rFonts w:eastAsia="Arial" w:cs="Arial"/>
          <w:sz w:val="21"/>
          <w:szCs w:val="21"/>
        </w:rPr>
        <w:t>f. Track license and renewal dates on a licensing calendar.</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CDTF License Application (HHSC Form 3207) &amp; Checklist (Form 3208)</w:t>
      </w:r>
    </w:p>
    <w:p>
      <w:pPr>
        <w:pStyle w:val="ListParagraph"/>
        <w:numPr>
          <w:ilvl w:val="0"/>
          <w:numId w:val="1"/>
        </w:numPr>
        <w:spacing w:lineRule="exact" w:line="264" w:before="0" w:after="60"/>
        <w:rPr/>
      </w:pPr>
      <w:r>
        <w:rPr>
          <w:rFonts w:eastAsia="Arial" w:cs="Arial"/>
          <w:sz w:val="21"/>
          <w:szCs w:val="21"/>
        </w:rPr>
        <w:t>License &amp; Service Register</w:t>
      </w:r>
    </w:p>
    <w:p>
      <w:pPr>
        <w:pStyle w:val="ListParagraph"/>
        <w:numPr>
          <w:ilvl w:val="0"/>
          <w:numId w:val="1"/>
        </w:numPr>
        <w:spacing w:lineRule="exact" w:line="264" w:before="0" w:after="60"/>
        <w:rPr/>
      </w:pPr>
      <w:r>
        <w:rPr>
          <w:rFonts w:eastAsia="Arial" w:cs="Arial"/>
          <w:sz w:val="21"/>
          <w:szCs w:val="21"/>
        </w:rPr>
        <w:t>Plan of Correction Template</w:t>
      </w:r>
    </w:p>
    <w:p>
      <w:pPr>
        <w:pStyle w:val="ListParagraph"/>
        <w:numPr>
          <w:ilvl w:val="0"/>
          <w:numId w:val="1"/>
        </w:numPr>
        <w:spacing w:lineRule="exact" w:line="264" w:before="0" w:after="60"/>
        <w:rPr/>
      </w:pPr>
      <w:r>
        <w:rPr>
          <w:rFonts w:eastAsia="Arial" w:cs="Arial"/>
          <w:sz w:val="21"/>
          <w:szCs w:val="21"/>
        </w:rPr>
        <w:t>Licensing &amp; Renewal Calendar</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1.02  Operational Plan, Policies &amp; Procedures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1.02  Operational Plan, Policies &amp; Procedures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Governance, 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§564.502</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maintains a written operational plan and a complete set of policies and procedures that describe its services and govern its operations.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governs the facility's operational plan and all policies and procedures and applies to everyone who drafts, approves, follows, or is trained on them.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a written operational plan and a set of policies and procedures that describe the services it provides and the population it serves and that address the requirements of Chapter 564. Policies and procedures are approved by the appropriate authority, made available to staff, kept current, and reviewed and revised as needed. This manual is maintained under version control, with an effective date, revision dates, and a document-history record for each policy, and all staff have a working knowledge of the policies applicable to their duties.</w:t>
      </w:r>
    </w:p>
    <w:p>
      <w:pPr>
        <w:pStyle w:val="Normal"/>
        <w:pBdr>
          <w:bottom w:val="single" w:sz="4" w:space="1" w:color="2E5E45"/>
        </w:pBdr>
        <w:spacing w:before="160" w:after="80"/>
        <w:rPr/>
      </w:pPr>
      <w:r>
        <w:rPr>
          <w:rFonts w:eastAsia="Arial" w:cs="Arial"/>
          <w:b/>
          <w:bCs/>
          <w:color w:val="1A4731"/>
          <w:sz w:val="20"/>
          <w:szCs w:val="20"/>
        </w:rPr>
        <w:t>PROCEDURE — MAINTAINING POLICIES</w:t>
      </w:r>
    </w:p>
    <w:p>
      <w:pPr>
        <w:pStyle w:val="Normal"/>
        <w:tabs>
          <w:tab w:val="left" w:pos="720" w:leader="none"/>
        </w:tabs>
        <w:spacing w:lineRule="exact" w:line="264" w:before="0" w:after="80"/>
        <w:ind w:hanging="360" w:start="720"/>
        <w:rPr/>
      </w:pPr>
      <w:r>
        <w:rPr>
          <w:rFonts w:eastAsia="Arial" w:cs="Arial"/>
          <w:sz w:val="21"/>
          <w:szCs w:val="21"/>
        </w:rPr>
        <w:t>a. Maintain a written operational plan and policies and procedures describing services and the population served and addressing Chapter 564.</w:t>
      </w:r>
    </w:p>
    <w:p>
      <w:pPr>
        <w:pStyle w:val="Normal"/>
        <w:tabs>
          <w:tab w:val="left" w:pos="720" w:leader="none"/>
        </w:tabs>
        <w:spacing w:lineRule="exact" w:line="264" w:before="0" w:after="80"/>
        <w:ind w:hanging="360" w:start="720"/>
        <w:rPr/>
      </w:pPr>
      <w:r>
        <w:rPr>
          <w:rFonts w:eastAsia="Arial" w:cs="Arial"/>
          <w:sz w:val="21"/>
          <w:szCs w:val="21"/>
        </w:rPr>
        <w:t>b. Approve, distribute, and train staff on policies and document acknowledgment.</w:t>
      </w:r>
    </w:p>
    <w:p>
      <w:pPr>
        <w:pStyle w:val="Normal"/>
        <w:tabs>
          <w:tab w:val="left" w:pos="720" w:leader="none"/>
        </w:tabs>
        <w:spacing w:lineRule="exact" w:line="264" w:before="0" w:after="80"/>
        <w:ind w:hanging="360" w:start="720"/>
        <w:rPr/>
      </w:pPr>
      <w:r>
        <w:rPr>
          <w:rFonts w:eastAsia="Arial" w:cs="Arial"/>
          <w:sz w:val="21"/>
          <w:szCs w:val="21"/>
        </w:rPr>
        <w:t>c. Review and revise policies as needed and record each revision in the document-history table.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Operational Plan</w:t>
      </w:r>
    </w:p>
    <w:p>
      <w:pPr>
        <w:pStyle w:val="ListParagraph"/>
        <w:numPr>
          <w:ilvl w:val="0"/>
          <w:numId w:val="1"/>
        </w:numPr>
        <w:spacing w:lineRule="exact" w:line="264" w:before="0" w:after="60"/>
        <w:rPr/>
      </w:pPr>
      <w:r>
        <w:rPr>
          <w:rFonts w:eastAsia="Arial" w:cs="Arial"/>
          <w:sz w:val="21"/>
          <w:szCs w:val="21"/>
        </w:rPr>
        <w:t>Master Policy Index &amp; Version Log</w:t>
      </w:r>
    </w:p>
    <w:p>
      <w:pPr>
        <w:pStyle w:val="ListParagraph"/>
        <w:numPr>
          <w:ilvl w:val="0"/>
          <w:numId w:val="1"/>
        </w:numPr>
        <w:spacing w:lineRule="exact" w:line="264" w:before="0" w:after="60"/>
        <w:rPr/>
      </w:pPr>
      <w:r>
        <w:rPr>
          <w:rFonts w:eastAsia="Arial" w:cs="Arial"/>
          <w:sz w:val="21"/>
          <w:szCs w:val="21"/>
        </w:rPr>
        <w:t>Policy Review &amp; Approval Record</w:t>
      </w:r>
    </w:p>
    <w:p>
      <w:pPr>
        <w:pStyle w:val="ListParagraph"/>
        <w:numPr>
          <w:ilvl w:val="0"/>
          <w:numId w:val="1"/>
        </w:numPr>
        <w:spacing w:lineRule="exact" w:line="264" w:before="0" w:after="60"/>
        <w:rPr/>
      </w:pPr>
      <w:r>
        <w:rPr>
          <w:rFonts w:eastAsia="Arial" w:cs="Arial"/>
          <w:sz w:val="21"/>
          <w:szCs w:val="21"/>
        </w:rPr>
        <w:t>Policy Distribution &amp; Acknowledgment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1.03  Quality Management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1.03  Quality Management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Governance, 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§564.504</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operate a quality management program that evaluates and improves the quality and safety of the facility's services.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quality management program and to all staff who contribute data or corrective actions.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operates a quality management program that systematically evaluates the quality and appropriateness of client care and facility operations, identifies problems and opportunities for improvement, implements corrective action, and verifies effectiveness. The program uses data from client records, incident reports, grievances, and other sources, and its findings inform staff training, policy revision, and corrective action. The program is documented and reviewed on the facility's established schedule.</w:t>
      </w:r>
    </w:p>
    <w:p>
      <w:pPr>
        <w:pStyle w:val="Normal"/>
        <w:pBdr>
          <w:bottom w:val="single" w:sz="4" w:space="1" w:color="2E5E45"/>
        </w:pBdr>
        <w:spacing w:before="160" w:after="80"/>
        <w:rPr/>
      </w:pPr>
      <w:r>
        <w:rPr>
          <w:rFonts w:eastAsia="Arial" w:cs="Arial"/>
          <w:b/>
          <w:bCs/>
          <w:color w:val="1A4731"/>
          <w:sz w:val="20"/>
          <w:szCs w:val="20"/>
        </w:rPr>
        <w:t>PROCEDURE — QUALITY MANAGEMENT</w:t>
      </w:r>
    </w:p>
    <w:p>
      <w:pPr>
        <w:pStyle w:val="Normal"/>
        <w:tabs>
          <w:tab w:val="left" w:pos="720" w:leader="none"/>
        </w:tabs>
        <w:spacing w:lineRule="exact" w:line="264" w:before="0" w:after="80"/>
        <w:ind w:hanging="360" w:start="720"/>
        <w:rPr/>
      </w:pPr>
      <w:r>
        <w:rPr>
          <w:rFonts w:eastAsia="Arial" w:cs="Arial"/>
          <w:sz w:val="21"/>
          <w:szCs w:val="21"/>
        </w:rPr>
        <w:t>a. Collect and evaluate data on client care and operations and identify problems and improvement opportunities.</w:t>
      </w:r>
    </w:p>
    <w:p>
      <w:pPr>
        <w:pStyle w:val="Normal"/>
        <w:tabs>
          <w:tab w:val="left" w:pos="720" w:leader="none"/>
        </w:tabs>
        <w:spacing w:lineRule="exact" w:line="264" w:before="0" w:after="80"/>
        <w:ind w:hanging="360" w:start="720"/>
        <w:rPr/>
      </w:pPr>
      <w:r>
        <w:rPr>
          <w:rFonts w:eastAsia="Arial" w:cs="Arial"/>
          <w:sz w:val="21"/>
          <w:szCs w:val="21"/>
        </w:rPr>
        <w:t>b. Implement corrective action and verify its effectiveness.</w:t>
      </w:r>
    </w:p>
    <w:p>
      <w:pPr>
        <w:pStyle w:val="Normal"/>
        <w:tabs>
          <w:tab w:val="left" w:pos="720" w:leader="none"/>
        </w:tabs>
        <w:spacing w:lineRule="exact" w:line="264" w:before="0" w:after="80"/>
        <w:ind w:hanging="360" w:start="720"/>
        <w:rPr/>
      </w:pPr>
      <w:r>
        <w:rPr>
          <w:rFonts w:eastAsia="Arial" w:cs="Arial"/>
          <w:sz w:val="21"/>
          <w:szCs w:val="21"/>
        </w:rPr>
        <w:t>c. Document quality management activities and use findings to improve training and policy.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Quality Management Plan</w:t>
      </w:r>
    </w:p>
    <w:p>
      <w:pPr>
        <w:pStyle w:val="ListParagraph"/>
        <w:numPr>
          <w:ilvl w:val="0"/>
          <w:numId w:val="1"/>
        </w:numPr>
        <w:spacing w:lineRule="exact" w:line="264" w:before="0" w:after="60"/>
        <w:rPr/>
      </w:pPr>
      <w:r>
        <w:rPr>
          <w:rFonts w:eastAsia="Arial" w:cs="Arial"/>
          <w:sz w:val="21"/>
          <w:szCs w:val="21"/>
        </w:rPr>
        <w:t>QM Data Collection &amp; Analysis Tools</w:t>
      </w:r>
    </w:p>
    <w:p>
      <w:pPr>
        <w:pStyle w:val="ListParagraph"/>
        <w:numPr>
          <w:ilvl w:val="0"/>
          <w:numId w:val="1"/>
        </w:numPr>
        <w:spacing w:lineRule="exact" w:line="264" w:before="0" w:after="60"/>
        <w:rPr/>
      </w:pPr>
      <w:r>
        <w:rPr>
          <w:rFonts w:eastAsia="Arial" w:cs="Arial"/>
          <w:sz w:val="21"/>
          <w:szCs w:val="21"/>
        </w:rPr>
        <w:t>Corrective Action &amp; Effectiveness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1.04  Reporting Measures &amp; Required Postings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1.04  Reporting Measures &amp; Required Postings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Governance, 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§§564.503, 564.506</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submits required reports to HHSC and displays the postings the rule requires.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HHSC reporting and to required postings at the facility.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submits the reports and data HHSC requires, accurately and on time, and maintains the source records supporting them. The facility conspicuously displays the postings the rule requires, which may include the facility license, client rights, complaint and abuse-reporting information, and other notices, in locations accessible to clients and visitors, and in the languages appropriate to the population served.</w:t>
      </w:r>
    </w:p>
    <w:p>
      <w:pPr>
        <w:pStyle w:val="Normal"/>
        <w:pBdr>
          <w:bottom w:val="single" w:sz="4" w:space="1" w:color="2E5E45"/>
        </w:pBdr>
        <w:spacing w:before="160" w:after="80"/>
        <w:rPr/>
      </w:pPr>
      <w:r>
        <w:rPr>
          <w:rFonts w:eastAsia="Arial" w:cs="Arial"/>
          <w:b/>
          <w:bCs/>
          <w:color w:val="1A4731"/>
          <w:sz w:val="20"/>
          <w:szCs w:val="20"/>
        </w:rPr>
        <w:t>PROCEDURE — REPORTING &amp; POSTINGS</w:t>
      </w:r>
    </w:p>
    <w:p>
      <w:pPr>
        <w:pStyle w:val="Normal"/>
        <w:tabs>
          <w:tab w:val="left" w:pos="720" w:leader="none"/>
        </w:tabs>
        <w:spacing w:lineRule="exact" w:line="264" w:before="0" w:after="80"/>
        <w:ind w:hanging="360" w:start="720"/>
        <w:rPr/>
      </w:pPr>
      <w:r>
        <w:rPr>
          <w:rFonts w:eastAsia="Arial" w:cs="Arial"/>
          <w:sz w:val="21"/>
          <w:szCs w:val="21"/>
        </w:rPr>
        <w:t>a. Identify required HHSC reports and deadlines and submit accurate reports on time, retaining source records.</w:t>
      </w:r>
    </w:p>
    <w:p>
      <w:pPr>
        <w:pStyle w:val="Normal"/>
        <w:tabs>
          <w:tab w:val="left" w:pos="720" w:leader="none"/>
        </w:tabs>
        <w:spacing w:lineRule="exact" w:line="264" w:before="0" w:after="80"/>
        <w:ind w:hanging="360" w:start="720"/>
        <w:rPr/>
      </w:pPr>
      <w:r>
        <w:rPr>
          <w:rFonts w:eastAsia="Arial" w:cs="Arial"/>
          <w:sz w:val="21"/>
          <w:szCs w:val="21"/>
        </w:rPr>
        <w:t>b. Display the required postings conspicuously, including the license, client rights, and complaint and abuse-reporting information.</w:t>
      </w:r>
    </w:p>
    <w:p>
      <w:pPr>
        <w:pStyle w:val="Normal"/>
        <w:tabs>
          <w:tab w:val="left" w:pos="720" w:leader="none"/>
        </w:tabs>
        <w:spacing w:lineRule="exact" w:line="264" w:before="0" w:after="80"/>
        <w:ind w:hanging="360" w:start="720"/>
        <w:rPr/>
      </w:pPr>
      <w:r>
        <w:rPr>
          <w:rFonts w:eastAsia="Arial" w:cs="Arial"/>
          <w:sz w:val="21"/>
          <w:szCs w:val="21"/>
        </w:rPr>
        <w:t>c. Provide postings in languages appropriate to the population served.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HHSC Reporting Calendar &amp; Log</w:t>
      </w:r>
    </w:p>
    <w:p>
      <w:pPr>
        <w:pStyle w:val="ListParagraph"/>
        <w:numPr>
          <w:ilvl w:val="0"/>
          <w:numId w:val="1"/>
        </w:numPr>
        <w:spacing w:lineRule="exact" w:line="264" w:before="0" w:after="60"/>
        <w:rPr/>
      </w:pPr>
      <w:r>
        <w:rPr>
          <w:rFonts w:eastAsia="Arial" w:cs="Arial"/>
          <w:sz w:val="21"/>
          <w:szCs w:val="21"/>
        </w:rPr>
        <w:t>Required Postings Checklist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1.05  Marketing, Admissions &amp; Prohibition on Patient Brokering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1.05  Marketing, Admissions &amp; Prohibition on Patient Brokering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Governance, 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HSC Ch. 164; 26 TAC §564.20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facility's marketing, referral, and admissions practices are truthful and lawful and do not involve patient brokering or deceptive practices.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marketing, advertising, referral, and admissions activity by the facility and its personnel and contractors.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complies with HSC Chapter 164 governing marketing and admissions practices for treatment facilities and does not engage in patient brokering, illegal remuneration for referrals, or deceptive or misleading advertising. Marketing accurately describes the facility's services, and referral and admissions decisions are based on clinical appropriateness, not on prohibited financial arrangements. Personnel and contractors involved in marketing or admissions are trained on these prohibitions, and violations are addressed through corrective or disciplinary action.</w:t>
      </w:r>
    </w:p>
    <w:p>
      <w:pPr>
        <w:pStyle w:val="Normal"/>
        <w:pBdr>
          <w:bottom w:val="single" w:sz="4" w:space="1" w:color="2E5E45"/>
        </w:pBdr>
        <w:spacing w:before="160" w:after="80"/>
        <w:rPr/>
      </w:pPr>
      <w:r>
        <w:rPr>
          <w:rFonts w:eastAsia="Arial" w:cs="Arial"/>
          <w:b/>
          <w:bCs/>
          <w:color w:val="1A4731"/>
          <w:sz w:val="20"/>
          <w:szCs w:val="20"/>
        </w:rPr>
        <w:t>PROCEDURE — LAWFUL MARKETING &amp; ADMISSIONS</w:t>
      </w:r>
    </w:p>
    <w:p>
      <w:pPr>
        <w:pStyle w:val="Normal"/>
        <w:tabs>
          <w:tab w:val="left" w:pos="720" w:leader="none"/>
        </w:tabs>
        <w:spacing w:lineRule="exact" w:line="264" w:before="0" w:after="80"/>
        <w:ind w:hanging="360" w:start="720"/>
        <w:rPr/>
      </w:pPr>
      <w:r>
        <w:rPr>
          <w:rFonts w:eastAsia="Arial" w:cs="Arial"/>
          <w:sz w:val="21"/>
          <w:szCs w:val="21"/>
        </w:rPr>
        <w:t>a. Ensure marketing and advertising are truthful and not misleading and accurately describe services.</w:t>
      </w:r>
    </w:p>
    <w:p>
      <w:pPr>
        <w:pStyle w:val="Normal"/>
        <w:tabs>
          <w:tab w:val="left" w:pos="720" w:leader="none"/>
        </w:tabs>
        <w:spacing w:lineRule="exact" w:line="264" w:before="0" w:after="80"/>
        <w:ind w:hanging="360" w:start="720"/>
        <w:rPr/>
      </w:pPr>
      <w:r>
        <w:rPr>
          <w:rFonts w:eastAsia="Arial" w:cs="Arial"/>
          <w:sz w:val="21"/>
          <w:szCs w:val="21"/>
        </w:rPr>
        <w:t>b. Prohibit patient brokering and illegal remuneration for referrals, and base admissions on clinical appropriateness.</w:t>
      </w:r>
    </w:p>
    <w:p>
      <w:pPr>
        <w:pStyle w:val="Normal"/>
        <w:tabs>
          <w:tab w:val="left" w:pos="720" w:leader="none"/>
        </w:tabs>
        <w:spacing w:lineRule="exact" w:line="264" w:before="0" w:after="80"/>
        <w:ind w:hanging="360" w:start="720"/>
        <w:rPr/>
      </w:pPr>
      <w:r>
        <w:rPr>
          <w:rFonts w:eastAsia="Arial" w:cs="Arial"/>
          <w:sz w:val="21"/>
          <w:szCs w:val="21"/>
        </w:rPr>
        <w:t>c. Train marketing and admissions personnel on HSC Chapter 164 and address violations.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Marketing &amp; Advertising Review Record</w:t>
      </w:r>
    </w:p>
    <w:p>
      <w:pPr>
        <w:pStyle w:val="ListParagraph"/>
        <w:numPr>
          <w:ilvl w:val="0"/>
          <w:numId w:val="1"/>
        </w:numPr>
        <w:spacing w:lineRule="exact" w:line="264" w:before="0" w:after="60"/>
        <w:rPr/>
      </w:pPr>
      <w:r>
        <w:rPr>
          <w:rFonts w:eastAsia="Arial" w:cs="Arial"/>
          <w:sz w:val="21"/>
          <w:szCs w:val="21"/>
        </w:rPr>
        <w:t>Anti-Brokering Policy &amp; Acknowledgment</w:t>
      </w:r>
    </w:p>
    <w:p>
      <w:pPr>
        <w:pStyle w:val="ListParagraph"/>
        <w:numPr>
          <w:ilvl w:val="0"/>
          <w:numId w:val="1"/>
        </w:numPr>
        <w:spacing w:lineRule="exact" w:line="264" w:before="0" w:after="60"/>
        <w:rPr/>
      </w:pPr>
      <w:r>
        <w:rPr>
          <w:rFonts w:eastAsia="Arial" w:cs="Arial"/>
          <w:sz w:val="21"/>
          <w:szCs w:val="21"/>
        </w:rPr>
        <w:t>Referral Source Documentation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B</w:t>
      </w:r>
    </w:p>
    <w:p>
      <w:pPr>
        <w:pStyle w:val="Normal"/>
        <w:pBdr>
          <w:bottom w:val="single" w:sz="12" w:space="4" w:color="1A4731"/>
        </w:pBdr>
        <w:spacing w:before="0" w:after="240"/>
        <w:jc w:val="start"/>
        <w:rPr/>
      </w:pPr>
      <w:r>
        <w:rPr>
          <w:rFonts w:eastAsia="Arial" w:cs="Arial"/>
          <w:b/>
          <w:bCs/>
          <w:color w:val="222222"/>
          <w:sz w:val="40"/>
          <w:szCs w:val="40"/>
        </w:rPr>
        <w:t>Personnel &amp; Workforce</w:t>
      </w:r>
    </w:p>
    <w:p>
      <w:pPr>
        <w:pStyle w:val="Normal"/>
        <w:spacing w:lineRule="exact" w:line="288" w:before="0" w:after="240"/>
        <w:rPr/>
      </w:pPr>
      <w:r>
        <w:rPr>
          <w:rFonts w:eastAsia="Arial" w:cs="Arial"/>
          <w:color w:val="444444"/>
          <w:sz w:val="22"/>
          <w:szCs w:val="22"/>
        </w:rPr>
        <w:t>This section sets the requirements for who delivers services and how they are prepared — personnel practices and records; staff qualifications, LCDCs, counselor interns and scope of practice; criminal background checks; staff development and training; and professional ethics, impaired providers, and prohibited acts.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2.00  Personnel Practices &amp; Records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2.01  Staff Qualifications; LCDCs, Counselor Interns &amp; Scope of Practice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2.02  Criminal Background Checks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2.03  Staff Development &amp; Training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2.04  Professional Ethics, Impaired Providers &amp; Prohibited Acts</w:t>
      </w:r>
    </w:p>
    <w:p>
      <w:pPr>
        <w:pStyle w:val="Normal"/>
        <w:rPr/>
      </w:pPr>
      <w:r>
        <w:rPr/>
      </w:r>
      <w:r>
        <w:br w:type="page"/>
      </w:r>
    </w:p>
    <w:p>
      <w:pPr>
        <w:pStyle w:val="Heading2"/>
        <w:spacing w:before="0" w:after="120"/>
        <w:rPr/>
      </w:pPr>
      <w:r>
        <w:rPr>
          <w:rFonts w:eastAsia="Arial" w:cs="Arial" w:ascii="Arial" w:hAnsi="Arial"/>
          <w:b/>
          <w:bCs/>
          <w:color w:val="1A4731"/>
          <w:sz w:val="26"/>
          <w:szCs w:val="26"/>
        </w:rPr>
        <w:t>2.00  Personnel Practices &amp; Records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2.00  Personnel Practices &amp; Records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Workforce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§§564.601, 564.602</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maintains sound personnel practices and complete personnel records for all staff.</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employees, interns, and volunteers and to the person responsible for personnel administration.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written personnel policies addressing recruitment and selection, job descriptions and qualifications, supervision, performance evaluation, disciplinary action and termination, non-discrimination, and staff conduct. A personnel record is maintained for each staff member that includes the job description and documentation that the staff member meets the qualifications; verification of required licenses, certifications, or credentials (including LCDC status where applicable); documentation of the criminal background check; performance evaluations; and documentation of required training. Records are kept current and protected from unauthorized access.</w:t>
      </w:r>
    </w:p>
    <w:p>
      <w:pPr>
        <w:pStyle w:val="Normal"/>
        <w:pBdr>
          <w:bottom w:val="single" w:sz="4" w:space="1" w:color="2E5E45"/>
        </w:pBdr>
        <w:spacing w:before="160" w:after="80"/>
        <w:rPr/>
      </w:pPr>
      <w:r>
        <w:rPr>
          <w:rFonts w:eastAsia="Arial" w:cs="Arial"/>
          <w:b/>
          <w:bCs/>
          <w:color w:val="1A4731"/>
          <w:sz w:val="20"/>
          <w:szCs w:val="20"/>
        </w:rPr>
        <w:t>PROCEDURE — PERSONNEL PRACTICES &amp; RECORDS</w:t>
      </w:r>
    </w:p>
    <w:p>
      <w:pPr>
        <w:pStyle w:val="Normal"/>
        <w:tabs>
          <w:tab w:val="left" w:pos="720" w:leader="none"/>
        </w:tabs>
        <w:spacing w:lineRule="exact" w:line="264" w:before="0" w:after="80"/>
        <w:ind w:hanging="360" w:start="720"/>
        <w:rPr/>
      </w:pPr>
      <w:r>
        <w:rPr>
          <w:rFonts w:eastAsia="Arial" w:cs="Arial"/>
          <w:sz w:val="21"/>
          <w:szCs w:val="21"/>
        </w:rPr>
        <w:t>a. Maintain written personnel policies covering recruitment, qualifications, supervision, evaluation, discipline, and conduct.</w:t>
      </w:r>
    </w:p>
    <w:p>
      <w:pPr>
        <w:pStyle w:val="Normal"/>
        <w:tabs>
          <w:tab w:val="left" w:pos="720" w:leader="none"/>
        </w:tabs>
        <w:spacing w:lineRule="exact" w:line="264" w:before="0" w:after="80"/>
        <w:ind w:hanging="360" w:start="720"/>
        <w:rPr/>
      </w:pPr>
      <w:r>
        <w:rPr>
          <w:rFonts w:eastAsia="Arial" w:cs="Arial"/>
          <w:sz w:val="21"/>
          <w:szCs w:val="21"/>
        </w:rPr>
        <w:t>b. Maintain a personnel record for each staff member with job description, credential verification, background-check documentation, evaluations, and training.</w:t>
      </w:r>
    </w:p>
    <w:p>
      <w:pPr>
        <w:pStyle w:val="Normal"/>
        <w:tabs>
          <w:tab w:val="left" w:pos="720" w:leader="none"/>
        </w:tabs>
        <w:spacing w:lineRule="exact" w:line="264" w:before="0" w:after="80"/>
        <w:ind w:hanging="360" w:start="720"/>
        <w:rPr/>
      </w:pPr>
      <w:r>
        <w:rPr>
          <w:rFonts w:eastAsia="Arial" w:cs="Arial"/>
          <w:sz w:val="21"/>
          <w:szCs w:val="21"/>
        </w:rPr>
        <w:t>c. Keep records current and protect them from unauthorized access.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Personnel Policy Manual</w:t>
      </w:r>
    </w:p>
    <w:p>
      <w:pPr>
        <w:pStyle w:val="ListParagraph"/>
        <w:numPr>
          <w:ilvl w:val="0"/>
          <w:numId w:val="1"/>
        </w:numPr>
        <w:spacing w:lineRule="exact" w:line="264" w:before="0" w:after="60"/>
        <w:rPr/>
      </w:pPr>
      <w:r>
        <w:rPr>
          <w:rFonts w:eastAsia="Arial" w:cs="Arial"/>
          <w:sz w:val="21"/>
          <w:szCs w:val="21"/>
        </w:rPr>
        <w:t>Personnel Record Checklist</w:t>
      </w:r>
    </w:p>
    <w:p>
      <w:pPr>
        <w:pStyle w:val="ListParagraph"/>
        <w:numPr>
          <w:ilvl w:val="0"/>
          <w:numId w:val="1"/>
        </w:numPr>
        <w:spacing w:lineRule="exact" w:line="264" w:before="0" w:after="60"/>
        <w:rPr/>
      </w:pPr>
      <w:r>
        <w:rPr>
          <w:rFonts w:eastAsia="Arial" w:cs="Arial"/>
          <w:sz w:val="21"/>
          <w:szCs w:val="21"/>
        </w:rPr>
        <w:t>Credential Verification Record</w:t>
      </w:r>
    </w:p>
    <w:p>
      <w:pPr>
        <w:pStyle w:val="ListParagraph"/>
        <w:numPr>
          <w:ilvl w:val="0"/>
          <w:numId w:val="1"/>
        </w:numPr>
        <w:spacing w:lineRule="exact" w:line="264" w:before="0" w:after="60"/>
        <w:rPr/>
      </w:pPr>
      <w:r>
        <w:rPr>
          <w:rFonts w:eastAsia="Arial" w:cs="Arial"/>
          <w:sz w:val="21"/>
          <w:szCs w:val="21"/>
        </w:rPr>
        <w:t>Performance Evaluation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2.01  Staff Qualifications; LCDCs, Counselor Interns &amp; Scope of Practice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2.01  Staff Qualifications; LCDCs, Counselor Interns &amp; Scope of Practice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Workforce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§§564.5, 564.6, 564.7; 26 TAC Ch. 562</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services are delivered by qualified staff practicing within their scope, including Licensed Chemical Dependency Counselors and counselor interns.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clinical staff and to the assignment of duties within scope of practice.</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Licensed Chemical Dependency Counselor (LCDC) — a counselor licensed by HHSC under 26 TAC Chapter 562 to provide chemical dependency counseling.</w:t>
      </w:r>
    </w:p>
    <w:p>
      <w:pPr>
        <w:pStyle w:val="Normal"/>
        <w:spacing w:lineRule="exact" w:line="276" w:before="0" w:after="120"/>
        <w:rPr/>
      </w:pPr>
      <w:r>
        <w:rPr>
          <w:rFonts w:eastAsia="Arial" w:cs="Arial"/>
          <w:sz w:val="21"/>
          <w:szCs w:val="21"/>
        </w:rPr>
        <w:t>Counselor Intern — an individual working toward LCDC licensure under supervision as the rule provides.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Staff provide only services within their scope of practice and their demonstrated competence and due care, and the facility assigns duties accordingly. Chemical dependency counseling is provided by LCDCs, counselor interns under required supervision, or other professionals authorized by law to provide such services (such as licensed professional counselors, licensed clinical social workers, licensed marriage and family therapists, physicians, or psychologists acting within their scope). Counselor interns work under the supervision the rule requires. The facility verifies each staff member's license, certification, or qualifying credential before the staff member provides services and monitors continued good standing. Services are appropriate to the client's needs and delivered with competence and due care.</w:t>
      </w:r>
    </w:p>
    <w:p>
      <w:pPr>
        <w:pStyle w:val="Normal"/>
        <w:pBdr>
          <w:bottom w:val="single" w:sz="4" w:space="1" w:color="2E5E45"/>
        </w:pBdr>
        <w:spacing w:before="160" w:after="80"/>
        <w:rPr/>
      </w:pPr>
      <w:r>
        <w:rPr>
          <w:rFonts w:eastAsia="Arial" w:cs="Arial"/>
          <w:b/>
          <w:bCs/>
          <w:color w:val="1A4731"/>
          <w:sz w:val="20"/>
          <w:szCs w:val="20"/>
        </w:rPr>
        <w:t>PROCEDURE — QUALIFICATIONS &amp; SCOPE</w:t>
      </w:r>
    </w:p>
    <w:p>
      <w:pPr>
        <w:pStyle w:val="Normal"/>
        <w:tabs>
          <w:tab w:val="left" w:pos="720" w:leader="none"/>
        </w:tabs>
        <w:spacing w:lineRule="exact" w:line="264" w:before="0" w:after="80"/>
        <w:ind w:hanging="360" w:start="720"/>
        <w:rPr/>
      </w:pPr>
      <w:r>
        <w:rPr>
          <w:rFonts w:eastAsia="Arial" w:cs="Arial"/>
          <w:sz w:val="21"/>
          <w:szCs w:val="21"/>
        </w:rPr>
        <w:t>a. Verify each clinical staff member's license, certification, or credential (including LCDC status) before the staff member provides services.</w:t>
      </w:r>
    </w:p>
    <w:p>
      <w:pPr>
        <w:pStyle w:val="Normal"/>
        <w:tabs>
          <w:tab w:val="left" w:pos="720" w:leader="none"/>
        </w:tabs>
        <w:spacing w:lineRule="exact" w:line="264" w:before="0" w:after="80"/>
        <w:ind w:hanging="360" w:start="720"/>
        <w:rPr/>
      </w:pPr>
      <w:r>
        <w:rPr>
          <w:rFonts w:eastAsia="Arial" w:cs="Arial"/>
          <w:sz w:val="21"/>
          <w:szCs w:val="21"/>
        </w:rPr>
        <w:t>b. Assign counseling duties to LCDCs, supervised counselor interns, or other legally authorized professionals within scope.</w:t>
      </w:r>
    </w:p>
    <w:p>
      <w:pPr>
        <w:pStyle w:val="Normal"/>
        <w:tabs>
          <w:tab w:val="left" w:pos="720" w:leader="none"/>
        </w:tabs>
        <w:spacing w:lineRule="exact" w:line="264" w:before="0" w:after="80"/>
        <w:ind w:hanging="360" w:start="720"/>
        <w:rPr/>
      </w:pPr>
      <w:r>
        <w:rPr>
          <w:rFonts w:eastAsia="Arial" w:cs="Arial"/>
          <w:sz w:val="21"/>
          <w:szCs w:val="21"/>
        </w:rPr>
        <w:t>c. Provide required supervision to counselor interns and monitor continued good standing of all credentials.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Credential &amp; Scope-of-Practice Verification Record</w:t>
      </w:r>
    </w:p>
    <w:p>
      <w:pPr>
        <w:pStyle w:val="ListParagraph"/>
        <w:numPr>
          <w:ilvl w:val="0"/>
          <w:numId w:val="1"/>
        </w:numPr>
        <w:spacing w:lineRule="exact" w:line="264" w:before="0" w:after="60"/>
        <w:rPr/>
      </w:pPr>
      <w:r>
        <w:rPr>
          <w:rFonts w:eastAsia="Arial" w:cs="Arial"/>
          <w:sz w:val="21"/>
          <w:szCs w:val="21"/>
        </w:rPr>
        <w:t>LCDC / Counselor Intern Roster</w:t>
      </w:r>
    </w:p>
    <w:p>
      <w:pPr>
        <w:pStyle w:val="ListParagraph"/>
        <w:numPr>
          <w:ilvl w:val="0"/>
          <w:numId w:val="1"/>
        </w:numPr>
        <w:spacing w:lineRule="exact" w:line="264" w:before="0" w:after="60"/>
        <w:rPr/>
      </w:pPr>
      <w:r>
        <w:rPr>
          <w:rFonts w:eastAsia="Arial" w:cs="Arial"/>
          <w:sz w:val="21"/>
          <w:szCs w:val="21"/>
        </w:rPr>
        <w:t>Counselor Intern Supervision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2.02  Criminal Background Checks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2.02  Criminal Background Checks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Workforce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Ch. 564; HSC Ch. 464</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clients by ensuring criminal background checks are completed on owners and staff as a condition of licensure and employment.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owners, staff, interns, and volunteers subject to background checks and to the person responsible for them.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completes criminal background checks on owners, staff, interns, and volunteers as required for licensure and employment, before an individual has unsupervised contact with clients, and evaluates the results against applicable disqualifying criteria. The facility does not employ or retain an individual in a position for which the individual is disqualified, documents the completion and disposition of each check, and maintains the documentation in the personnel record.</w:t>
      </w:r>
    </w:p>
    <w:p>
      <w:pPr>
        <w:pStyle w:val="Normal"/>
        <w:pBdr>
          <w:bottom w:val="single" w:sz="4" w:space="1" w:color="2E5E45"/>
        </w:pBdr>
        <w:spacing w:before="160" w:after="80"/>
        <w:rPr/>
      </w:pPr>
      <w:r>
        <w:rPr>
          <w:rFonts w:eastAsia="Arial" w:cs="Arial"/>
          <w:b/>
          <w:bCs/>
          <w:color w:val="1A4731"/>
          <w:sz w:val="20"/>
          <w:szCs w:val="20"/>
        </w:rPr>
        <w:t>PROCEDURE — BACKGROUND CHECKS</w:t>
      </w:r>
    </w:p>
    <w:p>
      <w:pPr>
        <w:pStyle w:val="Normal"/>
        <w:tabs>
          <w:tab w:val="left" w:pos="720" w:leader="none"/>
        </w:tabs>
        <w:spacing w:lineRule="exact" w:line="264" w:before="0" w:after="80"/>
        <w:ind w:hanging="360" w:start="720"/>
        <w:rPr/>
      </w:pPr>
      <w:r>
        <w:rPr>
          <w:rFonts w:eastAsia="Arial" w:cs="Arial"/>
          <w:sz w:val="21"/>
          <w:szCs w:val="21"/>
        </w:rPr>
        <w:t>a. Complete the required criminal background check before unsupervised client contact and evaluate results against disqualifying criteria.</w:t>
      </w:r>
    </w:p>
    <w:p>
      <w:pPr>
        <w:pStyle w:val="Normal"/>
        <w:tabs>
          <w:tab w:val="left" w:pos="720" w:leader="none"/>
        </w:tabs>
        <w:spacing w:lineRule="exact" w:line="264" w:before="0" w:after="80"/>
        <w:ind w:hanging="360" w:start="720"/>
        <w:rPr/>
      </w:pPr>
      <w:r>
        <w:rPr>
          <w:rFonts w:eastAsia="Arial" w:cs="Arial"/>
          <w:sz w:val="21"/>
          <w:szCs w:val="21"/>
        </w:rPr>
        <w:t>b. Do not employ or retain a disqualified individual in a covered position and document the disposition.</w:t>
      </w:r>
    </w:p>
    <w:p>
      <w:pPr>
        <w:pStyle w:val="Normal"/>
        <w:tabs>
          <w:tab w:val="left" w:pos="720" w:leader="none"/>
        </w:tabs>
        <w:spacing w:lineRule="exact" w:line="264" w:before="0" w:after="80"/>
        <w:ind w:hanging="360" w:start="720"/>
        <w:rPr/>
      </w:pPr>
      <w:r>
        <w:rPr>
          <w:rFonts w:eastAsia="Arial" w:cs="Arial"/>
          <w:sz w:val="21"/>
          <w:szCs w:val="21"/>
        </w:rPr>
        <w:t>c. Maintain background-check documentation in the personnel record.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Background Check Tracking Log</w:t>
      </w:r>
    </w:p>
    <w:p>
      <w:pPr>
        <w:pStyle w:val="ListParagraph"/>
        <w:numPr>
          <w:ilvl w:val="0"/>
          <w:numId w:val="1"/>
        </w:numPr>
        <w:spacing w:lineRule="exact" w:line="264" w:before="0" w:after="60"/>
        <w:rPr/>
      </w:pPr>
      <w:r>
        <w:rPr>
          <w:rFonts w:eastAsia="Arial" w:cs="Arial"/>
          <w:sz w:val="21"/>
          <w:szCs w:val="21"/>
        </w:rPr>
        <w:t>Disqualification Determination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2.03  Staff Development &amp; Training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2.03  Staff Development &amp; Training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Workforce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§564.603</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staff receive orientation and ongoing training appropriate to their duties and the population served.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and to the person responsible for staff development.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provides new staff with orientation to the facility's operations, policies, client rights, confidentiality requirements, and emergency and safety procedures, and provides ongoing training appropriate to each staff member's duties and the population served, including training on co-occurring disorders, cultural competence, and evidence-based practices as applicable. All required training is documented with the date, subject, participants, and trainer, and documentation is maintained and available for HHSC review. Counselor interns and other staff receive the supervision the rule requires.</w:t>
      </w:r>
    </w:p>
    <w:p>
      <w:pPr>
        <w:pStyle w:val="Normal"/>
        <w:pBdr>
          <w:bottom w:val="single" w:sz="4" w:space="1" w:color="2E5E45"/>
        </w:pBdr>
        <w:spacing w:before="160" w:after="80"/>
        <w:rPr/>
      </w:pPr>
      <w:r>
        <w:rPr>
          <w:rFonts w:eastAsia="Arial" w:cs="Arial"/>
          <w:b/>
          <w:bCs/>
          <w:color w:val="1A4731"/>
          <w:sz w:val="20"/>
          <w:szCs w:val="20"/>
        </w:rPr>
        <w:t>PROCEDURE — ORIENTATION &amp; TRAINING</w:t>
      </w:r>
    </w:p>
    <w:p>
      <w:pPr>
        <w:pStyle w:val="Normal"/>
        <w:tabs>
          <w:tab w:val="left" w:pos="720" w:leader="none"/>
        </w:tabs>
        <w:spacing w:lineRule="exact" w:line="264" w:before="0" w:after="80"/>
        <w:ind w:hanging="360" w:start="720"/>
        <w:rPr/>
      </w:pPr>
      <w:r>
        <w:rPr>
          <w:rFonts w:eastAsia="Arial" w:cs="Arial"/>
          <w:sz w:val="21"/>
          <w:szCs w:val="21"/>
        </w:rPr>
        <w:t>a. Provide new-staff orientation covering operations, policies, client rights, confidentiality, and emergency and safety procedures.</w:t>
      </w:r>
    </w:p>
    <w:p>
      <w:pPr>
        <w:pStyle w:val="Normal"/>
        <w:tabs>
          <w:tab w:val="left" w:pos="720" w:leader="none"/>
        </w:tabs>
        <w:spacing w:lineRule="exact" w:line="264" w:before="0" w:after="80"/>
        <w:ind w:hanging="360" w:start="720"/>
        <w:rPr/>
      </w:pPr>
      <w:r>
        <w:rPr>
          <w:rFonts w:eastAsia="Arial" w:cs="Arial"/>
          <w:sz w:val="21"/>
          <w:szCs w:val="21"/>
        </w:rPr>
        <w:t>b. Provide ongoing, duty-appropriate training and document each activity with date, subject, participants, and trainer.</w:t>
      </w:r>
    </w:p>
    <w:p>
      <w:pPr>
        <w:pStyle w:val="Normal"/>
        <w:tabs>
          <w:tab w:val="left" w:pos="720" w:leader="none"/>
        </w:tabs>
        <w:spacing w:lineRule="exact" w:line="264" w:before="0" w:after="80"/>
        <w:ind w:hanging="360" w:start="720"/>
        <w:rPr/>
      </w:pPr>
      <w:r>
        <w:rPr>
          <w:rFonts w:eastAsia="Arial" w:cs="Arial"/>
          <w:sz w:val="21"/>
          <w:szCs w:val="21"/>
        </w:rPr>
        <w:t>c. Provide required supervision and maintain training documentation for HHSC review.</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Orientation Checklist &amp; Acknowledgment</w:t>
      </w:r>
    </w:p>
    <w:p>
      <w:pPr>
        <w:pStyle w:val="ListParagraph"/>
        <w:numPr>
          <w:ilvl w:val="0"/>
          <w:numId w:val="1"/>
        </w:numPr>
        <w:spacing w:lineRule="exact" w:line="264" w:before="0" w:after="60"/>
        <w:rPr/>
      </w:pPr>
      <w:r>
        <w:rPr>
          <w:rFonts w:eastAsia="Arial" w:cs="Arial"/>
          <w:sz w:val="21"/>
          <w:szCs w:val="21"/>
        </w:rPr>
        <w:t>Training Attendance &amp; Documentation Log</w:t>
      </w:r>
    </w:p>
    <w:p>
      <w:pPr>
        <w:pStyle w:val="ListParagraph"/>
        <w:numPr>
          <w:ilvl w:val="0"/>
          <w:numId w:val="1"/>
        </w:numPr>
        <w:spacing w:lineRule="exact" w:line="264" w:before="0" w:after="60"/>
        <w:rPr/>
      </w:pPr>
      <w:r>
        <w:rPr>
          <w:rFonts w:eastAsia="Arial" w:cs="Arial"/>
          <w:sz w:val="21"/>
          <w:szCs w:val="21"/>
        </w:rPr>
        <w:t>Annual Training Plan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2.04  Professional Ethics, Impaired Providers &amp; Prohibited Acts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2.04  Professional Ethics, Impaired Providers &amp; Prohibited Acts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Workforce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§§564.16, 564.18, 564.19, 564.20, 564.21</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hold staff to the professional and ethical standards of care, prohibit exploitation and other prohibited acts, and address impaired providers.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interns, and volunteers who provide or support services.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Staff adhere to the standard of care and rules of professional conduct in Chapter 564, including competence and due care, accuracy, and ethical practice, and comply with the specific acts prohibited by the rule. Staff do not exploit clients, including sexually, financially, or otherwise, and do not engage in the specific acts the rule prohibits. The facility addresses impaired providers — staff whose ability to practice is impaired by substance use, physical, or mental condition — through its policies, removing an impaired provider from client contact as needed and supporting appropriate referral, and maintains a code of standards of conduct that all staff acknowledge. Violations are addressed through corrective or disciplinary action and reported where the law requires.</w:t>
      </w:r>
    </w:p>
    <w:p>
      <w:pPr>
        <w:pStyle w:val="Normal"/>
        <w:pBdr>
          <w:bottom w:val="single" w:sz="4" w:space="1" w:color="2E5E45"/>
        </w:pBdr>
        <w:spacing w:before="160" w:after="80"/>
        <w:rPr/>
      </w:pPr>
      <w:r>
        <w:rPr>
          <w:rFonts w:eastAsia="Arial" w:cs="Arial"/>
          <w:b/>
          <w:bCs/>
          <w:color w:val="1A4731"/>
          <w:sz w:val="20"/>
          <w:szCs w:val="20"/>
        </w:rPr>
        <w:t>PROCEDURE — ETHICS &amp; CONDUCT</w:t>
      </w:r>
    </w:p>
    <w:p>
      <w:pPr>
        <w:pStyle w:val="Normal"/>
        <w:tabs>
          <w:tab w:val="left" w:pos="720" w:leader="none"/>
        </w:tabs>
        <w:spacing w:lineRule="exact" w:line="264" w:before="0" w:after="80"/>
        <w:ind w:hanging="360" w:start="720"/>
        <w:rPr/>
      </w:pPr>
      <w:r>
        <w:rPr>
          <w:rFonts w:eastAsia="Arial" w:cs="Arial"/>
          <w:sz w:val="21"/>
          <w:szCs w:val="21"/>
        </w:rPr>
        <w:t>a. Train staff on the standard of care, ethics, prohibited acts, and the exploitation prohibition and obtain acknowledgment of the standards of conduct.</w:t>
      </w:r>
    </w:p>
    <w:p>
      <w:pPr>
        <w:pStyle w:val="Normal"/>
        <w:tabs>
          <w:tab w:val="left" w:pos="720" w:leader="none"/>
        </w:tabs>
        <w:spacing w:lineRule="exact" w:line="264" w:before="0" w:after="80"/>
        <w:ind w:hanging="360" w:start="720"/>
        <w:rPr/>
      </w:pPr>
      <w:r>
        <w:rPr>
          <w:rFonts w:eastAsia="Arial" w:cs="Arial"/>
          <w:sz w:val="21"/>
          <w:szCs w:val="21"/>
        </w:rPr>
        <w:t>b. Address impaired providers by removing them from client contact as needed and supporting appropriate referral.</w:t>
      </w:r>
    </w:p>
    <w:p>
      <w:pPr>
        <w:pStyle w:val="Normal"/>
        <w:tabs>
          <w:tab w:val="left" w:pos="720" w:leader="none"/>
        </w:tabs>
        <w:spacing w:lineRule="exact" w:line="264" w:before="0" w:after="80"/>
        <w:ind w:hanging="360" w:start="720"/>
        <w:rPr/>
      </w:pPr>
      <w:r>
        <w:rPr>
          <w:rFonts w:eastAsia="Arial" w:cs="Arial"/>
          <w:sz w:val="21"/>
          <w:szCs w:val="21"/>
        </w:rPr>
        <w:t>c. Investigate suspected violations and take corrective or disciplinary action, reporting where required.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Standards of Conduct &amp; Staff Acknowledgment</w:t>
      </w:r>
    </w:p>
    <w:p>
      <w:pPr>
        <w:pStyle w:val="ListParagraph"/>
        <w:numPr>
          <w:ilvl w:val="0"/>
          <w:numId w:val="1"/>
        </w:numPr>
        <w:spacing w:lineRule="exact" w:line="264" w:before="0" w:after="60"/>
        <w:rPr/>
      </w:pPr>
      <w:r>
        <w:rPr>
          <w:rFonts w:eastAsia="Arial" w:cs="Arial"/>
          <w:sz w:val="21"/>
          <w:szCs w:val="21"/>
        </w:rPr>
        <w:t>Impaired Provider Procedure</w:t>
      </w:r>
    </w:p>
    <w:p>
      <w:pPr>
        <w:pStyle w:val="ListParagraph"/>
        <w:numPr>
          <w:ilvl w:val="0"/>
          <w:numId w:val="1"/>
        </w:numPr>
        <w:spacing w:lineRule="exact" w:line="264" w:before="0" w:after="60"/>
        <w:rPr/>
      </w:pPr>
      <w:r>
        <w:rPr>
          <w:rFonts w:eastAsia="Arial" w:cs="Arial"/>
          <w:sz w:val="21"/>
          <w:szCs w:val="21"/>
        </w:rPr>
        <w:t>Ethics / Prohibited-Act Violation Report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C</w:t>
      </w:r>
    </w:p>
    <w:p>
      <w:pPr>
        <w:pStyle w:val="Normal"/>
        <w:pBdr>
          <w:bottom w:val="single" w:sz="12" w:space="4" w:color="1A4731"/>
        </w:pBdr>
        <w:spacing w:before="0" w:after="240"/>
        <w:jc w:val="start"/>
        <w:rPr/>
      </w:pPr>
      <w:r>
        <w:rPr>
          <w:rFonts w:eastAsia="Arial" w:cs="Arial"/>
          <w:b/>
          <w:bCs/>
          <w:color w:val="222222"/>
          <w:sz w:val="40"/>
          <w:szCs w:val="40"/>
        </w:rPr>
        <w:t>Client Rights &amp; Confidentiality</w:t>
      </w:r>
    </w:p>
    <w:p>
      <w:pPr>
        <w:pStyle w:val="Normal"/>
        <w:spacing w:lineRule="exact" w:line="288" w:before="0" w:after="240"/>
        <w:rPr/>
      </w:pPr>
      <w:r>
        <w:rPr>
          <w:rFonts w:eastAsia="Arial" w:cs="Arial"/>
          <w:color w:val="444444"/>
          <w:sz w:val="22"/>
          <w:szCs w:val="22"/>
        </w:rPr>
        <w:t>This section protects the people the facility serves — client rights; confidentiality under 42 CFR Part 2, HIPAA and Texas law; the duty to report abuse, neglect and exploitation; client grievances and complaints; and prohibited practices and client protection.</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3.00  Client Rights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3.01  Confidentiality (42 CFR Part 2, HIPAA &amp; Texas Law)</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3.02  Duty to Report Abuse, Neglect &amp; Exploitation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3.03  Client Grievances &amp; Complaints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3.04  Prohibited Practices &amp; Client Protection</w:t>
      </w:r>
    </w:p>
    <w:p>
      <w:pPr>
        <w:pStyle w:val="Normal"/>
        <w:rPr/>
      </w:pPr>
      <w:r>
        <w:rPr/>
      </w:r>
      <w:r>
        <w:br w:type="page"/>
      </w:r>
    </w:p>
    <w:p>
      <w:pPr>
        <w:pStyle w:val="Heading2"/>
        <w:spacing w:before="0" w:after="120"/>
        <w:rPr/>
      </w:pPr>
      <w:r>
        <w:rPr>
          <w:rFonts w:eastAsia="Arial" w:cs="Arial" w:ascii="Arial" w:hAnsi="Arial"/>
          <w:b/>
          <w:bCs/>
          <w:color w:val="1A4731"/>
          <w:sz w:val="26"/>
          <w:szCs w:val="26"/>
        </w:rPr>
        <w:t>3.00  Client Rights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3.00  Client Rights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Client Rights &amp; Confidentiality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§§564.701–564.708</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establish, protect, and inform each client of the rights guaranteed under 26 TAC Chapter 564, Subchapter G.</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every client and to all staff, interns, volunteers, and contractors.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protects the rights of clients as required by 26 TAC Chapter 564, Subchapter G, including the right to be treated with dignity and respect; the right to services without discrimination; the right to be informed of the rules of conduct and the consequences of violations; the right to give informed consent to treatment and to refuse treatment except as otherwise provided by law; the right to confidentiality of records; the right to be free from abuse, neglect, exploitation, and retaliation; the right to a humane treatment environment; and the right to file a grievance without retaliation. Each client is informed of these rights, in a manner the client can understand, at admission, and a written copy of the rights is provided and posted.</w:t>
      </w:r>
    </w:p>
    <w:p>
      <w:pPr>
        <w:pStyle w:val="Normal"/>
        <w:spacing w:lineRule="exact" w:line="276" w:before="0" w:after="120"/>
        <w:rPr/>
      </w:pPr>
      <w:r>
        <w:rPr>
          <w:rFonts w:eastAsia="Arial" w:cs="Arial"/>
          <w:sz w:val="21"/>
          <w:szCs w:val="21"/>
        </w:rPr>
        <w:t>The facility does not use client labor except as permitted and consistent with the treatment plan, does not retaliate against a client for exercising a right, and honors the client's right to participate in decisions about the client's treatment.</w:t>
      </w:r>
    </w:p>
    <w:p>
      <w:pPr>
        <w:pStyle w:val="Normal"/>
        <w:pBdr>
          <w:bottom w:val="single" w:sz="4" w:space="1" w:color="2E5E45"/>
        </w:pBdr>
        <w:spacing w:before="160" w:after="80"/>
        <w:rPr/>
      </w:pPr>
      <w:r>
        <w:rPr>
          <w:rFonts w:eastAsia="Arial" w:cs="Arial"/>
          <w:b/>
          <w:bCs/>
          <w:color w:val="1A4731"/>
          <w:sz w:val="20"/>
          <w:szCs w:val="20"/>
        </w:rPr>
        <w:t>PROCEDURE — INFORMING &amp; HONORING RIGHTS</w:t>
      </w:r>
    </w:p>
    <w:p>
      <w:pPr>
        <w:pStyle w:val="Normal"/>
        <w:tabs>
          <w:tab w:val="left" w:pos="720" w:leader="none"/>
        </w:tabs>
        <w:spacing w:lineRule="exact" w:line="264" w:before="0" w:after="80"/>
        <w:ind w:hanging="360" w:start="720"/>
        <w:rPr/>
      </w:pPr>
      <w:r>
        <w:rPr>
          <w:rFonts w:eastAsia="Arial" w:cs="Arial"/>
          <w:sz w:val="21"/>
          <w:szCs w:val="21"/>
        </w:rPr>
        <w:t>a. Provide and explain client rights and the rules of conduct at admission in a manner the client can understand, and post and provide a written copy.</w:t>
      </w:r>
    </w:p>
    <w:p>
      <w:pPr>
        <w:pStyle w:val="Normal"/>
        <w:tabs>
          <w:tab w:val="left" w:pos="720" w:leader="none"/>
        </w:tabs>
        <w:spacing w:lineRule="exact" w:line="264" w:before="0" w:after="80"/>
        <w:ind w:hanging="360" w:start="720"/>
        <w:rPr/>
      </w:pPr>
      <w:r>
        <w:rPr>
          <w:rFonts w:eastAsia="Arial" w:cs="Arial"/>
          <w:sz w:val="21"/>
          <w:szCs w:val="21"/>
        </w:rPr>
        <w:t>b. Inform each client of the grievance process and the right to file a grievance and a complaint with HHSC without retaliation.</w:t>
      </w:r>
    </w:p>
    <w:p>
      <w:pPr>
        <w:pStyle w:val="Normal"/>
        <w:tabs>
          <w:tab w:val="left" w:pos="720" w:leader="none"/>
        </w:tabs>
        <w:spacing w:lineRule="exact" w:line="264" w:before="0" w:after="80"/>
        <w:ind w:hanging="360" w:start="720"/>
        <w:rPr/>
      </w:pPr>
      <w:r>
        <w:rPr>
          <w:rFonts w:eastAsia="Arial" w:cs="Arial"/>
          <w:sz w:val="21"/>
          <w:szCs w:val="21"/>
        </w:rPr>
        <w:t>c. Honor clients' rights to dignity, nondiscrimination, informed consent, confidentiality, freedom from abuse and exploitation, and participation in treatment.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Client Rights Statement &amp; Poster</w:t>
      </w:r>
    </w:p>
    <w:p>
      <w:pPr>
        <w:pStyle w:val="ListParagraph"/>
        <w:numPr>
          <w:ilvl w:val="0"/>
          <w:numId w:val="1"/>
        </w:numPr>
        <w:spacing w:lineRule="exact" w:line="264" w:before="0" w:after="60"/>
        <w:rPr/>
      </w:pPr>
      <w:r>
        <w:rPr>
          <w:rFonts w:eastAsia="Arial" w:cs="Arial"/>
          <w:sz w:val="21"/>
          <w:szCs w:val="21"/>
        </w:rPr>
        <w:t>Acknowledgment of Receipt of Rights</w:t>
      </w:r>
    </w:p>
    <w:p>
      <w:pPr>
        <w:pStyle w:val="ListParagraph"/>
        <w:numPr>
          <w:ilvl w:val="0"/>
          <w:numId w:val="1"/>
        </w:numPr>
        <w:spacing w:lineRule="exact" w:line="264" w:before="0" w:after="60"/>
        <w:rPr/>
      </w:pPr>
      <w:r>
        <w:rPr>
          <w:rFonts w:eastAsia="Arial" w:cs="Arial"/>
          <w:sz w:val="21"/>
          <w:szCs w:val="21"/>
        </w:rPr>
        <w:t>Rules of Conduct &amp; Acknowledgment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3.01  Confidentiality (42 CFR Part 2, HIPAA &amp; Texas Law)</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3.01  Confidentiality (42 CFR Part 2, HIPAA &amp; Texas Law)</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Client Rights &amp; Confidentiality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§564.13; 42 CFR Part 2; 45 CFR Parts 160, 164</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the confidentiality of client records and identifying information under the federal substance use disorder rule, HIPAA, and Texas law.</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client records and identifying information in any form and to everyone who creates, uses, or discloses them.</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42 CFR Part 2 — the federal regulation providing heightened protection for records that identify a person as having a substance use disorder in a federally assisted program, generally requiring specific written consent for disclosure and limiting re-disclosure.</w:t>
      </w:r>
    </w:p>
    <w:p>
      <w:pPr>
        <w:pStyle w:val="Normal"/>
        <w:spacing w:lineRule="exact" w:line="276" w:before="0" w:after="120"/>
        <w:rPr/>
      </w:pPr>
      <w:r>
        <w:rPr>
          <w:rFonts w:eastAsia="Arial" w:cs="Arial"/>
          <w:sz w:val="21"/>
          <w:szCs w:val="21"/>
        </w:rPr>
        <w:t>Protected Health Information (PHI) — individually identifiable health information protected by HIPAA (45 CFR Parts 160 and 164).</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protects the confidentiality of client information as required by 26 TAC §564.13, complies with 42 CFR Part 2, and protects PHI under HIPAA. Except as permitted by law, disclosure of a record requires the client's specific written consent, and re-disclosure is limited. The facility maintains a notice of privacy practices, applies minimum-necessary and safeguarding standards, secures records against unauthorized access, and trains staff on 42 CFR Part 2, HIPAA, and Texas confidentiality law and how they interact. The facility obtains Part 2-compliant consents and executes qualified service organization and business associate agreements where appropriate.</w:t>
      </w:r>
    </w:p>
    <w:p>
      <w:pPr>
        <w:pStyle w:val="Normal"/>
        <w:pBdr>
          <w:bottom w:val="single" w:sz="4" w:space="1" w:color="2E5E45"/>
        </w:pBdr>
        <w:spacing w:before="160" w:after="80"/>
        <w:rPr/>
      </w:pPr>
      <w:r>
        <w:rPr>
          <w:rFonts w:eastAsia="Arial" w:cs="Arial"/>
          <w:b/>
          <w:bCs/>
          <w:color w:val="1A4731"/>
          <w:sz w:val="20"/>
          <w:szCs w:val="20"/>
        </w:rPr>
        <w:t>PROCEDURE — CONSENT &amp; DISCLOSURE</w:t>
      </w:r>
    </w:p>
    <w:p>
      <w:pPr>
        <w:pStyle w:val="Normal"/>
        <w:tabs>
          <w:tab w:val="left" w:pos="720" w:leader="none"/>
        </w:tabs>
        <w:spacing w:lineRule="exact" w:line="264" w:before="0" w:after="80"/>
        <w:ind w:hanging="360" w:start="720"/>
        <w:rPr/>
      </w:pPr>
      <w:r>
        <w:rPr>
          <w:rFonts w:eastAsia="Arial" w:cs="Arial"/>
          <w:sz w:val="21"/>
          <w:szCs w:val="21"/>
        </w:rPr>
        <w:t>a. Obtain 42 CFR Part 2-compliant written consent before disclosing a record, except as permitted by law, and honor re-disclosure limits.</w:t>
      </w:r>
    </w:p>
    <w:p>
      <w:pPr>
        <w:pStyle w:val="Normal"/>
        <w:tabs>
          <w:tab w:val="left" w:pos="720" w:leader="none"/>
        </w:tabs>
        <w:spacing w:lineRule="exact" w:line="264" w:before="0" w:after="80"/>
        <w:ind w:hanging="360" w:start="720"/>
        <w:rPr/>
      </w:pPr>
      <w:r>
        <w:rPr>
          <w:rFonts w:eastAsia="Arial" w:cs="Arial"/>
          <w:sz w:val="21"/>
          <w:szCs w:val="21"/>
        </w:rPr>
        <w:t>b. Disclose without consent only as Part 2 and Texas law permit and document the legal basis.</w:t>
      </w:r>
    </w:p>
    <w:p>
      <w:pPr>
        <w:pStyle w:val="Normal"/>
        <w:tabs>
          <w:tab w:val="left" w:pos="720" w:leader="none"/>
        </w:tabs>
        <w:spacing w:lineRule="exact" w:line="264" w:before="0" w:after="80"/>
        <w:ind w:hanging="360" w:start="720"/>
        <w:rPr/>
      </w:pPr>
      <w:r>
        <w:rPr>
          <w:rFonts w:eastAsia="Arial" w:cs="Arial"/>
          <w:sz w:val="21"/>
          <w:szCs w:val="21"/>
        </w:rPr>
        <w:t>c. Execute qualified service organization and business associate agreements where appropriate.</w:t>
      </w:r>
    </w:p>
    <w:p>
      <w:pPr>
        <w:pStyle w:val="Normal"/>
        <w:pBdr>
          <w:bottom w:val="single" w:sz="4" w:space="1" w:color="2E5E45"/>
        </w:pBdr>
        <w:spacing w:before="160" w:after="80"/>
        <w:rPr/>
      </w:pPr>
      <w:r>
        <w:rPr>
          <w:rFonts w:eastAsia="Arial" w:cs="Arial"/>
          <w:b/>
          <w:bCs/>
          <w:color w:val="1A4731"/>
          <w:sz w:val="20"/>
          <w:szCs w:val="20"/>
        </w:rPr>
        <w:t>PROCEDURE — SAFEGUARDS &amp; TRAINING</w:t>
      </w:r>
    </w:p>
    <w:p>
      <w:pPr>
        <w:pStyle w:val="Normal"/>
        <w:tabs>
          <w:tab w:val="left" w:pos="720" w:leader="none"/>
        </w:tabs>
        <w:spacing w:lineRule="exact" w:line="264" w:before="0" w:after="80"/>
        <w:ind w:hanging="360" w:start="720"/>
        <w:rPr/>
      </w:pPr>
      <w:r>
        <w:rPr>
          <w:rFonts w:eastAsia="Arial" w:cs="Arial"/>
          <w:sz w:val="21"/>
          <w:szCs w:val="21"/>
        </w:rPr>
        <w:t>d. Maintain a notice of privacy practices, apply minimum-necessary and safeguarding standards, and store records securely.</w:t>
      </w:r>
    </w:p>
    <w:p>
      <w:pPr>
        <w:pStyle w:val="Normal"/>
        <w:tabs>
          <w:tab w:val="left" w:pos="720" w:leader="none"/>
        </w:tabs>
        <w:spacing w:lineRule="exact" w:line="264" w:before="0" w:after="80"/>
        <w:ind w:hanging="360" w:start="720"/>
        <w:rPr/>
      </w:pPr>
      <w:r>
        <w:rPr>
          <w:rFonts w:eastAsia="Arial" w:cs="Arial"/>
          <w:sz w:val="21"/>
          <w:szCs w:val="21"/>
        </w:rPr>
        <w:t>e. Train staff on 42 CFR Part 2, HIPAA, and Texas confidentiality law.</w:t>
      </w:r>
    </w:p>
    <w:p>
      <w:pPr>
        <w:pStyle w:val="Normal"/>
        <w:tabs>
          <w:tab w:val="left" w:pos="720" w:leader="none"/>
        </w:tabs>
        <w:spacing w:lineRule="exact" w:line="264" w:before="0" w:after="80"/>
        <w:ind w:hanging="360" w:start="720"/>
        <w:rPr/>
      </w:pPr>
      <w:r>
        <w:rPr>
          <w:rFonts w:eastAsia="Arial" w:cs="Arial"/>
          <w:sz w:val="21"/>
          <w:szCs w:val="21"/>
        </w:rPr>
        <w:t>f. Investigate and respond to suspected impermissible disclosures.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42 CFR Part 2 Consent to Disclosure</w:t>
      </w:r>
    </w:p>
    <w:p>
      <w:pPr>
        <w:pStyle w:val="ListParagraph"/>
        <w:numPr>
          <w:ilvl w:val="0"/>
          <w:numId w:val="1"/>
        </w:numPr>
        <w:spacing w:lineRule="exact" w:line="264" w:before="0" w:after="60"/>
        <w:rPr/>
      </w:pPr>
      <w:r>
        <w:rPr>
          <w:rFonts w:eastAsia="Arial" w:cs="Arial"/>
          <w:sz w:val="21"/>
          <w:szCs w:val="21"/>
        </w:rPr>
        <w:t>Release-of-Information Log</w:t>
      </w:r>
    </w:p>
    <w:p>
      <w:pPr>
        <w:pStyle w:val="ListParagraph"/>
        <w:numPr>
          <w:ilvl w:val="0"/>
          <w:numId w:val="1"/>
        </w:numPr>
        <w:spacing w:lineRule="exact" w:line="264" w:before="0" w:after="60"/>
        <w:rPr/>
      </w:pPr>
      <w:r>
        <w:rPr>
          <w:rFonts w:eastAsia="Arial" w:cs="Arial"/>
          <w:sz w:val="21"/>
          <w:szCs w:val="21"/>
        </w:rPr>
        <w:t>Notice of Privacy Practices</w:t>
      </w:r>
    </w:p>
    <w:p>
      <w:pPr>
        <w:pStyle w:val="ListParagraph"/>
        <w:numPr>
          <w:ilvl w:val="0"/>
          <w:numId w:val="1"/>
        </w:numPr>
        <w:spacing w:lineRule="exact" w:line="264" w:before="0" w:after="60"/>
        <w:rPr/>
      </w:pPr>
      <w:r>
        <w:rPr>
          <w:rFonts w:eastAsia="Arial" w:cs="Arial"/>
          <w:sz w:val="21"/>
          <w:szCs w:val="21"/>
        </w:rPr>
        <w:t>Qualified Service Organization / Business Associate Agreement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3.02  Duty to Report Abuse, Neglect &amp; Exploitation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3.02  Duty to Report Abuse, Neglect &amp; Exploitation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Client Rights &amp; Confidentiality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§§564.16, 564.17; Tex. Fam. Code Ch. 261; HRC Ch. 48</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abuse, neglect, and exploitation of clients are prevented and reported as Texas law requires.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interns, volunteers, and contractors and protects every client.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Staff do not abuse, neglect, or exploit clients, and comply with the duty to report under 26 TAC §§564.16 and 564.17. Staff report suspected abuse, neglect, or exploitation of a child under Texas Family Code Chapter 261 and of an elderly or disabled person under Human Resources Code Chapter 48 to the Texas Department of Family and Protective Services (Abuse Hotline) and to HHSC as required, and cooperate with investigations. Reports are documented and made within the required timeframes, and the facility does not retaliate against a person for making a report in good faith.</w:t>
      </w:r>
    </w:p>
    <w:p>
      <w:pPr>
        <w:pStyle w:val="Normal"/>
        <w:pBdr>
          <w:bottom w:val="single" w:sz="4" w:space="1" w:color="2E5E45"/>
        </w:pBdr>
        <w:spacing w:before="160" w:after="80"/>
        <w:rPr/>
      </w:pPr>
      <w:r>
        <w:rPr>
          <w:rFonts w:eastAsia="Arial" w:cs="Arial"/>
          <w:b/>
          <w:bCs/>
          <w:color w:val="1A4731"/>
          <w:sz w:val="20"/>
          <w:szCs w:val="20"/>
        </w:rPr>
        <w:t>PROCEDURE — REPORTING</w:t>
      </w:r>
    </w:p>
    <w:p>
      <w:pPr>
        <w:pStyle w:val="Normal"/>
        <w:tabs>
          <w:tab w:val="left" w:pos="720" w:leader="none"/>
        </w:tabs>
        <w:spacing w:lineRule="exact" w:line="264" w:before="0" w:after="80"/>
        <w:ind w:hanging="360" w:start="720"/>
        <w:rPr/>
      </w:pPr>
      <w:r>
        <w:rPr>
          <w:rFonts w:eastAsia="Arial" w:cs="Arial"/>
          <w:sz w:val="21"/>
          <w:szCs w:val="21"/>
        </w:rPr>
        <w:t>a. Report suspected abuse, neglect, or exploitation to the Texas Abuse Hotline and to HHSC as required, within required timeframes.</w:t>
      </w:r>
    </w:p>
    <w:p>
      <w:pPr>
        <w:pStyle w:val="Normal"/>
        <w:tabs>
          <w:tab w:val="left" w:pos="720" w:leader="none"/>
        </w:tabs>
        <w:spacing w:lineRule="exact" w:line="264" w:before="0" w:after="80"/>
        <w:ind w:hanging="360" w:start="720"/>
        <w:rPr/>
      </w:pPr>
      <w:r>
        <w:rPr>
          <w:rFonts w:eastAsia="Arial" w:cs="Arial"/>
          <w:sz w:val="21"/>
          <w:szCs w:val="21"/>
        </w:rPr>
        <w:t>b. Document reports and cooperate with investigations.</w:t>
      </w:r>
    </w:p>
    <w:p>
      <w:pPr>
        <w:pStyle w:val="Normal"/>
        <w:tabs>
          <w:tab w:val="left" w:pos="720" w:leader="none"/>
        </w:tabs>
        <w:spacing w:lineRule="exact" w:line="264" w:before="0" w:after="80"/>
        <w:ind w:hanging="360" w:start="720"/>
        <w:rPr/>
      </w:pPr>
      <w:r>
        <w:rPr>
          <w:rFonts w:eastAsia="Arial" w:cs="Arial"/>
          <w:sz w:val="21"/>
          <w:szCs w:val="21"/>
        </w:rPr>
        <w:t>c. Train staff on the duty to report and prohibit retaliation for good-faith reports.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Suspected Abuse/Neglect/Exploitation Report</w:t>
      </w:r>
    </w:p>
    <w:p>
      <w:pPr>
        <w:pStyle w:val="ListParagraph"/>
        <w:numPr>
          <w:ilvl w:val="0"/>
          <w:numId w:val="1"/>
        </w:numPr>
        <w:spacing w:lineRule="exact" w:line="264" w:before="0" w:after="60"/>
        <w:rPr/>
      </w:pPr>
      <w:r>
        <w:rPr>
          <w:rFonts w:eastAsia="Arial" w:cs="Arial"/>
          <w:sz w:val="21"/>
          <w:szCs w:val="21"/>
        </w:rPr>
        <w:t>Mandatory-Reporter Acknowledgment</w:t>
      </w:r>
    </w:p>
    <w:p>
      <w:pPr>
        <w:pStyle w:val="ListParagraph"/>
        <w:numPr>
          <w:ilvl w:val="0"/>
          <w:numId w:val="1"/>
        </w:numPr>
        <w:spacing w:lineRule="exact" w:line="264" w:before="0" w:after="60"/>
        <w:rPr/>
      </w:pPr>
      <w:r>
        <w:rPr>
          <w:rFonts w:eastAsia="Arial" w:cs="Arial"/>
          <w:sz w:val="21"/>
          <w:szCs w:val="21"/>
        </w:rPr>
        <w:t>Investigation Cooperation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3.03  Client Grievances &amp; Complaints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3.03  Client Grievances &amp; Complaints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Client Rights &amp; Confidentiality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§§564.701–564.708, 564.506</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give clients a clear, retaliation-free process to raise grievances and to inform them of the right to complain to HHSC.</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grievances and complaints from clients and, where applicable, their representatives.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a client grievance process and informs each client, at admission, how to file a grievance internally and how to file a complaint with HHSC, including the HHSC complaint contact information required to be posted, without fear of retaliation. Grievances are acknowledged, investigated as appropriate, and resolved within the facility's stated timeframes, documented, and analyzed through quality management to identify and correct systemic issues.</w:t>
      </w:r>
    </w:p>
    <w:p>
      <w:pPr>
        <w:pStyle w:val="Normal"/>
        <w:pBdr>
          <w:bottom w:val="single" w:sz="4" w:space="1" w:color="2E5E45"/>
        </w:pBdr>
        <w:spacing w:before="160" w:after="80"/>
        <w:rPr/>
      </w:pPr>
      <w:r>
        <w:rPr>
          <w:rFonts w:eastAsia="Arial" w:cs="Arial"/>
          <w:b/>
          <w:bCs/>
          <w:color w:val="1A4731"/>
          <w:sz w:val="20"/>
          <w:szCs w:val="20"/>
        </w:rPr>
        <w:t>PROCEDURE — FILING &amp; RESPONDING</w:t>
      </w:r>
    </w:p>
    <w:p>
      <w:pPr>
        <w:pStyle w:val="Normal"/>
        <w:tabs>
          <w:tab w:val="left" w:pos="720" w:leader="none"/>
        </w:tabs>
        <w:spacing w:lineRule="exact" w:line="264" w:before="0" w:after="80"/>
        <w:ind w:hanging="360" w:start="720"/>
        <w:rPr/>
      </w:pPr>
      <w:r>
        <w:rPr>
          <w:rFonts w:eastAsia="Arial" w:cs="Arial"/>
          <w:sz w:val="21"/>
          <w:szCs w:val="21"/>
        </w:rPr>
        <w:t>a. Inform each client how to file an internal grievance and an HHSC complaint, without retaliation, and post HHSC complaint information.</w:t>
      </w:r>
    </w:p>
    <w:p>
      <w:pPr>
        <w:pStyle w:val="Normal"/>
        <w:tabs>
          <w:tab w:val="left" w:pos="720" w:leader="none"/>
        </w:tabs>
        <w:spacing w:lineRule="exact" w:line="264" w:before="0" w:after="80"/>
        <w:ind w:hanging="360" w:start="720"/>
        <w:rPr/>
      </w:pPr>
      <w:r>
        <w:rPr>
          <w:rFonts w:eastAsia="Arial" w:cs="Arial"/>
          <w:sz w:val="21"/>
          <w:szCs w:val="21"/>
        </w:rPr>
        <w:t>b. Acknowledge, investigate, and resolve grievances within stated timeframes and document them.</w:t>
      </w:r>
    </w:p>
    <w:p>
      <w:pPr>
        <w:pStyle w:val="Normal"/>
        <w:tabs>
          <w:tab w:val="left" w:pos="720" w:leader="none"/>
        </w:tabs>
        <w:spacing w:lineRule="exact" w:line="264" w:before="0" w:after="80"/>
        <w:ind w:hanging="360" w:start="720"/>
        <w:rPr/>
      </w:pPr>
      <w:r>
        <w:rPr>
          <w:rFonts w:eastAsia="Arial" w:cs="Arial"/>
          <w:sz w:val="21"/>
          <w:szCs w:val="21"/>
        </w:rPr>
        <w:t>c. Analyze grievance data through quality management to correct systemic issues.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Client Grievance Form</w:t>
      </w:r>
    </w:p>
    <w:p>
      <w:pPr>
        <w:pStyle w:val="ListParagraph"/>
        <w:numPr>
          <w:ilvl w:val="0"/>
          <w:numId w:val="1"/>
        </w:numPr>
        <w:spacing w:lineRule="exact" w:line="264" w:before="0" w:after="60"/>
        <w:rPr/>
      </w:pPr>
      <w:r>
        <w:rPr>
          <w:rFonts w:eastAsia="Arial" w:cs="Arial"/>
          <w:sz w:val="21"/>
          <w:szCs w:val="21"/>
        </w:rPr>
        <w:t>Grievance Response &amp; Resolution Log</w:t>
      </w:r>
    </w:p>
    <w:p>
      <w:pPr>
        <w:pStyle w:val="ListParagraph"/>
        <w:numPr>
          <w:ilvl w:val="0"/>
          <w:numId w:val="1"/>
        </w:numPr>
        <w:spacing w:lineRule="exact" w:line="264" w:before="0" w:after="60"/>
        <w:rPr/>
      </w:pPr>
      <w:r>
        <w:rPr>
          <w:rFonts w:eastAsia="Arial" w:cs="Arial"/>
          <w:sz w:val="21"/>
          <w:szCs w:val="21"/>
        </w:rPr>
        <w:t>HHSC Complaint Information Posting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3.04  Prohibited Practices &amp; Client Protection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3.04  Prohibited Practices &amp; Client Protection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Client Rights &amp; Confidentiality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§§564.20, 564.15, 564.16</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clients from prohibited practices, coercive or punitive measures, and unsafe behavior-management techniques.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and to every interaction with clients.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prohibits the specific acts prohibited by 26 TAC §564.20 and protects clients from exploitation and from coercive, punitive, humiliating, or retaliatory practices. The facility does not withhold food, clothing, shelter, or other necessities as punishment; does not use client communications restrictions except as clinically justified, documented, and permitted; and manages difficult or escalating behavior through trained, least-restrictive means. Seclusion and physical or mechanical restraint are not used as behavior-management or disciplinary measures; where a client presents an emergency safety risk, staff use de-escalation and summon emergency medical or law-enforcement assistance and arrange transfer to an appropriate level of care as needed.</w:t>
      </w:r>
    </w:p>
    <w:p>
      <w:pPr>
        <w:pStyle w:val="Normal"/>
        <w:pBdr>
          <w:bottom w:val="single" w:sz="4" w:space="1" w:color="2E5E45"/>
        </w:pBdr>
        <w:spacing w:before="160" w:after="80"/>
        <w:rPr/>
      </w:pPr>
      <w:r>
        <w:rPr>
          <w:rFonts w:eastAsia="Arial" w:cs="Arial"/>
          <w:b/>
          <w:bCs/>
          <w:color w:val="1A4731"/>
          <w:sz w:val="20"/>
          <w:szCs w:val="20"/>
        </w:rPr>
        <w:t>PROCEDURE — CLIENT PROTECTION</w:t>
      </w:r>
    </w:p>
    <w:p>
      <w:pPr>
        <w:pStyle w:val="Normal"/>
        <w:tabs>
          <w:tab w:val="left" w:pos="720" w:leader="none"/>
        </w:tabs>
        <w:spacing w:lineRule="exact" w:line="264" w:before="0" w:after="80"/>
        <w:ind w:hanging="360" w:start="720"/>
        <w:rPr/>
      </w:pPr>
      <w:r>
        <w:rPr>
          <w:rFonts w:eastAsia="Arial" w:cs="Arial"/>
          <w:sz w:val="21"/>
          <w:szCs w:val="21"/>
        </w:rPr>
        <w:t>a. Prohibit the acts barred by §564.20 and coercive, punitive, or humiliating practices, and never withhold necessities as punishment.</w:t>
      </w:r>
    </w:p>
    <w:p>
      <w:pPr>
        <w:pStyle w:val="Normal"/>
        <w:tabs>
          <w:tab w:val="left" w:pos="720" w:leader="none"/>
        </w:tabs>
        <w:spacing w:lineRule="exact" w:line="264" w:before="0" w:after="80"/>
        <w:ind w:hanging="360" w:start="720"/>
        <w:rPr/>
      </w:pPr>
      <w:r>
        <w:rPr>
          <w:rFonts w:eastAsia="Arial" w:cs="Arial"/>
          <w:sz w:val="21"/>
          <w:szCs w:val="21"/>
        </w:rPr>
        <w:t>b. Manage escalating behavior through trained, least-restrictive means; do not use seclusion or restraint as behavior management or discipline.</w:t>
      </w:r>
    </w:p>
    <w:p>
      <w:pPr>
        <w:pStyle w:val="Normal"/>
        <w:tabs>
          <w:tab w:val="left" w:pos="720" w:leader="none"/>
        </w:tabs>
        <w:spacing w:lineRule="exact" w:line="264" w:before="0" w:after="80"/>
        <w:ind w:hanging="360" w:start="720"/>
        <w:rPr/>
      </w:pPr>
      <w:r>
        <w:rPr>
          <w:rFonts w:eastAsia="Arial" w:cs="Arial"/>
          <w:sz w:val="21"/>
          <w:szCs w:val="21"/>
        </w:rPr>
        <w:t>c. In an emergency safety situation, de-escalate, summon emergency assistance, and arrange transfer to an appropriate level of care.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Prohibited Practices Policy &amp; Acknowledgment</w:t>
      </w:r>
    </w:p>
    <w:p>
      <w:pPr>
        <w:pStyle w:val="ListParagraph"/>
        <w:numPr>
          <w:ilvl w:val="0"/>
          <w:numId w:val="1"/>
        </w:numPr>
        <w:spacing w:lineRule="exact" w:line="264" w:before="0" w:after="60"/>
        <w:rPr/>
      </w:pPr>
      <w:r>
        <w:rPr>
          <w:rFonts w:eastAsia="Arial" w:cs="Arial"/>
          <w:sz w:val="21"/>
          <w:szCs w:val="21"/>
        </w:rPr>
        <w:t>Behavior-Management / De-escalation Procedure</w:t>
      </w:r>
    </w:p>
    <w:p>
      <w:pPr>
        <w:pStyle w:val="ListParagraph"/>
        <w:numPr>
          <w:ilvl w:val="0"/>
          <w:numId w:val="1"/>
        </w:numPr>
        <w:spacing w:lineRule="exact" w:line="264" w:before="0" w:after="60"/>
        <w:rPr/>
      </w:pPr>
      <w:r>
        <w:rPr>
          <w:rFonts w:eastAsia="Arial" w:cs="Arial"/>
          <w:sz w:val="21"/>
          <w:szCs w:val="21"/>
        </w:rPr>
        <w:t>Emergency Safety Situation Report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D</w:t>
      </w:r>
    </w:p>
    <w:p>
      <w:pPr>
        <w:pStyle w:val="Normal"/>
        <w:pBdr>
          <w:bottom w:val="single" w:sz="12" w:space="4" w:color="1A4731"/>
        </w:pBdr>
        <w:spacing w:before="0" w:after="240"/>
        <w:jc w:val="start"/>
        <w:rPr/>
      </w:pPr>
      <w:r>
        <w:rPr>
          <w:rFonts w:eastAsia="Arial" w:cs="Arial"/>
          <w:b/>
          <w:bCs/>
          <w:color w:val="222222"/>
          <w:sz w:val="40"/>
          <w:szCs w:val="40"/>
        </w:rPr>
        <w:t>Screening, Assessment &amp; Treatment</w:t>
      </w:r>
    </w:p>
    <w:p>
      <w:pPr>
        <w:pStyle w:val="Normal"/>
        <w:spacing w:lineRule="exact" w:line="288" w:before="0" w:after="240"/>
        <w:rPr/>
      </w:pPr>
      <w:r>
        <w:rPr>
          <w:rFonts w:eastAsia="Arial" w:cs="Arial"/>
          <w:color w:val="444444"/>
          <w:sz w:val="22"/>
          <w:szCs w:val="22"/>
        </w:rPr>
        <w:t>This section covers the clinical process common to all services — screening and admission; assessment; treatment planning, progress notes and documentation; counseling and treatment services; discharge, continuing care and referral; and treatment services provided through electronic means.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4.00  Screening &amp; Admission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4.01  Assessment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4.02  Treatment Planning, Progress Notes &amp; Documentation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4.03  Counseling &amp; Treatment Services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4.04  Discharge, Continuing Care &amp; Referral</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4.05  Treatment Services Provided Through Electronic Means (Telehealth)</w:t>
      </w:r>
    </w:p>
    <w:p>
      <w:pPr>
        <w:pStyle w:val="Normal"/>
        <w:rPr/>
      </w:pPr>
      <w:r>
        <w:rPr/>
      </w:r>
      <w:r>
        <w:br w:type="page"/>
      </w:r>
    </w:p>
    <w:p>
      <w:pPr>
        <w:pStyle w:val="Heading2"/>
        <w:spacing w:before="0" w:after="120"/>
        <w:rPr/>
      </w:pPr>
      <w:r>
        <w:rPr>
          <w:rFonts w:eastAsia="Arial" w:cs="Arial" w:ascii="Arial" w:hAnsi="Arial"/>
          <w:b/>
          <w:bCs/>
          <w:color w:val="1A4731"/>
          <w:sz w:val="26"/>
          <w:szCs w:val="26"/>
        </w:rPr>
        <w:t>4.00  Screening &amp; Admission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4.00  Screening &amp; Admission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Screening, Assessment &amp; Treatment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§§564.801–564.805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clients are screened and admitted appropriately, based on eligibility for the services the facility is licensed to provide.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screening and admission activity and to the staff who perform it.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screens each prospective client to determine whether the client's needs match a service the facility is licensed to provide and admits clients in accordance with 26 TAC Chapter 564, Subchapter H. Screening gathers the information needed to make an admission and placement decision, and the facility admits only clients it is able to serve and refers clients whose needs it cannot meet, documenting the referral. Admission is documented in the client record, including the basis for admission, the client's consent to treatment, and the client's receipt of client rights and rules of conduct. Where a client is admitted under a court commitment or criminal-justice referral, the applicable requirements are followed.</w:t>
      </w:r>
    </w:p>
    <w:p>
      <w:pPr>
        <w:pStyle w:val="Normal"/>
        <w:pBdr>
          <w:bottom w:val="single" w:sz="4" w:space="1" w:color="2E5E45"/>
        </w:pBdr>
        <w:spacing w:before="160" w:after="80"/>
        <w:rPr/>
      </w:pPr>
      <w:r>
        <w:rPr>
          <w:rFonts w:eastAsia="Arial" w:cs="Arial"/>
          <w:b/>
          <w:bCs/>
          <w:color w:val="1A4731"/>
          <w:sz w:val="20"/>
          <w:szCs w:val="20"/>
        </w:rPr>
        <w:t>PROCEDURE — SCREENING &amp; ADMISSION</w:t>
      </w:r>
    </w:p>
    <w:p>
      <w:pPr>
        <w:pStyle w:val="Normal"/>
        <w:tabs>
          <w:tab w:val="left" w:pos="720" w:leader="none"/>
        </w:tabs>
        <w:spacing w:lineRule="exact" w:line="264" w:before="0" w:after="80"/>
        <w:ind w:hanging="360" w:start="720"/>
        <w:rPr/>
      </w:pPr>
      <w:r>
        <w:rPr>
          <w:rFonts w:eastAsia="Arial" w:cs="Arial"/>
          <w:sz w:val="21"/>
          <w:szCs w:val="21"/>
        </w:rPr>
        <w:t>a. Screen each prospective client to determine whether the client's needs match a licensed service.</w:t>
      </w:r>
    </w:p>
    <w:p>
      <w:pPr>
        <w:pStyle w:val="Normal"/>
        <w:tabs>
          <w:tab w:val="left" w:pos="720" w:leader="none"/>
        </w:tabs>
        <w:spacing w:lineRule="exact" w:line="264" w:before="0" w:after="80"/>
        <w:ind w:hanging="360" w:start="720"/>
        <w:rPr/>
      </w:pPr>
      <w:r>
        <w:rPr>
          <w:rFonts w:eastAsia="Arial" w:cs="Arial"/>
          <w:sz w:val="21"/>
          <w:szCs w:val="21"/>
        </w:rPr>
        <w:t>b. Admit appropriate clients and refer those the facility cannot serve, documenting the referral.</w:t>
      </w:r>
    </w:p>
    <w:p>
      <w:pPr>
        <w:pStyle w:val="Normal"/>
        <w:tabs>
          <w:tab w:val="left" w:pos="720" w:leader="none"/>
        </w:tabs>
        <w:spacing w:lineRule="exact" w:line="264" w:before="0" w:after="80"/>
        <w:ind w:hanging="360" w:start="720"/>
        <w:rPr/>
      </w:pPr>
      <w:r>
        <w:rPr>
          <w:rFonts w:eastAsia="Arial" w:cs="Arial"/>
          <w:sz w:val="21"/>
          <w:szCs w:val="21"/>
        </w:rPr>
        <w:t>c. Document admission, consent to treatment, and receipt of rights and rules of conduct in the client record.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Screening &amp; Eligibility Determination</w:t>
      </w:r>
    </w:p>
    <w:p>
      <w:pPr>
        <w:pStyle w:val="ListParagraph"/>
        <w:numPr>
          <w:ilvl w:val="0"/>
          <w:numId w:val="1"/>
        </w:numPr>
        <w:spacing w:lineRule="exact" w:line="264" w:before="0" w:after="60"/>
        <w:rPr/>
      </w:pPr>
      <w:r>
        <w:rPr>
          <w:rFonts w:eastAsia="Arial" w:cs="Arial"/>
          <w:sz w:val="21"/>
          <w:szCs w:val="21"/>
        </w:rPr>
        <w:t>Admission Record &amp; Consent to Treatment</w:t>
      </w:r>
    </w:p>
    <w:p>
      <w:pPr>
        <w:pStyle w:val="ListParagraph"/>
        <w:numPr>
          <w:ilvl w:val="0"/>
          <w:numId w:val="1"/>
        </w:numPr>
        <w:spacing w:lineRule="exact" w:line="264" w:before="0" w:after="60"/>
        <w:rPr/>
      </w:pPr>
      <w:r>
        <w:rPr>
          <w:rFonts w:eastAsia="Arial" w:cs="Arial"/>
          <w:sz w:val="21"/>
          <w:szCs w:val="21"/>
        </w:rPr>
        <w:t>Referral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4.01  Assessment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4.01  Assessment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Screening, Assessment &amp; Treatment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§§564.801–564.805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client receives a timely, complete assessment that identifies needs and drives the treatment plan.</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clients and to the qualified staff who conduct assessments.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completes an assessment for each client in accordance with 26 TAC Chapter 564, Subchapter H, conducted by qualified staff within their scope of practice. The assessment addresses the client's substance use history, treatment history, medical and behavioral health status (including screening for co-occurring psychiatric and substance use disorders), psychosocial and family history, legal status, and strengths and needs, and results in a determination of the appropriate level of care and recommendations for services. The assessment is documented in the client record within the timeframes the rule and the facility's policies require, and is used to develop the treatment plan. The client is referred for medical or psychiatric services when the assessment indicates a need.</w:t>
      </w:r>
    </w:p>
    <w:p>
      <w:pPr>
        <w:pStyle w:val="Normal"/>
        <w:pBdr>
          <w:bottom w:val="single" w:sz="4" w:space="1" w:color="2E5E45"/>
        </w:pBdr>
        <w:spacing w:before="160" w:after="80"/>
        <w:rPr/>
      </w:pPr>
      <w:r>
        <w:rPr>
          <w:rFonts w:eastAsia="Arial" w:cs="Arial"/>
          <w:b/>
          <w:bCs/>
          <w:color w:val="1A4731"/>
          <w:sz w:val="20"/>
          <w:szCs w:val="20"/>
        </w:rPr>
        <w:t>PROCEDURE — CONDUCTING ASSESSMENTS</w:t>
      </w:r>
    </w:p>
    <w:p>
      <w:pPr>
        <w:pStyle w:val="Normal"/>
        <w:tabs>
          <w:tab w:val="left" w:pos="720" w:leader="none"/>
        </w:tabs>
        <w:spacing w:lineRule="exact" w:line="264" w:before="0" w:after="80"/>
        <w:ind w:hanging="360" w:start="720"/>
        <w:rPr/>
      </w:pPr>
      <w:r>
        <w:rPr>
          <w:rFonts w:eastAsia="Arial" w:cs="Arial"/>
          <w:sz w:val="21"/>
          <w:szCs w:val="21"/>
        </w:rPr>
        <w:t>a. Complete the assessment for each client through qualified staff, addressing substance use, treatment, medical, behavioral health (including COPSD screening), psychosocial, family, and legal domains.</w:t>
      </w:r>
    </w:p>
    <w:p>
      <w:pPr>
        <w:pStyle w:val="Normal"/>
        <w:tabs>
          <w:tab w:val="left" w:pos="720" w:leader="none"/>
        </w:tabs>
        <w:spacing w:lineRule="exact" w:line="264" w:before="0" w:after="80"/>
        <w:ind w:hanging="360" w:start="720"/>
        <w:rPr/>
      </w:pPr>
      <w:r>
        <w:rPr>
          <w:rFonts w:eastAsia="Arial" w:cs="Arial"/>
          <w:sz w:val="21"/>
          <w:szCs w:val="21"/>
        </w:rPr>
        <w:t>b. Determine the appropriate level of care and document the assessment in the client record within required timeframes.</w:t>
      </w:r>
    </w:p>
    <w:p>
      <w:pPr>
        <w:pStyle w:val="Normal"/>
        <w:tabs>
          <w:tab w:val="left" w:pos="720" w:leader="none"/>
        </w:tabs>
        <w:spacing w:lineRule="exact" w:line="264" w:before="0" w:after="80"/>
        <w:ind w:hanging="360" w:start="720"/>
        <w:rPr/>
      </w:pPr>
      <w:r>
        <w:rPr>
          <w:rFonts w:eastAsia="Arial" w:cs="Arial"/>
          <w:sz w:val="21"/>
          <w:szCs w:val="21"/>
        </w:rPr>
        <w:t>c. Refer the client for medical or psychiatric services when indicated.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Comprehensive Assessment Form</w:t>
      </w:r>
    </w:p>
    <w:p>
      <w:pPr>
        <w:pStyle w:val="ListParagraph"/>
        <w:numPr>
          <w:ilvl w:val="0"/>
          <w:numId w:val="1"/>
        </w:numPr>
        <w:spacing w:lineRule="exact" w:line="264" w:before="0" w:after="60"/>
        <w:rPr/>
      </w:pPr>
      <w:r>
        <w:rPr>
          <w:rFonts w:eastAsia="Arial" w:cs="Arial"/>
          <w:sz w:val="21"/>
          <w:szCs w:val="21"/>
        </w:rPr>
        <w:t>COPSD Screening Tool</w:t>
      </w:r>
    </w:p>
    <w:p>
      <w:pPr>
        <w:pStyle w:val="ListParagraph"/>
        <w:numPr>
          <w:ilvl w:val="0"/>
          <w:numId w:val="1"/>
        </w:numPr>
        <w:spacing w:lineRule="exact" w:line="264" w:before="0" w:after="60"/>
        <w:rPr/>
      </w:pPr>
      <w:r>
        <w:rPr>
          <w:rFonts w:eastAsia="Arial" w:cs="Arial"/>
          <w:sz w:val="21"/>
          <w:szCs w:val="21"/>
        </w:rPr>
        <w:t>Level-of-Care Determination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4.02  Treatment Planning, Progress Notes &amp; Documentation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4.02  Treatment Planning, Progress Notes &amp; Documentation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Screening, Assessment &amp; Treatment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§§564.901, 564.9, 564.507</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client has an individualized treatment plan that is implemented, documented in progress notes, and reviewed and updated.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clients and to the clinical staff who plan and document care.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develops an individualized treatment plan for each client, based on the assessment and developed with the client's participation, that states the client's problems, goals, measurable objectives, the services to be provided, and the staff responsible, consistent with 26 TAC §564.901. The plan is reviewed and updated at the intervals the rule and the client's progress require. Progress notes document the services provided, the client's response, and progress toward goals, and all documentation is accurate, legible, dated, and authenticated as required by §§564.9 and 564.507. The client is offered the opportunity to participate in developing and reviewing the plan, and that participation is documented.</w:t>
      </w:r>
    </w:p>
    <w:p>
      <w:pPr>
        <w:pStyle w:val="Normal"/>
        <w:pBdr>
          <w:bottom w:val="single" w:sz="4" w:space="1" w:color="2E5E45"/>
        </w:pBdr>
        <w:spacing w:before="160" w:after="80"/>
        <w:rPr/>
      </w:pPr>
      <w:r>
        <w:rPr>
          <w:rFonts w:eastAsia="Arial" w:cs="Arial"/>
          <w:b/>
          <w:bCs/>
          <w:color w:val="1A4731"/>
          <w:sz w:val="20"/>
          <w:szCs w:val="20"/>
        </w:rPr>
        <w:t>PROCEDURE — TREATMENT PLANNING &amp; DOCUMENTATION</w:t>
      </w:r>
    </w:p>
    <w:p>
      <w:pPr>
        <w:pStyle w:val="Normal"/>
        <w:tabs>
          <w:tab w:val="left" w:pos="720" w:leader="none"/>
        </w:tabs>
        <w:spacing w:lineRule="exact" w:line="264" w:before="0" w:after="80"/>
        <w:ind w:hanging="360" w:start="720"/>
        <w:rPr/>
      </w:pPr>
      <w:r>
        <w:rPr>
          <w:rFonts w:eastAsia="Arial" w:cs="Arial"/>
          <w:sz w:val="21"/>
          <w:szCs w:val="21"/>
        </w:rPr>
        <w:t>a. Develop an individualized treatment plan from the assessment with the client's participation, stating problems, goals, measurable objectives, services, and responsible staff.</w:t>
      </w:r>
    </w:p>
    <w:p>
      <w:pPr>
        <w:pStyle w:val="Normal"/>
        <w:tabs>
          <w:tab w:val="left" w:pos="720" w:leader="none"/>
        </w:tabs>
        <w:spacing w:lineRule="exact" w:line="264" w:before="0" w:after="80"/>
        <w:ind w:hanging="360" w:start="720"/>
        <w:rPr/>
      </w:pPr>
      <w:r>
        <w:rPr>
          <w:rFonts w:eastAsia="Arial" w:cs="Arial"/>
          <w:sz w:val="21"/>
          <w:szCs w:val="21"/>
        </w:rPr>
        <w:t>b. Review and update the plan at required intervals and document services, response, and progress in progress notes.</w:t>
      </w:r>
    </w:p>
    <w:p>
      <w:pPr>
        <w:pStyle w:val="Normal"/>
        <w:tabs>
          <w:tab w:val="left" w:pos="720" w:leader="none"/>
        </w:tabs>
        <w:spacing w:lineRule="exact" w:line="264" w:before="0" w:after="80"/>
        <w:ind w:hanging="360" w:start="720"/>
        <w:rPr/>
      </w:pPr>
      <w:r>
        <w:rPr>
          <w:rFonts w:eastAsia="Arial" w:cs="Arial"/>
          <w:sz w:val="21"/>
          <w:szCs w:val="21"/>
        </w:rPr>
        <w:t>c. Ensure all documentation is accurate, legible, dated, and authenticated.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Individualized Treatment Plan</w:t>
      </w:r>
    </w:p>
    <w:p>
      <w:pPr>
        <w:pStyle w:val="ListParagraph"/>
        <w:numPr>
          <w:ilvl w:val="0"/>
          <w:numId w:val="1"/>
        </w:numPr>
        <w:spacing w:lineRule="exact" w:line="264" w:before="0" w:after="60"/>
        <w:rPr/>
      </w:pPr>
      <w:r>
        <w:rPr>
          <w:rFonts w:eastAsia="Arial" w:cs="Arial"/>
          <w:sz w:val="21"/>
          <w:szCs w:val="21"/>
        </w:rPr>
        <w:t>Treatment Plan Review Record</w:t>
      </w:r>
    </w:p>
    <w:p>
      <w:pPr>
        <w:pStyle w:val="ListParagraph"/>
        <w:numPr>
          <w:ilvl w:val="0"/>
          <w:numId w:val="1"/>
        </w:numPr>
        <w:spacing w:lineRule="exact" w:line="264" w:before="0" w:after="60"/>
        <w:rPr/>
      </w:pPr>
      <w:r>
        <w:rPr>
          <w:rFonts w:eastAsia="Arial" w:cs="Arial"/>
          <w:sz w:val="21"/>
          <w:szCs w:val="21"/>
        </w:rPr>
        <w:t>Progress Note Template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4.03  Counseling &amp; Treatment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4.03  Counseling &amp; Treatment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Screening, Assessment &amp; Treatment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§564.901</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counseling and treatment services are provided by qualified staff, using appropriate methods, and documented, consistent with the requirements applicable to all treatment services.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individual, group, and family counseling and other treatment services across all service types.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provides counseling and treatment services that meet the requirements applicable to all treatment services in 26 TAC §564.901, delivered by qualified staff within their scope of practice and consistent with each client's treatment plan. Services use recognized, evidence-based practices appropriate to the client's needs, and counseling is documented in the client record, including the date, duration, type (individual, group, or family), goals addressed, and the provider's signature. Group sizes and counselor caseloads are consistent with the rule and with sound clinical practice, and family involvement is offered where appropriate and permitted by the client.</w:t>
      </w:r>
    </w:p>
    <w:p>
      <w:pPr>
        <w:pStyle w:val="Normal"/>
        <w:pBdr>
          <w:bottom w:val="single" w:sz="4" w:space="1" w:color="2E5E45"/>
        </w:pBdr>
        <w:spacing w:before="160" w:after="80"/>
        <w:rPr/>
      </w:pPr>
      <w:r>
        <w:rPr>
          <w:rFonts w:eastAsia="Arial" w:cs="Arial"/>
          <w:b/>
          <w:bCs/>
          <w:color w:val="1A4731"/>
          <w:sz w:val="20"/>
          <w:szCs w:val="20"/>
        </w:rPr>
        <w:t>PROCEDURE — PROVIDING &amp; DOCUMENTING SERVICES</w:t>
      </w:r>
    </w:p>
    <w:p>
      <w:pPr>
        <w:pStyle w:val="Normal"/>
        <w:tabs>
          <w:tab w:val="left" w:pos="720" w:leader="none"/>
        </w:tabs>
        <w:spacing w:lineRule="exact" w:line="264" w:before="0" w:after="80"/>
        <w:ind w:hanging="360" w:start="720"/>
        <w:rPr/>
      </w:pPr>
      <w:r>
        <w:rPr>
          <w:rFonts w:eastAsia="Arial" w:cs="Arial"/>
          <w:sz w:val="21"/>
          <w:szCs w:val="21"/>
        </w:rPr>
        <w:t>a. Provide counseling and treatment services through qualified staff within scope, consistent with the treatment plan and evidence-based practice.</w:t>
      </w:r>
    </w:p>
    <w:p>
      <w:pPr>
        <w:pStyle w:val="Normal"/>
        <w:tabs>
          <w:tab w:val="left" w:pos="720" w:leader="none"/>
        </w:tabs>
        <w:spacing w:lineRule="exact" w:line="264" w:before="0" w:after="80"/>
        <w:ind w:hanging="360" w:start="720"/>
        <w:rPr/>
      </w:pPr>
      <w:r>
        <w:rPr>
          <w:rFonts w:eastAsia="Arial" w:cs="Arial"/>
          <w:sz w:val="21"/>
          <w:szCs w:val="21"/>
        </w:rPr>
        <w:t>b. Maintain appropriate group sizes and counselor caseloads and offer family involvement where appropriate.</w:t>
      </w:r>
    </w:p>
    <w:p>
      <w:pPr>
        <w:pStyle w:val="Normal"/>
        <w:tabs>
          <w:tab w:val="left" w:pos="720" w:leader="none"/>
        </w:tabs>
        <w:spacing w:lineRule="exact" w:line="264" w:before="0" w:after="80"/>
        <w:ind w:hanging="360" w:start="720"/>
        <w:rPr/>
      </w:pPr>
      <w:r>
        <w:rPr>
          <w:rFonts w:eastAsia="Arial" w:cs="Arial"/>
          <w:sz w:val="21"/>
          <w:szCs w:val="21"/>
        </w:rPr>
        <w:t>c. Document each service with date, duration, type, goals addressed, and provider signature.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Counseling Session Note</w:t>
      </w:r>
    </w:p>
    <w:p>
      <w:pPr>
        <w:pStyle w:val="ListParagraph"/>
        <w:numPr>
          <w:ilvl w:val="0"/>
          <w:numId w:val="1"/>
        </w:numPr>
        <w:spacing w:lineRule="exact" w:line="264" w:before="0" w:after="60"/>
        <w:rPr/>
      </w:pPr>
      <w:r>
        <w:rPr>
          <w:rFonts w:eastAsia="Arial" w:cs="Arial"/>
          <w:sz w:val="21"/>
          <w:szCs w:val="21"/>
        </w:rPr>
        <w:t>Group Session Roster &amp; Note</w:t>
      </w:r>
    </w:p>
    <w:p>
      <w:pPr>
        <w:pStyle w:val="ListParagraph"/>
        <w:numPr>
          <w:ilvl w:val="0"/>
          <w:numId w:val="1"/>
        </w:numPr>
        <w:spacing w:lineRule="exact" w:line="264" w:before="0" w:after="60"/>
        <w:rPr/>
      </w:pPr>
      <w:r>
        <w:rPr>
          <w:rFonts w:eastAsia="Arial" w:cs="Arial"/>
          <w:sz w:val="21"/>
          <w:szCs w:val="21"/>
        </w:rPr>
        <w:t>Service-Delivery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4.04  Discharge, Continuing Care &amp; Referral</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4.04  Discharge, Continuing Care &amp; Referral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Screening, Assessment &amp; Treatment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§564.901</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clients are discharged with appropriate planning, a discharge summary, and connection to continuing care.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discharge, continuing care, and referral across all service types.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plans for discharge and continuing care from admission and completes a discharge summary for each client that documents the course of treatment, the client's status at discharge, and the continuing-care plan, consistent with 26 TAC §564.901. Discharge planning identifies the client's continuing needs and connects the client to appropriate services and supports, including referral to a different level of care, recovery support, or other providers as needed. Where a client leaves against staff advice or before completion, the facility documents the circumstances and provides available follow-up information.</w:t>
      </w:r>
    </w:p>
    <w:p>
      <w:pPr>
        <w:pStyle w:val="Normal"/>
        <w:pBdr>
          <w:bottom w:val="single" w:sz="4" w:space="1" w:color="2E5E45"/>
        </w:pBdr>
        <w:spacing w:before="160" w:after="80"/>
        <w:rPr/>
      </w:pPr>
      <w:r>
        <w:rPr>
          <w:rFonts w:eastAsia="Arial" w:cs="Arial"/>
          <w:b/>
          <w:bCs/>
          <w:color w:val="1A4731"/>
          <w:sz w:val="20"/>
          <w:szCs w:val="20"/>
        </w:rPr>
        <w:t>PROCEDURE — DISCHARGE &amp; CONTINUING CARE</w:t>
      </w:r>
    </w:p>
    <w:p>
      <w:pPr>
        <w:pStyle w:val="Normal"/>
        <w:tabs>
          <w:tab w:val="left" w:pos="720" w:leader="none"/>
        </w:tabs>
        <w:spacing w:lineRule="exact" w:line="264" w:before="0" w:after="80"/>
        <w:ind w:hanging="360" w:start="720"/>
        <w:rPr/>
      </w:pPr>
      <w:r>
        <w:rPr>
          <w:rFonts w:eastAsia="Arial" w:cs="Arial"/>
          <w:sz w:val="21"/>
          <w:szCs w:val="21"/>
        </w:rPr>
        <w:t>a. Plan for discharge and continuing care from admission and identify the client's continuing needs.</w:t>
      </w:r>
    </w:p>
    <w:p>
      <w:pPr>
        <w:pStyle w:val="Normal"/>
        <w:tabs>
          <w:tab w:val="left" w:pos="720" w:leader="none"/>
        </w:tabs>
        <w:spacing w:lineRule="exact" w:line="264" w:before="0" w:after="80"/>
        <w:ind w:hanging="360" w:start="720"/>
        <w:rPr/>
      </w:pPr>
      <w:r>
        <w:rPr>
          <w:rFonts w:eastAsia="Arial" w:cs="Arial"/>
          <w:sz w:val="21"/>
          <w:szCs w:val="21"/>
        </w:rPr>
        <w:t>b. Complete a discharge summary documenting the course of treatment, status, and continuing-care plan, and connect the client to appropriate services.</w:t>
      </w:r>
    </w:p>
    <w:p>
      <w:pPr>
        <w:pStyle w:val="Normal"/>
        <w:tabs>
          <w:tab w:val="left" w:pos="720" w:leader="none"/>
        </w:tabs>
        <w:spacing w:lineRule="exact" w:line="264" w:before="0" w:after="80"/>
        <w:ind w:hanging="360" w:start="720"/>
        <w:rPr/>
      </w:pPr>
      <w:r>
        <w:rPr>
          <w:rFonts w:eastAsia="Arial" w:cs="Arial"/>
          <w:sz w:val="21"/>
          <w:szCs w:val="21"/>
        </w:rPr>
        <w:t>c. Document circumstances and provide follow-up information where a client leaves against advice or before completion.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Discharge / Continuing-Care Plan</w:t>
      </w:r>
    </w:p>
    <w:p>
      <w:pPr>
        <w:pStyle w:val="ListParagraph"/>
        <w:numPr>
          <w:ilvl w:val="0"/>
          <w:numId w:val="1"/>
        </w:numPr>
        <w:spacing w:lineRule="exact" w:line="264" w:before="0" w:after="60"/>
        <w:rPr/>
      </w:pPr>
      <w:r>
        <w:rPr>
          <w:rFonts w:eastAsia="Arial" w:cs="Arial"/>
          <w:sz w:val="21"/>
          <w:szCs w:val="21"/>
        </w:rPr>
        <w:t>Discharge Summary</w:t>
      </w:r>
    </w:p>
    <w:p>
      <w:pPr>
        <w:pStyle w:val="ListParagraph"/>
        <w:numPr>
          <w:ilvl w:val="0"/>
          <w:numId w:val="1"/>
        </w:numPr>
        <w:spacing w:lineRule="exact" w:line="264" w:before="0" w:after="60"/>
        <w:rPr/>
      </w:pPr>
      <w:r>
        <w:rPr>
          <w:rFonts w:eastAsia="Arial" w:cs="Arial"/>
          <w:sz w:val="21"/>
          <w:szCs w:val="21"/>
        </w:rPr>
        <w:t>Referral &amp; Recovery-Support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4.05  Treatment Services Provided Through Electronic Means (Telehealth)</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4.05  Treatment Services Provided Through Electronic Means (Telehealth)</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Screening, Assessment &amp; Treatment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§564.911; HSC §462.015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services delivered through electronic means meet the same standards as in-person services and protect client confidentiality.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any service the facility delivers through telehealth or other electronic means.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provides treatment services through electronic means only in accordance with 26 TAC §564.911 and, for outpatient services, HSC §462.015, delivering services to the same standard as in-person services and only through staff authorized to provide them. The facility uses technology that supports two-way, real-time communication and protects client confidentiality consistent with 42 CFR Part 2 and HIPAA, documents electronically delivered services in the client record, and complies with all applicable professional statutes and rules governing telehealth and telemedicine.</w:t>
      </w:r>
    </w:p>
    <w:p>
      <w:pPr>
        <w:pStyle w:val="Normal"/>
        <w:pBdr>
          <w:bottom w:val="single" w:sz="4" w:space="1" w:color="2E5E45"/>
        </w:pBdr>
        <w:spacing w:before="160" w:after="80"/>
        <w:rPr/>
      </w:pPr>
      <w:r>
        <w:rPr>
          <w:rFonts w:eastAsia="Arial" w:cs="Arial"/>
          <w:b/>
          <w:bCs/>
          <w:color w:val="1A4731"/>
          <w:sz w:val="20"/>
          <w:szCs w:val="20"/>
        </w:rPr>
        <w:t>PROCEDURE — ELECTRONIC SERVICE DELIVERY</w:t>
      </w:r>
    </w:p>
    <w:p>
      <w:pPr>
        <w:pStyle w:val="Normal"/>
        <w:tabs>
          <w:tab w:val="left" w:pos="720" w:leader="none"/>
        </w:tabs>
        <w:spacing w:lineRule="exact" w:line="264" w:before="0" w:after="80"/>
        <w:ind w:hanging="360" w:start="720"/>
        <w:rPr/>
      </w:pPr>
      <w:r>
        <w:rPr>
          <w:rFonts w:eastAsia="Arial" w:cs="Arial"/>
          <w:sz w:val="21"/>
          <w:szCs w:val="21"/>
        </w:rPr>
        <w:t>a. Deliver electronic services to the same standard as in-person services, through authorized staff and consistent with §564.911 and HSC §462.015.</w:t>
      </w:r>
    </w:p>
    <w:p>
      <w:pPr>
        <w:pStyle w:val="Normal"/>
        <w:tabs>
          <w:tab w:val="left" w:pos="720" w:leader="none"/>
        </w:tabs>
        <w:spacing w:lineRule="exact" w:line="264" w:before="0" w:after="80"/>
        <w:ind w:hanging="360" w:start="720"/>
        <w:rPr/>
      </w:pPr>
      <w:r>
        <w:rPr>
          <w:rFonts w:eastAsia="Arial" w:cs="Arial"/>
          <w:sz w:val="21"/>
          <w:szCs w:val="21"/>
        </w:rPr>
        <w:t>b. Use confidential, two-way, real-time technology compliant with 42 CFR Part 2 and HIPAA.</w:t>
      </w:r>
    </w:p>
    <w:p>
      <w:pPr>
        <w:pStyle w:val="Normal"/>
        <w:tabs>
          <w:tab w:val="left" w:pos="720" w:leader="none"/>
        </w:tabs>
        <w:spacing w:lineRule="exact" w:line="264" w:before="0" w:after="80"/>
        <w:ind w:hanging="360" w:start="720"/>
        <w:rPr/>
      </w:pPr>
      <w:r>
        <w:rPr>
          <w:rFonts w:eastAsia="Arial" w:cs="Arial"/>
          <w:sz w:val="21"/>
          <w:szCs w:val="21"/>
        </w:rPr>
        <w:t>c. Document electronically delivered services in the client record and comply with professional telehealth rules.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Telehealth Service Policy &amp; Consent</w:t>
      </w:r>
    </w:p>
    <w:p>
      <w:pPr>
        <w:pStyle w:val="ListParagraph"/>
        <w:numPr>
          <w:ilvl w:val="0"/>
          <w:numId w:val="1"/>
        </w:numPr>
        <w:spacing w:lineRule="exact" w:line="264" w:before="0" w:after="60"/>
        <w:rPr/>
      </w:pPr>
      <w:r>
        <w:rPr>
          <w:rFonts w:eastAsia="Arial" w:cs="Arial"/>
          <w:sz w:val="21"/>
          <w:szCs w:val="21"/>
        </w:rPr>
        <w:t>Electronic Service Documentation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E</w:t>
      </w:r>
    </w:p>
    <w:p>
      <w:pPr>
        <w:pStyle w:val="Normal"/>
        <w:pBdr>
          <w:bottom w:val="single" w:sz="12" w:space="4" w:color="1A4731"/>
        </w:pBdr>
        <w:spacing w:before="0" w:after="240"/>
        <w:jc w:val="start"/>
        <w:rPr/>
      </w:pPr>
      <w:r>
        <w:rPr>
          <w:rFonts w:eastAsia="Arial" w:cs="Arial"/>
          <w:b/>
          <w:bCs/>
          <w:color w:val="222222"/>
          <w:sz w:val="40"/>
          <w:szCs w:val="40"/>
        </w:rPr>
        <w:t>Records, Medication &amp; Nutrition</w:t>
      </w:r>
    </w:p>
    <w:p>
      <w:pPr>
        <w:pStyle w:val="Normal"/>
        <w:spacing w:lineRule="exact" w:line="288" w:before="0" w:after="240"/>
        <w:rPr/>
      </w:pPr>
      <w:r>
        <w:rPr>
          <w:rFonts w:eastAsia="Arial" w:cs="Arial"/>
          <w:color w:val="444444"/>
          <w:sz w:val="22"/>
          <w:szCs w:val="22"/>
        </w:rPr>
        <w:t>This section governs information, medication, and daily-living supports — client records; incident reporting to HHSC; medication handling, administration and storage; food and nutrition; and client transportation.</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5.00  Client Records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5.01  Incident Reporting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5.02  Medication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5.03  Food &amp; Nutrition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5.04  Client Transportation</w:t>
      </w:r>
    </w:p>
    <w:p>
      <w:pPr>
        <w:pStyle w:val="Normal"/>
        <w:rPr/>
      </w:pPr>
      <w:r>
        <w:rPr/>
      </w:r>
      <w:r>
        <w:br w:type="page"/>
      </w:r>
    </w:p>
    <w:p>
      <w:pPr>
        <w:pStyle w:val="Heading2"/>
        <w:spacing w:before="0" w:after="120"/>
        <w:rPr/>
      </w:pPr>
      <w:r>
        <w:rPr>
          <w:rFonts w:eastAsia="Arial" w:cs="Arial" w:ascii="Arial" w:hAnsi="Arial"/>
          <w:b/>
          <w:bCs/>
          <w:color w:val="1A4731"/>
          <w:sz w:val="26"/>
          <w:szCs w:val="26"/>
        </w:rPr>
        <w:t>5.00  Client Records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5.00  Client Records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Records, Medication &amp; Nutrition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§§564.508, 564.9, 564.507</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a complete, accurate, secure record is established and maintained for each client, containing the content the rule requires.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client records and to everyone authorized to make or access entries.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establishes and maintains a client record for each client in accordance with 26 TAC §564.508 and the documentation standards in §§564.9 and 564.507. The record contains the documentation the rule requires, including identifying information, consents, the screening and assessment, the treatment plan and reviews, progress notes, documentation of services provided, medication documentation where applicable, and the discharge summary. Entries are accurate, legible, dated, and authenticated by the person making them; records are stored securely (in a locked location or a secure electronic system) and safeguarded against loss, tampering, and unauthorized access; and records are retained for the period Texas law and the rule require. Access to records follows the confidentiality policy and 42 CFR Part 2.</w:t>
      </w:r>
    </w:p>
    <w:p>
      <w:pPr>
        <w:pStyle w:val="Normal"/>
        <w:pBdr>
          <w:bottom w:val="single" w:sz="4" w:space="1" w:color="2E5E45"/>
        </w:pBdr>
        <w:spacing w:before="160" w:after="80"/>
        <w:rPr/>
      </w:pPr>
      <w:r>
        <w:rPr>
          <w:rFonts w:eastAsia="Arial" w:cs="Arial"/>
          <w:b/>
          <w:bCs/>
          <w:color w:val="1A4731"/>
          <w:sz w:val="20"/>
          <w:szCs w:val="20"/>
        </w:rPr>
        <w:t>PROCEDURE — MAINTAINING CLIENT RECORDS</w:t>
      </w:r>
    </w:p>
    <w:p>
      <w:pPr>
        <w:pStyle w:val="Normal"/>
        <w:tabs>
          <w:tab w:val="left" w:pos="720" w:leader="none"/>
        </w:tabs>
        <w:spacing w:lineRule="exact" w:line="264" w:before="0" w:after="80"/>
        <w:ind w:hanging="360" w:start="720"/>
        <w:rPr/>
      </w:pPr>
      <w:r>
        <w:rPr>
          <w:rFonts w:eastAsia="Arial" w:cs="Arial"/>
          <w:sz w:val="21"/>
          <w:szCs w:val="21"/>
        </w:rPr>
        <w:t>a. Establish a client record at admission and maintain all content §564.508 requires.</w:t>
      </w:r>
    </w:p>
    <w:p>
      <w:pPr>
        <w:pStyle w:val="Normal"/>
        <w:tabs>
          <w:tab w:val="left" w:pos="720" w:leader="none"/>
        </w:tabs>
        <w:spacing w:lineRule="exact" w:line="264" w:before="0" w:after="80"/>
        <w:ind w:hanging="360" w:start="720"/>
        <w:rPr/>
      </w:pPr>
      <w:r>
        <w:rPr>
          <w:rFonts w:eastAsia="Arial" w:cs="Arial"/>
          <w:sz w:val="21"/>
          <w:szCs w:val="21"/>
        </w:rPr>
        <w:t>b. Ensure entries are accurate, legible, dated, and authenticated, and store records securely.</w:t>
      </w:r>
    </w:p>
    <w:p>
      <w:pPr>
        <w:pStyle w:val="Normal"/>
        <w:tabs>
          <w:tab w:val="left" w:pos="720" w:leader="none"/>
        </w:tabs>
        <w:spacing w:lineRule="exact" w:line="264" w:before="0" w:after="80"/>
        <w:ind w:hanging="360" w:start="720"/>
        <w:rPr/>
      </w:pPr>
      <w:r>
        <w:rPr>
          <w:rFonts w:eastAsia="Arial" w:cs="Arial"/>
          <w:sz w:val="21"/>
          <w:szCs w:val="21"/>
        </w:rPr>
        <w:t>c. Retain records for the required period and control access consistent with 42 CFR Part 2.</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Client Record Index / Chart Order</w:t>
      </w:r>
    </w:p>
    <w:p>
      <w:pPr>
        <w:pStyle w:val="ListParagraph"/>
        <w:numPr>
          <w:ilvl w:val="0"/>
          <w:numId w:val="1"/>
        </w:numPr>
        <w:spacing w:lineRule="exact" w:line="264" w:before="0" w:after="60"/>
        <w:rPr/>
      </w:pPr>
      <w:r>
        <w:rPr>
          <w:rFonts w:eastAsia="Arial" w:cs="Arial"/>
          <w:sz w:val="21"/>
          <w:szCs w:val="21"/>
        </w:rPr>
        <w:t>Record Retention &amp; Destruction Schedule</w:t>
      </w:r>
    </w:p>
    <w:p>
      <w:pPr>
        <w:pStyle w:val="ListParagraph"/>
        <w:numPr>
          <w:ilvl w:val="0"/>
          <w:numId w:val="1"/>
        </w:numPr>
        <w:spacing w:lineRule="exact" w:line="264" w:before="0" w:after="60"/>
        <w:rPr/>
      </w:pPr>
      <w:r>
        <w:rPr>
          <w:rFonts w:eastAsia="Arial" w:cs="Arial"/>
          <w:sz w:val="21"/>
          <w:szCs w:val="21"/>
        </w:rPr>
        <w:t>Record Access &amp; Authorization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5.01  Incident Reporting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5.01  Incident Reporting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Records, Medication &amp; Nutrition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§564.509</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incidents are identified, responded to, reported to HHSC where required, and used to improve safety.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reportable incidents affecting clients, staff, or the facility.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identifies, responds to, documents, and reports incidents in accordance with 26 TAC §564.509, including reporting to HHSC and other authorities within the required timeframes for the categories the rule specifies (such as client death, serious injury, alleged abuse, neglect or exploitation, and other significant events). The facility reviews incidents through quality management to identify contributing factors, implements corrective action, and verifies effectiveness. Incident documentation is retained and coordinated with abuse-reporting obligations.</w:t>
      </w:r>
    </w:p>
    <w:p>
      <w:pPr>
        <w:pStyle w:val="Normal"/>
        <w:pBdr>
          <w:bottom w:val="single" w:sz="4" w:space="1" w:color="2E5E45"/>
        </w:pBdr>
        <w:spacing w:before="160" w:after="80"/>
        <w:rPr/>
      </w:pPr>
      <w:r>
        <w:rPr>
          <w:rFonts w:eastAsia="Arial" w:cs="Arial"/>
          <w:b/>
          <w:bCs/>
          <w:color w:val="1A4731"/>
          <w:sz w:val="20"/>
          <w:szCs w:val="20"/>
        </w:rPr>
        <w:t>PROCEDURE — INCIDENT REPORTING &amp; REVIEW</w:t>
      </w:r>
    </w:p>
    <w:p>
      <w:pPr>
        <w:pStyle w:val="Normal"/>
        <w:tabs>
          <w:tab w:val="left" w:pos="720" w:leader="none"/>
        </w:tabs>
        <w:spacing w:lineRule="exact" w:line="264" w:before="0" w:after="80"/>
        <w:ind w:hanging="360" w:start="720"/>
        <w:rPr/>
      </w:pPr>
      <w:r>
        <w:rPr>
          <w:rFonts w:eastAsia="Arial" w:cs="Arial"/>
          <w:sz w:val="21"/>
          <w:szCs w:val="21"/>
        </w:rPr>
        <w:t>a. Identify and document reportable incidents and report them to HHSC and other authorities within required timeframes.</w:t>
      </w:r>
    </w:p>
    <w:p>
      <w:pPr>
        <w:pStyle w:val="Normal"/>
        <w:tabs>
          <w:tab w:val="left" w:pos="720" w:leader="none"/>
        </w:tabs>
        <w:spacing w:lineRule="exact" w:line="264" w:before="0" w:after="80"/>
        <w:ind w:hanging="360" w:start="720"/>
        <w:rPr/>
      </w:pPr>
      <w:r>
        <w:rPr>
          <w:rFonts w:eastAsia="Arial" w:cs="Arial"/>
          <w:sz w:val="21"/>
          <w:szCs w:val="21"/>
        </w:rPr>
        <w:t>b. Respond to protect client safety and coordinate with abuse-reporting obligations.</w:t>
      </w:r>
    </w:p>
    <w:p>
      <w:pPr>
        <w:pStyle w:val="Normal"/>
        <w:tabs>
          <w:tab w:val="left" w:pos="720" w:leader="none"/>
        </w:tabs>
        <w:spacing w:lineRule="exact" w:line="264" w:before="0" w:after="80"/>
        <w:ind w:hanging="360" w:start="720"/>
        <w:rPr/>
      </w:pPr>
      <w:r>
        <w:rPr>
          <w:rFonts w:eastAsia="Arial" w:cs="Arial"/>
          <w:sz w:val="21"/>
          <w:szCs w:val="21"/>
        </w:rPr>
        <w:t>c. Review incidents through quality management, implement corrective action, and verify effectiveness.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Incident Report</w:t>
      </w:r>
    </w:p>
    <w:p>
      <w:pPr>
        <w:pStyle w:val="ListParagraph"/>
        <w:numPr>
          <w:ilvl w:val="0"/>
          <w:numId w:val="1"/>
        </w:numPr>
        <w:spacing w:lineRule="exact" w:line="264" w:before="0" w:after="60"/>
        <w:rPr/>
      </w:pPr>
      <w:r>
        <w:rPr>
          <w:rFonts w:eastAsia="Arial" w:cs="Arial"/>
          <w:sz w:val="21"/>
          <w:szCs w:val="21"/>
        </w:rPr>
        <w:t>Incident Review &amp; Corrective Action Record</w:t>
      </w:r>
    </w:p>
    <w:p>
      <w:pPr>
        <w:pStyle w:val="ListParagraph"/>
        <w:numPr>
          <w:ilvl w:val="0"/>
          <w:numId w:val="1"/>
        </w:numPr>
        <w:spacing w:lineRule="exact" w:line="264" w:before="0" w:after="60"/>
        <w:rPr/>
      </w:pPr>
      <w:r>
        <w:rPr>
          <w:rFonts w:eastAsia="Arial" w:cs="Arial"/>
          <w:sz w:val="21"/>
          <w:szCs w:val="21"/>
        </w:rPr>
        <w:t>HHSC Notification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5.02  Medication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5.02  Medication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Records, Medication &amp; Nutrition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§§564.1001–564.1004</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medication is handled, stored, administered, and documented safely and lawfully.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wherever the facility handles, stores, administers, or supervises medication.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handles medication in accordance with 26 TAC §§564.1001–564.1004 and applicable state and federal law. Prescription medication is legally prescribed and labeled for the client for whom it is intended, stored securely in a locked location with controlled substances subject to additional controls, and administered only by personnel authorized by law to administer medication and in accordance with the prescriber's orders. Where clients self-administer, staff supervision of self-administration is provided by trained personnel and documented. The facility maintains a medication record documenting medication handled, administered, or supervised, including date, time, and dosage, and addresses medication errors and adverse reactions. Where a service such as detoxification requires a medical director, medication practices are overseen accordingly.</w:t>
      </w:r>
    </w:p>
    <w:p>
      <w:pPr>
        <w:pStyle w:val="Normal"/>
        <w:pBdr>
          <w:bottom w:val="single" w:sz="4" w:space="1" w:color="2E5E45"/>
        </w:pBdr>
        <w:spacing w:before="160" w:after="80"/>
        <w:rPr/>
      </w:pPr>
      <w:r>
        <w:rPr>
          <w:rFonts w:eastAsia="Arial" w:cs="Arial"/>
          <w:b/>
          <w:bCs/>
          <w:color w:val="1A4731"/>
          <w:sz w:val="20"/>
          <w:szCs w:val="20"/>
        </w:rPr>
        <w:t>PROCEDURE — MEDICATION HANDLING</w:t>
      </w:r>
    </w:p>
    <w:p>
      <w:pPr>
        <w:pStyle w:val="Normal"/>
        <w:tabs>
          <w:tab w:val="left" w:pos="720" w:leader="none"/>
        </w:tabs>
        <w:spacing w:lineRule="exact" w:line="264" w:before="0" w:after="80"/>
        <w:ind w:hanging="360" w:start="720"/>
        <w:rPr/>
      </w:pPr>
      <w:r>
        <w:rPr>
          <w:rFonts w:eastAsia="Arial" w:cs="Arial"/>
          <w:sz w:val="21"/>
          <w:szCs w:val="21"/>
        </w:rPr>
        <w:t>a. Store medication securely with additional controls for controlled substances, and keep only legally prescribed, properly labeled medication.</w:t>
      </w:r>
    </w:p>
    <w:p>
      <w:pPr>
        <w:pStyle w:val="Normal"/>
        <w:tabs>
          <w:tab w:val="left" w:pos="720" w:leader="none"/>
        </w:tabs>
        <w:spacing w:lineRule="exact" w:line="264" w:before="0" w:after="80"/>
        <w:ind w:hanging="360" w:start="720"/>
        <w:rPr/>
      </w:pPr>
      <w:r>
        <w:rPr>
          <w:rFonts w:eastAsia="Arial" w:cs="Arial"/>
          <w:sz w:val="21"/>
          <w:szCs w:val="21"/>
        </w:rPr>
        <w:t>b. Administer medication only through authorized personnel per the prescriber's orders, and document supervision of self-administration by trained staff.</w:t>
      </w:r>
    </w:p>
    <w:p>
      <w:pPr>
        <w:pStyle w:val="Normal"/>
        <w:tabs>
          <w:tab w:val="left" w:pos="720" w:leader="none"/>
        </w:tabs>
        <w:spacing w:lineRule="exact" w:line="264" w:before="0" w:after="80"/>
        <w:ind w:hanging="360" w:start="720"/>
        <w:rPr/>
      </w:pPr>
      <w:r>
        <w:rPr>
          <w:rFonts w:eastAsia="Arial" w:cs="Arial"/>
          <w:sz w:val="21"/>
          <w:szCs w:val="21"/>
        </w:rPr>
        <w:t>c. Maintain a medication record and address medication errors and adverse reactions.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Medication Administration / Supervision Record</w:t>
      </w:r>
    </w:p>
    <w:p>
      <w:pPr>
        <w:pStyle w:val="ListParagraph"/>
        <w:numPr>
          <w:ilvl w:val="0"/>
          <w:numId w:val="1"/>
        </w:numPr>
        <w:spacing w:lineRule="exact" w:line="264" w:before="0" w:after="60"/>
        <w:rPr/>
      </w:pPr>
      <w:r>
        <w:rPr>
          <w:rFonts w:eastAsia="Arial" w:cs="Arial"/>
          <w:sz w:val="21"/>
          <w:szCs w:val="21"/>
        </w:rPr>
        <w:t>Controlled-Substance Storage &amp; Inventory Log</w:t>
      </w:r>
    </w:p>
    <w:p>
      <w:pPr>
        <w:pStyle w:val="ListParagraph"/>
        <w:numPr>
          <w:ilvl w:val="0"/>
          <w:numId w:val="1"/>
        </w:numPr>
        <w:spacing w:lineRule="exact" w:line="264" w:before="0" w:after="60"/>
        <w:rPr/>
      </w:pPr>
      <w:r>
        <w:rPr>
          <w:rFonts w:eastAsia="Arial" w:cs="Arial"/>
          <w:sz w:val="21"/>
          <w:szCs w:val="21"/>
        </w:rPr>
        <w:t>Medication Error / Adverse Reaction Report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5.03  Food &amp; Nutrition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5.03  Food &amp; Nutrition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Records, Medication &amp; Nutrition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§§564.1101–564.1104</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residential clients receive safe, adequate, and nutritious food prepared and served under sanitary conditions.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facilities that provide food service, principally residential and detoxification services.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 facility that provides food service does so in accordance with 26 TAC §§564.1101–564.1104 and applicable food-safety law. Clients are provided meals that meet their nutritional needs, with reasonable accommodation of special dietary needs, and food is never withheld for disciplinary reasons. Food is purchased, stored, prepared, and served under sanitary conditions by staff who follow safe food-handling practices, and where food service is contracted, the contract and required inspections are maintained. Menus are planned and, where the rule requires, reviewed for nutritional adequacy.</w:t>
      </w:r>
    </w:p>
    <w:p>
      <w:pPr>
        <w:pStyle w:val="Normal"/>
        <w:pBdr>
          <w:bottom w:val="single" w:sz="4" w:space="1" w:color="2E5E45"/>
        </w:pBdr>
        <w:spacing w:before="160" w:after="80"/>
        <w:rPr/>
      </w:pPr>
      <w:r>
        <w:rPr>
          <w:rFonts w:eastAsia="Arial" w:cs="Arial"/>
          <w:b/>
          <w:bCs/>
          <w:color w:val="1A4731"/>
          <w:sz w:val="20"/>
          <w:szCs w:val="20"/>
        </w:rPr>
        <w:t>PROCEDURE — FOOD &amp; NUTRITION</w:t>
      </w:r>
    </w:p>
    <w:p>
      <w:pPr>
        <w:pStyle w:val="Normal"/>
        <w:tabs>
          <w:tab w:val="left" w:pos="720" w:leader="none"/>
        </w:tabs>
        <w:spacing w:lineRule="exact" w:line="264" w:before="0" w:after="80"/>
        <w:ind w:hanging="360" w:start="720"/>
        <w:rPr/>
      </w:pPr>
      <w:r>
        <w:rPr>
          <w:rFonts w:eastAsia="Arial" w:cs="Arial"/>
          <w:sz w:val="21"/>
          <w:szCs w:val="21"/>
        </w:rPr>
        <w:t>a. Provide nutritionally adequate meals with reasonable accommodation of special diets and never withhold food as discipline.</w:t>
      </w:r>
    </w:p>
    <w:p>
      <w:pPr>
        <w:pStyle w:val="Normal"/>
        <w:tabs>
          <w:tab w:val="left" w:pos="720" w:leader="none"/>
        </w:tabs>
        <w:spacing w:lineRule="exact" w:line="264" w:before="0" w:after="80"/>
        <w:ind w:hanging="360" w:start="720"/>
        <w:rPr/>
      </w:pPr>
      <w:r>
        <w:rPr>
          <w:rFonts w:eastAsia="Arial" w:cs="Arial"/>
          <w:sz w:val="21"/>
          <w:szCs w:val="21"/>
        </w:rPr>
        <w:t>b. Store, prepare, and serve food under sanitary conditions with safe food-handling practices.</w:t>
      </w:r>
    </w:p>
    <w:p>
      <w:pPr>
        <w:pStyle w:val="Normal"/>
        <w:tabs>
          <w:tab w:val="left" w:pos="720" w:leader="none"/>
        </w:tabs>
        <w:spacing w:lineRule="exact" w:line="264" w:before="0" w:after="80"/>
        <w:ind w:hanging="360" w:start="720"/>
        <w:rPr/>
      </w:pPr>
      <w:r>
        <w:rPr>
          <w:rFonts w:eastAsia="Arial" w:cs="Arial"/>
          <w:sz w:val="21"/>
          <w:szCs w:val="21"/>
        </w:rPr>
        <w:t>c. Maintain menus and, where contracted, the food-service contract and inspections.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Menu &amp; Nutrition Plan</w:t>
      </w:r>
    </w:p>
    <w:p>
      <w:pPr>
        <w:pStyle w:val="ListParagraph"/>
        <w:numPr>
          <w:ilvl w:val="0"/>
          <w:numId w:val="1"/>
        </w:numPr>
        <w:spacing w:lineRule="exact" w:line="264" w:before="0" w:after="60"/>
        <w:rPr/>
      </w:pPr>
      <w:r>
        <w:rPr>
          <w:rFonts w:eastAsia="Arial" w:cs="Arial"/>
          <w:sz w:val="21"/>
          <w:szCs w:val="21"/>
        </w:rPr>
        <w:t>Food-Service Sanitation Log</w:t>
      </w:r>
    </w:p>
    <w:p>
      <w:pPr>
        <w:pStyle w:val="ListParagraph"/>
        <w:numPr>
          <w:ilvl w:val="0"/>
          <w:numId w:val="1"/>
        </w:numPr>
        <w:spacing w:lineRule="exact" w:line="264" w:before="0" w:after="60"/>
        <w:rPr/>
      </w:pPr>
      <w:r>
        <w:rPr>
          <w:rFonts w:eastAsia="Arial" w:cs="Arial"/>
          <w:sz w:val="21"/>
          <w:szCs w:val="21"/>
        </w:rPr>
        <w:t>Food-Service Contract &amp; Inspection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5.04  Client Transportation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5.04  Client Transportation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Records, Medication &amp; Nutrition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§564.510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any client transportation the facility provides or arranges is safe and lawful.</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wherever the facility provides or arranges transportation for clients.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Where the facility provides or arranges client transportation, it does so in accordance with 26 TAC §564.510, using properly licensed and insured drivers and vehicles, maintaining vehicles in safe condition, and protecting client safety and confidentiality during transport. Transportation arrangements are documented as the facility's policy requires.</w:t>
      </w:r>
    </w:p>
    <w:p>
      <w:pPr>
        <w:pStyle w:val="Normal"/>
        <w:pBdr>
          <w:bottom w:val="single" w:sz="4" w:space="1" w:color="2E5E45"/>
        </w:pBdr>
        <w:spacing w:before="160" w:after="80"/>
        <w:rPr/>
      </w:pPr>
      <w:r>
        <w:rPr>
          <w:rFonts w:eastAsia="Arial" w:cs="Arial"/>
          <w:b/>
          <w:bCs/>
          <w:color w:val="1A4731"/>
          <w:sz w:val="20"/>
          <w:szCs w:val="20"/>
        </w:rPr>
        <w:t>PROCEDURE — TRANSPORTATION</w:t>
      </w:r>
    </w:p>
    <w:p>
      <w:pPr>
        <w:pStyle w:val="Normal"/>
        <w:tabs>
          <w:tab w:val="left" w:pos="720" w:leader="none"/>
        </w:tabs>
        <w:spacing w:lineRule="exact" w:line="264" w:before="0" w:after="80"/>
        <w:ind w:hanging="360" w:start="720"/>
        <w:rPr/>
      </w:pPr>
      <w:r>
        <w:rPr>
          <w:rFonts w:eastAsia="Arial" w:cs="Arial"/>
          <w:sz w:val="21"/>
          <w:szCs w:val="21"/>
        </w:rPr>
        <w:t>a. Use properly licensed and insured drivers and vehicles and maintain vehicles in safe condition.</w:t>
      </w:r>
    </w:p>
    <w:p>
      <w:pPr>
        <w:pStyle w:val="Normal"/>
        <w:tabs>
          <w:tab w:val="left" w:pos="720" w:leader="none"/>
        </w:tabs>
        <w:spacing w:lineRule="exact" w:line="264" w:before="0" w:after="80"/>
        <w:ind w:hanging="360" w:start="720"/>
        <w:rPr/>
      </w:pPr>
      <w:r>
        <w:rPr>
          <w:rFonts w:eastAsia="Arial" w:cs="Arial"/>
          <w:sz w:val="21"/>
          <w:szCs w:val="21"/>
        </w:rPr>
        <w:t>b. Protect client safety and confidentiality during transport.</w:t>
      </w:r>
    </w:p>
    <w:p>
      <w:pPr>
        <w:pStyle w:val="Normal"/>
        <w:tabs>
          <w:tab w:val="left" w:pos="720" w:leader="none"/>
        </w:tabs>
        <w:spacing w:lineRule="exact" w:line="264" w:before="0" w:after="80"/>
        <w:ind w:hanging="360" w:start="720"/>
        <w:rPr/>
      </w:pPr>
      <w:r>
        <w:rPr>
          <w:rFonts w:eastAsia="Arial" w:cs="Arial"/>
          <w:sz w:val="21"/>
          <w:szCs w:val="21"/>
        </w:rPr>
        <w:t>c. Document transportation arrangements as required.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Vehicle &amp; Driver Records</w:t>
      </w:r>
    </w:p>
    <w:p>
      <w:pPr>
        <w:pStyle w:val="ListParagraph"/>
        <w:numPr>
          <w:ilvl w:val="0"/>
          <w:numId w:val="1"/>
        </w:numPr>
        <w:spacing w:lineRule="exact" w:line="264" w:before="0" w:after="60"/>
        <w:rPr/>
      </w:pPr>
      <w:r>
        <w:rPr>
          <w:rFonts w:eastAsia="Arial" w:cs="Arial"/>
          <w:sz w:val="21"/>
          <w:szCs w:val="21"/>
        </w:rPr>
        <w:t>Transportation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F</w:t>
      </w:r>
    </w:p>
    <w:p>
      <w:pPr>
        <w:pStyle w:val="Normal"/>
        <w:pBdr>
          <w:bottom w:val="single" w:sz="12" w:space="4" w:color="1A4731"/>
        </w:pBdr>
        <w:spacing w:before="0" w:after="240"/>
        <w:jc w:val="start"/>
        <w:rPr/>
      </w:pPr>
      <w:r>
        <w:rPr>
          <w:rFonts w:eastAsia="Arial" w:cs="Arial"/>
          <w:b/>
          <w:bCs/>
          <w:color w:val="222222"/>
          <w:sz w:val="40"/>
          <w:szCs w:val="40"/>
        </w:rPr>
        <w:t>Facility, Environment &amp; Safety</w:t>
      </w:r>
    </w:p>
    <w:p>
      <w:pPr>
        <w:pStyle w:val="Normal"/>
        <w:spacing w:lineRule="exact" w:line="288" w:before="0" w:after="240"/>
        <w:rPr/>
      </w:pPr>
      <w:r>
        <w:rPr>
          <w:rFonts w:eastAsia="Arial" w:cs="Arial"/>
          <w:color w:val="444444"/>
          <w:sz w:val="22"/>
          <w:szCs w:val="22"/>
        </w:rPr>
        <w:t>This section keeps the setting safe and compliant — the general environment and required postings; residential physical-plant requirements; emergency preparedness and evacuation; and facility inspections and life-safety compliance.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6.00  General Environment &amp; Required Postings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6.01  Residential Physical Plant Requirements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6.02  Emergency Preparedness &amp; Evacuation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6.03  Facility Inspections &amp; Life-Safety Compliance</w:t>
      </w:r>
    </w:p>
    <w:p>
      <w:pPr>
        <w:pStyle w:val="Normal"/>
        <w:rPr/>
      </w:pPr>
      <w:r>
        <w:rPr/>
      </w:r>
      <w:r>
        <w:br w:type="page"/>
      </w:r>
    </w:p>
    <w:p>
      <w:pPr>
        <w:pStyle w:val="Heading2"/>
        <w:spacing w:before="0" w:after="120"/>
        <w:rPr/>
      </w:pPr>
      <w:r>
        <w:rPr>
          <w:rFonts w:eastAsia="Arial" w:cs="Arial" w:ascii="Arial" w:hAnsi="Arial"/>
          <w:b/>
          <w:bCs/>
          <w:color w:val="1A4731"/>
          <w:sz w:val="26"/>
          <w:szCs w:val="26"/>
        </w:rPr>
        <w:t>6.00  General Environment &amp; Required Postings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6.00  General Environment &amp; Required Postings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Facility, Environment &amp; Safety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§§564.505, 564.14, 564.506</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provides a safe, clean, and appropriate treatment environment and displays required postings.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premises where services are provided.</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a general environment that is safe, clean, sanitary, and appropriate for the services provided, in accordance with 26 TAC §§564.505 and 564.14, including adequate space for counseling and treatment, private space for confidential services, and secure storage for records and medication. The facility displays the postings required by §564.506, including the license, client rights, and complaint and abuse-reporting information, conspicuously and in appropriate languages. Environmental deficiencies are identified through rounds and corrected promptly.</w:t>
      </w:r>
    </w:p>
    <w:p>
      <w:pPr>
        <w:pStyle w:val="Normal"/>
        <w:pBdr>
          <w:bottom w:val="single" w:sz="4" w:space="1" w:color="2E5E45"/>
        </w:pBdr>
        <w:spacing w:before="160" w:after="80"/>
        <w:rPr/>
      </w:pPr>
      <w:r>
        <w:rPr>
          <w:rFonts w:eastAsia="Arial" w:cs="Arial"/>
          <w:b/>
          <w:bCs/>
          <w:color w:val="1A4731"/>
          <w:sz w:val="20"/>
          <w:szCs w:val="20"/>
        </w:rPr>
        <w:t>PROCEDURE — ENVIRONMENT &amp; POSTINGS</w:t>
      </w:r>
    </w:p>
    <w:p>
      <w:pPr>
        <w:pStyle w:val="Normal"/>
        <w:tabs>
          <w:tab w:val="left" w:pos="720" w:leader="none"/>
        </w:tabs>
        <w:spacing w:lineRule="exact" w:line="264" w:before="0" w:after="80"/>
        <w:ind w:hanging="360" w:start="720"/>
        <w:rPr/>
      </w:pPr>
      <w:r>
        <w:rPr>
          <w:rFonts w:eastAsia="Arial" w:cs="Arial"/>
          <w:sz w:val="21"/>
          <w:szCs w:val="21"/>
        </w:rPr>
        <w:t>a. Maintain safe, clean, sanitary premises with adequate and private space for services and secure storage.</w:t>
      </w:r>
    </w:p>
    <w:p>
      <w:pPr>
        <w:pStyle w:val="Normal"/>
        <w:tabs>
          <w:tab w:val="left" w:pos="720" w:leader="none"/>
        </w:tabs>
        <w:spacing w:lineRule="exact" w:line="264" w:before="0" w:after="80"/>
        <w:ind w:hanging="360" w:start="720"/>
        <w:rPr/>
      </w:pPr>
      <w:r>
        <w:rPr>
          <w:rFonts w:eastAsia="Arial" w:cs="Arial"/>
          <w:sz w:val="21"/>
          <w:szCs w:val="21"/>
        </w:rPr>
        <w:t>b. Display required postings conspicuously and in appropriate languages.</w:t>
      </w:r>
    </w:p>
    <w:p>
      <w:pPr>
        <w:pStyle w:val="Normal"/>
        <w:tabs>
          <w:tab w:val="left" w:pos="720" w:leader="none"/>
        </w:tabs>
        <w:spacing w:lineRule="exact" w:line="264" w:before="0" w:after="80"/>
        <w:ind w:hanging="360" w:start="720"/>
        <w:rPr/>
      </w:pPr>
      <w:r>
        <w:rPr>
          <w:rFonts w:eastAsia="Arial" w:cs="Arial"/>
          <w:sz w:val="21"/>
          <w:szCs w:val="21"/>
        </w:rPr>
        <w:t>c. Conduct environmental rounds and correct deficiencies promptly.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Environmental Rounds Checklist</w:t>
      </w:r>
    </w:p>
    <w:p>
      <w:pPr>
        <w:pStyle w:val="ListParagraph"/>
        <w:numPr>
          <w:ilvl w:val="0"/>
          <w:numId w:val="1"/>
        </w:numPr>
        <w:spacing w:lineRule="exact" w:line="264" w:before="0" w:after="60"/>
        <w:rPr/>
      </w:pPr>
      <w:r>
        <w:rPr>
          <w:rFonts w:eastAsia="Arial" w:cs="Arial"/>
          <w:sz w:val="21"/>
          <w:szCs w:val="21"/>
        </w:rPr>
        <w:t>Required Postings Checklist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6.01  Residential Physical Plant Requirements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6.01  Residential Physical Plant Requirements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Facility, Environment &amp; Safety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§§564.1201–564.1207</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a residential facility's physical plant meets the space, safety, and sanitation requirements the rule specifies.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facilities that provide residential or detoxification services with overnight beds.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 facility that provides residential services meets the physical-plant requirements of 26 TAC §§564.1201–564.1207, including required inspections and certifications submitted with licensure: an alarm-system inspection approved by the fire marshal or an authorized inspector; a kitchen inspection approved by the local health authority or HHSC; a gas-pipe pressure test approved by the local gas company or a licensed plumber; inspection and maintenance of fire extinguishers by qualified personnel; and a fire-alarm installation certificate reflecting installation by agents registered with the State fire marshal. The facility maintains a floor plan indicating the total square footage of each room and the number and type of beds per sleeping room, provides adequate and safe sleeping, living, dining, and bathing space, and keeps the physical plant in safe, sanitary repair. Where the facility provides a detoxification program, the additional facility information the rule requires (including the medical director) is provided.</w:t>
      </w:r>
    </w:p>
    <w:p>
      <w:pPr>
        <w:pStyle w:val="Normal"/>
        <w:pBdr>
          <w:bottom w:val="single" w:sz="4" w:space="1" w:color="2E5E45"/>
        </w:pBdr>
        <w:spacing w:before="160" w:after="80"/>
        <w:rPr/>
      </w:pPr>
      <w:r>
        <w:rPr>
          <w:rFonts w:eastAsia="Arial" w:cs="Arial"/>
          <w:b/>
          <w:bCs/>
          <w:color w:val="1A4731"/>
          <w:sz w:val="20"/>
          <w:szCs w:val="20"/>
        </w:rPr>
        <w:t>PROCEDURE — PHYSICAL PLANT</w:t>
      </w:r>
    </w:p>
    <w:p>
      <w:pPr>
        <w:pStyle w:val="Normal"/>
        <w:tabs>
          <w:tab w:val="left" w:pos="720" w:leader="none"/>
        </w:tabs>
        <w:spacing w:lineRule="exact" w:line="264" w:before="0" w:after="80"/>
        <w:ind w:hanging="360" w:start="720"/>
        <w:rPr/>
      </w:pPr>
      <w:r>
        <w:rPr>
          <w:rFonts w:eastAsia="Arial" w:cs="Arial"/>
          <w:sz w:val="21"/>
          <w:szCs w:val="21"/>
        </w:rPr>
        <w:t>a. Obtain and maintain the required inspections and certifications (alarm system, kitchen, gas pressure, fire extinguishers, fire-alarm installation).</w:t>
      </w:r>
    </w:p>
    <w:p>
      <w:pPr>
        <w:pStyle w:val="Normal"/>
        <w:tabs>
          <w:tab w:val="left" w:pos="720" w:leader="none"/>
        </w:tabs>
        <w:spacing w:lineRule="exact" w:line="264" w:before="0" w:after="80"/>
        <w:ind w:hanging="360" w:start="720"/>
        <w:rPr/>
      </w:pPr>
      <w:r>
        <w:rPr>
          <w:rFonts w:eastAsia="Arial" w:cs="Arial"/>
          <w:sz w:val="21"/>
          <w:szCs w:val="21"/>
        </w:rPr>
        <w:t>b. Maintain a floor plan showing room square footage and beds and provide adequate, safe living and sleeping space.</w:t>
      </w:r>
    </w:p>
    <w:p>
      <w:pPr>
        <w:pStyle w:val="Normal"/>
        <w:tabs>
          <w:tab w:val="left" w:pos="720" w:leader="none"/>
        </w:tabs>
        <w:spacing w:lineRule="exact" w:line="264" w:before="0" w:after="80"/>
        <w:ind w:hanging="360" w:start="720"/>
        <w:rPr/>
      </w:pPr>
      <w:r>
        <w:rPr>
          <w:rFonts w:eastAsia="Arial" w:cs="Arial"/>
          <w:sz w:val="21"/>
          <w:szCs w:val="21"/>
        </w:rPr>
        <w:t>c. Keep the physical plant in safe, sanitary repair and provide detoxification-specific facility information where applicable.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Facility Floor Plan</w:t>
      </w:r>
    </w:p>
    <w:p>
      <w:pPr>
        <w:pStyle w:val="ListParagraph"/>
        <w:numPr>
          <w:ilvl w:val="0"/>
          <w:numId w:val="1"/>
        </w:numPr>
        <w:spacing w:lineRule="exact" w:line="264" w:before="0" w:after="60"/>
        <w:rPr/>
      </w:pPr>
      <w:r>
        <w:rPr>
          <w:rFonts w:eastAsia="Arial" w:cs="Arial"/>
          <w:sz w:val="21"/>
          <w:szCs w:val="21"/>
        </w:rPr>
        <w:t>Inspection &amp; Certification File (alarm, kitchen, gas, extinguishers)</w:t>
      </w:r>
    </w:p>
    <w:p>
      <w:pPr>
        <w:pStyle w:val="ListParagraph"/>
        <w:numPr>
          <w:ilvl w:val="0"/>
          <w:numId w:val="1"/>
        </w:numPr>
        <w:spacing w:lineRule="exact" w:line="264" w:before="0" w:after="60"/>
        <w:rPr/>
      </w:pPr>
      <w:r>
        <w:rPr>
          <w:rFonts w:eastAsia="Arial" w:cs="Arial"/>
          <w:sz w:val="21"/>
          <w:szCs w:val="21"/>
        </w:rPr>
        <w:t>Physical-Plant Maintenance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6.02  Emergency Preparedness &amp; Evacuation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6.02  Emergency Preparedness &amp; Evacuation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Facility, Environment &amp; Safety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§564.1203</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is prepared for emergencies and can evacuate clients and staff safely.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emergency preparedness and evacuation at all premises.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a written emergency evacuation plan in accordance with 26 TAC §564.1203, posts evacuation routes and exit signage, and ensures multiple clear exits as the physical-plant rules require. Staff and, for residential programs, clients are trained on the plan, and the facility conducts drills (including fire drills for residential programs) on the schedule the rule and sound practice require, documenting them. The facility maintains first-aid supplies, procedures for medical and behavioral emergencies, and arrangements with emergency services as needed.</w:t>
      </w:r>
    </w:p>
    <w:p>
      <w:pPr>
        <w:pStyle w:val="Normal"/>
        <w:pBdr>
          <w:bottom w:val="single" w:sz="4" w:space="1" w:color="2E5E45"/>
        </w:pBdr>
        <w:spacing w:before="160" w:after="80"/>
        <w:rPr/>
      </w:pPr>
      <w:r>
        <w:rPr>
          <w:rFonts w:eastAsia="Arial" w:cs="Arial"/>
          <w:b/>
          <w:bCs/>
          <w:color w:val="1A4731"/>
          <w:sz w:val="20"/>
          <w:szCs w:val="20"/>
        </w:rPr>
        <w:t>PROCEDURE — EMERGENCY PREPAREDNESS</w:t>
      </w:r>
    </w:p>
    <w:p>
      <w:pPr>
        <w:pStyle w:val="Normal"/>
        <w:tabs>
          <w:tab w:val="left" w:pos="720" w:leader="none"/>
        </w:tabs>
        <w:spacing w:lineRule="exact" w:line="264" w:before="0" w:after="80"/>
        <w:ind w:hanging="360" w:start="720"/>
        <w:rPr/>
      </w:pPr>
      <w:r>
        <w:rPr>
          <w:rFonts w:eastAsia="Arial" w:cs="Arial"/>
          <w:sz w:val="21"/>
          <w:szCs w:val="21"/>
        </w:rPr>
        <w:t>a. Maintain a written emergency evacuation plan with posted routes and signage and multiple clear exits.</w:t>
      </w:r>
    </w:p>
    <w:p>
      <w:pPr>
        <w:pStyle w:val="Normal"/>
        <w:tabs>
          <w:tab w:val="left" w:pos="720" w:leader="none"/>
        </w:tabs>
        <w:spacing w:lineRule="exact" w:line="264" w:before="0" w:after="80"/>
        <w:ind w:hanging="360" w:start="720"/>
        <w:rPr/>
      </w:pPr>
      <w:r>
        <w:rPr>
          <w:rFonts w:eastAsia="Arial" w:cs="Arial"/>
          <w:sz w:val="21"/>
          <w:szCs w:val="21"/>
        </w:rPr>
        <w:t>b. Train staff and residential clients on the plan and conduct and document drills, including fire drills for residential programs.</w:t>
      </w:r>
    </w:p>
    <w:p>
      <w:pPr>
        <w:pStyle w:val="Normal"/>
        <w:tabs>
          <w:tab w:val="left" w:pos="720" w:leader="none"/>
        </w:tabs>
        <w:spacing w:lineRule="exact" w:line="264" w:before="0" w:after="80"/>
        <w:ind w:hanging="360" w:start="720"/>
        <w:rPr/>
      </w:pPr>
      <w:r>
        <w:rPr>
          <w:rFonts w:eastAsia="Arial" w:cs="Arial"/>
          <w:sz w:val="21"/>
          <w:szCs w:val="21"/>
        </w:rPr>
        <w:t>c. Maintain first-aid supplies and procedures for medical and behavioral emergencies.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Emergency Evacuation Plan</w:t>
      </w:r>
    </w:p>
    <w:p>
      <w:pPr>
        <w:pStyle w:val="ListParagraph"/>
        <w:numPr>
          <w:ilvl w:val="0"/>
          <w:numId w:val="1"/>
        </w:numPr>
        <w:spacing w:lineRule="exact" w:line="264" w:before="0" w:after="60"/>
        <w:rPr/>
      </w:pPr>
      <w:r>
        <w:rPr>
          <w:rFonts w:eastAsia="Arial" w:cs="Arial"/>
          <w:sz w:val="21"/>
          <w:szCs w:val="21"/>
        </w:rPr>
        <w:t>Drill Documentation Log</w:t>
      </w:r>
    </w:p>
    <w:p>
      <w:pPr>
        <w:pStyle w:val="ListParagraph"/>
        <w:numPr>
          <w:ilvl w:val="0"/>
          <w:numId w:val="1"/>
        </w:numPr>
        <w:spacing w:lineRule="exact" w:line="264" w:before="0" w:after="60"/>
        <w:rPr/>
      </w:pPr>
      <w:r>
        <w:rPr>
          <w:rFonts w:eastAsia="Arial" w:cs="Arial"/>
          <w:sz w:val="21"/>
          <w:szCs w:val="21"/>
        </w:rPr>
        <w:t>Emergency Procedures &amp; First-Aid Inventory</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6.03  Facility Inspections &amp; Life-Safety Compliance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6.03  Facility Inspections &amp; Life-Safety Compliance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Facility, Environment &amp; Safety</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§§564.1202, 564.1205, 564.1206</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obtains and maintains the inspections and life-safety compliance required for licensure and continued operation.</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inspections and life-safety requirements for the facility.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obtains the inspections required by 26 TAC §§564.1202, 564.1205, and 564.1206 before licensure and maintains life-safety compliance thereafter, including fire-alarm and alarm-system inspection and installation certification, kitchen inspection, gas-pipe pressure testing, and fire-extinguisher inspection and maintenance, and keeps the resulting certificates and reports on file and available for HHSC review. The facility corrects any life-safety deficiency promptly and re-inspects as required.</w:t>
      </w:r>
    </w:p>
    <w:p>
      <w:pPr>
        <w:pStyle w:val="Normal"/>
        <w:pBdr>
          <w:bottom w:val="single" w:sz="4" w:space="1" w:color="2E5E45"/>
        </w:pBdr>
        <w:spacing w:before="160" w:after="80"/>
        <w:rPr/>
      </w:pPr>
      <w:r>
        <w:rPr>
          <w:rFonts w:eastAsia="Arial" w:cs="Arial"/>
          <w:b/>
          <w:bCs/>
          <w:color w:val="1A4731"/>
          <w:sz w:val="20"/>
          <w:szCs w:val="20"/>
        </w:rPr>
        <w:t>PROCEDURE — INSPECTIONS &amp; LIFE SAFETY</w:t>
      </w:r>
    </w:p>
    <w:p>
      <w:pPr>
        <w:pStyle w:val="Normal"/>
        <w:tabs>
          <w:tab w:val="left" w:pos="720" w:leader="none"/>
        </w:tabs>
        <w:spacing w:lineRule="exact" w:line="264" w:before="0" w:after="80"/>
        <w:ind w:hanging="360" w:start="720"/>
        <w:rPr/>
      </w:pPr>
      <w:r>
        <w:rPr>
          <w:rFonts w:eastAsia="Arial" w:cs="Arial"/>
          <w:sz w:val="21"/>
          <w:szCs w:val="21"/>
        </w:rPr>
        <w:t>a. Obtain the required inspections and certifications before licensure and maintain them on the required schedule.</w:t>
      </w:r>
    </w:p>
    <w:p>
      <w:pPr>
        <w:pStyle w:val="Normal"/>
        <w:tabs>
          <w:tab w:val="left" w:pos="720" w:leader="none"/>
        </w:tabs>
        <w:spacing w:lineRule="exact" w:line="264" w:before="0" w:after="80"/>
        <w:ind w:hanging="360" w:start="720"/>
        <w:rPr/>
      </w:pPr>
      <w:r>
        <w:rPr>
          <w:rFonts w:eastAsia="Arial" w:cs="Arial"/>
          <w:sz w:val="21"/>
          <w:szCs w:val="21"/>
        </w:rPr>
        <w:t>b. Keep certificates and reports on file and available for HHSC review.</w:t>
      </w:r>
    </w:p>
    <w:p>
      <w:pPr>
        <w:pStyle w:val="Normal"/>
        <w:tabs>
          <w:tab w:val="left" w:pos="720" w:leader="none"/>
        </w:tabs>
        <w:spacing w:lineRule="exact" w:line="264" w:before="0" w:after="80"/>
        <w:ind w:hanging="360" w:start="720"/>
        <w:rPr/>
      </w:pPr>
      <w:r>
        <w:rPr>
          <w:rFonts w:eastAsia="Arial" w:cs="Arial"/>
          <w:sz w:val="21"/>
          <w:szCs w:val="21"/>
        </w:rPr>
        <w:t>c. Correct life-safety deficiencies promptly and re-inspect as required.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Inspection Certificates &amp; Reports File</w:t>
      </w:r>
    </w:p>
    <w:p>
      <w:pPr>
        <w:pStyle w:val="ListParagraph"/>
        <w:numPr>
          <w:ilvl w:val="0"/>
          <w:numId w:val="1"/>
        </w:numPr>
        <w:spacing w:lineRule="exact" w:line="264" w:before="0" w:after="60"/>
        <w:rPr/>
      </w:pPr>
      <w:r>
        <w:rPr>
          <w:rFonts w:eastAsia="Arial" w:cs="Arial"/>
          <w:sz w:val="21"/>
          <w:szCs w:val="21"/>
        </w:rPr>
        <w:t>Life-Safety Deficiency &amp; Correction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G</w:t>
      </w:r>
    </w:p>
    <w:p>
      <w:pPr>
        <w:pStyle w:val="Normal"/>
        <w:pBdr>
          <w:bottom w:val="single" w:sz="12" w:space="4" w:color="1A4731"/>
        </w:pBdr>
        <w:spacing w:before="0" w:after="240"/>
        <w:jc w:val="start"/>
        <w:rPr/>
      </w:pPr>
      <w:r>
        <w:rPr>
          <w:rFonts w:eastAsia="Arial" w:cs="Arial"/>
          <w:b/>
          <w:bCs/>
          <w:color w:val="222222"/>
          <w:sz w:val="40"/>
          <w:szCs w:val="40"/>
        </w:rPr>
        <w:t>Service-Type &amp; Specialty Program Standards</w:t>
      </w:r>
    </w:p>
    <w:p>
      <w:pPr>
        <w:pStyle w:val="Normal"/>
        <w:spacing w:lineRule="exact" w:line="288" w:before="0" w:after="240"/>
        <w:rPr/>
      </w:pPr>
      <w:r>
        <w:rPr>
          <w:rFonts w:eastAsia="Arial" w:cs="Arial"/>
          <w:color w:val="444444"/>
          <w:sz w:val="22"/>
          <w:szCs w:val="22"/>
        </w:rPr>
        <w:t>This section applies only to the services the facility is licensed to provide. Adopt each policy only for a service on your HHSC license — each carries additional Chapter 564 requirements on top of the standards in Sections A through F.</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7.00  Detoxification Services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7.01  Residential Services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7.02  Outpatient Treatment Programs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7.03  Adolescent Programs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7.04  Co-Occurring Psychiatric &amp; Substance Use Disorders (COPSD)</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7.05  Treatment Services for Women &amp; Children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7.06  Court Commitment Services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7.07  Therapeutic Communities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7.08  Substance Misuse Educational Program (Driver's License / DWI)</w:t>
      </w:r>
    </w:p>
    <w:p>
      <w:pPr>
        <w:pStyle w:val="Normal"/>
        <w:rPr/>
      </w:pPr>
      <w:r>
        <w:rPr/>
      </w:r>
      <w:r>
        <w:br w:type="page"/>
      </w:r>
    </w:p>
    <w:p>
      <w:pPr>
        <w:pStyle w:val="Heading2"/>
        <w:spacing w:before="0" w:after="120"/>
        <w:rPr/>
      </w:pPr>
      <w:r>
        <w:rPr>
          <w:rFonts w:eastAsia="Arial" w:cs="Arial" w:ascii="Arial" w:hAnsi="Arial"/>
          <w:b/>
          <w:bCs/>
          <w:color w:val="1A4731"/>
          <w:sz w:val="26"/>
          <w:szCs w:val="26"/>
        </w:rPr>
        <w:t>7.00  Detoxification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7.00  Detoxification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Service-Type &amp; Specialty Program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§564.902</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requirements of 26 TAC §564.902 that apply when the facility is licensed to provide detoxification services.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facility licensed to provide detoxification services.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Detoxification services assist clients in safely withdrawing from the physiological and psychological effects of substances, provided in accordance with 26 TAC §564.902 in addition to the standards applicable to all providers and all treatment services. Detoxification is provided under the direction of a medical director, with medical protocols for withdrawal management, staffing and monitoring appropriate to client acuity, and prompt access to emergency medical services. Screening, assessment, treatment planning, progress notes, medication, and client records follow the common standards, and the facility addresses transfer to a higher or lower level of care based on the client's condition.</w:t>
      </w:r>
    </w:p>
    <w:p>
      <w:pPr>
        <w:pStyle w:val="Normal"/>
        <w:pBdr>
          <w:bottom w:val="single" w:sz="4" w:space="1" w:color="2E5E45"/>
        </w:pBdr>
        <w:spacing w:before="160" w:after="80"/>
        <w:rPr/>
      </w:pPr>
      <w:r>
        <w:rPr>
          <w:rFonts w:eastAsia="Arial" w:cs="Arial"/>
          <w:b/>
          <w:bCs/>
          <w:color w:val="1A4731"/>
          <w:sz w:val="20"/>
          <w:szCs w:val="20"/>
        </w:rPr>
        <w:t>PROCEDURE — DETOXIFICATION</w:t>
      </w:r>
    </w:p>
    <w:p>
      <w:pPr>
        <w:pStyle w:val="Normal"/>
        <w:tabs>
          <w:tab w:val="left" w:pos="720" w:leader="none"/>
        </w:tabs>
        <w:spacing w:lineRule="exact" w:line="264" w:before="0" w:after="80"/>
        <w:ind w:hanging="360" w:start="720"/>
        <w:rPr/>
      </w:pPr>
      <w:r>
        <w:rPr>
          <w:rFonts w:eastAsia="Arial" w:cs="Arial"/>
          <w:sz w:val="21"/>
          <w:szCs w:val="21"/>
        </w:rPr>
        <w:t>a. Provide detoxification under medical direction with withdrawal-management protocols and staffing and monitoring appropriate to acuity.</w:t>
      </w:r>
    </w:p>
    <w:p>
      <w:pPr>
        <w:pStyle w:val="Normal"/>
        <w:tabs>
          <w:tab w:val="left" w:pos="720" w:leader="none"/>
        </w:tabs>
        <w:spacing w:lineRule="exact" w:line="264" w:before="0" w:after="80"/>
        <w:ind w:hanging="360" w:start="720"/>
        <w:rPr/>
      </w:pPr>
      <w:r>
        <w:rPr>
          <w:rFonts w:eastAsia="Arial" w:cs="Arial"/>
          <w:sz w:val="21"/>
          <w:szCs w:val="21"/>
        </w:rPr>
        <w:t>b. Maintain prompt access to emergency medical services and document care under the common standards.</w:t>
      </w:r>
    </w:p>
    <w:p>
      <w:pPr>
        <w:pStyle w:val="Normal"/>
        <w:tabs>
          <w:tab w:val="left" w:pos="720" w:leader="none"/>
        </w:tabs>
        <w:spacing w:lineRule="exact" w:line="264" w:before="0" w:after="80"/>
        <w:ind w:hanging="360" w:start="720"/>
        <w:rPr/>
      </w:pPr>
      <w:r>
        <w:rPr>
          <w:rFonts w:eastAsia="Arial" w:cs="Arial"/>
          <w:sz w:val="21"/>
          <w:szCs w:val="21"/>
        </w:rPr>
        <w:t>c. Transfer clients to a higher or lower level of care based on condition and document the transfer.</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Detoxification Admission &amp; Withdrawal Assessment</w:t>
      </w:r>
    </w:p>
    <w:p>
      <w:pPr>
        <w:pStyle w:val="ListParagraph"/>
        <w:numPr>
          <w:ilvl w:val="0"/>
          <w:numId w:val="1"/>
        </w:numPr>
        <w:spacing w:lineRule="exact" w:line="264" w:before="0" w:after="60"/>
        <w:rPr/>
      </w:pPr>
      <w:r>
        <w:rPr>
          <w:rFonts w:eastAsia="Arial" w:cs="Arial"/>
          <w:sz w:val="21"/>
          <w:szCs w:val="21"/>
        </w:rPr>
        <w:t>Medical Monitoring / Withdrawal Management Record</w:t>
      </w:r>
    </w:p>
    <w:p>
      <w:pPr>
        <w:pStyle w:val="ListParagraph"/>
        <w:numPr>
          <w:ilvl w:val="0"/>
          <w:numId w:val="1"/>
        </w:numPr>
        <w:spacing w:lineRule="exact" w:line="264" w:before="0" w:after="60"/>
        <w:rPr/>
      </w:pPr>
      <w:r>
        <w:rPr>
          <w:rFonts w:eastAsia="Arial" w:cs="Arial"/>
          <w:sz w:val="21"/>
          <w:szCs w:val="21"/>
        </w:rPr>
        <w:t>Level-of-Care Transfer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7.01  Residential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7.01  Residential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Service-Type &amp; Specialty Program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§564.903</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requirements of 26 TAC §564.903 that apply when the facility is licensed to provide residential services.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facility licensed to provide residential chemical dependency treatment services.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Residential services provide chemical dependency treatment in a structured, supervised, live-in setting, provided in accordance with 26 TAC §564.903 in addition to the standards applicable to all providers and all treatment services and the residential physical-plant, food, and transportation requirements of this manual. The facility provides the structured schedule of treatment and clinical services the client's treatment plan and the rule require, delivered by qualified staff and documented, with appropriate staffing and supervision for a 24-hour setting. Screening, assessment, treatment planning, progress notes, medication, meals, and client records follow the common standards, and the facility coordinates step-up or step-down to another level of care as the client's needs change.</w:t>
      </w:r>
    </w:p>
    <w:p>
      <w:pPr>
        <w:pStyle w:val="Normal"/>
        <w:pBdr>
          <w:bottom w:val="single" w:sz="4" w:space="1" w:color="2E5E45"/>
        </w:pBdr>
        <w:spacing w:before="160" w:after="80"/>
        <w:rPr/>
      </w:pPr>
      <w:r>
        <w:rPr>
          <w:rFonts w:eastAsia="Arial" w:cs="Arial"/>
          <w:b/>
          <w:bCs/>
          <w:color w:val="1A4731"/>
          <w:sz w:val="20"/>
          <w:szCs w:val="20"/>
        </w:rPr>
        <w:t>PROCEDURE — RESIDENTIAL SERVICES</w:t>
      </w:r>
    </w:p>
    <w:p>
      <w:pPr>
        <w:pStyle w:val="Normal"/>
        <w:tabs>
          <w:tab w:val="left" w:pos="720" w:leader="none"/>
        </w:tabs>
        <w:spacing w:lineRule="exact" w:line="264" w:before="0" w:after="80"/>
        <w:ind w:hanging="360" w:start="720"/>
        <w:rPr/>
      </w:pPr>
      <w:r>
        <w:rPr>
          <w:rFonts w:eastAsia="Arial" w:cs="Arial"/>
          <w:sz w:val="21"/>
          <w:szCs w:val="21"/>
        </w:rPr>
        <w:t>a. Provide the structured treatment schedule and clinical services the rule and treatment plan require in a supervised 24-hour setting.</w:t>
      </w:r>
    </w:p>
    <w:p>
      <w:pPr>
        <w:pStyle w:val="Normal"/>
        <w:tabs>
          <w:tab w:val="left" w:pos="720" w:leader="none"/>
        </w:tabs>
        <w:spacing w:lineRule="exact" w:line="264" w:before="0" w:after="80"/>
        <w:ind w:hanging="360" w:start="720"/>
        <w:rPr/>
      </w:pPr>
      <w:r>
        <w:rPr>
          <w:rFonts w:eastAsia="Arial" w:cs="Arial"/>
          <w:sz w:val="21"/>
          <w:szCs w:val="21"/>
        </w:rPr>
        <w:t>b. Maintain appropriate staffing, supervision, physical plant, and meals under the common standards.</w:t>
      </w:r>
    </w:p>
    <w:p>
      <w:pPr>
        <w:pStyle w:val="Normal"/>
        <w:tabs>
          <w:tab w:val="left" w:pos="720" w:leader="none"/>
        </w:tabs>
        <w:spacing w:lineRule="exact" w:line="264" w:before="0" w:after="80"/>
        <w:ind w:hanging="360" w:start="720"/>
        <w:rPr/>
      </w:pPr>
      <w:r>
        <w:rPr>
          <w:rFonts w:eastAsia="Arial" w:cs="Arial"/>
          <w:sz w:val="21"/>
          <w:szCs w:val="21"/>
        </w:rPr>
        <w:t>c. Coordinate step-up or step-down to another level of care as needs change and document transitions.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Residential Admission &amp; Service Schedule</w:t>
      </w:r>
    </w:p>
    <w:p>
      <w:pPr>
        <w:pStyle w:val="ListParagraph"/>
        <w:numPr>
          <w:ilvl w:val="0"/>
          <w:numId w:val="1"/>
        </w:numPr>
        <w:spacing w:lineRule="exact" w:line="264" w:before="0" w:after="60"/>
        <w:rPr/>
      </w:pPr>
      <w:r>
        <w:rPr>
          <w:rFonts w:eastAsia="Arial" w:cs="Arial"/>
          <w:sz w:val="21"/>
          <w:szCs w:val="21"/>
        </w:rPr>
        <w:t>Residential Staffing &amp; Supervision Record</w:t>
      </w:r>
    </w:p>
    <w:p>
      <w:pPr>
        <w:pStyle w:val="ListParagraph"/>
        <w:numPr>
          <w:ilvl w:val="0"/>
          <w:numId w:val="1"/>
        </w:numPr>
        <w:spacing w:lineRule="exact" w:line="264" w:before="0" w:after="60"/>
        <w:rPr/>
      </w:pPr>
      <w:r>
        <w:rPr>
          <w:rFonts w:eastAsia="Arial" w:cs="Arial"/>
          <w:sz w:val="21"/>
          <w:szCs w:val="21"/>
        </w:rPr>
        <w:t>Level-of-Care Transition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7.02  Outpatient Treatment Programs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7.02  Outpatient Treatment Programs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Service-Type &amp; Specialty Program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§564.904</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requirements of 26 TAC §564.904 that apply when the facility is licensed to provide outpatient treatment programs.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facility licensed to provide outpatient treatment programs, including intensive outpatient.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Outpatient treatment programs provide non-residential chemical dependency treatment on a scheduled basis, provided in accordance with 26 TAC §564.904 in addition to the standards applicable to all providers and all treatment services. Services are provided according to the client's assessed needs and treatment plan and at the frequency and intensity appropriate to the program (including intensive outpatient where applicable), delivered by qualified staff and documented. The facility addresses psychiatric and medical needs through consultation or referral, may deliver services through electronic means under the telehealth policy where permitted, and coordinates step-up or step-down to another level of care as needs change.</w:t>
      </w:r>
    </w:p>
    <w:p>
      <w:pPr>
        <w:pStyle w:val="Normal"/>
        <w:pBdr>
          <w:bottom w:val="single" w:sz="4" w:space="1" w:color="2E5E45"/>
        </w:pBdr>
        <w:spacing w:before="160" w:after="80"/>
        <w:rPr/>
      </w:pPr>
      <w:r>
        <w:rPr>
          <w:rFonts w:eastAsia="Arial" w:cs="Arial"/>
          <w:b/>
          <w:bCs/>
          <w:color w:val="1A4731"/>
          <w:sz w:val="20"/>
          <w:szCs w:val="20"/>
        </w:rPr>
        <w:t>PROCEDURE — OUTPATIENT SERVICES</w:t>
      </w:r>
    </w:p>
    <w:p>
      <w:pPr>
        <w:pStyle w:val="Normal"/>
        <w:tabs>
          <w:tab w:val="left" w:pos="720" w:leader="none"/>
        </w:tabs>
        <w:spacing w:lineRule="exact" w:line="264" w:before="0" w:after="80"/>
        <w:ind w:hanging="360" w:start="720"/>
        <w:rPr/>
      </w:pPr>
      <w:r>
        <w:rPr>
          <w:rFonts w:eastAsia="Arial" w:cs="Arial"/>
          <w:sz w:val="21"/>
          <w:szCs w:val="21"/>
        </w:rPr>
        <w:t>a. Provide outpatient services at the frequency and intensity appropriate to the program and the client's treatment plan, delivered by qualified staff.</w:t>
      </w:r>
    </w:p>
    <w:p>
      <w:pPr>
        <w:pStyle w:val="Normal"/>
        <w:tabs>
          <w:tab w:val="left" w:pos="720" w:leader="none"/>
        </w:tabs>
        <w:spacing w:lineRule="exact" w:line="264" w:before="0" w:after="80"/>
        <w:ind w:hanging="360" w:start="720"/>
        <w:rPr/>
      </w:pPr>
      <w:r>
        <w:rPr>
          <w:rFonts w:eastAsia="Arial" w:cs="Arial"/>
          <w:sz w:val="21"/>
          <w:szCs w:val="21"/>
        </w:rPr>
        <w:t>b. Address psychiatric and medical needs through consultation or referral and use telehealth only under the electronic-services policy.</w:t>
      </w:r>
    </w:p>
    <w:p>
      <w:pPr>
        <w:pStyle w:val="Normal"/>
        <w:tabs>
          <w:tab w:val="left" w:pos="720" w:leader="none"/>
        </w:tabs>
        <w:spacing w:lineRule="exact" w:line="264" w:before="0" w:after="80"/>
        <w:ind w:hanging="360" w:start="720"/>
        <w:rPr/>
      </w:pPr>
      <w:r>
        <w:rPr>
          <w:rFonts w:eastAsia="Arial" w:cs="Arial"/>
          <w:sz w:val="21"/>
          <w:szCs w:val="21"/>
        </w:rPr>
        <w:t>c. Coordinate step-up or step-down to another level of care and document services under the common standards.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Outpatient Service Schedule &amp; Log</w:t>
      </w:r>
    </w:p>
    <w:p>
      <w:pPr>
        <w:pStyle w:val="ListParagraph"/>
        <w:numPr>
          <w:ilvl w:val="0"/>
          <w:numId w:val="1"/>
        </w:numPr>
        <w:spacing w:lineRule="exact" w:line="264" w:before="0" w:after="60"/>
        <w:rPr/>
      </w:pPr>
      <w:r>
        <w:rPr>
          <w:rFonts w:eastAsia="Arial" w:cs="Arial"/>
          <w:sz w:val="21"/>
          <w:szCs w:val="21"/>
        </w:rPr>
        <w:t>Intensive Outpatient Attendance Record</w:t>
      </w:r>
    </w:p>
    <w:p>
      <w:pPr>
        <w:pStyle w:val="ListParagraph"/>
        <w:numPr>
          <w:ilvl w:val="0"/>
          <w:numId w:val="1"/>
        </w:numPr>
        <w:spacing w:lineRule="exact" w:line="264" w:before="0" w:after="60"/>
        <w:rPr/>
      </w:pPr>
      <w:r>
        <w:rPr>
          <w:rFonts w:eastAsia="Arial" w:cs="Arial"/>
          <w:sz w:val="21"/>
          <w:szCs w:val="21"/>
        </w:rPr>
        <w:t>Psychiatric / Medical Referral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7.03  Adolescent Programs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7.03  Adolescent Programs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Service-Type &amp; Specialty Program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§564.905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additional requirements of 26 TAC §564.905 that apply when the facility serves adolescents.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facility licensed to provide services to adolescent clients.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 facility serving adolescents meets the additional requirements of 26 TAC §564.905, including developmentally appropriate services, staff with competencies appropriate to adolescents, parental or guardian involvement and consent as required, protections for adolescents served with or apart from adults, and coordination with education and other youth-serving systems as applicable. Screening, assessment, treatment planning, and documentation follow the common standards, adapted to the developmental needs of adolescent clients, and the facility follows applicable requirements for the care and supervision of minors.</w:t>
      </w:r>
    </w:p>
    <w:p>
      <w:pPr>
        <w:pStyle w:val="Normal"/>
        <w:pBdr>
          <w:bottom w:val="single" w:sz="4" w:space="1" w:color="2E5E45"/>
        </w:pBdr>
        <w:spacing w:before="160" w:after="80"/>
        <w:rPr/>
      </w:pPr>
      <w:r>
        <w:rPr>
          <w:rFonts w:eastAsia="Arial" w:cs="Arial"/>
          <w:b/>
          <w:bCs/>
          <w:color w:val="1A4731"/>
          <w:sz w:val="20"/>
          <w:szCs w:val="20"/>
        </w:rPr>
        <w:t>PROCEDURE — ADOLESCENT PROGRAMS</w:t>
      </w:r>
    </w:p>
    <w:p>
      <w:pPr>
        <w:pStyle w:val="Normal"/>
        <w:tabs>
          <w:tab w:val="left" w:pos="720" w:leader="none"/>
        </w:tabs>
        <w:spacing w:lineRule="exact" w:line="264" w:before="0" w:after="80"/>
        <w:ind w:hanging="360" w:start="720"/>
        <w:rPr/>
      </w:pPr>
      <w:r>
        <w:rPr>
          <w:rFonts w:eastAsia="Arial" w:cs="Arial"/>
          <w:sz w:val="21"/>
          <w:szCs w:val="21"/>
        </w:rPr>
        <w:t>a. Provide developmentally appropriate services with staff competent to serve adolescents and required parental or guardian involvement and consent.</w:t>
      </w:r>
    </w:p>
    <w:p>
      <w:pPr>
        <w:pStyle w:val="Normal"/>
        <w:tabs>
          <w:tab w:val="left" w:pos="720" w:leader="none"/>
        </w:tabs>
        <w:spacing w:lineRule="exact" w:line="264" w:before="0" w:after="80"/>
        <w:ind w:hanging="360" w:start="720"/>
        <w:rPr/>
      </w:pPr>
      <w:r>
        <w:rPr>
          <w:rFonts w:eastAsia="Arial" w:cs="Arial"/>
          <w:sz w:val="21"/>
          <w:szCs w:val="21"/>
        </w:rPr>
        <w:t>b. Protect adolescents served with or apart from adults and coordinate with education and youth systems as applicable.</w:t>
      </w:r>
    </w:p>
    <w:p>
      <w:pPr>
        <w:pStyle w:val="Normal"/>
        <w:tabs>
          <w:tab w:val="left" w:pos="720" w:leader="none"/>
        </w:tabs>
        <w:spacing w:lineRule="exact" w:line="264" w:before="0" w:after="80"/>
        <w:ind w:hanging="360" w:start="720"/>
        <w:rPr/>
      </w:pPr>
      <w:r>
        <w:rPr>
          <w:rFonts w:eastAsia="Arial" w:cs="Arial"/>
          <w:sz w:val="21"/>
          <w:szCs w:val="21"/>
        </w:rPr>
        <w:t>c. Adapt assessment, planning, and documentation to adolescent developmental needs under the common standards.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Adolescent Consent &amp; Guardian Involvement Record</w:t>
      </w:r>
    </w:p>
    <w:p>
      <w:pPr>
        <w:pStyle w:val="ListParagraph"/>
        <w:numPr>
          <w:ilvl w:val="0"/>
          <w:numId w:val="1"/>
        </w:numPr>
        <w:spacing w:lineRule="exact" w:line="264" w:before="0" w:after="60"/>
        <w:rPr/>
      </w:pPr>
      <w:r>
        <w:rPr>
          <w:rFonts w:eastAsia="Arial" w:cs="Arial"/>
          <w:sz w:val="21"/>
          <w:szCs w:val="21"/>
        </w:rPr>
        <w:t>Adolescent Program Staffing &amp; Competency Record</w:t>
      </w:r>
    </w:p>
    <w:p>
      <w:pPr>
        <w:pStyle w:val="ListParagraph"/>
        <w:numPr>
          <w:ilvl w:val="0"/>
          <w:numId w:val="1"/>
        </w:numPr>
        <w:spacing w:lineRule="exact" w:line="264" w:before="0" w:after="60"/>
        <w:rPr/>
      </w:pPr>
      <w:r>
        <w:rPr>
          <w:rFonts w:eastAsia="Arial" w:cs="Arial"/>
          <w:sz w:val="21"/>
          <w:szCs w:val="21"/>
        </w:rPr>
        <w:t>Education / Youth-System Coordination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7.04  Co-Occurring Psychiatric &amp; Substance Use Disorders (COPSD)</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7.04  Co-Occurring Psychiatric &amp; Substance Use Disorders (COPSD)</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Service-Type &amp; Specialty Program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§§564.906–564.909</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requirements of 26 TAC §§564.906–564.909 for access, program standards, staff competencies, and treatment planning for clients with co-occurring psychiatric and substance use disorders.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access to services for COPSD clients and to any COPSD program the facility provides.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ensures access to services for clients with co-occurring psychiatric and substance use disorders (COPSD) in accordance with 26 TAC §564.906, screening for co-occurring conditions and not excluding clients solely because of a co-occurring psychiatric disorder. A facility that operates a COPSD program meets the additional program requirements of §564.907, ensures staff have the specialty competencies required by §564.908, and conducts COPSD treatment planning under §564.909 that integrates treatment for both disorders, coordinates with psychiatric and medical providers, and addresses medication and crisis needs. Assessment, treatment planning, and documentation follow the common standards, integrated for co-occurring needs.</w:t>
      </w:r>
    </w:p>
    <w:p>
      <w:pPr>
        <w:pStyle w:val="Normal"/>
        <w:pBdr>
          <w:bottom w:val="single" w:sz="4" w:space="1" w:color="2E5E45"/>
        </w:pBdr>
        <w:spacing w:before="160" w:after="80"/>
        <w:rPr/>
      </w:pPr>
      <w:r>
        <w:rPr>
          <w:rFonts w:eastAsia="Arial" w:cs="Arial"/>
          <w:b/>
          <w:bCs/>
          <w:color w:val="1A4731"/>
          <w:sz w:val="20"/>
          <w:szCs w:val="20"/>
        </w:rPr>
        <w:t>PROCEDURE — COPSD SERVICES</w:t>
      </w:r>
    </w:p>
    <w:p>
      <w:pPr>
        <w:pStyle w:val="Normal"/>
        <w:tabs>
          <w:tab w:val="left" w:pos="720" w:leader="none"/>
        </w:tabs>
        <w:spacing w:lineRule="exact" w:line="264" w:before="0" w:after="80"/>
        <w:ind w:hanging="360" w:start="720"/>
        <w:rPr/>
      </w:pPr>
      <w:r>
        <w:rPr>
          <w:rFonts w:eastAsia="Arial" w:cs="Arial"/>
          <w:sz w:val="21"/>
          <w:szCs w:val="21"/>
        </w:rPr>
        <w:t>a. Screen for co-occurring disorders and ensure access for COPSD clients without excluding them solely for a psychiatric disorder.</w:t>
      </w:r>
    </w:p>
    <w:p>
      <w:pPr>
        <w:pStyle w:val="Normal"/>
        <w:tabs>
          <w:tab w:val="left" w:pos="720" w:leader="none"/>
        </w:tabs>
        <w:spacing w:lineRule="exact" w:line="264" w:before="0" w:after="80"/>
        <w:ind w:hanging="360" w:start="720"/>
        <w:rPr/>
      </w:pPr>
      <w:r>
        <w:rPr>
          <w:rFonts w:eastAsia="Arial" w:cs="Arial"/>
          <w:sz w:val="21"/>
          <w:szCs w:val="21"/>
        </w:rPr>
        <w:t>b. Meet the COPSD program, staff-competency, and treatment-planning requirements where a COPSD program is provided.</w:t>
      </w:r>
    </w:p>
    <w:p>
      <w:pPr>
        <w:pStyle w:val="Normal"/>
        <w:tabs>
          <w:tab w:val="left" w:pos="720" w:leader="none"/>
        </w:tabs>
        <w:spacing w:lineRule="exact" w:line="264" w:before="0" w:after="80"/>
        <w:ind w:hanging="360" w:start="720"/>
        <w:rPr/>
      </w:pPr>
      <w:r>
        <w:rPr>
          <w:rFonts w:eastAsia="Arial" w:cs="Arial"/>
          <w:sz w:val="21"/>
          <w:szCs w:val="21"/>
        </w:rPr>
        <w:t>c. Integrate treatment for both disorders and coordinate with psychiatric and medical providers.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COPSD Access &amp; Screening Record</w:t>
      </w:r>
    </w:p>
    <w:p>
      <w:pPr>
        <w:pStyle w:val="ListParagraph"/>
        <w:numPr>
          <w:ilvl w:val="0"/>
          <w:numId w:val="1"/>
        </w:numPr>
        <w:spacing w:lineRule="exact" w:line="264" w:before="0" w:after="60"/>
        <w:rPr/>
      </w:pPr>
      <w:r>
        <w:rPr>
          <w:rFonts w:eastAsia="Arial" w:cs="Arial"/>
          <w:sz w:val="21"/>
          <w:szCs w:val="21"/>
        </w:rPr>
        <w:t>COPSD Staff Competency Documentation</w:t>
      </w:r>
    </w:p>
    <w:p>
      <w:pPr>
        <w:pStyle w:val="ListParagraph"/>
        <w:numPr>
          <w:ilvl w:val="0"/>
          <w:numId w:val="1"/>
        </w:numPr>
        <w:spacing w:lineRule="exact" w:line="264" w:before="0" w:after="60"/>
        <w:rPr/>
      </w:pPr>
      <w:r>
        <w:rPr>
          <w:rFonts w:eastAsia="Arial" w:cs="Arial"/>
          <w:sz w:val="21"/>
          <w:szCs w:val="21"/>
        </w:rPr>
        <w:t>Integrated COPSD Treatment Plan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7.05  Treatment Services for Women &amp; Children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7.05  Treatment Services for Women &amp; Children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Service-Type &amp; Specialty Program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§564.910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requirements of 26 TAC §564.910 that apply when the facility provides treatment services for women and children.</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facility licensed to provide treatment services for women and children.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 facility providing treatment services for women and children meets the requirements of 26 TAC §564.910, including services responsive to the needs of pregnant and parenting women and their children, appropriate arrangements for children who accompany a parent in treatment, gender-responsive and trauma-informed services, and coordination with prenatal, pediatric, and other needed services. Screening, assessment, treatment planning, and documentation follow the common standards, adapted to the needs of women and accompanying children.</w:t>
      </w:r>
    </w:p>
    <w:p>
      <w:pPr>
        <w:pStyle w:val="Normal"/>
        <w:pBdr>
          <w:bottom w:val="single" w:sz="4" w:space="1" w:color="2E5E45"/>
        </w:pBdr>
        <w:spacing w:before="160" w:after="80"/>
        <w:rPr/>
      </w:pPr>
      <w:r>
        <w:rPr>
          <w:rFonts w:eastAsia="Arial" w:cs="Arial"/>
          <w:b/>
          <w:bCs/>
          <w:color w:val="1A4731"/>
          <w:sz w:val="20"/>
          <w:szCs w:val="20"/>
        </w:rPr>
        <w:t>PROCEDURE — WOMEN &amp; CHILDREN SERVICES</w:t>
      </w:r>
    </w:p>
    <w:p>
      <w:pPr>
        <w:pStyle w:val="Normal"/>
        <w:tabs>
          <w:tab w:val="left" w:pos="720" w:leader="none"/>
        </w:tabs>
        <w:spacing w:lineRule="exact" w:line="264" w:before="0" w:after="80"/>
        <w:ind w:hanging="360" w:start="720"/>
        <w:rPr/>
      </w:pPr>
      <w:r>
        <w:rPr>
          <w:rFonts w:eastAsia="Arial" w:cs="Arial"/>
          <w:sz w:val="21"/>
          <w:szCs w:val="21"/>
        </w:rPr>
        <w:t>a. Provide gender-responsive, trauma-informed services responsive to the needs of pregnant and parenting women.</w:t>
      </w:r>
    </w:p>
    <w:p>
      <w:pPr>
        <w:pStyle w:val="Normal"/>
        <w:tabs>
          <w:tab w:val="left" w:pos="720" w:leader="none"/>
        </w:tabs>
        <w:spacing w:lineRule="exact" w:line="264" w:before="0" w:after="80"/>
        <w:ind w:hanging="360" w:start="720"/>
        <w:rPr/>
      </w:pPr>
      <w:r>
        <w:rPr>
          <w:rFonts w:eastAsia="Arial" w:cs="Arial"/>
          <w:sz w:val="21"/>
          <w:szCs w:val="21"/>
        </w:rPr>
        <w:t>b. Make appropriate arrangements for accompanying children and coordinate with prenatal, pediatric, and other services.</w:t>
      </w:r>
    </w:p>
    <w:p>
      <w:pPr>
        <w:pStyle w:val="Normal"/>
        <w:tabs>
          <w:tab w:val="left" w:pos="720" w:leader="none"/>
        </w:tabs>
        <w:spacing w:lineRule="exact" w:line="264" w:before="0" w:after="80"/>
        <w:ind w:hanging="360" w:start="720"/>
        <w:rPr/>
      </w:pPr>
      <w:r>
        <w:rPr>
          <w:rFonts w:eastAsia="Arial" w:cs="Arial"/>
          <w:sz w:val="21"/>
          <w:szCs w:val="21"/>
        </w:rPr>
        <w:t>c. Adapt assessment, planning, and documentation to the needs of women and children under the common standards.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Women &amp; Children Program Plan</w:t>
      </w:r>
    </w:p>
    <w:p>
      <w:pPr>
        <w:pStyle w:val="ListParagraph"/>
        <w:numPr>
          <w:ilvl w:val="0"/>
          <w:numId w:val="1"/>
        </w:numPr>
        <w:spacing w:lineRule="exact" w:line="264" w:before="0" w:after="60"/>
        <w:rPr/>
      </w:pPr>
      <w:r>
        <w:rPr>
          <w:rFonts w:eastAsia="Arial" w:cs="Arial"/>
          <w:sz w:val="21"/>
          <w:szCs w:val="21"/>
        </w:rPr>
        <w:t>Accompanying-Child Care Arrangement Record</w:t>
      </w:r>
    </w:p>
    <w:p>
      <w:pPr>
        <w:pStyle w:val="ListParagraph"/>
        <w:numPr>
          <w:ilvl w:val="0"/>
          <w:numId w:val="1"/>
        </w:numPr>
        <w:spacing w:lineRule="exact" w:line="264" w:before="0" w:after="60"/>
        <w:rPr/>
      </w:pPr>
      <w:r>
        <w:rPr>
          <w:rFonts w:eastAsia="Arial" w:cs="Arial"/>
          <w:sz w:val="21"/>
          <w:szCs w:val="21"/>
        </w:rPr>
        <w:t>Prenatal / Pediatric Coordination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7.06  Court Commitment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7.06  Court Commitment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Service-Type &amp; Specialty Program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§564.1301; HSC Ch. 462</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requirements of 26 TAC §564.1301 that apply when the facility provides services to clients under court commitment.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facility that provides court-commitment services under Health and Safety Code Chapter 462.</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 facility that provides services to clients committed for chemical dependency treatment meets the requirements of 26 TAC §564.1301 and the applicable provisions of Health and Safety Code Chapter 462, including following the terms of the court order, providing required reports to the court, and observing the client's rights under the commitment process. Screening, assessment, treatment planning, and documentation follow the common standards, with additional documentation of the legal status and court requirements maintained in the client record.</w:t>
      </w:r>
    </w:p>
    <w:p>
      <w:pPr>
        <w:pStyle w:val="Normal"/>
        <w:pBdr>
          <w:bottom w:val="single" w:sz="4" w:space="1" w:color="2E5E45"/>
        </w:pBdr>
        <w:spacing w:before="160" w:after="80"/>
        <w:rPr/>
      </w:pPr>
      <w:r>
        <w:rPr>
          <w:rFonts w:eastAsia="Arial" w:cs="Arial"/>
          <w:b/>
          <w:bCs/>
          <w:color w:val="1A4731"/>
          <w:sz w:val="20"/>
          <w:szCs w:val="20"/>
        </w:rPr>
        <w:t>PROCEDURE — COURT COMMITMENT SERVICES</w:t>
      </w:r>
    </w:p>
    <w:p>
      <w:pPr>
        <w:pStyle w:val="Normal"/>
        <w:tabs>
          <w:tab w:val="left" w:pos="720" w:leader="none"/>
        </w:tabs>
        <w:spacing w:lineRule="exact" w:line="264" w:before="0" w:after="80"/>
        <w:ind w:hanging="360" w:start="720"/>
        <w:rPr/>
      </w:pPr>
      <w:r>
        <w:rPr>
          <w:rFonts w:eastAsia="Arial" w:cs="Arial"/>
          <w:sz w:val="21"/>
          <w:szCs w:val="21"/>
        </w:rPr>
        <w:t>a. Follow the terms of the court order and the requirements of HSC Chapter 462 and §564.1301.</w:t>
      </w:r>
    </w:p>
    <w:p>
      <w:pPr>
        <w:pStyle w:val="Normal"/>
        <w:tabs>
          <w:tab w:val="left" w:pos="720" w:leader="none"/>
        </w:tabs>
        <w:spacing w:lineRule="exact" w:line="264" w:before="0" w:after="80"/>
        <w:ind w:hanging="360" w:start="720"/>
        <w:rPr/>
      </w:pPr>
      <w:r>
        <w:rPr>
          <w:rFonts w:eastAsia="Arial" w:cs="Arial"/>
          <w:sz w:val="21"/>
          <w:szCs w:val="21"/>
        </w:rPr>
        <w:t>b. Provide required reports to the court and observe the client's commitment-process rights.</w:t>
      </w:r>
    </w:p>
    <w:p>
      <w:pPr>
        <w:pStyle w:val="Normal"/>
        <w:tabs>
          <w:tab w:val="left" w:pos="720" w:leader="none"/>
        </w:tabs>
        <w:spacing w:lineRule="exact" w:line="264" w:before="0" w:after="80"/>
        <w:ind w:hanging="360" w:start="720"/>
        <w:rPr/>
      </w:pPr>
      <w:r>
        <w:rPr>
          <w:rFonts w:eastAsia="Arial" w:cs="Arial"/>
          <w:sz w:val="21"/>
          <w:szCs w:val="21"/>
        </w:rPr>
        <w:t>c. Maintain documentation of legal status and court requirements in the client record.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Court Order &amp; Legal-Status File</w:t>
      </w:r>
    </w:p>
    <w:p>
      <w:pPr>
        <w:pStyle w:val="ListParagraph"/>
        <w:numPr>
          <w:ilvl w:val="0"/>
          <w:numId w:val="1"/>
        </w:numPr>
        <w:spacing w:lineRule="exact" w:line="264" w:before="0" w:after="60"/>
        <w:rPr/>
      </w:pPr>
      <w:r>
        <w:rPr>
          <w:rFonts w:eastAsia="Arial" w:cs="Arial"/>
          <w:sz w:val="21"/>
          <w:szCs w:val="21"/>
        </w:rPr>
        <w:t>Court Reporting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7.07  Therapeutic Communities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7.07  Therapeutic Communities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Service-Type &amp; Specialty Program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§564.1401</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requirements of 26 TAC §564.1401 that apply when the facility operates a therapeutic community.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facility licensed to operate a therapeutic community program.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 therapeutic community is a long-term, structured, community-based residential treatment model, operated in accordance with 26 TAC §564.1401 in addition to the standards applicable to all providers, all treatment services, and residential services. The facility implements the therapeutic-community model with appropriate structure, peer and staff roles, and phases of treatment, while protecting client rights, prohibiting coercive or punitive practices, and following the common standards for assessment, treatment planning, documentation, medication, and physical plant.</w:t>
      </w:r>
    </w:p>
    <w:p>
      <w:pPr>
        <w:pStyle w:val="Normal"/>
        <w:pBdr>
          <w:bottom w:val="single" w:sz="4" w:space="1" w:color="2E5E45"/>
        </w:pBdr>
        <w:spacing w:before="160" w:after="80"/>
        <w:rPr/>
      </w:pPr>
      <w:r>
        <w:rPr>
          <w:rFonts w:eastAsia="Arial" w:cs="Arial"/>
          <w:b/>
          <w:bCs/>
          <w:color w:val="1A4731"/>
          <w:sz w:val="20"/>
          <w:szCs w:val="20"/>
        </w:rPr>
        <w:t>PROCEDURE — THERAPEUTIC COMMUNITY</w:t>
      </w:r>
    </w:p>
    <w:p>
      <w:pPr>
        <w:pStyle w:val="Normal"/>
        <w:tabs>
          <w:tab w:val="left" w:pos="720" w:leader="none"/>
        </w:tabs>
        <w:spacing w:lineRule="exact" w:line="264" w:before="0" w:after="80"/>
        <w:ind w:hanging="360" w:start="720"/>
        <w:rPr/>
      </w:pPr>
      <w:r>
        <w:rPr>
          <w:rFonts w:eastAsia="Arial" w:cs="Arial"/>
          <w:sz w:val="21"/>
          <w:szCs w:val="21"/>
        </w:rPr>
        <w:t>a. Operate the therapeutic-community model with appropriate structure, roles, and treatment phases under §564.1401.</w:t>
      </w:r>
    </w:p>
    <w:p>
      <w:pPr>
        <w:pStyle w:val="Normal"/>
        <w:tabs>
          <w:tab w:val="left" w:pos="720" w:leader="none"/>
        </w:tabs>
        <w:spacing w:lineRule="exact" w:line="264" w:before="0" w:after="80"/>
        <w:ind w:hanging="360" w:start="720"/>
        <w:rPr/>
      </w:pPr>
      <w:r>
        <w:rPr>
          <w:rFonts w:eastAsia="Arial" w:cs="Arial"/>
          <w:sz w:val="21"/>
          <w:szCs w:val="21"/>
        </w:rPr>
        <w:t>b. Protect client rights and prohibit coercive or punitive practices within the model.</w:t>
      </w:r>
    </w:p>
    <w:p>
      <w:pPr>
        <w:pStyle w:val="Normal"/>
        <w:tabs>
          <w:tab w:val="left" w:pos="720" w:leader="none"/>
        </w:tabs>
        <w:spacing w:lineRule="exact" w:line="264" w:before="0" w:after="80"/>
        <w:ind w:hanging="360" w:start="720"/>
        <w:rPr/>
      </w:pPr>
      <w:r>
        <w:rPr>
          <w:rFonts w:eastAsia="Arial" w:cs="Arial"/>
          <w:sz w:val="21"/>
          <w:szCs w:val="21"/>
        </w:rPr>
        <w:t>c. Follow the common standards for assessment, planning, documentation, medication, and physical plant.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Therapeutic Community Program Description</w:t>
      </w:r>
    </w:p>
    <w:p>
      <w:pPr>
        <w:pStyle w:val="ListParagraph"/>
        <w:numPr>
          <w:ilvl w:val="0"/>
          <w:numId w:val="1"/>
        </w:numPr>
        <w:spacing w:lineRule="exact" w:line="264" w:before="0" w:after="60"/>
        <w:rPr/>
      </w:pPr>
      <w:r>
        <w:rPr>
          <w:rFonts w:eastAsia="Arial" w:cs="Arial"/>
          <w:sz w:val="21"/>
          <w:szCs w:val="21"/>
        </w:rPr>
        <w:t>Phase / Progression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7.08  Substance Misuse Educational Program (Driver's License / DWI)</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7.08  Substance Misuse Educational Program (Driver's License / DWI)</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Service-Type &amp; Specialty Program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26 TAC §564.39; Tex. Transp. Code Ch. 521</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requirements of 26 TAC §564.39 where a residential facility provides the HHSC-approved substance-misuse educational program for individuals whose driver's license was suspended.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residential facility that provides the substance-misuse educational program under §564.39.</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 residential CDTF that provides the substance-misuse educational program under 26 TAC §564.39 delivers a program equivalent to the program approved under Texas Government Code Chapter 171, for individuals whose driver's license was suspended under Texas Transportation Code §521.372, using qualified instructors who are facility employees with the required experience, and issues standardized certificates of completion in the format the rule requires, maintaining an ascending numerical accounting of all issued certificates. The facility makes provisions for residents unable to read or speak English by providing courses in English and a second language appropriate to the population served, delivers in-person courses at the facility's physical location, and delivers any online version consistent with the electronic-services rule.</w:t>
      </w:r>
    </w:p>
    <w:p>
      <w:pPr>
        <w:pStyle w:val="Normal"/>
        <w:pBdr>
          <w:bottom w:val="single" w:sz="4" w:space="1" w:color="2E5E45"/>
        </w:pBdr>
        <w:spacing w:before="160" w:after="80"/>
        <w:rPr/>
      </w:pPr>
      <w:r>
        <w:rPr>
          <w:rFonts w:eastAsia="Arial" w:cs="Arial"/>
          <w:b/>
          <w:bCs/>
          <w:color w:val="1A4731"/>
          <w:sz w:val="20"/>
          <w:szCs w:val="20"/>
        </w:rPr>
        <w:t>PROCEDURE — EDUCATIONAL PROGRAM</w:t>
      </w:r>
    </w:p>
    <w:p>
      <w:pPr>
        <w:pStyle w:val="Normal"/>
        <w:tabs>
          <w:tab w:val="left" w:pos="720" w:leader="none"/>
        </w:tabs>
        <w:spacing w:lineRule="exact" w:line="264" w:before="0" w:after="80"/>
        <w:ind w:hanging="360" w:start="720"/>
        <w:rPr/>
      </w:pPr>
      <w:r>
        <w:rPr>
          <w:rFonts w:eastAsia="Arial" w:cs="Arial"/>
          <w:sz w:val="21"/>
          <w:szCs w:val="21"/>
        </w:rPr>
        <w:t>a. Deliver an equivalent substance-misuse educational program through qualified instructor-employees for eligible residents.</w:t>
      </w:r>
    </w:p>
    <w:p>
      <w:pPr>
        <w:pStyle w:val="Normal"/>
        <w:tabs>
          <w:tab w:val="left" w:pos="720" w:leader="none"/>
        </w:tabs>
        <w:spacing w:lineRule="exact" w:line="264" w:before="0" w:after="80"/>
        <w:ind w:hanging="360" w:start="720"/>
        <w:rPr/>
      </w:pPr>
      <w:r>
        <w:rPr>
          <w:rFonts w:eastAsia="Arial" w:cs="Arial"/>
          <w:sz w:val="21"/>
          <w:szCs w:val="21"/>
        </w:rPr>
        <w:t>b. Issue standardized certificates of completion and maintain an ascending numerical accounting of all certificates.</w:t>
      </w:r>
    </w:p>
    <w:p>
      <w:pPr>
        <w:pStyle w:val="Normal"/>
        <w:tabs>
          <w:tab w:val="left" w:pos="720" w:leader="none"/>
        </w:tabs>
        <w:spacing w:lineRule="exact" w:line="264" w:before="0" w:after="80"/>
        <w:ind w:hanging="360" w:start="720"/>
        <w:rPr/>
      </w:pPr>
      <w:r>
        <w:rPr>
          <w:rFonts w:eastAsia="Arial" w:cs="Arial"/>
          <w:sz w:val="21"/>
          <w:szCs w:val="21"/>
        </w:rPr>
        <w:t>c. Provide courses in English and a second language as needed and deliver in-person courses at the facility location.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Educational Program Curriculum &amp; Instructor Qualifications</w:t>
      </w:r>
    </w:p>
    <w:p>
      <w:pPr>
        <w:pStyle w:val="ListParagraph"/>
        <w:numPr>
          <w:ilvl w:val="0"/>
          <w:numId w:val="1"/>
        </w:numPr>
        <w:spacing w:lineRule="exact" w:line="264" w:before="0" w:after="60"/>
        <w:rPr/>
      </w:pPr>
      <w:r>
        <w:rPr>
          <w:rFonts w:eastAsia="Arial" w:cs="Arial"/>
          <w:sz w:val="21"/>
          <w:szCs w:val="21"/>
        </w:rPr>
        <w:t>Certificate of Completion (standardized format)</w:t>
      </w:r>
    </w:p>
    <w:p>
      <w:pPr>
        <w:pStyle w:val="ListParagraph"/>
        <w:numPr>
          <w:ilvl w:val="0"/>
          <w:numId w:val="1"/>
        </w:numPr>
        <w:spacing w:lineRule="exact" w:line="264" w:before="0" w:after="60"/>
        <w:rPr/>
      </w:pPr>
      <w:r>
        <w:rPr>
          <w:rFonts w:eastAsia="Arial" w:cs="Arial"/>
          <w:sz w:val="21"/>
          <w:szCs w:val="21"/>
        </w:rPr>
        <w:t>Certificate Accounting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H</w:t>
      </w:r>
    </w:p>
    <w:p>
      <w:pPr>
        <w:pStyle w:val="Normal"/>
        <w:pBdr>
          <w:bottom w:val="single" w:sz="12" w:space="4" w:color="1A4731"/>
        </w:pBdr>
        <w:spacing w:before="0" w:after="240"/>
        <w:jc w:val="start"/>
        <w:rPr/>
      </w:pPr>
      <w:r>
        <w:rPr>
          <w:rFonts w:eastAsia="Arial" w:cs="Arial"/>
          <w:b/>
          <w:bCs/>
          <w:color w:val="222222"/>
          <w:sz w:val="40"/>
          <w:szCs w:val="40"/>
        </w:rPr>
        <w:t>Appendices</w:t>
      </w:r>
    </w:p>
    <w:p>
      <w:pPr>
        <w:pStyle w:val="Normal"/>
        <w:spacing w:lineRule="exact" w:line="288" w:before="0" w:after="240"/>
        <w:rPr/>
      </w:pPr>
      <w:r>
        <w:rPr>
          <w:rFonts w:eastAsia="Arial" w:cs="Arial"/>
          <w:color w:val="444444"/>
          <w:sz w:val="22"/>
          <w:szCs w:val="22"/>
        </w:rPr>
        <w:t>Supporting reference material for adopting and operating this manual — a required-forms checklist, a directory of Texas agencies and resources, guidance on customizing the manual and matching it to the facility's licensed services, and a client rights acknowledgment.</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A  Required Forms Checklist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B  Texas Agency &amp; Resource Directory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C  How to Use This Manual</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D  Client Rights Acknowledgment</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A — Required Forms Checklist</w:t>
      </w:r>
    </w:p>
    <w:p>
      <w:pPr>
        <w:pStyle w:val="Normal"/>
        <w:spacing w:lineRule="exact" w:line="276" w:before="0" w:after="120"/>
        <w:rPr/>
      </w:pPr>
      <w:r>
        <w:rPr>
          <w:rFonts w:eastAsia="Arial" w:cs="Arial"/>
          <w:sz w:val="21"/>
          <w:szCs w:val="21"/>
        </w:rPr>
        <w:t>The forms below are referenced throughout this manual, grouped by section. The facility should maintain a current copy of each and customize as needed. Where a form corresponds to an official HHSC form, use the current HHSC version.</w:t>
      </w:r>
    </w:p>
    <w:p>
      <w:pPr>
        <w:pStyle w:val="Normal"/>
        <w:spacing w:before="140" w:after="40"/>
        <w:rPr/>
      </w:pPr>
      <w:r>
        <w:rPr>
          <w:rFonts w:eastAsia="Arial" w:cs="Arial"/>
          <w:b/>
          <w:bCs/>
          <w:color w:val="333333"/>
          <w:sz w:val="21"/>
          <w:szCs w:val="21"/>
        </w:rPr>
        <w:t>Section A — Governance, Licensure &amp; Administration</w:t>
      </w:r>
    </w:p>
    <w:p>
      <w:pPr>
        <w:pStyle w:val="ListParagraph"/>
        <w:numPr>
          <w:ilvl w:val="0"/>
          <w:numId w:val="1"/>
        </w:numPr>
        <w:spacing w:lineRule="exact" w:line="264" w:before="0" w:after="60"/>
        <w:rPr/>
      </w:pPr>
      <w:r>
        <w:rPr>
          <w:rFonts w:eastAsia="Arial" w:cs="Arial"/>
          <w:sz w:val="21"/>
          <w:szCs w:val="21"/>
        </w:rPr>
        <w:t>Organizational Chart</w:t>
      </w:r>
    </w:p>
    <w:p>
      <w:pPr>
        <w:pStyle w:val="ListParagraph"/>
        <w:numPr>
          <w:ilvl w:val="0"/>
          <w:numId w:val="1"/>
        </w:numPr>
        <w:spacing w:lineRule="exact" w:line="264" w:before="0" w:after="60"/>
        <w:rPr/>
      </w:pPr>
      <w:r>
        <w:rPr>
          <w:rFonts w:eastAsia="Arial" w:cs="Arial"/>
          <w:sz w:val="21"/>
          <w:szCs w:val="21"/>
        </w:rPr>
        <w:t>Governing Body Charter</w:t>
      </w:r>
    </w:p>
    <w:p>
      <w:pPr>
        <w:pStyle w:val="ListParagraph"/>
        <w:numPr>
          <w:ilvl w:val="0"/>
          <w:numId w:val="1"/>
        </w:numPr>
        <w:spacing w:lineRule="exact" w:line="264" w:before="0" w:after="60"/>
        <w:rPr/>
      </w:pPr>
      <w:r>
        <w:rPr>
          <w:rFonts w:eastAsia="Arial" w:cs="Arial"/>
          <w:sz w:val="21"/>
          <w:szCs w:val="21"/>
        </w:rPr>
        <w:t>Chief Executive Officer / Facility Director Job Description</w:t>
      </w:r>
    </w:p>
    <w:p>
      <w:pPr>
        <w:pStyle w:val="ListParagraph"/>
        <w:numPr>
          <w:ilvl w:val="0"/>
          <w:numId w:val="1"/>
        </w:numPr>
        <w:spacing w:lineRule="exact" w:line="264" w:before="0" w:after="60"/>
        <w:rPr/>
      </w:pPr>
      <w:r>
        <w:rPr>
          <w:rFonts w:eastAsia="Arial" w:cs="Arial"/>
          <w:sz w:val="21"/>
          <w:szCs w:val="21"/>
        </w:rPr>
        <w:t>Medical Director Designation (where applicable)</w:t>
      </w:r>
    </w:p>
    <w:p>
      <w:pPr>
        <w:pStyle w:val="ListParagraph"/>
        <w:numPr>
          <w:ilvl w:val="0"/>
          <w:numId w:val="1"/>
        </w:numPr>
        <w:spacing w:lineRule="exact" w:line="264" w:before="0" w:after="60"/>
        <w:rPr/>
      </w:pPr>
      <w:r>
        <w:rPr>
          <w:rFonts w:eastAsia="Arial" w:cs="Arial"/>
          <w:sz w:val="21"/>
          <w:szCs w:val="21"/>
        </w:rPr>
        <w:t>CDTF License Application (HHSC Form 3207) &amp; Checklist (Form 3208)</w:t>
      </w:r>
    </w:p>
    <w:p>
      <w:pPr>
        <w:pStyle w:val="ListParagraph"/>
        <w:numPr>
          <w:ilvl w:val="0"/>
          <w:numId w:val="1"/>
        </w:numPr>
        <w:spacing w:lineRule="exact" w:line="264" w:before="0" w:after="60"/>
        <w:rPr/>
      </w:pPr>
      <w:r>
        <w:rPr>
          <w:rFonts w:eastAsia="Arial" w:cs="Arial"/>
          <w:sz w:val="21"/>
          <w:szCs w:val="21"/>
        </w:rPr>
        <w:t>License &amp; Service Register</w:t>
      </w:r>
    </w:p>
    <w:p>
      <w:pPr>
        <w:pStyle w:val="ListParagraph"/>
        <w:numPr>
          <w:ilvl w:val="0"/>
          <w:numId w:val="1"/>
        </w:numPr>
        <w:spacing w:lineRule="exact" w:line="264" w:before="0" w:after="60"/>
        <w:rPr/>
      </w:pPr>
      <w:r>
        <w:rPr>
          <w:rFonts w:eastAsia="Arial" w:cs="Arial"/>
          <w:sz w:val="21"/>
          <w:szCs w:val="21"/>
        </w:rPr>
        <w:t>Plan of Correction Template</w:t>
      </w:r>
    </w:p>
    <w:p>
      <w:pPr>
        <w:pStyle w:val="ListParagraph"/>
        <w:numPr>
          <w:ilvl w:val="0"/>
          <w:numId w:val="1"/>
        </w:numPr>
        <w:spacing w:lineRule="exact" w:line="264" w:before="0" w:after="60"/>
        <w:rPr/>
      </w:pPr>
      <w:r>
        <w:rPr>
          <w:rFonts w:eastAsia="Arial" w:cs="Arial"/>
          <w:sz w:val="21"/>
          <w:szCs w:val="21"/>
        </w:rPr>
        <w:t>Licensing &amp; Renewal Calendar</w:t>
      </w:r>
    </w:p>
    <w:p>
      <w:pPr>
        <w:pStyle w:val="ListParagraph"/>
        <w:numPr>
          <w:ilvl w:val="0"/>
          <w:numId w:val="1"/>
        </w:numPr>
        <w:spacing w:lineRule="exact" w:line="264" w:before="0" w:after="60"/>
        <w:rPr/>
      </w:pPr>
      <w:r>
        <w:rPr>
          <w:rFonts w:eastAsia="Arial" w:cs="Arial"/>
          <w:sz w:val="21"/>
          <w:szCs w:val="21"/>
        </w:rPr>
        <w:t>Operational Plan</w:t>
      </w:r>
    </w:p>
    <w:p>
      <w:pPr>
        <w:pStyle w:val="ListParagraph"/>
        <w:numPr>
          <w:ilvl w:val="0"/>
          <w:numId w:val="1"/>
        </w:numPr>
        <w:spacing w:lineRule="exact" w:line="264" w:before="0" w:after="60"/>
        <w:rPr/>
      </w:pPr>
      <w:r>
        <w:rPr>
          <w:rFonts w:eastAsia="Arial" w:cs="Arial"/>
          <w:sz w:val="21"/>
          <w:szCs w:val="21"/>
        </w:rPr>
        <w:t>Master Policy Index &amp; Version Log</w:t>
      </w:r>
    </w:p>
    <w:p>
      <w:pPr>
        <w:pStyle w:val="ListParagraph"/>
        <w:numPr>
          <w:ilvl w:val="0"/>
          <w:numId w:val="1"/>
        </w:numPr>
        <w:spacing w:lineRule="exact" w:line="264" w:before="0" w:after="60"/>
        <w:rPr/>
      </w:pPr>
      <w:r>
        <w:rPr>
          <w:rFonts w:eastAsia="Arial" w:cs="Arial"/>
          <w:sz w:val="21"/>
          <w:szCs w:val="21"/>
        </w:rPr>
        <w:t>Policy Review &amp; Approval Record</w:t>
      </w:r>
    </w:p>
    <w:p>
      <w:pPr>
        <w:pStyle w:val="ListParagraph"/>
        <w:numPr>
          <w:ilvl w:val="0"/>
          <w:numId w:val="1"/>
        </w:numPr>
        <w:spacing w:lineRule="exact" w:line="264" w:before="0" w:after="60"/>
        <w:rPr/>
      </w:pPr>
      <w:r>
        <w:rPr>
          <w:rFonts w:eastAsia="Arial" w:cs="Arial"/>
          <w:sz w:val="21"/>
          <w:szCs w:val="21"/>
        </w:rPr>
        <w:t>Policy Distribution &amp; Acknowledgment Log</w:t>
      </w:r>
    </w:p>
    <w:p>
      <w:pPr>
        <w:pStyle w:val="ListParagraph"/>
        <w:numPr>
          <w:ilvl w:val="0"/>
          <w:numId w:val="1"/>
        </w:numPr>
        <w:spacing w:lineRule="exact" w:line="264" w:before="0" w:after="60"/>
        <w:rPr/>
      </w:pPr>
      <w:r>
        <w:rPr>
          <w:rFonts w:eastAsia="Arial" w:cs="Arial"/>
          <w:sz w:val="21"/>
          <w:szCs w:val="21"/>
        </w:rPr>
        <w:t>Quality Management Plan</w:t>
      </w:r>
    </w:p>
    <w:p>
      <w:pPr>
        <w:pStyle w:val="ListParagraph"/>
        <w:numPr>
          <w:ilvl w:val="0"/>
          <w:numId w:val="1"/>
        </w:numPr>
        <w:spacing w:lineRule="exact" w:line="264" w:before="0" w:after="60"/>
        <w:rPr/>
      </w:pPr>
      <w:r>
        <w:rPr>
          <w:rFonts w:eastAsia="Arial" w:cs="Arial"/>
          <w:sz w:val="21"/>
          <w:szCs w:val="21"/>
        </w:rPr>
        <w:t>QM Data Collection &amp; Analysis Tools</w:t>
      </w:r>
    </w:p>
    <w:p>
      <w:pPr>
        <w:pStyle w:val="ListParagraph"/>
        <w:numPr>
          <w:ilvl w:val="0"/>
          <w:numId w:val="1"/>
        </w:numPr>
        <w:spacing w:lineRule="exact" w:line="264" w:before="0" w:after="60"/>
        <w:rPr/>
      </w:pPr>
      <w:r>
        <w:rPr>
          <w:rFonts w:eastAsia="Arial" w:cs="Arial"/>
          <w:sz w:val="21"/>
          <w:szCs w:val="21"/>
        </w:rPr>
        <w:t>Corrective Action &amp; Effectiveness Record</w:t>
      </w:r>
    </w:p>
    <w:p>
      <w:pPr>
        <w:pStyle w:val="ListParagraph"/>
        <w:numPr>
          <w:ilvl w:val="0"/>
          <w:numId w:val="1"/>
        </w:numPr>
        <w:spacing w:lineRule="exact" w:line="264" w:before="0" w:after="60"/>
        <w:rPr/>
      </w:pPr>
      <w:r>
        <w:rPr>
          <w:rFonts w:eastAsia="Arial" w:cs="Arial"/>
          <w:sz w:val="21"/>
          <w:szCs w:val="21"/>
        </w:rPr>
        <w:t>HHSC Reporting Calendar &amp; Log</w:t>
      </w:r>
    </w:p>
    <w:p>
      <w:pPr>
        <w:pStyle w:val="ListParagraph"/>
        <w:numPr>
          <w:ilvl w:val="0"/>
          <w:numId w:val="1"/>
        </w:numPr>
        <w:spacing w:lineRule="exact" w:line="264" w:before="0" w:after="60"/>
        <w:rPr/>
      </w:pPr>
      <w:r>
        <w:rPr>
          <w:rFonts w:eastAsia="Arial" w:cs="Arial"/>
          <w:sz w:val="21"/>
          <w:szCs w:val="21"/>
        </w:rPr>
        <w:t>Required Postings Checklist</w:t>
      </w:r>
    </w:p>
    <w:p>
      <w:pPr>
        <w:pStyle w:val="ListParagraph"/>
        <w:numPr>
          <w:ilvl w:val="0"/>
          <w:numId w:val="1"/>
        </w:numPr>
        <w:spacing w:lineRule="exact" w:line="264" w:before="0" w:after="60"/>
        <w:rPr/>
      </w:pPr>
      <w:r>
        <w:rPr>
          <w:rFonts w:eastAsia="Arial" w:cs="Arial"/>
          <w:sz w:val="21"/>
          <w:szCs w:val="21"/>
        </w:rPr>
        <w:t>Marketing &amp; Advertising Review Record</w:t>
      </w:r>
    </w:p>
    <w:p>
      <w:pPr>
        <w:pStyle w:val="ListParagraph"/>
        <w:numPr>
          <w:ilvl w:val="0"/>
          <w:numId w:val="1"/>
        </w:numPr>
        <w:spacing w:lineRule="exact" w:line="264" w:before="0" w:after="60"/>
        <w:rPr/>
      </w:pPr>
      <w:r>
        <w:rPr>
          <w:rFonts w:eastAsia="Arial" w:cs="Arial"/>
          <w:sz w:val="21"/>
          <w:szCs w:val="21"/>
        </w:rPr>
        <w:t>Anti-Brokering Policy &amp; Acknowledgment</w:t>
      </w:r>
    </w:p>
    <w:p>
      <w:pPr>
        <w:pStyle w:val="ListParagraph"/>
        <w:numPr>
          <w:ilvl w:val="0"/>
          <w:numId w:val="1"/>
        </w:numPr>
        <w:spacing w:lineRule="exact" w:line="264" w:before="0" w:after="60"/>
        <w:rPr/>
      </w:pPr>
      <w:r>
        <w:rPr>
          <w:rFonts w:eastAsia="Arial" w:cs="Arial"/>
          <w:sz w:val="21"/>
          <w:szCs w:val="21"/>
        </w:rPr>
        <w:t>Referral Source Documentation</w:t>
      </w:r>
    </w:p>
    <w:p>
      <w:pPr>
        <w:pStyle w:val="Normal"/>
        <w:spacing w:before="140" w:after="40"/>
        <w:rPr/>
      </w:pPr>
      <w:r>
        <w:rPr>
          <w:rFonts w:eastAsia="Arial" w:cs="Arial"/>
          <w:b/>
          <w:bCs/>
          <w:color w:val="333333"/>
          <w:sz w:val="21"/>
          <w:szCs w:val="21"/>
        </w:rPr>
        <w:t>Section B — Personnel &amp; Workforce</w:t>
      </w:r>
    </w:p>
    <w:p>
      <w:pPr>
        <w:pStyle w:val="ListParagraph"/>
        <w:numPr>
          <w:ilvl w:val="0"/>
          <w:numId w:val="1"/>
        </w:numPr>
        <w:spacing w:lineRule="exact" w:line="264" w:before="0" w:after="60"/>
        <w:rPr/>
      </w:pPr>
      <w:r>
        <w:rPr>
          <w:rFonts w:eastAsia="Arial" w:cs="Arial"/>
          <w:sz w:val="21"/>
          <w:szCs w:val="21"/>
        </w:rPr>
        <w:t>Personnel Policy Manual</w:t>
      </w:r>
    </w:p>
    <w:p>
      <w:pPr>
        <w:pStyle w:val="ListParagraph"/>
        <w:numPr>
          <w:ilvl w:val="0"/>
          <w:numId w:val="1"/>
        </w:numPr>
        <w:spacing w:lineRule="exact" w:line="264" w:before="0" w:after="60"/>
        <w:rPr/>
      </w:pPr>
      <w:r>
        <w:rPr>
          <w:rFonts w:eastAsia="Arial" w:cs="Arial"/>
          <w:sz w:val="21"/>
          <w:szCs w:val="21"/>
        </w:rPr>
        <w:t>Personnel Record Checklist</w:t>
      </w:r>
    </w:p>
    <w:p>
      <w:pPr>
        <w:pStyle w:val="ListParagraph"/>
        <w:numPr>
          <w:ilvl w:val="0"/>
          <w:numId w:val="1"/>
        </w:numPr>
        <w:spacing w:lineRule="exact" w:line="264" w:before="0" w:after="60"/>
        <w:rPr/>
      </w:pPr>
      <w:r>
        <w:rPr>
          <w:rFonts w:eastAsia="Arial" w:cs="Arial"/>
          <w:sz w:val="21"/>
          <w:szCs w:val="21"/>
        </w:rPr>
        <w:t>Credential Verification Record</w:t>
      </w:r>
    </w:p>
    <w:p>
      <w:pPr>
        <w:pStyle w:val="ListParagraph"/>
        <w:numPr>
          <w:ilvl w:val="0"/>
          <w:numId w:val="1"/>
        </w:numPr>
        <w:spacing w:lineRule="exact" w:line="264" w:before="0" w:after="60"/>
        <w:rPr/>
      </w:pPr>
      <w:r>
        <w:rPr>
          <w:rFonts w:eastAsia="Arial" w:cs="Arial"/>
          <w:sz w:val="21"/>
          <w:szCs w:val="21"/>
        </w:rPr>
        <w:t>Performance Evaluation</w:t>
      </w:r>
    </w:p>
    <w:p>
      <w:pPr>
        <w:pStyle w:val="ListParagraph"/>
        <w:numPr>
          <w:ilvl w:val="0"/>
          <w:numId w:val="1"/>
        </w:numPr>
        <w:spacing w:lineRule="exact" w:line="264" w:before="0" w:after="60"/>
        <w:rPr/>
      </w:pPr>
      <w:r>
        <w:rPr>
          <w:rFonts w:eastAsia="Arial" w:cs="Arial"/>
          <w:sz w:val="21"/>
          <w:szCs w:val="21"/>
        </w:rPr>
        <w:t>Credential &amp; Scope-of-Practice Verification Record</w:t>
      </w:r>
    </w:p>
    <w:p>
      <w:pPr>
        <w:pStyle w:val="ListParagraph"/>
        <w:numPr>
          <w:ilvl w:val="0"/>
          <w:numId w:val="1"/>
        </w:numPr>
        <w:spacing w:lineRule="exact" w:line="264" w:before="0" w:after="60"/>
        <w:rPr/>
      </w:pPr>
      <w:r>
        <w:rPr>
          <w:rFonts w:eastAsia="Arial" w:cs="Arial"/>
          <w:sz w:val="21"/>
          <w:szCs w:val="21"/>
        </w:rPr>
        <w:t>LCDC / Counselor Intern Roster</w:t>
      </w:r>
    </w:p>
    <w:p>
      <w:pPr>
        <w:pStyle w:val="ListParagraph"/>
        <w:numPr>
          <w:ilvl w:val="0"/>
          <w:numId w:val="1"/>
        </w:numPr>
        <w:spacing w:lineRule="exact" w:line="264" w:before="0" w:after="60"/>
        <w:rPr/>
      </w:pPr>
      <w:r>
        <w:rPr>
          <w:rFonts w:eastAsia="Arial" w:cs="Arial"/>
          <w:sz w:val="21"/>
          <w:szCs w:val="21"/>
        </w:rPr>
        <w:t>Counselor Intern Supervision Record</w:t>
      </w:r>
    </w:p>
    <w:p>
      <w:pPr>
        <w:pStyle w:val="ListParagraph"/>
        <w:numPr>
          <w:ilvl w:val="0"/>
          <w:numId w:val="1"/>
        </w:numPr>
        <w:spacing w:lineRule="exact" w:line="264" w:before="0" w:after="60"/>
        <w:rPr/>
      </w:pPr>
      <w:r>
        <w:rPr>
          <w:rFonts w:eastAsia="Arial" w:cs="Arial"/>
          <w:sz w:val="21"/>
          <w:szCs w:val="21"/>
        </w:rPr>
        <w:t>Background Check Tracking Log</w:t>
      </w:r>
    </w:p>
    <w:p>
      <w:pPr>
        <w:pStyle w:val="ListParagraph"/>
        <w:numPr>
          <w:ilvl w:val="0"/>
          <w:numId w:val="1"/>
        </w:numPr>
        <w:spacing w:lineRule="exact" w:line="264" w:before="0" w:after="60"/>
        <w:rPr/>
      </w:pPr>
      <w:r>
        <w:rPr>
          <w:rFonts w:eastAsia="Arial" w:cs="Arial"/>
          <w:sz w:val="21"/>
          <w:szCs w:val="21"/>
        </w:rPr>
        <w:t>Disqualification Determination Record</w:t>
      </w:r>
    </w:p>
    <w:p>
      <w:pPr>
        <w:pStyle w:val="ListParagraph"/>
        <w:numPr>
          <w:ilvl w:val="0"/>
          <w:numId w:val="1"/>
        </w:numPr>
        <w:spacing w:lineRule="exact" w:line="264" w:before="0" w:after="60"/>
        <w:rPr/>
      </w:pPr>
      <w:r>
        <w:rPr>
          <w:rFonts w:eastAsia="Arial" w:cs="Arial"/>
          <w:sz w:val="21"/>
          <w:szCs w:val="21"/>
        </w:rPr>
        <w:t>Orientation Checklist &amp; Acknowledgment</w:t>
      </w:r>
    </w:p>
    <w:p>
      <w:pPr>
        <w:pStyle w:val="ListParagraph"/>
        <w:numPr>
          <w:ilvl w:val="0"/>
          <w:numId w:val="1"/>
        </w:numPr>
        <w:spacing w:lineRule="exact" w:line="264" w:before="0" w:after="60"/>
        <w:rPr/>
      </w:pPr>
      <w:r>
        <w:rPr>
          <w:rFonts w:eastAsia="Arial" w:cs="Arial"/>
          <w:sz w:val="21"/>
          <w:szCs w:val="21"/>
        </w:rPr>
        <w:t>Training Attendance &amp; Documentation Log</w:t>
      </w:r>
    </w:p>
    <w:p>
      <w:pPr>
        <w:pStyle w:val="ListParagraph"/>
        <w:numPr>
          <w:ilvl w:val="0"/>
          <w:numId w:val="1"/>
        </w:numPr>
        <w:spacing w:lineRule="exact" w:line="264" w:before="0" w:after="60"/>
        <w:rPr/>
      </w:pPr>
      <w:r>
        <w:rPr>
          <w:rFonts w:eastAsia="Arial" w:cs="Arial"/>
          <w:sz w:val="21"/>
          <w:szCs w:val="21"/>
        </w:rPr>
        <w:t>Annual Training Plan</w:t>
      </w:r>
    </w:p>
    <w:p>
      <w:pPr>
        <w:pStyle w:val="ListParagraph"/>
        <w:numPr>
          <w:ilvl w:val="0"/>
          <w:numId w:val="1"/>
        </w:numPr>
        <w:spacing w:lineRule="exact" w:line="264" w:before="0" w:after="60"/>
        <w:rPr/>
      </w:pPr>
      <w:r>
        <w:rPr>
          <w:rFonts w:eastAsia="Arial" w:cs="Arial"/>
          <w:sz w:val="21"/>
          <w:szCs w:val="21"/>
        </w:rPr>
        <w:t>Standards of Conduct &amp; Staff Acknowledgment</w:t>
      </w:r>
    </w:p>
    <w:p>
      <w:pPr>
        <w:pStyle w:val="ListParagraph"/>
        <w:numPr>
          <w:ilvl w:val="0"/>
          <w:numId w:val="1"/>
        </w:numPr>
        <w:spacing w:lineRule="exact" w:line="264" w:before="0" w:after="60"/>
        <w:rPr/>
      </w:pPr>
      <w:r>
        <w:rPr>
          <w:rFonts w:eastAsia="Arial" w:cs="Arial"/>
          <w:sz w:val="21"/>
          <w:szCs w:val="21"/>
        </w:rPr>
        <w:t>Impaired Provider Procedure</w:t>
      </w:r>
    </w:p>
    <w:p>
      <w:pPr>
        <w:pStyle w:val="ListParagraph"/>
        <w:numPr>
          <w:ilvl w:val="0"/>
          <w:numId w:val="1"/>
        </w:numPr>
        <w:spacing w:lineRule="exact" w:line="264" w:before="0" w:after="60"/>
        <w:rPr/>
      </w:pPr>
      <w:r>
        <w:rPr>
          <w:rFonts w:eastAsia="Arial" w:cs="Arial"/>
          <w:sz w:val="21"/>
          <w:szCs w:val="21"/>
        </w:rPr>
        <w:t>Ethics / Prohibited-Act Violation Report</w:t>
      </w:r>
    </w:p>
    <w:p>
      <w:pPr>
        <w:pStyle w:val="Normal"/>
        <w:spacing w:before="140" w:after="40"/>
        <w:rPr/>
      </w:pPr>
      <w:r>
        <w:rPr>
          <w:rFonts w:eastAsia="Arial" w:cs="Arial"/>
          <w:b/>
          <w:bCs/>
          <w:color w:val="333333"/>
          <w:sz w:val="21"/>
          <w:szCs w:val="21"/>
        </w:rPr>
        <w:t>Section C — Client Rights &amp; Confidentiality</w:t>
      </w:r>
    </w:p>
    <w:p>
      <w:pPr>
        <w:pStyle w:val="ListParagraph"/>
        <w:numPr>
          <w:ilvl w:val="0"/>
          <w:numId w:val="1"/>
        </w:numPr>
        <w:spacing w:lineRule="exact" w:line="264" w:before="0" w:after="60"/>
        <w:rPr/>
      </w:pPr>
      <w:r>
        <w:rPr>
          <w:rFonts w:eastAsia="Arial" w:cs="Arial"/>
          <w:sz w:val="21"/>
          <w:szCs w:val="21"/>
        </w:rPr>
        <w:t>Client Rights Statement &amp; Poster</w:t>
      </w:r>
    </w:p>
    <w:p>
      <w:pPr>
        <w:pStyle w:val="ListParagraph"/>
        <w:numPr>
          <w:ilvl w:val="0"/>
          <w:numId w:val="1"/>
        </w:numPr>
        <w:spacing w:lineRule="exact" w:line="264" w:before="0" w:after="60"/>
        <w:rPr/>
      </w:pPr>
      <w:r>
        <w:rPr>
          <w:rFonts w:eastAsia="Arial" w:cs="Arial"/>
          <w:sz w:val="21"/>
          <w:szCs w:val="21"/>
        </w:rPr>
        <w:t>Acknowledgment of Receipt of Rights</w:t>
      </w:r>
    </w:p>
    <w:p>
      <w:pPr>
        <w:pStyle w:val="ListParagraph"/>
        <w:numPr>
          <w:ilvl w:val="0"/>
          <w:numId w:val="1"/>
        </w:numPr>
        <w:spacing w:lineRule="exact" w:line="264" w:before="0" w:after="60"/>
        <w:rPr/>
      </w:pPr>
      <w:r>
        <w:rPr>
          <w:rFonts w:eastAsia="Arial" w:cs="Arial"/>
          <w:sz w:val="21"/>
          <w:szCs w:val="21"/>
        </w:rPr>
        <w:t>Rules of Conduct &amp; Acknowledgment</w:t>
      </w:r>
    </w:p>
    <w:p>
      <w:pPr>
        <w:pStyle w:val="ListParagraph"/>
        <w:numPr>
          <w:ilvl w:val="0"/>
          <w:numId w:val="1"/>
        </w:numPr>
        <w:spacing w:lineRule="exact" w:line="264" w:before="0" w:after="60"/>
        <w:rPr/>
      </w:pPr>
      <w:r>
        <w:rPr>
          <w:rFonts w:eastAsia="Arial" w:cs="Arial"/>
          <w:sz w:val="21"/>
          <w:szCs w:val="21"/>
        </w:rPr>
        <w:t>42 CFR Part 2 Consent to Disclosure</w:t>
      </w:r>
    </w:p>
    <w:p>
      <w:pPr>
        <w:pStyle w:val="ListParagraph"/>
        <w:numPr>
          <w:ilvl w:val="0"/>
          <w:numId w:val="1"/>
        </w:numPr>
        <w:spacing w:lineRule="exact" w:line="264" w:before="0" w:after="60"/>
        <w:rPr/>
      </w:pPr>
      <w:r>
        <w:rPr>
          <w:rFonts w:eastAsia="Arial" w:cs="Arial"/>
          <w:sz w:val="21"/>
          <w:szCs w:val="21"/>
        </w:rPr>
        <w:t>Release-of-Information Log</w:t>
      </w:r>
    </w:p>
    <w:p>
      <w:pPr>
        <w:pStyle w:val="ListParagraph"/>
        <w:numPr>
          <w:ilvl w:val="0"/>
          <w:numId w:val="1"/>
        </w:numPr>
        <w:spacing w:lineRule="exact" w:line="264" w:before="0" w:after="60"/>
        <w:rPr/>
      </w:pPr>
      <w:r>
        <w:rPr>
          <w:rFonts w:eastAsia="Arial" w:cs="Arial"/>
          <w:sz w:val="21"/>
          <w:szCs w:val="21"/>
        </w:rPr>
        <w:t>Notice of Privacy Practices</w:t>
      </w:r>
    </w:p>
    <w:p>
      <w:pPr>
        <w:pStyle w:val="ListParagraph"/>
        <w:numPr>
          <w:ilvl w:val="0"/>
          <w:numId w:val="1"/>
        </w:numPr>
        <w:spacing w:lineRule="exact" w:line="264" w:before="0" w:after="60"/>
        <w:rPr/>
      </w:pPr>
      <w:r>
        <w:rPr>
          <w:rFonts w:eastAsia="Arial" w:cs="Arial"/>
          <w:sz w:val="21"/>
          <w:szCs w:val="21"/>
        </w:rPr>
        <w:t>Qualified Service Organization / Business Associate Agreement</w:t>
      </w:r>
    </w:p>
    <w:p>
      <w:pPr>
        <w:pStyle w:val="ListParagraph"/>
        <w:numPr>
          <w:ilvl w:val="0"/>
          <w:numId w:val="1"/>
        </w:numPr>
        <w:spacing w:lineRule="exact" w:line="264" w:before="0" w:after="60"/>
        <w:rPr/>
      </w:pPr>
      <w:r>
        <w:rPr>
          <w:rFonts w:eastAsia="Arial" w:cs="Arial"/>
          <w:sz w:val="21"/>
          <w:szCs w:val="21"/>
        </w:rPr>
        <w:t>Suspected Abuse/Neglect/Exploitation Report</w:t>
      </w:r>
    </w:p>
    <w:p>
      <w:pPr>
        <w:pStyle w:val="ListParagraph"/>
        <w:numPr>
          <w:ilvl w:val="0"/>
          <w:numId w:val="1"/>
        </w:numPr>
        <w:spacing w:lineRule="exact" w:line="264" w:before="0" w:after="60"/>
        <w:rPr/>
      </w:pPr>
      <w:r>
        <w:rPr>
          <w:rFonts w:eastAsia="Arial" w:cs="Arial"/>
          <w:sz w:val="21"/>
          <w:szCs w:val="21"/>
        </w:rPr>
        <w:t>Mandatory-Reporter Acknowledgment</w:t>
      </w:r>
    </w:p>
    <w:p>
      <w:pPr>
        <w:pStyle w:val="ListParagraph"/>
        <w:numPr>
          <w:ilvl w:val="0"/>
          <w:numId w:val="1"/>
        </w:numPr>
        <w:spacing w:lineRule="exact" w:line="264" w:before="0" w:after="60"/>
        <w:rPr/>
      </w:pPr>
      <w:r>
        <w:rPr>
          <w:rFonts w:eastAsia="Arial" w:cs="Arial"/>
          <w:sz w:val="21"/>
          <w:szCs w:val="21"/>
        </w:rPr>
        <w:t>Client Grievance Form</w:t>
      </w:r>
    </w:p>
    <w:p>
      <w:pPr>
        <w:pStyle w:val="ListParagraph"/>
        <w:numPr>
          <w:ilvl w:val="0"/>
          <w:numId w:val="1"/>
        </w:numPr>
        <w:spacing w:lineRule="exact" w:line="264" w:before="0" w:after="60"/>
        <w:rPr/>
      </w:pPr>
      <w:r>
        <w:rPr>
          <w:rFonts w:eastAsia="Arial" w:cs="Arial"/>
          <w:sz w:val="21"/>
          <w:szCs w:val="21"/>
        </w:rPr>
        <w:t>Grievance Response &amp; Resolution Log</w:t>
      </w:r>
    </w:p>
    <w:p>
      <w:pPr>
        <w:pStyle w:val="ListParagraph"/>
        <w:numPr>
          <w:ilvl w:val="0"/>
          <w:numId w:val="1"/>
        </w:numPr>
        <w:spacing w:lineRule="exact" w:line="264" w:before="0" w:after="60"/>
        <w:rPr/>
      </w:pPr>
      <w:r>
        <w:rPr>
          <w:rFonts w:eastAsia="Arial" w:cs="Arial"/>
          <w:sz w:val="21"/>
          <w:szCs w:val="21"/>
        </w:rPr>
        <w:t>HHSC Complaint Information Posting</w:t>
      </w:r>
    </w:p>
    <w:p>
      <w:pPr>
        <w:pStyle w:val="ListParagraph"/>
        <w:numPr>
          <w:ilvl w:val="0"/>
          <w:numId w:val="1"/>
        </w:numPr>
        <w:spacing w:lineRule="exact" w:line="264" w:before="0" w:after="60"/>
        <w:rPr/>
      </w:pPr>
      <w:r>
        <w:rPr>
          <w:rFonts w:eastAsia="Arial" w:cs="Arial"/>
          <w:sz w:val="21"/>
          <w:szCs w:val="21"/>
        </w:rPr>
        <w:t>Prohibited Practices Policy &amp; Acknowledgment</w:t>
      </w:r>
    </w:p>
    <w:p>
      <w:pPr>
        <w:pStyle w:val="ListParagraph"/>
        <w:numPr>
          <w:ilvl w:val="0"/>
          <w:numId w:val="1"/>
        </w:numPr>
        <w:spacing w:lineRule="exact" w:line="264" w:before="0" w:after="60"/>
        <w:rPr/>
      </w:pPr>
      <w:r>
        <w:rPr>
          <w:rFonts w:eastAsia="Arial" w:cs="Arial"/>
          <w:sz w:val="21"/>
          <w:szCs w:val="21"/>
        </w:rPr>
        <w:t>Behavior-Management / De-escalation Procedure</w:t>
      </w:r>
    </w:p>
    <w:p>
      <w:pPr>
        <w:pStyle w:val="ListParagraph"/>
        <w:numPr>
          <w:ilvl w:val="0"/>
          <w:numId w:val="1"/>
        </w:numPr>
        <w:spacing w:lineRule="exact" w:line="264" w:before="0" w:after="60"/>
        <w:rPr/>
      </w:pPr>
      <w:r>
        <w:rPr>
          <w:rFonts w:eastAsia="Arial" w:cs="Arial"/>
          <w:sz w:val="21"/>
          <w:szCs w:val="21"/>
        </w:rPr>
        <w:t>Emergency Safety Situation Report</w:t>
      </w:r>
    </w:p>
    <w:p>
      <w:pPr>
        <w:pStyle w:val="Normal"/>
        <w:spacing w:before="140" w:after="40"/>
        <w:rPr/>
      </w:pPr>
      <w:r>
        <w:rPr>
          <w:rFonts w:eastAsia="Arial" w:cs="Arial"/>
          <w:b/>
          <w:bCs/>
          <w:color w:val="333333"/>
          <w:sz w:val="21"/>
          <w:szCs w:val="21"/>
        </w:rPr>
        <w:t>Section D — Screening, Assessment &amp; Treatment</w:t>
      </w:r>
    </w:p>
    <w:p>
      <w:pPr>
        <w:pStyle w:val="ListParagraph"/>
        <w:numPr>
          <w:ilvl w:val="0"/>
          <w:numId w:val="1"/>
        </w:numPr>
        <w:spacing w:lineRule="exact" w:line="264" w:before="0" w:after="60"/>
        <w:rPr/>
      </w:pPr>
      <w:r>
        <w:rPr>
          <w:rFonts w:eastAsia="Arial" w:cs="Arial"/>
          <w:sz w:val="21"/>
          <w:szCs w:val="21"/>
        </w:rPr>
        <w:t>Screening &amp; Eligibility Determination</w:t>
      </w:r>
    </w:p>
    <w:p>
      <w:pPr>
        <w:pStyle w:val="ListParagraph"/>
        <w:numPr>
          <w:ilvl w:val="0"/>
          <w:numId w:val="1"/>
        </w:numPr>
        <w:spacing w:lineRule="exact" w:line="264" w:before="0" w:after="60"/>
        <w:rPr/>
      </w:pPr>
      <w:r>
        <w:rPr>
          <w:rFonts w:eastAsia="Arial" w:cs="Arial"/>
          <w:sz w:val="21"/>
          <w:szCs w:val="21"/>
        </w:rPr>
        <w:t>Admission Record &amp; Consent to Treatment</w:t>
      </w:r>
    </w:p>
    <w:p>
      <w:pPr>
        <w:pStyle w:val="ListParagraph"/>
        <w:numPr>
          <w:ilvl w:val="0"/>
          <w:numId w:val="1"/>
        </w:numPr>
        <w:spacing w:lineRule="exact" w:line="264" w:before="0" w:after="60"/>
        <w:rPr/>
      </w:pPr>
      <w:r>
        <w:rPr>
          <w:rFonts w:eastAsia="Arial" w:cs="Arial"/>
          <w:sz w:val="21"/>
          <w:szCs w:val="21"/>
        </w:rPr>
        <w:t>Referral Record</w:t>
      </w:r>
    </w:p>
    <w:p>
      <w:pPr>
        <w:pStyle w:val="ListParagraph"/>
        <w:numPr>
          <w:ilvl w:val="0"/>
          <w:numId w:val="1"/>
        </w:numPr>
        <w:spacing w:lineRule="exact" w:line="264" w:before="0" w:after="60"/>
        <w:rPr/>
      </w:pPr>
      <w:r>
        <w:rPr>
          <w:rFonts w:eastAsia="Arial" w:cs="Arial"/>
          <w:sz w:val="21"/>
          <w:szCs w:val="21"/>
        </w:rPr>
        <w:t>Comprehensive Assessment Form</w:t>
      </w:r>
    </w:p>
    <w:p>
      <w:pPr>
        <w:pStyle w:val="ListParagraph"/>
        <w:numPr>
          <w:ilvl w:val="0"/>
          <w:numId w:val="1"/>
        </w:numPr>
        <w:spacing w:lineRule="exact" w:line="264" w:before="0" w:after="60"/>
        <w:rPr/>
      </w:pPr>
      <w:r>
        <w:rPr>
          <w:rFonts w:eastAsia="Arial" w:cs="Arial"/>
          <w:sz w:val="21"/>
          <w:szCs w:val="21"/>
        </w:rPr>
        <w:t>COPSD Screening Tool</w:t>
      </w:r>
    </w:p>
    <w:p>
      <w:pPr>
        <w:pStyle w:val="ListParagraph"/>
        <w:numPr>
          <w:ilvl w:val="0"/>
          <w:numId w:val="1"/>
        </w:numPr>
        <w:spacing w:lineRule="exact" w:line="264" w:before="0" w:after="60"/>
        <w:rPr/>
      </w:pPr>
      <w:r>
        <w:rPr>
          <w:rFonts w:eastAsia="Arial" w:cs="Arial"/>
          <w:sz w:val="21"/>
          <w:szCs w:val="21"/>
        </w:rPr>
        <w:t>Level-of-Care Determination</w:t>
      </w:r>
    </w:p>
    <w:p>
      <w:pPr>
        <w:pStyle w:val="ListParagraph"/>
        <w:numPr>
          <w:ilvl w:val="0"/>
          <w:numId w:val="1"/>
        </w:numPr>
        <w:spacing w:lineRule="exact" w:line="264" w:before="0" w:after="60"/>
        <w:rPr/>
      </w:pPr>
      <w:r>
        <w:rPr>
          <w:rFonts w:eastAsia="Arial" w:cs="Arial"/>
          <w:sz w:val="21"/>
          <w:szCs w:val="21"/>
        </w:rPr>
        <w:t>Individualized Treatment Plan</w:t>
      </w:r>
    </w:p>
    <w:p>
      <w:pPr>
        <w:pStyle w:val="ListParagraph"/>
        <w:numPr>
          <w:ilvl w:val="0"/>
          <w:numId w:val="1"/>
        </w:numPr>
        <w:spacing w:lineRule="exact" w:line="264" w:before="0" w:after="60"/>
        <w:rPr/>
      </w:pPr>
      <w:r>
        <w:rPr>
          <w:rFonts w:eastAsia="Arial" w:cs="Arial"/>
          <w:sz w:val="21"/>
          <w:szCs w:val="21"/>
        </w:rPr>
        <w:t>Treatment Plan Review Record</w:t>
      </w:r>
    </w:p>
    <w:p>
      <w:pPr>
        <w:pStyle w:val="ListParagraph"/>
        <w:numPr>
          <w:ilvl w:val="0"/>
          <w:numId w:val="1"/>
        </w:numPr>
        <w:spacing w:lineRule="exact" w:line="264" w:before="0" w:after="60"/>
        <w:rPr/>
      </w:pPr>
      <w:r>
        <w:rPr>
          <w:rFonts w:eastAsia="Arial" w:cs="Arial"/>
          <w:sz w:val="21"/>
          <w:szCs w:val="21"/>
        </w:rPr>
        <w:t>Progress Note Template</w:t>
      </w:r>
    </w:p>
    <w:p>
      <w:pPr>
        <w:pStyle w:val="ListParagraph"/>
        <w:numPr>
          <w:ilvl w:val="0"/>
          <w:numId w:val="1"/>
        </w:numPr>
        <w:spacing w:lineRule="exact" w:line="264" w:before="0" w:after="60"/>
        <w:rPr/>
      </w:pPr>
      <w:r>
        <w:rPr>
          <w:rFonts w:eastAsia="Arial" w:cs="Arial"/>
          <w:sz w:val="21"/>
          <w:szCs w:val="21"/>
        </w:rPr>
        <w:t>Counseling Session Note</w:t>
      </w:r>
    </w:p>
    <w:p>
      <w:pPr>
        <w:pStyle w:val="ListParagraph"/>
        <w:numPr>
          <w:ilvl w:val="0"/>
          <w:numId w:val="1"/>
        </w:numPr>
        <w:spacing w:lineRule="exact" w:line="264" w:before="0" w:after="60"/>
        <w:rPr/>
      </w:pPr>
      <w:r>
        <w:rPr>
          <w:rFonts w:eastAsia="Arial" w:cs="Arial"/>
          <w:sz w:val="21"/>
          <w:szCs w:val="21"/>
        </w:rPr>
        <w:t>Group Session Roster &amp; Note</w:t>
      </w:r>
    </w:p>
    <w:p>
      <w:pPr>
        <w:pStyle w:val="ListParagraph"/>
        <w:numPr>
          <w:ilvl w:val="0"/>
          <w:numId w:val="1"/>
        </w:numPr>
        <w:spacing w:lineRule="exact" w:line="264" w:before="0" w:after="60"/>
        <w:rPr/>
      </w:pPr>
      <w:r>
        <w:rPr>
          <w:rFonts w:eastAsia="Arial" w:cs="Arial"/>
          <w:sz w:val="21"/>
          <w:szCs w:val="21"/>
        </w:rPr>
        <w:t>Discharge / Continuing-Care Plan</w:t>
      </w:r>
    </w:p>
    <w:p>
      <w:pPr>
        <w:pStyle w:val="ListParagraph"/>
        <w:numPr>
          <w:ilvl w:val="0"/>
          <w:numId w:val="1"/>
        </w:numPr>
        <w:spacing w:lineRule="exact" w:line="264" w:before="0" w:after="60"/>
        <w:rPr/>
      </w:pPr>
      <w:r>
        <w:rPr>
          <w:rFonts w:eastAsia="Arial" w:cs="Arial"/>
          <w:sz w:val="21"/>
          <w:szCs w:val="21"/>
        </w:rPr>
        <w:t>Discharge Summary</w:t>
      </w:r>
    </w:p>
    <w:p>
      <w:pPr>
        <w:pStyle w:val="ListParagraph"/>
        <w:numPr>
          <w:ilvl w:val="0"/>
          <w:numId w:val="1"/>
        </w:numPr>
        <w:spacing w:lineRule="exact" w:line="264" w:before="0" w:after="60"/>
        <w:rPr/>
      </w:pPr>
      <w:r>
        <w:rPr>
          <w:rFonts w:eastAsia="Arial" w:cs="Arial"/>
          <w:sz w:val="21"/>
          <w:szCs w:val="21"/>
        </w:rPr>
        <w:t>Referral &amp; Recovery-Support Record</w:t>
      </w:r>
    </w:p>
    <w:p>
      <w:pPr>
        <w:pStyle w:val="ListParagraph"/>
        <w:numPr>
          <w:ilvl w:val="0"/>
          <w:numId w:val="1"/>
        </w:numPr>
        <w:spacing w:lineRule="exact" w:line="264" w:before="0" w:after="60"/>
        <w:rPr/>
      </w:pPr>
      <w:r>
        <w:rPr>
          <w:rFonts w:eastAsia="Arial" w:cs="Arial"/>
          <w:sz w:val="21"/>
          <w:szCs w:val="21"/>
        </w:rPr>
        <w:t>Telehealth Service Policy &amp; Consent</w:t>
      </w:r>
    </w:p>
    <w:p>
      <w:pPr>
        <w:pStyle w:val="ListParagraph"/>
        <w:numPr>
          <w:ilvl w:val="0"/>
          <w:numId w:val="1"/>
        </w:numPr>
        <w:spacing w:lineRule="exact" w:line="264" w:before="0" w:after="60"/>
        <w:rPr/>
      </w:pPr>
      <w:r>
        <w:rPr>
          <w:rFonts w:eastAsia="Arial" w:cs="Arial"/>
          <w:sz w:val="21"/>
          <w:szCs w:val="21"/>
        </w:rPr>
        <w:t>Electronic Service Documentation</w:t>
      </w:r>
    </w:p>
    <w:p>
      <w:pPr>
        <w:pStyle w:val="Normal"/>
        <w:spacing w:before="140" w:after="40"/>
        <w:rPr/>
      </w:pPr>
      <w:r>
        <w:rPr>
          <w:rFonts w:eastAsia="Arial" w:cs="Arial"/>
          <w:b/>
          <w:bCs/>
          <w:color w:val="333333"/>
          <w:sz w:val="21"/>
          <w:szCs w:val="21"/>
        </w:rPr>
        <w:t>Section E — Records, Medication &amp; Nutrition</w:t>
      </w:r>
    </w:p>
    <w:p>
      <w:pPr>
        <w:pStyle w:val="ListParagraph"/>
        <w:numPr>
          <w:ilvl w:val="0"/>
          <w:numId w:val="1"/>
        </w:numPr>
        <w:spacing w:lineRule="exact" w:line="264" w:before="0" w:after="60"/>
        <w:rPr/>
      </w:pPr>
      <w:r>
        <w:rPr>
          <w:rFonts w:eastAsia="Arial" w:cs="Arial"/>
          <w:sz w:val="21"/>
          <w:szCs w:val="21"/>
        </w:rPr>
        <w:t>Client Record Index / Chart Order</w:t>
      </w:r>
    </w:p>
    <w:p>
      <w:pPr>
        <w:pStyle w:val="ListParagraph"/>
        <w:numPr>
          <w:ilvl w:val="0"/>
          <w:numId w:val="1"/>
        </w:numPr>
        <w:spacing w:lineRule="exact" w:line="264" w:before="0" w:after="60"/>
        <w:rPr/>
      </w:pPr>
      <w:r>
        <w:rPr>
          <w:rFonts w:eastAsia="Arial" w:cs="Arial"/>
          <w:sz w:val="21"/>
          <w:szCs w:val="21"/>
        </w:rPr>
        <w:t>Record Retention &amp; Destruction Schedule</w:t>
      </w:r>
    </w:p>
    <w:p>
      <w:pPr>
        <w:pStyle w:val="ListParagraph"/>
        <w:numPr>
          <w:ilvl w:val="0"/>
          <w:numId w:val="1"/>
        </w:numPr>
        <w:spacing w:lineRule="exact" w:line="264" w:before="0" w:after="60"/>
        <w:rPr/>
      </w:pPr>
      <w:r>
        <w:rPr>
          <w:rFonts w:eastAsia="Arial" w:cs="Arial"/>
          <w:sz w:val="21"/>
          <w:szCs w:val="21"/>
        </w:rPr>
        <w:t>Record Access &amp; Authorization Log</w:t>
      </w:r>
    </w:p>
    <w:p>
      <w:pPr>
        <w:pStyle w:val="ListParagraph"/>
        <w:numPr>
          <w:ilvl w:val="0"/>
          <w:numId w:val="1"/>
        </w:numPr>
        <w:spacing w:lineRule="exact" w:line="264" w:before="0" w:after="60"/>
        <w:rPr/>
      </w:pPr>
      <w:r>
        <w:rPr>
          <w:rFonts w:eastAsia="Arial" w:cs="Arial"/>
          <w:sz w:val="21"/>
          <w:szCs w:val="21"/>
        </w:rPr>
        <w:t>Incident Report</w:t>
      </w:r>
    </w:p>
    <w:p>
      <w:pPr>
        <w:pStyle w:val="ListParagraph"/>
        <w:numPr>
          <w:ilvl w:val="0"/>
          <w:numId w:val="1"/>
        </w:numPr>
        <w:spacing w:lineRule="exact" w:line="264" w:before="0" w:after="60"/>
        <w:rPr/>
      </w:pPr>
      <w:r>
        <w:rPr>
          <w:rFonts w:eastAsia="Arial" w:cs="Arial"/>
          <w:sz w:val="21"/>
          <w:szCs w:val="21"/>
        </w:rPr>
        <w:t>Incident Review &amp; Corrective Action Record</w:t>
      </w:r>
    </w:p>
    <w:p>
      <w:pPr>
        <w:pStyle w:val="ListParagraph"/>
        <w:numPr>
          <w:ilvl w:val="0"/>
          <w:numId w:val="1"/>
        </w:numPr>
        <w:spacing w:lineRule="exact" w:line="264" w:before="0" w:after="60"/>
        <w:rPr/>
      </w:pPr>
      <w:r>
        <w:rPr>
          <w:rFonts w:eastAsia="Arial" w:cs="Arial"/>
          <w:sz w:val="21"/>
          <w:szCs w:val="21"/>
        </w:rPr>
        <w:t>HHSC Notification Log</w:t>
      </w:r>
    </w:p>
    <w:p>
      <w:pPr>
        <w:pStyle w:val="ListParagraph"/>
        <w:numPr>
          <w:ilvl w:val="0"/>
          <w:numId w:val="1"/>
        </w:numPr>
        <w:spacing w:lineRule="exact" w:line="264" w:before="0" w:after="60"/>
        <w:rPr/>
      </w:pPr>
      <w:r>
        <w:rPr>
          <w:rFonts w:eastAsia="Arial" w:cs="Arial"/>
          <w:sz w:val="21"/>
          <w:szCs w:val="21"/>
        </w:rPr>
        <w:t>Medication Administration / Supervision Record</w:t>
      </w:r>
    </w:p>
    <w:p>
      <w:pPr>
        <w:pStyle w:val="ListParagraph"/>
        <w:numPr>
          <w:ilvl w:val="0"/>
          <w:numId w:val="1"/>
        </w:numPr>
        <w:spacing w:lineRule="exact" w:line="264" w:before="0" w:after="60"/>
        <w:rPr/>
      </w:pPr>
      <w:r>
        <w:rPr>
          <w:rFonts w:eastAsia="Arial" w:cs="Arial"/>
          <w:sz w:val="21"/>
          <w:szCs w:val="21"/>
        </w:rPr>
        <w:t>Controlled-Substance Storage &amp; Inventory Log</w:t>
      </w:r>
    </w:p>
    <w:p>
      <w:pPr>
        <w:pStyle w:val="ListParagraph"/>
        <w:numPr>
          <w:ilvl w:val="0"/>
          <w:numId w:val="1"/>
        </w:numPr>
        <w:spacing w:lineRule="exact" w:line="264" w:before="0" w:after="60"/>
        <w:rPr/>
      </w:pPr>
      <w:r>
        <w:rPr>
          <w:rFonts w:eastAsia="Arial" w:cs="Arial"/>
          <w:sz w:val="21"/>
          <w:szCs w:val="21"/>
        </w:rPr>
        <w:t>Medication Error / Adverse Reaction Report</w:t>
      </w:r>
    </w:p>
    <w:p>
      <w:pPr>
        <w:pStyle w:val="ListParagraph"/>
        <w:numPr>
          <w:ilvl w:val="0"/>
          <w:numId w:val="1"/>
        </w:numPr>
        <w:spacing w:lineRule="exact" w:line="264" w:before="0" w:after="60"/>
        <w:rPr/>
      </w:pPr>
      <w:r>
        <w:rPr>
          <w:rFonts w:eastAsia="Arial" w:cs="Arial"/>
          <w:sz w:val="21"/>
          <w:szCs w:val="21"/>
        </w:rPr>
        <w:t>Menu &amp; Nutrition Plan</w:t>
      </w:r>
    </w:p>
    <w:p>
      <w:pPr>
        <w:pStyle w:val="ListParagraph"/>
        <w:numPr>
          <w:ilvl w:val="0"/>
          <w:numId w:val="1"/>
        </w:numPr>
        <w:spacing w:lineRule="exact" w:line="264" w:before="0" w:after="60"/>
        <w:rPr/>
      </w:pPr>
      <w:r>
        <w:rPr>
          <w:rFonts w:eastAsia="Arial" w:cs="Arial"/>
          <w:sz w:val="21"/>
          <w:szCs w:val="21"/>
        </w:rPr>
        <w:t>Food-Service Sanitation Log</w:t>
      </w:r>
    </w:p>
    <w:p>
      <w:pPr>
        <w:pStyle w:val="ListParagraph"/>
        <w:numPr>
          <w:ilvl w:val="0"/>
          <w:numId w:val="1"/>
        </w:numPr>
        <w:spacing w:lineRule="exact" w:line="264" w:before="0" w:after="60"/>
        <w:rPr/>
      </w:pPr>
      <w:r>
        <w:rPr>
          <w:rFonts w:eastAsia="Arial" w:cs="Arial"/>
          <w:sz w:val="21"/>
          <w:szCs w:val="21"/>
        </w:rPr>
        <w:t>Food-Service Contract &amp; Inspection Record</w:t>
      </w:r>
    </w:p>
    <w:p>
      <w:pPr>
        <w:pStyle w:val="ListParagraph"/>
        <w:numPr>
          <w:ilvl w:val="0"/>
          <w:numId w:val="1"/>
        </w:numPr>
        <w:spacing w:lineRule="exact" w:line="264" w:before="0" w:after="60"/>
        <w:rPr/>
      </w:pPr>
      <w:r>
        <w:rPr>
          <w:rFonts w:eastAsia="Arial" w:cs="Arial"/>
          <w:sz w:val="21"/>
          <w:szCs w:val="21"/>
        </w:rPr>
        <w:t>Vehicle &amp; Driver Records</w:t>
      </w:r>
    </w:p>
    <w:p>
      <w:pPr>
        <w:pStyle w:val="ListParagraph"/>
        <w:numPr>
          <w:ilvl w:val="0"/>
          <w:numId w:val="1"/>
        </w:numPr>
        <w:spacing w:lineRule="exact" w:line="264" w:before="0" w:after="60"/>
        <w:rPr/>
      </w:pPr>
      <w:r>
        <w:rPr>
          <w:rFonts w:eastAsia="Arial" w:cs="Arial"/>
          <w:sz w:val="21"/>
          <w:szCs w:val="21"/>
        </w:rPr>
        <w:t>Transportation Log</w:t>
      </w:r>
    </w:p>
    <w:p>
      <w:pPr>
        <w:pStyle w:val="Normal"/>
        <w:spacing w:before="140" w:after="40"/>
        <w:rPr/>
      </w:pPr>
      <w:r>
        <w:rPr>
          <w:rFonts w:eastAsia="Arial" w:cs="Arial"/>
          <w:b/>
          <w:bCs/>
          <w:color w:val="333333"/>
          <w:sz w:val="21"/>
          <w:szCs w:val="21"/>
        </w:rPr>
        <w:t>Section F — Facility, Environment &amp; Safety</w:t>
      </w:r>
    </w:p>
    <w:p>
      <w:pPr>
        <w:pStyle w:val="ListParagraph"/>
        <w:numPr>
          <w:ilvl w:val="0"/>
          <w:numId w:val="1"/>
        </w:numPr>
        <w:spacing w:lineRule="exact" w:line="264" w:before="0" w:after="60"/>
        <w:rPr/>
      </w:pPr>
      <w:r>
        <w:rPr>
          <w:rFonts w:eastAsia="Arial" w:cs="Arial"/>
          <w:sz w:val="21"/>
          <w:szCs w:val="21"/>
        </w:rPr>
        <w:t>Environmental Rounds Checklist</w:t>
      </w:r>
    </w:p>
    <w:p>
      <w:pPr>
        <w:pStyle w:val="ListParagraph"/>
        <w:numPr>
          <w:ilvl w:val="0"/>
          <w:numId w:val="1"/>
        </w:numPr>
        <w:spacing w:lineRule="exact" w:line="264" w:before="0" w:after="60"/>
        <w:rPr/>
      </w:pPr>
      <w:r>
        <w:rPr>
          <w:rFonts w:eastAsia="Arial" w:cs="Arial"/>
          <w:sz w:val="21"/>
          <w:szCs w:val="21"/>
        </w:rPr>
        <w:t>Required Postings Checklist (facility)</w:t>
      </w:r>
    </w:p>
    <w:p>
      <w:pPr>
        <w:pStyle w:val="ListParagraph"/>
        <w:numPr>
          <w:ilvl w:val="0"/>
          <w:numId w:val="1"/>
        </w:numPr>
        <w:spacing w:lineRule="exact" w:line="264" w:before="0" w:after="60"/>
        <w:rPr/>
      </w:pPr>
      <w:r>
        <w:rPr>
          <w:rFonts w:eastAsia="Arial" w:cs="Arial"/>
          <w:sz w:val="21"/>
          <w:szCs w:val="21"/>
        </w:rPr>
        <w:t>Facility Floor Plan</w:t>
      </w:r>
    </w:p>
    <w:p>
      <w:pPr>
        <w:pStyle w:val="ListParagraph"/>
        <w:numPr>
          <w:ilvl w:val="0"/>
          <w:numId w:val="1"/>
        </w:numPr>
        <w:spacing w:lineRule="exact" w:line="264" w:before="0" w:after="60"/>
        <w:rPr/>
      </w:pPr>
      <w:r>
        <w:rPr>
          <w:rFonts w:eastAsia="Arial" w:cs="Arial"/>
          <w:sz w:val="21"/>
          <w:szCs w:val="21"/>
        </w:rPr>
        <w:t>Inspection &amp; Certification File (alarm, kitchen, gas, extinguishers)</w:t>
      </w:r>
    </w:p>
    <w:p>
      <w:pPr>
        <w:pStyle w:val="ListParagraph"/>
        <w:numPr>
          <w:ilvl w:val="0"/>
          <w:numId w:val="1"/>
        </w:numPr>
        <w:spacing w:lineRule="exact" w:line="264" w:before="0" w:after="60"/>
        <w:rPr/>
      </w:pPr>
      <w:r>
        <w:rPr>
          <w:rFonts w:eastAsia="Arial" w:cs="Arial"/>
          <w:sz w:val="21"/>
          <w:szCs w:val="21"/>
        </w:rPr>
        <w:t>Physical-Plant Maintenance Log</w:t>
      </w:r>
    </w:p>
    <w:p>
      <w:pPr>
        <w:pStyle w:val="ListParagraph"/>
        <w:numPr>
          <w:ilvl w:val="0"/>
          <w:numId w:val="1"/>
        </w:numPr>
        <w:spacing w:lineRule="exact" w:line="264" w:before="0" w:after="60"/>
        <w:rPr/>
      </w:pPr>
      <w:r>
        <w:rPr>
          <w:rFonts w:eastAsia="Arial" w:cs="Arial"/>
          <w:sz w:val="21"/>
          <w:szCs w:val="21"/>
        </w:rPr>
        <w:t>Emergency Evacuation Plan</w:t>
      </w:r>
    </w:p>
    <w:p>
      <w:pPr>
        <w:pStyle w:val="ListParagraph"/>
        <w:numPr>
          <w:ilvl w:val="0"/>
          <w:numId w:val="1"/>
        </w:numPr>
        <w:spacing w:lineRule="exact" w:line="264" w:before="0" w:after="60"/>
        <w:rPr/>
      </w:pPr>
      <w:r>
        <w:rPr>
          <w:rFonts w:eastAsia="Arial" w:cs="Arial"/>
          <w:sz w:val="21"/>
          <w:szCs w:val="21"/>
        </w:rPr>
        <w:t>Drill Documentation Log</w:t>
      </w:r>
    </w:p>
    <w:p>
      <w:pPr>
        <w:pStyle w:val="ListParagraph"/>
        <w:numPr>
          <w:ilvl w:val="0"/>
          <w:numId w:val="1"/>
        </w:numPr>
        <w:spacing w:lineRule="exact" w:line="264" w:before="0" w:after="60"/>
        <w:rPr/>
      </w:pPr>
      <w:r>
        <w:rPr>
          <w:rFonts w:eastAsia="Arial" w:cs="Arial"/>
          <w:sz w:val="21"/>
          <w:szCs w:val="21"/>
        </w:rPr>
        <w:t>Emergency Procedures &amp; First-Aid Inventory</w:t>
      </w:r>
    </w:p>
    <w:p>
      <w:pPr>
        <w:pStyle w:val="ListParagraph"/>
        <w:numPr>
          <w:ilvl w:val="0"/>
          <w:numId w:val="1"/>
        </w:numPr>
        <w:spacing w:lineRule="exact" w:line="264" w:before="0" w:after="60"/>
        <w:rPr/>
      </w:pPr>
      <w:r>
        <w:rPr>
          <w:rFonts w:eastAsia="Arial" w:cs="Arial"/>
          <w:sz w:val="21"/>
          <w:szCs w:val="21"/>
        </w:rPr>
        <w:t>Inspection Certificates &amp; Reports File</w:t>
      </w:r>
    </w:p>
    <w:p>
      <w:pPr>
        <w:pStyle w:val="ListParagraph"/>
        <w:numPr>
          <w:ilvl w:val="0"/>
          <w:numId w:val="1"/>
        </w:numPr>
        <w:spacing w:lineRule="exact" w:line="264" w:before="0" w:after="60"/>
        <w:rPr/>
      </w:pPr>
      <w:r>
        <w:rPr>
          <w:rFonts w:eastAsia="Arial" w:cs="Arial"/>
          <w:sz w:val="21"/>
          <w:szCs w:val="21"/>
        </w:rPr>
        <w:t>Life-Safety Deficiency &amp; Correction Log</w:t>
      </w:r>
    </w:p>
    <w:p>
      <w:pPr>
        <w:pStyle w:val="Normal"/>
        <w:spacing w:before="140" w:after="40"/>
        <w:rPr/>
      </w:pPr>
      <w:r>
        <w:rPr>
          <w:rFonts w:eastAsia="Arial" w:cs="Arial"/>
          <w:b/>
          <w:bCs/>
          <w:color w:val="333333"/>
          <w:sz w:val="21"/>
          <w:szCs w:val="21"/>
        </w:rPr>
        <w:t>Section G — Service-Type &amp; Specialty Program Standards</w:t>
      </w:r>
    </w:p>
    <w:p>
      <w:pPr>
        <w:pStyle w:val="ListParagraph"/>
        <w:numPr>
          <w:ilvl w:val="0"/>
          <w:numId w:val="1"/>
        </w:numPr>
        <w:spacing w:lineRule="exact" w:line="264" w:before="0" w:after="60"/>
        <w:rPr/>
      </w:pPr>
      <w:r>
        <w:rPr>
          <w:rFonts w:eastAsia="Arial" w:cs="Arial"/>
          <w:sz w:val="21"/>
          <w:szCs w:val="21"/>
        </w:rPr>
        <w:t>Detoxification Admission &amp; Withdrawal Assessment</w:t>
      </w:r>
    </w:p>
    <w:p>
      <w:pPr>
        <w:pStyle w:val="ListParagraph"/>
        <w:numPr>
          <w:ilvl w:val="0"/>
          <w:numId w:val="1"/>
        </w:numPr>
        <w:spacing w:lineRule="exact" w:line="264" w:before="0" w:after="60"/>
        <w:rPr/>
      </w:pPr>
      <w:r>
        <w:rPr>
          <w:rFonts w:eastAsia="Arial" w:cs="Arial"/>
          <w:sz w:val="21"/>
          <w:szCs w:val="21"/>
        </w:rPr>
        <w:t>Medical Monitoring / Withdrawal Management Record</w:t>
      </w:r>
    </w:p>
    <w:p>
      <w:pPr>
        <w:pStyle w:val="ListParagraph"/>
        <w:numPr>
          <w:ilvl w:val="0"/>
          <w:numId w:val="1"/>
        </w:numPr>
        <w:spacing w:lineRule="exact" w:line="264" w:before="0" w:after="60"/>
        <w:rPr/>
      </w:pPr>
      <w:r>
        <w:rPr>
          <w:rFonts w:eastAsia="Arial" w:cs="Arial"/>
          <w:sz w:val="21"/>
          <w:szCs w:val="21"/>
        </w:rPr>
        <w:t>Level-of-Care Transfer Record</w:t>
      </w:r>
    </w:p>
    <w:p>
      <w:pPr>
        <w:pStyle w:val="ListParagraph"/>
        <w:numPr>
          <w:ilvl w:val="0"/>
          <w:numId w:val="1"/>
        </w:numPr>
        <w:spacing w:lineRule="exact" w:line="264" w:before="0" w:after="60"/>
        <w:rPr/>
      </w:pPr>
      <w:r>
        <w:rPr>
          <w:rFonts w:eastAsia="Arial" w:cs="Arial"/>
          <w:sz w:val="21"/>
          <w:szCs w:val="21"/>
        </w:rPr>
        <w:t>Residential Admission &amp; Service Schedule</w:t>
      </w:r>
    </w:p>
    <w:p>
      <w:pPr>
        <w:pStyle w:val="ListParagraph"/>
        <w:numPr>
          <w:ilvl w:val="0"/>
          <w:numId w:val="1"/>
        </w:numPr>
        <w:spacing w:lineRule="exact" w:line="264" w:before="0" w:after="60"/>
        <w:rPr/>
      </w:pPr>
      <w:r>
        <w:rPr>
          <w:rFonts w:eastAsia="Arial" w:cs="Arial"/>
          <w:sz w:val="21"/>
          <w:szCs w:val="21"/>
        </w:rPr>
        <w:t>Residential Staffing &amp; Supervision Record</w:t>
      </w:r>
    </w:p>
    <w:p>
      <w:pPr>
        <w:pStyle w:val="ListParagraph"/>
        <w:numPr>
          <w:ilvl w:val="0"/>
          <w:numId w:val="1"/>
        </w:numPr>
        <w:spacing w:lineRule="exact" w:line="264" w:before="0" w:after="60"/>
        <w:rPr/>
      </w:pPr>
      <w:r>
        <w:rPr>
          <w:rFonts w:eastAsia="Arial" w:cs="Arial"/>
          <w:sz w:val="21"/>
          <w:szCs w:val="21"/>
        </w:rPr>
        <w:t>Outpatient Service Schedule &amp; Log</w:t>
      </w:r>
    </w:p>
    <w:p>
      <w:pPr>
        <w:pStyle w:val="ListParagraph"/>
        <w:numPr>
          <w:ilvl w:val="0"/>
          <w:numId w:val="1"/>
        </w:numPr>
        <w:spacing w:lineRule="exact" w:line="264" w:before="0" w:after="60"/>
        <w:rPr/>
      </w:pPr>
      <w:r>
        <w:rPr>
          <w:rFonts w:eastAsia="Arial" w:cs="Arial"/>
          <w:sz w:val="21"/>
          <w:szCs w:val="21"/>
        </w:rPr>
        <w:t>Intensive Outpatient Attendance Record</w:t>
      </w:r>
    </w:p>
    <w:p>
      <w:pPr>
        <w:pStyle w:val="ListParagraph"/>
        <w:numPr>
          <w:ilvl w:val="0"/>
          <w:numId w:val="1"/>
        </w:numPr>
        <w:spacing w:lineRule="exact" w:line="264" w:before="0" w:after="60"/>
        <w:rPr/>
      </w:pPr>
      <w:r>
        <w:rPr>
          <w:rFonts w:eastAsia="Arial" w:cs="Arial"/>
          <w:sz w:val="21"/>
          <w:szCs w:val="21"/>
        </w:rPr>
        <w:t>Psychiatric / Medical Referral Record</w:t>
      </w:r>
    </w:p>
    <w:p>
      <w:pPr>
        <w:pStyle w:val="ListParagraph"/>
        <w:numPr>
          <w:ilvl w:val="0"/>
          <w:numId w:val="1"/>
        </w:numPr>
        <w:spacing w:lineRule="exact" w:line="264" w:before="0" w:after="60"/>
        <w:rPr/>
      </w:pPr>
      <w:r>
        <w:rPr>
          <w:rFonts w:eastAsia="Arial" w:cs="Arial"/>
          <w:sz w:val="21"/>
          <w:szCs w:val="21"/>
        </w:rPr>
        <w:t>Adolescent Consent &amp; Guardian Involvement Record</w:t>
      </w:r>
    </w:p>
    <w:p>
      <w:pPr>
        <w:pStyle w:val="ListParagraph"/>
        <w:numPr>
          <w:ilvl w:val="0"/>
          <w:numId w:val="1"/>
        </w:numPr>
        <w:spacing w:lineRule="exact" w:line="264" w:before="0" w:after="60"/>
        <w:rPr/>
      </w:pPr>
      <w:r>
        <w:rPr>
          <w:rFonts w:eastAsia="Arial" w:cs="Arial"/>
          <w:sz w:val="21"/>
          <w:szCs w:val="21"/>
        </w:rPr>
        <w:t>Adolescent Program Staffing &amp; Competency Record</w:t>
      </w:r>
    </w:p>
    <w:p>
      <w:pPr>
        <w:pStyle w:val="ListParagraph"/>
        <w:numPr>
          <w:ilvl w:val="0"/>
          <w:numId w:val="1"/>
        </w:numPr>
        <w:spacing w:lineRule="exact" w:line="264" w:before="0" w:after="60"/>
        <w:rPr/>
      </w:pPr>
      <w:r>
        <w:rPr>
          <w:rFonts w:eastAsia="Arial" w:cs="Arial"/>
          <w:sz w:val="21"/>
          <w:szCs w:val="21"/>
        </w:rPr>
        <w:t>COPSD Access &amp; Screening Record</w:t>
      </w:r>
    </w:p>
    <w:p>
      <w:pPr>
        <w:pStyle w:val="ListParagraph"/>
        <w:numPr>
          <w:ilvl w:val="0"/>
          <w:numId w:val="1"/>
        </w:numPr>
        <w:spacing w:lineRule="exact" w:line="264" w:before="0" w:after="60"/>
        <w:rPr/>
      </w:pPr>
      <w:r>
        <w:rPr>
          <w:rFonts w:eastAsia="Arial" w:cs="Arial"/>
          <w:sz w:val="21"/>
          <w:szCs w:val="21"/>
        </w:rPr>
        <w:t>Integrated COPSD Treatment Plan</w:t>
      </w:r>
    </w:p>
    <w:p>
      <w:pPr>
        <w:pStyle w:val="ListParagraph"/>
        <w:numPr>
          <w:ilvl w:val="0"/>
          <w:numId w:val="1"/>
        </w:numPr>
        <w:spacing w:lineRule="exact" w:line="264" w:before="0" w:after="60"/>
        <w:rPr/>
      </w:pPr>
      <w:r>
        <w:rPr>
          <w:rFonts w:eastAsia="Arial" w:cs="Arial"/>
          <w:sz w:val="21"/>
          <w:szCs w:val="21"/>
        </w:rPr>
        <w:t>Women &amp; Children Program Plan</w:t>
      </w:r>
    </w:p>
    <w:p>
      <w:pPr>
        <w:pStyle w:val="ListParagraph"/>
        <w:numPr>
          <w:ilvl w:val="0"/>
          <w:numId w:val="1"/>
        </w:numPr>
        <w:spacing w:lineRule="exact" w:line="264" w:before="0" w:after="60"/>
        <w:rPr/>
      </w:pPr>
      <w:r>
        <w:rPr>
          <w:rFonts w:eastAsia="Arial" w:cs="Arial"/>
          <w:sz w:val="21"/>
          <w:szCs w:val="21"/>
        </w:rPr>
        <w:t>Accompanying-Child Care Arrangement Record</w:t>
      </w:r>
    </w:p>
    <w:p>
      <w:pPr>
        <w:pStyle w:val="ListParagraph"/>
        <w:numPr>
          <w:ilvl w:val="0"/>
          <w:numId w:val="1"/>
        </w:numPr>
        <w:spacing w:lineRule="exact" w:line="264" w:before="0" w:after="60"/>
        <w:rPr/>
      </w:pPr>
      <w:r>
        <w:rPr>
          <w:rFonts w:eastAsia="Arial" w:cs="Arial"/>
          <w:sz w:val="21"/>
          <w:szCs w:val="21"/>
        </w:rPr>
        <w:t>Court Order &amp; Legal-Status File</w:t>
      </w:r>
    </w:p>
    <w:p>
      <w:pPr>
        <w:pStyle w:val="ListParagraph"/>
        <w:numPr>
          <w:ilvl w:val="0"/>
          <w:numId w:val="1"/>
        </w:numPr>
        <w:spacing w:lineRule="exact" w:line="264" w:before="0" w:after="60"/>
        <w:rPr/>
      </w:pPr>
      <w:r>
        <w:rPr>
          <w:rFonts w:eastAsia="Arial" w:cs="Arial"/>
          <w:sz w:val="21"/>
          <w:szCs w:val="21"/>
        </w:rPr>
        <w:t>Court Reporting Record</w:t>
      </w:r>
    </w:p>
    <w:p>
      <w:pPr>
        <w:pStyle w:val="ListParagraph"/>
        <w:numPr>
          <w:ilvl w:val="0"/>
          <w:numId w:val="1"/>
        </w:numPr>
        <w:spacing w:lineRule="exact" w:line="264" w:before="0" w:after="60"/>
        <w:rPr/>
      </w:pPr>
      <w:r>
        <w:rPr>
          <w:rFonts w:eastAsia="Arial" w:cs="Arial"/>
          <w:sz w:val="21"/>
          <w:szCs w:val="21"/>
        </w:rPr>
        <w:t>Therapeutic Community Program Description</w:t>
      </w:r>
    </w:p>
    <w:p>
      <w:pPr>
        <w:pStyle w:val="ListParagraph"/>
        <w:numPr>
          <w:ilvl w:val="0"/>
          <w:numId w:val="1"/>
        </w:numPr>
        <w:spacing w:lineRule="exact" w:line="264" w:before="0" w:after="60"/>
        <w:rPr/>
      </w:pPr>
      <w:r>
        <w:rPr>
          <w:rFonts w:eastAsia="Arial" w:cs="Arial"/>
          <w:sz w:val="21"/>
          <w:szCs w:val="21"/>
        </w:rPr>
        <w:t>Educational Program Curriculum &amp; Instructor Qualifications</w:t>
      </w:r>
    </w:p>
    <w:p>
      <w:pPr>
        <w:pStyle w:val="ListParagraph"/>
        <w:numPr>
          <w:ilvl w:val="0"/>
          <w:numId w:val="1"/>
        </w:numPr>
        <w:spacing w:lineRule="exact" w:line="264" w:before="0" w:after="60"/>
        <w:rPr/>
      </w:pPr>
      <w:r>
        <w:rPr>
          <w:rFonts w:eastAsia="Arial" w:cs="Arial"/>
          <w:sz w:val="21"/>
          <w:szCs w:val="21"/>
        </w:rPr>
        <w:t>Certificate of Completion (standardized format)</w:t>
      </w:r>
    </w:p>
    <w:p>
      <w:pPr>
        <w:pStyle w:val="ListParagraph"/>
        <w:numPr>
          <w:ilvl w:val="0"/>
          <w:numId w:val="1"/>
        </w:numPr>
        <w:spacing w:lineRule="exact" w:line="264" w:before="0" w:after="60"/>
        <w:rPr/>
      </w:pPr>
      <w:r>
        <w:rPr>
          <w:rFonts w:eastAsia="Arial" w:cs="Arial"/>
          <w:sz w:val="21"/>
          <w:szCs w:val="21"/>
        </w:rPr>
        <w:t>Certificate Accounting Log</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B — Texas Agency &amp; Resource Directory</w:t>
      </w:r>
    </w:p>
    <w:p>
      <w:pPr>
        <w:pStyle w:val="Normal"/>
        <w:spacing w:lineRule="exact" w:line="276" w:before="0" w:after="120"/>
        <w:rPr/>
      </w:pPr>
      <w:r>
        <w:rPr>
          <w:rFonts w:eastAsia="Arial" w:cs="Arial"/>
          <w:sz w:val="21"/>
          <w:szCs w:val="21"/>
        </w:rPr>
        <w:t>The references below support the requirements in this manual. Confirm the current citation, form, and contact information directly with each source, as rules, forms, and web addresses change.</w:t>
      </w:r>
    </w:p>
    <w:tbl>
      <w:tblPr>
        <w:tblW w:w="9360" w:type="dxa"/>
        <w:jc w:val="start"/>
        <w:tblInd w:w="0" w:type="dxa"/>
        <w:tblLayout w:type="fixed"/>
        <w:tblCellMar>
          <w:top w:w="60" w:type="dxa"/>
          <w:start w:w="120" w:type="dxa"/>
          <w:bottom w:w="60" w:type="dxa"/>
          <w:end w:w="120" w:type="dxa"/>
        </w:tblCellMar>
      </w:tblPr>
      <w:tblGrid>
        <w:gridCol w:w="3399"/>
        <w:gridCol w:w="5960"/>
      </w:tblGrid>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Regulator</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Texas Health and Human Services Commission (HHSC), Health Care Regulation — licenses and surveys Chemical Dependency Treatment Facilities.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Licensing rules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26 Texas Administrative Code Chapter 564 — Treatment Facilities for Individuals with Substance-Related Disorders (transferred from 25 TAC Chapter 448 on April 30, 2024).</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Governing statute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Texas Health and Safety Code Chapter 464 — Facilities Treating Persons with a Chemical Dependency; §464.009 (rulemaking authority).</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Counselor licensing</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26 TAC Chapter 562 — Licensed Chemical Dependency Counselor (LCDC) Program; counselor interns and supervision.</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Confidentiality</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26 TAC §564.13; 42 CFR Part 2 (Confidentiality of Substance Use Disorder Patient Records); HIPAA (45 CFR Parts 160, 164).</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Client rights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26 TAC Chapter 564, Subchapter G (§§564.701–564.708).</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Marketing &amp; admissions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Texas Health and Safety Code Chapter 164 — prohibition on patient brokering and deceptive marketing.</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Abuse/neglect reporting</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Texas Department of Family and Protective Services (Abuse Hotline); Tex. Family Code Ch. 261 (children); Human Resources Code Ch. 48 (elderly/disabled); 26 TAC §§564.16–564.17.</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Screening &amp; assessment</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26 TAC Chapter 564, Subchapter H (§§564.801–564.805).</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Treatment services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26 TAC Chapter 564, Subchapter I (§§564.901–564.912): detox, residential, outpatient, adolescent, COPSD, women &amp; children, telehealth.</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Medication</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26 TAC §§564.1001–564.1004; controlled substances subject to additional state and federal controls.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Physical plant / life safety</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26 TAC §§564.1201–564.1207 (residential); State Fire Marshal; local health authority; fire, kitchen, gas, and extinguisher inspections.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Court commitment</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26 TAC §564.1301; Texas Health and Safety Code Chapter 462.</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Educational program</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26 TAC §564.39; Texas Transportation Code Chapter 521; Texas Government Code Chapter 171.</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Telehealth</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26 TAC §564.911; Texas Health and Safety Code §462.015; Texas Occupations Code Ch. 111.</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Accreditation</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CARF, The Joint Commission (TJC), or COA — confirm current accreditation obligations.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Mental health (separate)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Texas mental health facilities (private psychiatric hospitals, crisis stabilization units) are licensed separately under HSC Chapter 577 and 26 TAC Chapter 510 — not covered by this CDTF manual.</w:t>
            </w:r>
          </w:p>
        </w:tc>
      </w:tr>
    </w:tbl>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C — How to Use This Manual</w:t>
      </w:r>
    </w:p>
    <w:p>
      <w:pPr>
        <w:pStyle w:val="Normal"/>
        <w:spacing w:lineRule="exact" w:line="276" w:before="0" w:after="120"/>
        <w:rPr/>
      </w:pPr>
      <w:r>
        <w:rPr>
          <w:rFonts w:eastAsia="Arial" w:cs="Arial"/>
          <w:sz w:val="21"/>
          <w:szCs w:val="21"/>
        </w:rPr>
        <w:t>This manual is a customizable template for a Texas HHSC-licensed Chemical Dependency Treatment Facility. Follow the steps below to adopt it as your facility's own manual.</w:t>
      </w:r>
    </w:p>
    <w:p>
      <w:pPr>
        <w:pStyle w:val="Normal"/>
        <w:spacing w:before="140" w:after="40"/>
        <w:rPr/>
      </w:pPr>
      <w:r>
        <w:rPr>
          <w:rFonts w:eastAsia="Arial" w:cs="Arial"/>
          <w:b/>
          <w:bCs/>
          <w:color w:val="333333"/>
          <w:sz w:val="21"/>
          <w:szCs w:val="21"/>
        </w:rPr>
        <w:t>1. Customize every placeholder</w:t>
      </w:r>
    </w:p>
    <w:p>
      <w:pPr>
        <w:pStyle w:val="Normal"/>
        <w:spacing w:lineRule="exact" w:line="276" w:before="0" w:after="120"/>
        <w:rPr/>
      </w:pPr>
      <w:r>
        <w:rPr>
          <w:rFonts w:eastAsia="Arial" w:cs="Arial"/>
          <w:sz w:val="21"/>
          <w:szCs w:val="21"/>
        </w:rPr>
        <w:t>Replace each [bracketed] item — facility name, address, HHSC license number, effective date, and role titles — with your facility's information. Set the effective date on each policy when it is adopted.</w:t>
      </w:r>
    </w:p>
    <w:p>
      <w:pPr>
        <w:pStyle w:val="Normal"/>
        <w:spacing w:before="140" w:after="40"/>
        <w:rPr/>
      </w:pPr>
      <w:r>
        <w:rPr>
          <w:rFonts w:eastAsia="Arial" w:cs="Arial"/>
          <w:b/>
          <w:bCs/>
          <w:color w:val="333333"/>
          <w:sz w:val="21"/>
          <w:szCs w:val="21"/>
        </w:rPr>
        <w:t>2. Match the manual to your licensed services</w:t>
      </w:r>
    </w:p>
    <w:p>
      <w:pPr>
        <w:pStyle w:val="Normal"/>
        <w:spacing w:lineRule="exact" w:line="276" w:before="0" w:after="120"/>
        <w:rPr/>
      </w:pPr>
      <w:r>
        <w:rPr>
          <w:rFonts w:eastAsia="Arial" w:cs="Arial"/>
          <w:sz w:val="21"/>
          <w:szCs w:val="21"/>
        </w:rPr>
        <w:t>The CDTF license is service-based. Sections A through F apply regardless of service type. Keep the Section G policies only for the services your facility is licensed to provide — detoxification, residential, and outpatient services, plus adolescent, COPSD, women-and-children, court-commitment, therapeutic-community, and substance-misuse educational programs. Mark any service you are not licensed for as not applicable, or remove that policy.</w:t>
      </w:r>
    </w:p>
    <w:p>
      <w:pPr>
        <w:pStyle w:val="Normal"/>
        <w:spacing w:before="140" w:after="40"/>
        <w:rPr/>
      </w:pPr>
      <w:r>
        <w:rPr>
          <w:rFonts w:eastAsia="Arial" w:cs="Arial"/>
          <w:b/>
          <w:bCs/>
          <w:color w:val="333333"/>
          <w:sz w:val="21"/>
          <w:szCs w:val="21"/>
        </w:rPr>
        <w:t>3. Update the Table of Contents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4" w:space="0" w:color="1A4731"/>
              <w:start w:val="single" w:sz="4" w:space="0" w:color="1A4731"/>
              <w:bottom w:val="single" w:sz="4" w:space="0" w:color="1A4731"/>
              <w:end w:val="single" w:sz="4" w:space="0" w:color="1A4731"/>
            </w:tcBorders>
            <w:shd w:fill="EFF3F0" w:val="clear"/>
          </w:tcPr>
          <w:p>
            <w:pPr>
              <w:pStyle w:val="Normal"/>
              <w:spacing w:lineRule="exact" w:line="276" w:before="0" w:after="80"/>
              <w:rPr/>
            </w:pPr>
            <w:r>
              <w:rPr>
                <w:rFonts w:eastAsia="Arial" w:cs="Arial"/>
                <w:color w:val="222222"/>
                <w:sz w:val="20"/>
                <w:szCs w:val="20"/>
              </w:rPr>
              <w:t>This manual's Table of Contents is a Word field. When you open the document, Word may ask whether to update fields — click Yes.</w:t>
            </w:r>
          </w:p>
          <w:p>
            <w:pPr>
              <w:pStyle w:val="Normal"/>
              <w:spacing w:lineRule="exact" w:line="276" w:before="0" w:after="0"/>
              <w:rPr/>
            </w:pPr>
            <w:r>
              <w:rPr>
                <w:rFonts w:eastAsia="Arial" w:cs="Arial"/>
                <w:color w:val="222222"/>
                <w:sz w:val="20"/>
                <w:szCs w:val="20"/>
              </w:rPr>
              <w:t>To refresh page numbers and entries after editing, right-click the Table of Contents and choose “Update Field,” then “Update entire table.”</w:t>
            </w:r>
          </w:p>
        </w:tc>
      </w:tr>
    </w:tbl>
    <w:p>
      <w:pPr>
        <w:pStyle w:val="Normal"/>
        <w:spacing w:before="140" w:after="40"/>
        <w:rPr/>
      </w:pPr>
      <w:r>
        <w:rPr>
          <w:rFonts w:eastAsia="Arial" w:cs="Arial"/>
          <w:b/>
          <w:bCs/>
          <w:color w:val="333333"/>
          <w:sz w:val="21"/>
          <w:szCs w:val="21"/>
        </w:rPr>
        <w:t>4. Review, approve, and version-control</w:t>
      </w:r>
    </w:p>
    <w:p>
      <w:pPr>
        <w:pStyle w:val="Normal"/>
        <w:spacing w:lineRule="exact" w:line="276" w:before="0" w:after="120"/>
        <w:rPr/>
      </w:pPr>
      <w:r>
        <w:rPr>
          <w:rFonts w:eastAsia="Arial" w:cs="Arial"/>
          <w:sz w:val="21"/>
          <w:szCs w:val="21"/>
        </w:rPr>
        <w:t>Have the governing body and qualified Texas counsel or a compliance professional review the manual before adoption. Record each revision in the document-history table at the end of each policy, and review policies as operations change.</w:t>
      </w:r>
    </w:p>
    <w:p>
      <w:pPr>
        <w:pStyle w:val="Normal"/>
        <w:spacing w:before="140" w:after="40"/>
        <w:rPr/>
      </w:pPr>
      <w:r>
        <w:rPr>
          <w:rFonts w:eastAsia="Arial" w:cs="Arial"/>
          <w:b/>
          <w:bCs/>
          <w:color w:val="333333"/>
          <w:sz w:val="21"/>
          <w:szCs w:val="21"/>
        </w:rPr>
        <w:t>5. Confirm currency and accreditation</w:t>
      </w:r>
    </w:p>
    <w:p>
      <w:pPr>
        <w:pStyle w:val="Normal"/>
        <w:spacing w:lineRule="exact" w:line="276" w:before="0" w:after="120"/>
        <w:rPr/>
      </w:pPr>
      <w:r>
        <w:rPr>
          <w:rFonts w:eastAsia="Arial" w:cs="Arial"/>
          <w:sz w:val="21"/>
          <w:szCs w:val="21"/>
        </w:rPr>
        <w:t>The CDTF rules were transferred from 25 TAC Chapter 448 to 26 TAC Chapter 564 in April 2024 and continue to be amended. Confirm the current version of Chapter 564 and HSC Chapter 464, current HHSC forms, and your accreditation obligations (CARF, TJC, or COA) before adopting and periodically thereafter. Official forms are referenced by name only; obtain current versions from HHSC.</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D — Client Rights Acknowledgment</w:t>
      </w:r>
    </w:p>
    <w:p>
      <w:pPr>
        <w:pStyle w:val="Normal"/>
        <w:spacing w:lineRule="exact" w:line="276" w:before="0" w:after="120"/>
        <w:rPr/>
      </w:pPr>
      <w:r>
        <w:rPr>
          <w:rFonts w:eastAsia="Arial" w:cs="Arial"/>
          <w:sz w:val="21"/>
          <w:szCs w:val="21"/>
        </w:rPr>
        <w:t>This acknowledgment may be provided to a client or the client's representative at admission, together with the written statement of client rights required by 26 TAC Chapter 564, Subchapter G. Customize as needed.</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I acknowledge that I have received a written copy of my rights as a client of [Organization Name], that these rights and the facility's rules of conduct have been explained to me in a manner I can understand, and that I have been informed of the grievance process and my right to file a complaint with the Texas Health and Human Services Commission without retaliation.</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Client name (print): ______________________________________________</w:t>
      </w:r>
    </w:p>
    <w:p>
      <w:pPr>
        <w:pStyle w:val="Normal"/>
        <w:spacing w:lineRule="exact" w:line="276" w:before="0" w:after="120"/>
        <w:rPr/>
      </w:pPr>
      <w:r>
        <w:rPr>
          <w:rFonts w:eastAsia="Arial" w:cs="Arial"/>
          <w:sz w:val="21"/>
          <w:szCs w:val="21"/>
        </w:rPr>
        <w:t>Client signature: ________________________________   Date: ____________</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Representative name (print), if applicable: ____________________________</w:t>
      </w:r>
    </w:p>
    <w:p>
      <w:pPr>
        <w:pStyle w:val="Normal"/>
        <w:spacing w:lineRule="exact" w:line="276" w:before="0" w:after="120"/>
        <w:rPr/>
      </w:pPr>
      <w:r>
        <w:rPr>
          <w:rFonts w:eastAsia="Arial" w:cs="Arial"/>
          <w:sz w:val="21"/>
          <w:szCs w:val="21"/>
        </w:rPr>
        <w:t>Representative signature: __________________________   Date: ____________</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Staff witness (print): ______________________________________________</w:t>
      </w:r>
    </w:p>
    <w:p>
      <w:pPr>
        <w:pStyle w:val="Normal"/>
        <w:spacing w:lineRule="exact" w:line="276" w:before="0" w:after="120"/>
        <w:rPr/>
      </w:pPr>
      <w:r>
        <w:rPr>
          <w:rFonts w:eastAsia="Arial" w:cs="Arial"/>
          <w:sz w:val="21"/>
          <w:szCs w:val="21"/>
        </w:rPr>
        <w:t>Staff witness signature: __________________________   Date: ____________</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5"/>
        <w:szCs w:val="15"/>
      </w:rPr>
      <w:t>Texas — Chemical Dependency Treatment Facility (26 TAC 564) Policy &amp; Procedure Manual</w:t>
    </w:r>
    <w:r>
      <w:rPr>
        <w:rFonts w:eastAsia="Arial" w:cs="Arial"/>
        <w:sz w:val="15"/>
        <w:szCs w:val="15"/>
      </w:rPr>
      <w:tab/>
    </w:r>
    <w:r>
      <w:rPr>
        <w:rFonts w:eastAsia="Arial" w:cs="Arial"/>
        <w:color w:val="888888"/>
        <w:sz w:val="15"/>
        <w:szCs w:val="15"/>
      </w:rPr>
      <w:t xml:space="preserve">Page </w:t>
    </w:r>
    <w:r>
      <w:rPr/>
      <w:fldChar w:fldCharType="begin"/>
    </w:r>
    <w:r>
      <w:rPr/>
      <w:instrText xml:space="preserve"> PAGE </w:instrText>
    </w:r>
    <w:r>
      <w:rPr/>
      <w:fldChar w:fldCharType="separate"/>
    </w:r>
    <w:r>
      <w:rPr/>
      <w:t>63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5"/>
        <w:szCs w:val="15"/>
      </w:rPr>
      <w:t>Texas — Chemical Dependency Treatment Facility (26 TAC 564) Policy &amp; Procedure Manual</w:t>
    </w:r>
    <w:r>
      <w:rPr>
        <w:rFonts w:eastAsia="Arial" w:cs="Arial"/>
        <w:sz w:val="15"/>
        <w:szCs w:val="15"/>
      </w:rPr>
      <w:tab/>
    </w:r>
    <w:r>
      <w:rPr>
        <w:rFonts w:eastAsia="Arial" w:cs="Arial"/>
        <w:color w:val="888888"/>
        <w:sz w:val="15"/>
        <w:szCs w:val="15"/>
      </w:rPr>
      <w:t xml:space="preserve">Page </w:t>
    </w:r>
    <w:r>
      <w:rPr/>
      <w:fldChar w:fldCharType="begin"/>
    </w:r>
    <w:r>
      <w:rPr/>
      <w:instrText xml:space="preserve"> PAGE </w:instrText>
    </w:r>
    <w:r>
      <w:rPr/>
      <w:fldChar w:fldCharType="separate"/>
    </w:r>
    <w:r>
      <w:rPr/>
      <w:t>63</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updateFields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Heading1">
    <w:name w:val="Heading 1"/>
    <w:basedOn w:val="Heading"/>
    <w:qFormat/>
    <w:pPr>
      <w:spacing w:before="240" w:after="160"/>
      <w:outlineLvl w:val="0"/>
    </w:pPr>
    <w:rPr>
      <w:rFonts w:ascii="Arial" w:hAnsi="Arial" w:eastAsia="Arial" w:cs="Arial"/>
      <w:b/>
      <w:bCs/>
      <w:color w:val="1A4731"/>
      <w:sz w:val="32"/>
      <w:szCs w:val="32"/>
    </w:rPr>
  </w:style>
  <w:style w:type="paragraph" w:styleId="Heading2">
    <w:name w:val="Heading 2"/>
    <w:basedOn w:val="Heading"/>
    <w:qFormat/>
    <w:pPr>
      <w:spacing w:before="180" w:after="120"/>
      <w:outlineLvl w:val="1"/>
    </w:pPr>
    <w:rPr>
      <w:rFonts w:ascii="Arial" w:hAnsi="Arial" w:eastAsia="Arial" w:cs="Arial"/>
      <w:b/>
      <w:bCs/>
      <w:color w:val="1A4731"/>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2026-07-02T05:16:06Z</dcterms:created>
  <dc:creator>PolicyReady.org</dc:creator>
  <dc:description/>
  <dc:language>en-US</dc:language>
  <cp:lastModifiedBy>Un-named</cp:lastModifiedBy>
  <dcterms:modified xsi:type="dcterms:W3CDTF">2026-07-02T05:16:06Z</dcterms:modified>
  <cp:revision>1</cp:revision>
  <dc:subject/>
  <dc:title>Texas Chemical Dependency Treatment Facility (26 TAC 564) Policy &amp; Procedure Manual</dc:title>
</cp:coreProperties>
</file>