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VIRGINIA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(ALF)</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[VDSS License Number]</w:t>
      </w:r>
    </w:p>
    <w:p>
      <w:pPr>
        <w:pStyle w:val="Normal"/>
        <w:spacing w:before="1600" w:after="0"/>
        <w:jc w:val="center"/>
        <w:rPr/>
      </w:pPr>
      <w:r>
        <w:rPr>
          <w:rFonts w:eastAsia="Arial" w:cs="Arial"/>
          <w:color w:val="666666"/>
          <w:sz w:val="18"/>
          <w:szCs w:val="18"/>
        </w:rPr>
        <w:t>Aligned to the Virginia Standards for Licensed Assisted Living Facilities</w:t>
      </w:r>
    </w:p>
    <w:p>
      <w:pPr>
        <w:pStyle w:val="Normal"/>
        <w:spacing w:before="60" w:after="0"/>
        <w:jc w:val="center"/>
        <w:rPr/>
      </w:pPr>
      <w:r>
        <w:rPr>
          <w:rFonts w:eastAsia="Arial" w:cs="Arial"/>
          <w:color w:val="666666"/>
          <w:sz w:val="18"/>
          <w:szCs w:val="18"/>
        </w:rPr>
        <w:t>(22VAC40-73) and the Joint Commission ALC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VDSS assisted living facility license. It covers admission, retention, and discharge (including the Uniform Assessment Instrument and the administrator’s written assurance); residents’ rights under § 63.2-1808; abuse and neglect reporting; the resident agreement and resident funds; and licensure, liability insurance, and facility operations.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Discharge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Residents’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Resident Agreement &amp; Management of Resident Funds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Licensure, Liability Insurance &amp; Facility Operations</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Discharge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Discharge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22VAC40-73-310, -320 (admission/UAI); Code of Va. §§ 63.2-1805, 63.2-1808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the Virginia Standards for Licensed Assisted Living Facilities (22VAC40-73) and §§ 63.2-1805 and 63.2-1808 of the Code of Virginia.</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Virginia Department of Social Services (VDSS), Division of Licensing Programs, as an Assisted Living Facility (ALF) under 22VAC40-73. An ALF is a congregate residential setting that provides or coordinates personal and health care services, 24-hour supervision, and assistance (scheduled and unscheduled) for four or more adults. The Facility is licensed for residential living care, assisted living care, or both, and provides services only within the level(s) of care for which it is licensed. Where the Facility operates a safe, secure environment for residents with serious cognitive impairments, the Serious Cognitive Impairments policy applies the additional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whose care needs it is licensed and able to meet, based on review of the Uniform Assessment Instrument (UAI), shall not admit or retain individuals with the conditions prohibited by § 63.2-1805 D of the Code of Virginia, and shall provide the administrator’s written assurance of appropriate licensure at admission.</w:t>
      </w:r>
    </w:p>
    <w:p>
      <w:pPr>
        <w:pStyle w:val="Normal"/>
        <w:pBdr>
          <w:bottom w:val="single" w:sz="4" w:space="1" w:color="2E5E45"/>
        </w:pBdr>
        <w:spacing w:before="160" w:after="80"/>
        <w:rPr/>
      </w:pPr>
      <w:r>
        <w:rPr>
          <w:rFonts w:eastAsia="Arial" w:cs="Arial"/>
          <w:b/>
          <w:bCs/>
          <w:color w:val="1A4731"/>
          <w:sz w:val="20"/>
          <w:szCs w:val="20"/>
        </w:rPr>
        <w:t>PROCEDURE — UAI &amp; WRITTEN ASSURANCE</w:t>
      </w:r>
    </w:p>
    <w:p>
      <w:pPr>
        <w:pStyle w:val="Normal"/>
        <w:tabs>
          <w:tab w:val="left" w:pos="720" w:leader="none"/>
        </w:tabs>
        <w:spacing w:lineRule="exact" w:line="264" w:before="0" w:after="80"/>
        <w:ind w:hanging="360" w:start="720"/>
        <w:rPr/>
      </w:pPr>
      <w:r>
        <w:rPr>
          <w:rFonts w:eastAsia="Arial" w:cs="Arial"/>
          <w:sz w:val="21"/>
          <w:szCs w:val="21"/>
        </w:rPr>
        <w:t>a. Complete or obtain a Uniform Assessment Instrument (UAI) for each resident prior to admission, and reassess by UAI at least annually and whenever there is a significant change in the resident’s condition.</w:t>
      </w:r>
    </w:p>
    <w:p>
      <w:pPr>
        <w:pStyle w:val="Normal"/>
        <w:tabs>
          <w:tab w:val="left" w:pos="720" w:leader="none"/>
        </w:tabs>
        <w:spacing w:lineRule="exact" w:line="264" w:before="0" w:after="80"/>
        <w:ind w:hanging="360" w:start="720"/>
        <w:rPr/>
      </w:pPr>
      <w:r>
        <w:rPr>
          <w:rFonts w:eastAsia="Arial" w:cs="Arial"/>
          <w:sz w:val="21"/>
          <w:szCs w:val="21"/>
        </w:rPr>
        <w:t>b. Based on review of the UAI prior to admission, have the administrator provide the resident written assurance that the Facility has the appropriate license to meet the resident’s care needs at the time of admission; give copies to the legal representative and case manager, if any, and keep a copy signed by the resident or legal representative in the resident’s record.</w:t>
      </w:r>
    </w:p>
    <w:p>
      <w:pPr>
        <w:pStyle w:val="Normal"/>
        <w:tabs>
          <w:tab w:val="left" w:pos="720" w:leader="none"/>
        </w:tabs>
        <w:spacing w:lineRule="exact" w:line="264" w:before="0" w:after="80"/>
        <w:ind w:hanging="360" w:start="720"/>
        <w:rPr/>
      </w:pPr>
      <w:r>
        <w:rPr>
          <w:rFonts w:eastAsia="Arial" w:cs="Arial"/>
          <w:sz w:val="21"/>
          <w:szCs w:val="21"/>
        </w:rPr>
        <w:t>c. Ensure all residents are 18 years of age or older, and do not admit any person without the consent and agreement of the person or the legal representative with demonstrated legal authority.</w:t>
      </w:r>
    </w:p>
    <w:p>
      <w:pPr>
        <w:pStyle w:val="Normal"/>
        <w:pBdr>
          <w:bottom w:val="single" w:sz="4" w:space="1" w:color="2E5E45"/>
        </w:pBdr>
        <w:spacing w:before="160" w:after="80"/>
        <w:rPr/>
      </w:pPr>
      <w:r>
        <w:rPr>
          <w:rFonts w:eastAsia="Arial" w:cs="Arial"/>
          <w:b/>
          <w:bCs/>
          <w:color w:val="1A4731"/>
          <w:sz w:val="20"/>
          <w:szCs w:val="20"/>
        </w:rPr>
        <w:t>PROCEDURE — PROHIBITED CONDITIONS &amp; RETENTION</w:t>
      </w:r>
    </w:p>
    <w:p>
      <w:pPr>
        <w:pStyle w:val="Normal"/>
        <w:tabs>
          <w:tab w:val="left" w:pos="720" w:leader="none"/>
        </w:tabs>
        <w:spacing w:lineRule="exact" w:line="264" w:before="0" w:after="80"/>
        <w:ind w:hanging="360" w:start="720"/>
        <w:rPr/>
      </w:pPr>
      <w:r>
        <w:rPr>
          <w:rFonts w:eastAsia="Arial" w:cs="Arial"/>
          <w:sz w:val="21"/>
          <w:szCs w:val="21"/>
        </w:rPr>
        <w:t>d. Do not admit or retain a resident for whom the Facility cannot provide or secure appropriate care, or who requires a level or type of service for which the Facility is not licensed or which it does not provide.</w:t>
      </w:r>
    </w:p>
    <w:p>
      <w:pPr>
        <w:pStyle w:val="Normal"/>
        <w:tabs>
          <w:tab w:val="left" w:pos="720" w:leader="none"/>
        </w:tabs>
        <w:spacing w:lineRule="exact" w:line="264" w:before="0" w:after="80"/>
        <w:ind w:hanging="360" w:start="720"/>
        <w:rPr/>
      </w:pPr>
      <w:r>
        <w:rPr>
          <w:rFonts w:eastAsia="Arial" w:cs="Arial"/>
          <w:sz w:val="21"/>
          <w:szCs w:val="21"/>
        </w:rPr>
        <w:t>e. Do not admit or retain individuals with any condition prohibited by § 63.2-1805 D of the Code of Virginia — including individuals requiring continuous licensed nursing care, individuals whose physician certifies that placement is no longer appropriate, and, unless an independent physician determines otherwise, individuals who require maximum physical assistance as documented by the UAI and who meet Medicaid nursing facility level of care criteria.</w:t>
      </w:r>
    </w:p>
    <w:p>
      <w:pPr>
        <w:pStyle w:val="Normal"/>
        <w:tabs>
          <w:tab w:val="left" w:pos="720" w:leader="none"/>
        </w:tabs>
        <w:spacing w:lineRule="exact" w:line="264" w:before="0" w:after="80"/>
        <w:ind w:hanging="360" w:start="720"/>
        <w:rPr/>
      </w:pPr>
      <w:r>
        <w:rPr>
          <w:rFonts w:eastAsia="Arial" w:cs="Arial"/>
          <w:sz w:val="21"/>
          <w:szCs w:val="21"/>
        </w:rPr>
        <w:t>f. Where a permitted condition is present, arrange care as 22VAC40-73-310 allows — by a licensed physician, a licensed nurse, or a licensed home care organization under a treatment plan, or by facility staff where delegated by a registered nurse under the Board of Nursing regulations (18VAC90-19-240 through -280) and 22VAC40-73-470 E.</w:t>
      </w:r>
    </w:p>
    <w:p>
      <w:pPr>
        <w:pStyle w:val="Normal"/>
        <w:tabs>
          <w:tab w:val="left" w:pos="720" w:leader="none"/>
        </w:tabs>
        <w:spacing w:lineRule="exact" w:line="264" w:before="0" w:after="80"/>
        <w:ind w:hanging="360" w:start="720"/>
        <w:rPr/>
      </w:pPr>
      <w:r>
        <w:rPr>
          <w:rFonts w:eastAsia="Arial" w:cs="Arial"/>
          <w:sz w:val="21"/>
          <w:szCs w:val="21"/>
        </w:rPr>
        <w:t>g. Do not require any person to relinquish the rights specified in § 63.2-1808 of the Code of Virginia as a condition of admission or retention.</w:t>
      </w:r>
    </w:p>
    <w:p>
      <w:pPr>
        <w:pStyle w:val="Normal"/>
        <w:pBdr>
          <w:bottom w:val="single" w:sz="4" w:space="1" w:color="2E5E45"/>
        </w:pBdr>
        <w:spacing w:before="160" w:after="80"/>
        <w:rPr/>
      </w:pPr>
      <w:r>
        <w:rPr>
          <w:rFonts w:eastAsia="Arial" w:cs="Arial"/>
          <w:b/>
          <w:bCs/>
          <w:color w:val="1A4731"/>
          <w:sz w:val="20"/>
          <w:szCs w:val="20"/>
        </w:rPr>
        <w:t>PROCEDURE — DISCHARGE &amp; RELOCATION ASSISTANCE</w:t>
      </w:r>
    </w:p>
    <w:p>
      <w:pPr>
        <w:pStyle w:val="Normal"/>
        <w:tabs>
          <w:tab w:val="left" w:pos="720" w:leader="none"/>
        </w:tabs>
        <w:spacing w:lineRule="exact" w:line="264" w:before="0" w:after="80"/>
        <w:ind w:hanging="360" w:start="720"/>
        <w:rPr/>
      </w:pPr>
      <w:r>
        <w:rPr>
          <w:rFonts w:eastAsia="Arial" w:cs="Arial"/>
          <w:sz w:val="21"/>
          <w:szCs w:val="21"/>
        </w:rPr>
        <w:t>h. Where a resident’s needs can no longer be met, or on other permissible grounds, discharge or transfer the resident with the notice the regulation and resident agreement require, and coordinate a safe transfer.</w:t>
      </w:r>
    </w:p>
    <w:p>
      <w:pPr>
        <w:pStyle w:val="Normal"/>
        <w:tabs>
          <w:tab w:val="left" w:pos="720" w:leader="none"/>
        </w:tabs>
        <w:spacing w:lineRule="exact" w:line="264" w:before="0" w:after="80"/>
        <w:ind w:hanging="360" w:start="720"/>
        <w:rPr/>
      </w:pPr>
      <w:r>
        <w:rPr>
          <w:rFonts w:eastAsia="Arial" w:cs="Arial"/>
          <w:sz w:val="21"/>
          <w:szCs w:val="21"/>
        </w:rPr>
        <w:t>i. Provide relocation assistance as required, which may include assisting the resident or representative with the discharge and transfer process, providing a list of facilities that could meet the resident’s needs, and assisting with packing, moving, and transportation, and follow the Facility’s involuntary-discharge and appeals procedures where applicable.</w:t>
      </w:r>
    </w:p>
    <w:p>
      <w:pPr>
        <w:pStyle w:val="Normal"/>
        <w:tabs>
          <w:tab w:val="left" w:pos="720" w:leader="none"/>
        </w:tabs>
        <w:spacing w:lineRule="exact" w:line="264" w:before="0" w:after="80"/>
        <w:ind w:hanging="360" w:start="720"/>
        <w:rPr/>
      </w:pPr>
      <w:r>
        <w:rPr>
          <w:rFonts w:eastAsia="Arial" w:cs="Arial"/>
          <w:sz w:val="21"/>
          <w:szCs w:val="21"/>
        </w:rPr>
        <w:t>j. Document the basis for any discharge or transfer, the notice provided, and the relocation assistance and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Uniform Assessment Instrument (UAI)</w:t>
      </w:r>
    </w:p>
    <w:p>
      <w:pPr>
        <w:pStyle w:val="ListParagraph"/>
        <w:numPr>
          <w:ilvl w:val="0"/>
          <w:numId w:val="1"/>
        </w:numPr>
        <w:spacing w:lineRule="exact" w:line="264" w:before="0" w:after="60"/>
        <w:rPr/>
      </w:pPr>
      <w:r>
        <w:rPr>
          <w:rFonts w:eastAsia="Arial" w:cs="Arial"/>
          <w:sz w:val="21"/>
          <w:szCs w:val="21"/>
        </w:rPr>
        <w:t>Administrator’s Written Assurance of Appropriate Licensure</w:t>
      </w:r>
    </w:p>
    <w:p>
      <w:pPr>
        <w:pStyle w:val="ListParagraph"/>
        <w:numPr>
          <w:ilvl w:val="0"/>
          <w:numId w:val="1"/>
        </w:numPr>
        <w:spacing w:lineRule="exact" w:line="264" w:before="0" w:after="60"/>
        <w:rPr/>
      </w:pPr>
      <w:r>
        <w:rPr>
          <w:rFonts w:eastAsia="Arial" w:cs="Arial"/>
          <w:sz w:val="21"/>
          <w:szCs w:val="21"/>
        </w:rPr>
        <w:t>Resident Agreement</w:t>
      </w:r>
    </w:p>
    <w:p>
      <w:pPr>
        <w:pStyle w:val="ListParagraph"/>
        <w:numPr>
          <w:ilvl w:val="0"/>
          <w:numId w:val="1"/>
        </w:numPr>
        <w:spacing w:lineRule="exact" w:line="264" w:before="0" w:after="60"/>
        <w:rPr/>
      </w:pPr>
      <w:r>
        <w:rPr>
          <w:rFonts w:eastAsia="Arial" w:cs="Arial"/>
          <w:sz w:val="21"/>
          <w:szCs w:val="21"/>
        </w:rPr>
        <w:t>Notice of Discharge / Transfer &amp; Relocation Assistance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Residents’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Residents’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Code of Va. § 63.2-1808 (rights of residents); 22VAC40-73 Part IV</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under § 63.2-1808 of the Code of Virginia and 22VAC40-73,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under § 63.2-1808, provide a written statement of those rights at admission, post grievance and Long-Term Care Ombudsman contact information, and respond to grievances without retaliation.</w:t>
      </w:r>
    </w:p>
    <w:p>
      <w:pPr>
        <w:pStyle w:val="Normal"/>
        <w:pBdr>
          <w:bottom w:val="single" w:sz="4" w:space="1" w:color="2E5E45"/>
        </w:pBdr>
        <w:spacing w:before="160" w:after="80"/>
        <w:rPr/>
      </w:pPr>
      <w:r>
        <w:rPr>
          <w:rFonts w:eastAsia="Arial" w:cs="Arial"/>
          <w:b/>
          <w:bCs/>
          <w:color w:val="1A4731"/>
          <w:sz w:val="20"/>
          <w:szCs w:val="20"/>
        </w:rPr>
        <w:t>PROCEDURE — RESIDENTS’ RIGHTS</w:t>
      </w:r>
    </w:p>
    <w:p>
      <w:pPr>
        <w:pStyle w:val="Normal"/>
        <w:tabs>
          <w:tab w:val="left" w:pos="720" w:leader="none"/>
        </w:tabs>
        <w:spacing w:lineRule="exact" w:line="264" w:before="0" w:after="80"/>
        <w:ind w:hanging="360" w:start="720"/>
        <w:rPr/>
      </w:pPr>
      <w:r>
        <w:rPr>
          <w:rFonts w:eastAsia="Arial" w:cs="Arial"/>
          <w:sz w:val="21"/>
          <w:szCs w:val="21"/>
        </w:rPr>
        <w:t>a. Ensure each resident’s rights under § 63.2-1808, including the right to be treated with dignity and respect; to be free from abuse, neglect, exploitation, and improper physical or chemical restraint; to privacy; to manage personal finances or receive an accounting; to communication, visitation, and association; and to participate in decisions about care and services.</w:t>
      </w:r>
    </w:p>
    <w:p>
      <w:pPr>
        <w:pStyle w:val="Normal"/>
        <w:tabs>
          <w:tab w:val="left" w:pos="720" w:leader="none"/>
        </w:tabs>
        <w:spacing w:lineRule="exact" w:line="264" w:before="0" w:after="80"/>
        <w:ind w:hanging="360" w:start="720"/>
        <w:rPr/>
      </w:pPr>
      <w:r>
        <w:rPr>
          <w:rFonts w:eastAsia="Arial" w:cs="Arial"/>
          <w:sz w:val="21"/>
          <w:szCs w:val="21"/>
        </w:rPr>
        <w:t>b. Provide each resident and legal representative a written statement of resident rights and responsibilities at admission and obtain acknowledgment, and post the rights in the Facility.</w:t>
      </w:r>
    </w:p>
    <w:p>
      <w:pPr>
        <w:pStyle w:val="Normal"/>
        <w:tabs>
          <w:tab w:val="left" w:pos="720" w:leader="none"/>
        </w:tabs>
        <w:spacing w:lineRule="exact" w:line="264" w:before="0" w:after="80"/>
        <w:ind w:hanging="360" w:start="720"/>
        <w:rPr/>
      </w:pPr>
      <w:r>
        <w:rPr>
          <w:rFonts w:eastAsia="Arial" w:cs="Arial"/>
          <w:sz w:val="21"/>
          <w:szCs w:val="21"/>
        </w:rPr>
        <w:t>c. Do not require any resident to relinquish rights under § 63.2-1808 as a condition of admission or retention.</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d. Provide residents and legal representatives a method to present grievances, and post the Long-Term Care Ombudsman and VDSS regional licensing office contact information.</w:t>
      </w:r>
    </w:p>
    <w:p>
      <w:pPr>
        <w:pStyle w:val="Normal"/>
        <w:tabs>
          <w:tab w:val="left" w:pos="720" w:leader="none"/>
        </w:tabs>
        <w:spacing w:lineRule="exact" w:line="264" w:before="0" w:after="80"/>
        <w:ind w:hanging="360" w:start="720"/>
        <w:rPr/>
      </w:pPr>
      <w:r>
        <w:rPr>
          <w:rFonts w:eastAsia="Arial" w:cs="Arial"/>
          <w:sz w:val="21"/>
          <w:szCs w:val="21"/>
        </w:rPr>
        <w:t>e.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f. Do not retaliate against any resident who presents a grievance or contacts the Ombudsman or the department.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Statement of Resident Rights &amp; Responsibilities (§ 63.2-1808)</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Code of Va. § 63.2-1606 (APS mandated reporting); § 63.2-1804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Virginia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immediate reporting of suspected abuse, neglect, and exploitation of adults, reports serious incidents to the department as required by 22VAC40-73, and manages incidents to protect residents.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as mandated reporters to immediately report suspected abuse, neglect, or exploitation of an adult to Adult Protective Services (including the APS online reporting portal or hotline) and to law enforcement as applicable, consistent with § 63.2-1606, protecting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serious incidents, injuries, and other reportable events to the VDSS regional licensing office within the timeframes required by 22VAC40-73, and notify the resident’s physician, legal representative, and contact person as applicable.</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individuals involved,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VDSS, APS, the Ombudsman, and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APS Report Record (online portal / hotline)</w:t>
      </w:r>
    </w:p>
    <w:p>
      <w:pPr>
        <w:pStyle w:val="ListParagraph"/>
        <w:numPr>
          <w:ilvl w:val="0"/>
          <w:numId w:val="1"/>
        </w:numPr>
        <w:spacing w:lineRule="exact" w:line="264" w:before="0" w:after="60"/>
        <w:rPr/>
      </w:pPr>
      <w:r>
        <w:rPr>
          <w:rFonts w:eastAsia="Arial" w:cs="Arial"/>
          <w:sz w:val="21"/>
          <w:szCs w:val="21"/>
        </w:rPr>
        <w:t>Serious Incident Report to VDSS</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Resident Agreement &amp; Management of Resident Funds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Resident Agreement &amp; Management of Resident Funds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22VAC40-73-390 (resident agreement); 22VAC40-73 (resident funds)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resident agreement is in place and to safeguard resident funds and personal property where the Facility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enter into a written resident agreement with each resident describing accommodations, services, care, and charges, and, where it manages or holds a resident’s funds or property, shall do so under written authorization with a separate accounting.</w:t>
      </w:r>
    </w:p>
    <w:p>
      <w:pPr>
        <w:pStyle w:val="Normal"/>
        <w:pBdr>
          <w:bottom w:val="single" w:sz="4" w:space="1" w:color="2E5E45"/>
        </w:pBdr>
        <w:spacing w:before="160" w:after="80"/>
        <w:rPr/>
      </w:pPr>
      <w:r>
        <w:rPr>
          <w:rFonts w:eastAsia="Arial" w:cs="Arial"/>
          <w:b/>
          <w:bCs/>
          <w:color w:val="1A4731"/>
          <w:sz w:val="20"/>
          <w:szCs w:val="20"/>
        </w:rPr>
        <w:t>PROCEDURE — RESIDENT AGREEMENT</w:t>
      </w:r>
    </w:p>
    <w:p>
      <w:pPr>
        <w:pStyle w:val="Normal"/>
        <w:tabs>
          <w:tab w:val="left" w:pos="720" w:leader="none"/>
        </w:tabs>
        <w:spacing w:lineRule="exact" w:line="264" w:before="0" w:after="80"/>
        <w:ind w:hanging="360" w:start="720"/>
        <w:rPr/>
      </w:pPr>
      <w:r>
        <w:rPr>
          <w:rFonts w:eastAsia="Arial" w:cs="Arial"/>
          <w:sz w:val="21"/>
          <w:szCs w:val="21"/>
        </w:rPr>
        <w:t>a. Enter into a written resident agreement (22VAC40-73-390) with each resident or legal representative before or at admission, describing the accommodations, services, and care to be provided and the associated charges, refund policy, and the conditions for discharge and transfer.</w:t>
      </w:r>
    </w:p>
    <w:p>
      <w:pPr>
        <w:pStyle w:val="Normal"/>
        <w:tabs>
          <w:tab w:val="left" w:pos="720" w:leader="none"/>
        </w:tabs>
        <w:spacing w:lineRule="exact" w:line="264" w:before="0" w:after="80"/>
        <w:ind w:hanging="360" w:start="720"/>
        <w:rPr/>
      </w:pPr>
      <w:r>
        <w:rPr>
          <w:rFonts w:eastAsia="Arial" w:cs="Arial"/>
          <w:sz w:val="21"/>
          <w:szCs w:val="21"/>
        </w:rPr>
        <w:t>b. Update the resident agreement as accommodations, services, care, or charges change, and retain it in the resident record.</w:t>
      </w:r>
    </w:p>
    <w:p>
      <w:pPr>
        <w:pStyle w:val="Normal"/>
        <w:pBdr>
          <w:bottom w:val="single" w:sz="4" w:space="1" w:color="2E5E45"/>
        </w:pBdr>
        <w:spacing w:before="160" w:after="80"/>
        <w:rPr/>
      </w:pPr>
      <w:r>
        <w:rPr>
          <w:rFonts w:eastAsia="Arial" w:cs="Arial"/>
          <w:b/>
          <w:bCs/>
          <w:color w:val="1A4731"/>
          <w:sz w:val="20"/>
          <w:szCs w:val="20"/>
        </w:rPr>
        <w:t>PROCEDURE — RESIDENT FUNDS &amp; PROPERTY</w:t>
      </w:r>
    </w:p>
    <w:p>
      <w:pPr>
        <w:pStyle w:val="Normal"/>
        <w:tabs>
          <w:tab w:val="left" w:pos="720" w:leader="none"/>
        </w:tabs>
        <w:spacing w:lineRule="exact" w:line="264" w:before="0" w:after="80"/>
        <w:ind w:hanging="360" w:start="720"/>
        <w:rPr/>
      </w:pPr>
      <w:r>
        <w:rPr>
          <w:rFonts w:eastAsia="Arial" w:cs="Arial"/>
          <w:sz w:val="21"/>
          <w:szCs w:val="21"/>
        </w:rPr>
        <w:t>c. Obtain written authorization before managing or holding any resident funds or property, maintain a separate itemized accounting for each resident, and keep resident funds separate from Facility funds.</w:t>
      </w:r>
    </w:p>
    <w:p>
      <w:pPr>
        <w:pStyle w:val="Normal"/>
        <w:tabs>
          <w:tab w:val="left" w:pos="720" w:leader="none"/>
        </w:tabs>
        <w:spacing w:lineRule="exact" w:line="264" w:before="0" w:after="80"/>
        <w:ind w:hanging="360" w:start="720"/>
        <w:rPr/>
      </w:pPr>
      <w:r>
        <w:rPr>
          <w:rFonts w:eastAsia="Arial" w:cs="Arial"/>
          <w:sz w:val="21"/>
          <w:szCs w:val="21"/>
        </w:rPr>
        <w:t>d. Provide the resident or legal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Agreement (22VAC40-73-390)</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Licensure, Liability Insurance &amp; Facility Operations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Licensure, Liability Insurance &amp; Facility Operations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(licensure; liability insurance); Code of Va. § 63.2-1700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valid VDSS license, the required liability insurance, and compliant operations within the level(s) of care for which it is licensed.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current license issued by the Virginia Department of Social Services for the level(s) of care it provides, post the license, maintain the liability insurance the regulation requires, and operate in compliance with 22VAC40-73.</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VDSS license specifying the level(s) of care (residential living care, assisted living care, or both) and the licensed capacity, post the license, and operate only within the licensed level(s) of care and capacity.</w:t>
      </w:r>
    </w:p>
    <w:p>
      <w:pPr>
        <w:pStyle w:val="Normal"/>
        <w:tabs>
          <w:tab w:val="left" w:pos="720" w:leader="none"/>
        </w:tabs>
        <w:spacing w:lineRule="exact" w:line="264" w:before="0" w:after="80"/>
        <w:ind w:hanging="360" w:start="720"/>
        <w:rPr/>
      </w:pPr>
      <w:r>
        <w:rPr>
          <w:rFonts w:eastAsia="Arial" w:cs="Arial"/>
          <w:sz w:val="21"/>
          <w:szCs w:val="21"/>
        </w:rPr>
        <w:t>b. Secure and maintain liability insurance coverage as required by 22VAC40-73, at the level proportionate to the Facility’s size, and retain documentation of coverage.</w:t>
      </w:r>
    </w:p>
    <w:p>
      <w:pPr>
        <w:pStyle w:val="Normal"/>
        <w:tabs>
          <w:tab w:val="left" w:pos="720" w:leader="none"/>
        </w:tabs>
        <w:spacing w:lineRule="exact" w:line="264" w:before="0" w:after="80"/>
        <w:ind w:hanging="360" w:start="720"/>
        <w:rPr/>
      </w:pPr>
      <w:r>
        <w:rPr>
          <w:rFonts w:eastAsia="Arial" w:cs="Arial"/>
          <w:sz w:val="21"/>
          <w:szCs w:val="21"/>
        </w:rPr>
        <w:t>c. Cooperate with VDSS inspections and complaint investigations; where a violation is cited, submit and implement an acceptable plan of correction within the required timeframe.</w:t>
      </w:r>
    </w:p>
    <w:p>
      <w:pPr>
        <w:pStyle w:val="Normal"/>
        <w:tabs>
          <w:tab w:val="left" w:pos="720" w:leader="none"/>
        </w:tabs>
        <w:spacing w:lineRule="exact" w:line="264" w:before="0" w:after="80"/>
        <w:ind w:hanging="360" w:start="720"/>
        <w:rPr/>
      </w:pPr>
      <w:r>
        <w:rPr>
          <w:rFonts w:eastAsia="Arial" w:cs="Arial"/>
          <w:sz w:val="21"/>
          <w:szCs w:val="21"/>
        </w:rPr>
        <w:t>d. Report changes of ownership, administrator, capacity, or level of care as required, and retain licensure and insurance documentation in the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VDSS License</w:t>
      </w:r>
    </w:p>
    <w:p>
      <w:pPr>
        <w:pStyle w:val="ListParagraph"/>
        <w:numPr>
          <w:ilvl w:val="0"/>
          <w:numId w:val="1"/>
        </w:numPr>
        <w:spacing w:lineRule="exact" w:line="264" w:before="0" w:after="60"/>
        <w:rPr/>
      </w:pPr>
      <w:r>
        <w:rPr>
          <w:rFonts w:eastAsia="Arial" w:cs="Arial"/>
          <w:sz w:val="21"/>
          <w:szCs w:val="21"/>
        </w:rPr>
        <w:t>Liability Insurance Documentation</w:t>
      </w:r>
    </w:p>
    <w:p>
      <w:pPr>
        <w:pStyle w:val="ListParagraph"/>
        <w:numPr>
          <w:ilvl w:val="0"/>
          <w:numId w:val="1"/>
        </w:numPr>
        <w:spacing w:lineRule="exact" w:line="264" w:before="0" w:after="60"/>
        <w:rPr/>
      </w:pPr>
      <w:r>
        <w:rPr>
          <w:rFonts w:eastAsia="Arial" w:cs="Arial"/>
          <w:sz w:val="21"/>
          <w:szCs w:val="21"/>
        </w:rPr>
        <w:t>Plan of Correction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the background checks required under the Regulation for Background Checks for ALFs (effective August 15, 2025), the administrator-of-record and administrator-licensure requirements, and the staffing, training, and expanded infection-prevention continuing education 22VAC40-73 requires.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Administrator &amp; Staff Qualifications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Staffing, Training &amp; Continuing Education</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Regulation for Background Checks for ALF &amp; ADC (eff. 08/15/2025); Code of Va. § 63.2-1720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staff member is screened and suitable to work with residents through the comprehensive background checks Virginia requires, and meets health-screening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the background checks required by the Regulation for Background Checks for Assisted Living Facilities and Adult Day Centers (effective August 15, 2025) and the Code of Virginia at initial application and thereafter as required, shall not employ any individual with a disqualifying result, and shall maintain employment and health-screening documentation.</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Obtain the required criminal history record check and central registry (child protective services) check, and a completed sworn statement or affirmation, for each applicant for employment consistent with the Regulation for Background Checks for ALF and ADC and § 63.2-1720 et seq. of the Code of Virginia.</w:t>
      </w:r>
    </w:p>
    <w:p>
      <w:pPr>
        <w:pStyle w:val="Normal"/>
        <w:tabs>
          <w:tab w:val="left" w:pos="720" w:leader="none"/>
        </w:tabs>
        <w:spacing w:lineRule="exact" w:line="264" w:before="0" w:after="80"/>
        <w:ind w:hanging="360" w:start="720"/>
        <w:rPr/>
      </w:pPr>
      <w:r>
        <w:rPr>
          <w:rFonts w:eastAsia="Arial" w:cs="Arial"/>
          <w:sz w:val="21"/>
          <w:szCs w:val="21"/>
        </w:rPr>
        <w:t>b. Do not employ any individual with a barrier crime or other disqualifying result, and re-verify as required.</w:t>
      </w:r>
    </w:p>
    <w:p>
      <w:pPr>
        <w:pStyle w:val="Normal"/>
        <w:tabs>
          <w:tab w:val="left" w:pos="720" w:leader="none"/>
        </w:tabs>
        <w:spacing w:lineRule="exact" w:line="264" w:before="0" w:after="80"/>
        <w:ind w:hanging="360" w:start="720"/>
        <w:rPr/>
      </w:pPr>
      <w:r>
        <w:rPr>
          <w:rFonts w:eastAsia="Arial" w:cs="Arial"/>
          <w:sz w:val="21"/>
          <w:szCs w:val="21"/>
        </w:rPr>
        <w:t>c. Maintain documentation of the sworn statement and each background check in the personnel record.</w:t>
      </w:r>
    </w:p>
    <w:p>
      <w:pPr>
        <w:pStyle w:val="Normal"/>
        <w:pBdr>
          <w:bottom w:val="single" w:sz="4" w:space="1" w:color="2E5E45"/>
        </w:pBdr>
        <w:spacing w:before="160" w:after="80"/>
        <w:rPr/>
      </w:pPr>
      <w:r>
        <w:rPr>
          <w:rFonts w:eastAsia="Arial" w:cs="Arial"/>
          <w:b/>
          <w:bCs/>
          <w:color w:val="1A4731"/>
          <w:sz w:val="20"/>
          <w:szCs w:val="20"/>
        </w:rPr>
        <w:t>PROCEDURE — HEALTH SCREENING &amp; PERSONNEL RECORDS</w:t>
      </w:r>
    </w:p>
    <w:p>
      <w:pPr>
        <w:pStyle w:val="Normal"/>
        <w:tabs>
          <w:tab w:val="left" w:pos="720" w:leader="none"/>
        </w:tabs>
        <w:spacing w:lineRule="exact" w:line="264" w:before="0" w:after="80"/>
        <w:ind w:hanging="360" w:start="720"/>
        <w:rPr/>
      </w:pPr>
      <w:r>
        <w:rPr>
          <w:rFonts w:eastAsia="Arial" w:cs="Arial"/>
          <w:sz w:val="21"/>
          <w:szCs w:val="21"/>
        </w:rPr>
        <w:t>d. Obtain the required health screening, including tuberculosis screening, for staff consistent with 22VAC40-73.</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including the application, sworn statement, background checks, qualifications and credentials, required training, and health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VDSS for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Sworn Statement or Affirmation</w:t>
      </w:r>
    </w:p>
    <w:p>
      <w:pPr>
        <w:pStyle w:val="ListParagraph"/>
        <w:numPr>
          <w:ilvl w:val="0"/>
          <w:numId w:val="1"/>
        </w:numPr>
        <w:spacing w:lineRule="exact" w:line="264" w:before="0" w:after="60"/>
        <w:rPr/>
      </w:pPr>
      <w:r>
        <w:rPr>
          <w:rFonts w:eastAsia="Arial" w:cs="Arial"/>
          <w:sz w:val="21"/>
          <w:szCs w:val="21"/>
        </w:rPr>
        <w:t>Criminal History &amp; Central Registry Checks</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Administrator &amp; Staff Qualifications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Administrator &amp; Staff Qualifications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22VAC40-73-140, -150 (administrator); Board of Long-Term Care Administrators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has a qualified administrator of record and qualified staff, consistent with 22VAC40-73 and the licensing requirements for assisted living facility administrators.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have an administrator of record with no lapse in coverage, meet the administrator qualification and licensure requirements applicable to its level(s) of care, and employ qualified staff for the services it provides.</w:t>
      </w:r>
    </w:p>
    <w:p>
      <w:pPr>
        <w:pStyle w:val="Normal"/>
        <w:pBdr>
          <w:bottom w:val="single" w:sz="4" w:space="1" w:color="2E5E45"/>
        </w:pBdr>
        <w:spacing w:before="160" w:after="80"/>
        <w:rPr/>
      </w:pPr>
      <w:r>
        <w:rPr>
          <w:rFonts w:eastAsia="Arial" w:cs="Arial"/>
          <w:b/>
          <w:bCs/>
          <w:color w:val="1A4731"/>
          <w:sz w:val="20"/>
          <w:szCs w:val="20"/>
        </w:rPr>
        <w:t>PROCEDURE — ADMINISTRATOR</w:t>
      </w:r>
    </w:p>
    <w:p>
      <w:pPr>
        <w:pStyle w:val="Normal"/>
        <w:tabs>
          <w:tab w:val="left" w:pos="720" w:leader="none"/>
        </w:tabs>
        <w:spacing w:lineRule="exact" w:line="264" w:before="0" w:after="80"/>
        <w:ind w:hanging="360" w:start="720"/>
        <w:rPr/>
      </w:pPr>
      <w:r>
        <w:rPr>
          <w:rFonts w:eastAsia="Arial" w:cs="Arial"/>
          <w:sz w:val="21"/>
          <w:szCs w:val="21"/>
        </w:rPr>
        <w:t>a. Maintain an administrator of record; if the administrator dies, resigns, is discharged, or becomes unable to perform the duties, immediately employ a new administrator or appoint a qualified acting administrator so that no lapse in coverage occurs, and provide the notices the regulation requires.</w:t>
      </w:r>
    </w:p>
    <w:p>
      <w:pPr>
        <w:pStyle w:val="Normal"/>
        <w:tabs>
          <w:tab w:val="left" w:pos="720" w:leader="none"/>
        </w:tabs>
        <w:spacing w:lineRule="exact" w:line="264" w:before="0" w:after="80"/>
        <w:ind w:hanging="360" w:start="720"/>
        <w:rPr/>
      </w:pPr>
      <w:r>
        <w:rPr>
          <w:rFonts w:eastAsia="Arial" w:cs="Arial"/>
          <w:sz w:val="21"/>
          <w:szCs w:val="21"/>
        </w:rPr>
        <w:t>b. Ensure the administrator meets the qualifications in 22VAC40-73-140 and, for a facility licensed for assisted living care (or both levels), holds a license as an assisted living facility administrator or nursing home administrator issued by the Virginia Board of Long-Term Care Administrators; ensure the administrator serves on the required onsite basis for the Facility’s level(s) of care.</w:t>
      </w:r>
    </w:p>
    <w:p>
      <w:pPr>
        <w:pStyle w:val="Normal"/>
        <w:tabs>
          <w:tab w:val="left" w:pos="720" w:leader="none"/>
        </w:tabs>
        <w:spacing w:lineRule="exact" w:line="264" w:before="0" w:after="80"/>
        <w:ind w:hanging="360" w:start="720"/>
        <w:rPr/>
      </w:pPr>
      <w:r>
        <w:rPr>
          <w:rFonts w:eastAsia="Arial" w:cs="Arial"/>
          <w:sz w:val="21"/>
          <w:szCs w:val="21"/>
        </w:rPr>
        <w:t>c. Follow the acting-administrator and administrator-in-training provisions where an administrator position is temporarily filled, and provide the required notices to the Board and the department’s regional licensing office.</w:t>
      </w:r>
    </w:p>
    <w:p>
      <w:pPr>
        <w:pStyle w:val="Normal"/>
        <w:pBdr>
          <w:bottom w:val="single" w:sz="4" w:space="1" w:color="2E5E45"/>
        </w:pBdr>
        <w:spacing w:before="160" w:after="80"/>
        <w:rPr/>
      </w:pPr>
      <w:r>
        <w:rPr>
          <w:rFonts w:eastAsia="Arial" w:cs="Arial"/>
          <w:b/>
          <w:bCs/>
          <w:color w:val="1A4731"/>
          <w:sz w:val="20"/>
          <w:szCs w:val="20"/>
        </w:rPr>
        <w:t>PROCEDURE — STAFF QUALIFICATIONS</w:t>
      </w:r>
    </w:p>
    <w:p>
      <w:pPr>
        <w:pStyle w:val="Normal"/>
        <w:tabs>
          <w:tab w:val="left" w:pos="720" w:leader="none"/>
        </w:tabs>
        <w:spacing w:lineRule="exact" w:line="264" w:before="0" w:after="80"/>
        <w:ind w:hanging="360" w:start="720"/>
        <w:rPr/>
      </w:pPr>
      <w:r>
        <w:rPr>
          <w:rFonts w:eastAsia="Arial" w:cs="Arial"/>
          <w:sz w:val="21"/>
          <w:szCs w:val="21"/>
        </w:rPr>
        <w:t>d. Employ direct care staff who meet the qualification and training requirements of 22VAC40-73, and use registered medication aides, licensed nurses, or other qualified individuals for medication administration consistent with the Medication Management policy.</w:t>
      </w:r>
    </w:p>
    <w:p>
      <w:pPr>
        <w:pStyle w:val="Normal"/>
        <w:tabs>
          <w:tab w:val="left" w:pos="720" w:leader="none"/>
        </w:tabs>
        <w:spacing w:lineRule="exact" w:line="264" w:before="0" w:after="80"/>
        <w:ind w:hanging="360" w:start="720"/>
        <w:rPr/>
      </w:pPr>
      <w:r>
        <w:rPr>
          <w:rFonts w:eastAsia="Arial" w:cs="Arial"/>
          <w:sz w:val="21"/>
          <w:szCs w:val="21"/>
        </w:rPr>
        <w:t>e. Maintain documentation of administrator licensure and staff qualifications in the personnel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License / Qualification Record</w:t>
      </w:r>
    </w:p>
    <w:p>
      <w:pPr>
        <w:pStyle w:val="ListParagraph"/>
        <w:numPr>
          <w:ilvl w:val="0"/>
          <w:numId w:val="1"/>
        </w:numPr>
        <w:spacing w:lineRule="exact" w:line="264" w:before="0" w:after="60"/>
        <w:rPr/>
      </w:pPr>
      <w:r>
        <w:rPr>
          <w:rFonts w:eastAsia="Arial" w:cs="Arial"/>
          <w:sz w:val="21"/>
          <w:szCs w:val="21"/>
        </w:rPr>
        <w:t>Acting Administrator / AIT Notices</w:t>
      </w:r>
    </w:p>
    <w:p>
      <w:pPr>
        <w:pStyle w:val="ListParagraph"/>
        <w:numPr>
          <w:ilvl w:val="0"/>
          <w:numId w:val="1"/>
        </w:numPr>
        <w:spacing w:lineRule="exact" w:line="264" w:before="0" w:after="60"/>
        <w:rPr/>
      </w:pPr>
      <w:r>
        <w:rPr>
          <w:rFonts w:eastAsia="Arial" w:cs="Arial"/>
          <w:sz w:val="21"/>
          <w:szCs w:val="21"/>
        </w:rPr>
        <w:t>Staff Qualification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Staffing,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Staffing,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(staffing; staff training; infection prevention)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sufficient qualified staff and provides the orientation, training, and continuing education 22VAC40-73 requires, including the expanded infection-prevention 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sufficient number of qualified staff to meet residents’ needs based on the residents’ assessed needs and the level(s) of care, provide required orientation and staff training, and provide annual continuing education, including infection prevention and control.</w:t>
      </w:r>
    </w:p>
    <w:p>
      <w:pPr>
        <w:pStyle w:val="Normal"/>
        <w:pBdr>
          <w:bottom w:val="single" w:sz="4" w:space="1" w:color="2E5E45"/>
        </w:pBdr>
        <w:spacing w:before="160" w:after="80"/>
        <w:rPr/>
      </w:pPr>
      <w:r>
        <w:rPr>
          <w:rFonts w:eastAsia="Arial" w:cs="Arial"/>
          <w:b/>
          <w:bCs/>
          <w:color w:val="1A4731"/>
          <w:sz w:val="20"/>
          <w:szCs w:val="20"/>
        </w:rPr>
        <w:t>PROCEDURE — STAFFING</w:t>
      </w:r>
    </w:p>
    <w:p>
      <w:pPr>
        <w:pStyle w:val="Normal"/>
        <w:tabs>
          <w:tab w:val="left" w:pos="720" w:leader="none"/>
        </w:tabs>
        <w:spacing w:lineRule="exact" w:line="264" w:before="0" w:after="80"/>
        <w:ind w:hanging="360" w:start="720"/>
        <w:rPr/>
      </w:pPr>
      <w:r>
        <w:rPr>
          <w:rFonts w:eastAsia="Arial" w:cs="Arial"/>
          <w:sz w:val="21"/>
          <w:szCs w:val="21"/>
        </w:rPr>
        <w:t>a. Maintain a sufficient number of qualified direct care staff on duty to meet residents’ scheduled and unscheduled needs based on the UAI and individualized service plans and the Facility’s level(s) of care, and meet the awake-staff and onsite-coverage requirements applicable to the Facility’s level(s) of care.</w:t>
      </w:r>
    </w:p>
    <w:p>
      <w:pPr>
        <w:pStyle w:val="Normal"/>
        <w:tabs>
          <w:tab w:val="left" w:pos="720" w:leader="none"/>
        </w:tabs>
        <w:spacing w:lineRule="exact" w:line="264" w:before="0" w:after="80"/>
        <w:ind w:hanging="360" w:start="720"/>
        <w:rPr/>
      </w:pPr>
      <w:r>
        <w:rPr>
          <w:rFonts w:eastAsia="Arial" w:cs="Arial"/>
          <w:sz w:val="21"/>
          <w:szCs w:val="21"/>
        </w:rPr>
        <w:t>b. Maintain a written staffing plan and schedule reflecting the coverage pattern, and adjust staffing to residents’ assessed needs and census.</w:t>
      </w:r>
    </w:p>
    <w:p>
      <w:pPr>
        <w:pStyle w:val="Normal"/>
        <w:pBdr>
          <w:bottom w:val="single" w:sz="4" w:space="1" w:color="2E5E45"/>
        </w:pBdr>
        <w:spacing w:before="160" w:after="80"/>
        <w:rPr/>
      </w:pPr>
      <w:r>
        <w:rPr>
          <w:rFonts w:eastAsia="Arial" w:cs="Arial"/>
          <w:b/>
          <w:bCs/>
          <w:color w:val="1A4731"/>
          <w:sz w:val="20"/>
          <w:szCs w:val="20"/>
        </w:rPr>
        <w:t>PROCEDURE — TRAINING &amp; CONTINUING EDUCATION</w:t>
      </w:r>
    </w:p>
    <w:p>
      <w:pPr>
        <w:pStyle w:val="Normal"/>
        <w:tabs>
          <w:tab w:val="left" w:pos="720" w:leader="none"/>
        </w:tabs>
        <w:spacing w:lineRule="exact" w:line="264" w:before="0" w:after="80"/>
        <w:ind w:hanging="360" w:start="720"/>
        <w:rPr/>
      </w:pPr>
      <w:r>
        <w:rPr>
          <w:rFonts w:eastAsia="Arial" w:cs="Arial"/>
          <w:sz w:val="21"/>
          <w:szCs w:val="21"/>
        </w:rPr>
        <w:t>c. Provide orientation before independent assignment and staff training on resident rights and abuse reporting, emergency and disaster procedures, infection prevention and control, medication management within the staff member’s role, serious cognitive impairment/dementia where applicable, and the job’s duties; provide HazCom training consistent with the Hazardous Chemicals policy.</w:t>
      </w:r>
    </w:p>
    <w:p>
      <w:pPr>
        <w:pStyle w:val="Normal"/>
        <w:tabs>
          <w:tab w:val="left" w:pos="720" w:leader="none"/>
        </w:tabs>
        <w:spacing w:lineRule="exact" w:line="264" w:before="0" w:after="80"/>
        <w:ind w:hanging="360" w:start="720"/>
        <w:rPr/>
      </w:pPr>
      <w:r>
        <w:rPr>
          <w:rFonts w:eastAsia="Arial" w:cs="Arial"/>
          <w:sz w:val="21"/>
          <w:szCs w:val="21"/>
        </w:rPr>
        <w:t>d. Provide the required annual continuing education, including the expanded infection-prevention and control training, and ensure required staff complete direct care training and competency within the required timeframes.</w:t>
      </w:r>
    </w:p>
    <w:p>
      <w:pPr>
        <w:pStyle w:val="Normal"/>
        <w:tabs>
          <w:tab w:val="left" w:pos="720" w:leader="none"/>
        </w:tabs>
        <w:spacing w:lineRule="exact" w:line="264" w:before="0" w:after="80"/>
        <w:ind w:hanging="360" w:start="720"/>
        <w:rPr/>
      </w:pPr>
      <w:r>
        <w:rPr>
          <w:rFonts w:eastAsia="Arial" w:cs="Arial"/>
          <w:sz w:val="21"/>
          <w:szCs w:val="21"/>
        </w:rPr>
        <w:t>e. Maintain training and competency records, including dates, topics, and hours, in each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Orientation &amp; Training Records</w:t>
      </w:r>
    </w:p>
    <w:p>
      <w:pPr>
        <w:pStyle w:val="ListParagraph"/>
        <w:numPr>
          <w:ilvl w:val="0"/>
          <w:numId w:val="1"/>
        </w:numPr>
        <w:spacing w:lineRule="exact" w:line="264" w:before="0" w:after="60"/>
        <w:rPr/>
      </w:pPr>
      <w:r>
        <w:rPr>
          <w:rFonts w:eastAsia="Arial" w:cs="Arial"/>
          <w:sz w:val="21"/>
          <w:szCs w:val="21"/>
        </w:rPr>
        <w:t>Annual Continuing Education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residents and plans their care — the Uniform Assessment Instrument and the individualized service plan, personal and health care services and activities within the level(s) of care,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Uniform Assessment Instrument &amp; Individualized Service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Personal &amp; Health Care Services &amp; Activities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Uniform Assessment Instrument &amp; Individualized Service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Uniform Assessment Instrument &amp; Individualized Service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22VAC40-73-440 (UAI); 22VAC40-73-450 (ISP)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is assessed with the Uniform Assessment Instrument (UAI) and has a current individualized service plan (ISP) that meets the resident’s service needs, consistent with 22VAC40-73.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each resident using the UAI, develop a preliminary plan of care at admission and a comprehensive ISP by a person who has completed department-approved UAI and ISP training, and review and update the ISP as required.</w:t>
      </w:r>
    </w:p>
    <w:p>
      <w:pPr>
        <w:pStyle w:val="Normal"/>
        <w:pBdr>
          <w:bottom w:val="single" w:sz="4" w:space="1" w:color="2E5E45"/>
        </w:pBdr>
        <w:spacing w:before="160" w:after="80"/>
        <w:rPr/>
      </w:pPr>
      <w:r>
        <w:rPr>
          <w:rFonts w:eastAsia="Arial" w:cs="Arial"/>
          <w:b/>
          <w:bCs/>
          <w:color w:val="1A4731"/>
          <w:sz w:val="20"/>
          <w:szCs w:val="20"/>
        </w:rPr>
        <w:t>PROCEDURE — ASSESSMENT (UAI)</w:t>
      </w:r>
    </w:p>
    <w:p>
      <w:pPr>
        <w:pStyle w:val="Normal"/>
        <w:tabs>
          <w:tab w:val="left" w:pos="720" w:leader="none"/>
        </w:tabs>
        <w:spacing w:lineRule="exact" w:line="264" w:before="0" w:after="80"/>
        <w:ind w:hanging="360" w:start="720"/>
        <w:rPr/>
      </w:pPr>
      <w:r>
        <w:rPr>
          <w:rFonts w:eastAsia="Arial" w:cs="Arial"/>
          <w:sz w:val="21"/>
          <w:szCs w:val="21"/>
        </w:rPr>
        <w:t>a. Complete or obtain a UAI for each resident prior to admission, at least annually, and whenever there is a significant change in the resident’s condition, using it to determine the level of care and to inform the service plan.</w:t>
      </w:r>
    </w:p>
    <w:p>
      <w:pPr>
        <w:pStyle w:val="Normal"/>
        <w:tabs>
          <w:tab w:val="left" w:pos="720" w:leader="none"/>
        </w:tabs>
        <w:spacing w:lineRule="exact" w:line="264" w:before="0" w:after="80"/>
        <w:ind w:hanging="360" w:start="720"/>
        <w:rPr/>
      </w:pPr>
      <w:r>
        <w:rPr>
          <w:rFonts w:eastAsia="Arial" w:cs="Arial"/>
          <w:sz w:val="21"/>
          <w:szCs w:val="21"/>
        </w:rPr>
        <w:t>b. Ensure the person completing the private-pay UAI has completed the state-approved private-pay UAI training, which is a prerequisite to ISP training.</w:t>
      </w:r>
    </w:p>
    <w:p>
      <w:pPr>
        <w:pStyle w:val="Normal"/>
        <w:pBdr>
          <w:bottom w:val="single" w:sz="4" w:space="1" w:color="2E5E45"/>
        </w:pBdr>
        <w:spacing w:before="160" w:after="80"/>
        <w:rPr/>
      </w:pPr>
      <w:r>
        <w:rPr>
          <w:rFonts w:eastAsia="Arial" w:cs="Arial"/>
          <w:b/>
          <w:bCs/>
          <w:color w:val="1A4731"/>
          <w:sz w:val="20"/>
          <w:szCs w:val="20"/>
        </w:rPr>
        <w:t>PROCEDURE — INDIVIDUALIZED SERVICE PLAN (ISP)</w:t>
      </w:r>
    </w:p>
    <w:p>
      <w:pPr>
        <w:pStyle w:val="Normal"/>
        <w:tabs>
          <w:tab w:val="left" w:pos="720" w:leader="none"/>
        </w:tabs>
        <w:spacing w:lineRule="exact" w:line="264" w:before="0" w:after="80"/>
        <w:ind w:hanging="360" w:start="720"/>
        <w:rPr/>
      </w:pPr>
      <w:r>
        <w:rPr>
          <w:rFonts w:eastAsia="Arial" w:cs="Arial"/>
          <w:sz w:val="21"/>
          <w:szCs w:val="21"/>
        </w:rPr>
        <w:t>c. Develop a preliminary plan of care on or within seven days prior to the day of admission that addresses the resident’s basic needs and adequately protects the resident’s health, safety, and welfare.</w:t>
      </w:r>
    </w:p>
    <w:p>
      <w:pPr>
        <w:pStyle w:val="Normal"/>
        <w:tabs>
          <w:tab w:val="left" w:pos="720" w:leader="none"/>
        </w:tabs>
        <w:spacing w:lineRule="exact" w:line="264" w:before="0" w:after="80"/>
        <w:ind w:hanging="360" w:start="720"/>
        <w:rPr/>
      </w:pPr>
      <w:r>
        <w:rPr>
          <w:rFonts w:eastAsia="Arial" w:cs="Arial"/>
          <w:sz w:val="21"/>
          <w:szCs w:val="21"/>
        </w:rPr>
        <w:t>d. Have the licensee, administrator, or designee who has completed department-approved ISP training develop a comprehensive ISP to meet the resident’s service needs, in conjunction with the resident and, as appropriate, family, legal representative, direct care staff, case manager, and health care providers; an ISP is not required for a resident assessed as capable of maintaining an independent living status.</w:t>
      </w:r>
    </w:p>
    <w:p>
      <w:pPr>
        <w:pStyle w:val="Normal"/>
        <w:tabs>
          <w:tab w:val="left" w:pos="720" w:leader="none"/>
        </w:tabs>
        <w:spacing w:lineRule="exact" w:line="264" w:before="0" w:after="80"/>
        <w:ind w:hanging="360" w:start="720"/>
        <w:rPr/>
      </w:pPr>
      <w:r>
        <w:rPr>
          <w:rFonts w:eastAsia="Arial" w:cs="Arial"/>
          <w:sz w:val="21"/>
          <w:szCs w:val="21"/>
        </w:rPr>
        <w:t>e. Sign and date the ISP by the person who developed it and by the resident or legal representative, note others who contributed and the date, and where hospice care is provided, establish an agreed-upon coordinated plan of care with the licensed hospice organization and include those services on the ISP.</w:t>
      </w:r>
    </w:p>
    <w:p>
      <w:pPr>
        <w:pStyle w:val="Normal"/>
        <w:tabs>
          <w:tab w:val="left" w:pos="720" w:leader="none"/>
        </w:tabs>
        <w:spacing w:lineRule="exact" w:line="264" w:before="0" w:after="80"/>
        <w:ind w:hanging="360" w:start="720"/>
        <w:rPr/>
      </w:pPr>
      <w:r>
        <w:rPr>
          <w:rFonts w:eastAsia="Arial" w:cs="Arial"/>
          <w:sz w:val="21"/>
          <w:szCs w:val="21"/>
        </w:rPr>
        <w:t>f. Review and update the ISP as required and on change of condition; do not start, change, or discontinue medications, dietary supplements, diets, medical procedures, or treatments without an order from a physician or other prescriber, and document any permitted deviation from the plan as the regulation requires.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Uniform Assessment Instrument (UAI)</w:t>
      </w:r>
    </w:p>
    <w:p>
      <w:pPr>
        <w:pStyle w:val="ListParagraph"/>
        <w:numPr>
          <w:ilvl w:val="0"/>
          <w:numId w:val="1"/>
        </w:numPr>
        <w:spacing w:lineRule="exact" w:line="264" w:before="0" w:after="60"/>
        <w:rPr/>
      </w:pPr>
      <w:r>
        <w:rPr>
          <w:rFonts w:eastAsia="Arial" w:cs="Arial"/>
          <w:sz w:val="21"/>
          <w:szCs w:val="21"/>
        </w:rPr>
        <w:t>Preliminary Plan of Care</w:t>
      </w:r>
    </w:p>
    <w:p>
      <w:pPr>
        <w:pStyle w:val="ListParagraph"/>
        <w:numPr>
          <w:ilvl w:val="0"/>
          <w:numId w:val="1"/>
        </w:numPr>
        <w:spacing w:lineRule="exact" w:line="264" w:before="0" w:after="60"/>
        <w:rPr/>
      </w:pPr>
      <w:r>
        <w:rPr>
          <w:rFonts w:eastAsia="Arial" w:cs="Arial"/>
          <w:sz w:val="21"/>
          <w:szCs w:val="21"/>
        </w:rPr>
        <w:t>Individualized Service Plan (ISP)</w:t>
      </w:r>
    </w:p>
    <w:p>
      <w:pPr>
        <w:pStyle w:val="ListParagraph"/>
        <w:numPr>
          <w:ilvl w:val="0"/>
          <w:numId w:val="1"/>
        </w:numPr>
        <w:spacing w:lineRule="exact" w:line="264" w:before="0" w:after="60"/>
        <w:rPr/>
      </w:pPr>
      <w:r>
        <w:rPr>
          <w:rFonts w:eastAsia="Arial" w:cs="Arial"/>
          <w:sz w:val="21"/>
          <w:szCs w:val="21"/>
        </w:rPr>
        <w:t>ISP Deviation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Personal &amp; Health Care Services &amp; Activities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Personal &amp; Health Care Services &amp; Activities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(services; activities)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or coordinate personal and health care services, supervision, and activities according to each resident’s ISP and level of care, while supporting individuality, dignity, and freedom of choice.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or coordinate personal and health care services and 24-hour supervision and assistance (scheduled and unscheduled) as identified in each resident’s ISP, within its level(s) of care, and shall provide an activities program.</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or coordinate assistance with activities of daily living — such as mobility, bathing, dressing, grooming, personal hygiene, toileting, and eating — and instrumental activities of daily living as identified in the ISP, supporting individuality, personal dignity, freedom of choice, and a home-like environment.</w:t>
      </w:r>
    </w:p>
    <w:p>
      <w:pPr>
        <w:pStyle w:val="Normal"/>
        <w:tabs>
          <w:tab w:val="left" w:pos="720" w:leader="none"/>
        </w:tabs>
        <w:spacing w:lineRule="exact" w:line="264" w:before="0" w:after="80"/>
        <w:ind w:hanging="360" w:start="720"/>
        <w:rPr/>
      </w:pPr>
      <w:r>
        <w:rPr>
          <w:rFonts w:eastAsia="Arial" w:cs="Arial"/>
          <w:sz w:val="21"/>
          <w:szCs w:val="21"/>
        </w:rPr>
        <w:t>b. Provide 24-hour supervision and assistance (scheduled and unscheduled) appropriate to residents’ assessed needs and level of care, and coordinate health care services provided by physicians, licensed nurses, home care organizations, or hospice under treatment plans.</w:t>
      </w:r>
    </w:p>
    <w:p>
      <w:pPr>
        <w:pStyle w:val="Normal"/>
        <w:tabs>
          <w:tab w:val="left" w:pos="720" w:leader="none"/>
        </w:tabs>
        <w:spacing w:lineRule="exact" w:line="264" w:before="0" w:after="80"/>
        <w:ind w:hanging="360" w:start="720"/>
        <w:rPr/>
      </w:pPr>
      <w:r>
        <w:rPr>
          <w:rFonts w:eastAsia="Arial" w:cs="Arial"/>
          <w:sz w:val="21"/>
          <w:szCs w:val="21"/>
        </w:rPr>
        <w:t>c. Provide an activities program appropriate to residents’ interests and abilities, including for residents with cognitive impairment consistent with the Serious Cognitive Impairments policy.</w:t>
      </w:r>
    </w:p>
    <w:p>
      <w:pPr>
        <w:pStyle w:val="Normal"/>
        <w:tabs>
          <w:tab w:val="left" w:pos="720" w:leader="none"/>
        </w:tabs>
        <w:spacing w:lineRule="exact" w:line="264" w:before="0" w:after="80"/>
        <w:ind w:hanging="360" w:start="720"/>
        <w:rPr/>
      </w:pPr>
      <w:r>
        <w:rPr>
          <w:rFonts w:eastAsia="Arial" w:cs="Arial"/>
          <w:sz w:val="21"/>
          <w:szCs w:val="21"/>
        </w:rPr>
        <w:t>d. Report changes in a resident’s condition to the resident’s physician or prescriber, legal representative, and contact person, and update the UAI and ISP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ADL / Service Delivery Record</w:t>
      </w:r>
    </w:p>
    <w:p>
      <w:pPr>
        <w:pStyle w:val="ListParagraph"/>
        <w:numPr>
          <w:ilvl w:val="0"/>
          <w:numId w:val="1"/>
        </w:numPr>
        <w:spacing w:lineRule="exact" w:line="264" w:before="0" w:after="60"/>
        <w:rPr/>
      </w:pPr>
      <w:r>
        <w:rPr>
          <w:rFonts w:eastAsia="Arial" w:cs="Arial"/>
          <w:sz w:val="21"/>
          <w:szCs w:val="21"/>
        </w:rPr>
        <w:t>Activities Calendar</w:t>
      </w:r>
    </w:p>
    <w:p>
      <w:pPr>
        <w:pStyle w:val="ListParagraph"/>
        <w:numPr>
          <w:ilvl w:val="0"/>
          <w:numId w:val="1"/>
        </w:numPr>
        <w:spacing w:lineRule="exact" w:line="264" w:before="0" w:after="60"/>
        <w:rPr/>
      </w:pPr>
      <w:r>
        <w:rPr>
          <w:rFonts w:eastAsia="Arial" w:cs="Arial"/>
          <w:sz w:val="21"/>
          <w:szCs w:val="21"/>
        </w:rPr>
        <w:t>Change-of-Condition Notification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ISP,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through the UAI and on change of condition and address identified risk in the ISP,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resident’s physician or prescriber and legal representative, and review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22VAC40-73 — the written medication management plan, administration on prescriber orders by licensed nurses or registered medication aides (including the advanced registered medication aide role) or delegated staff, resident self-administration where assessed as capable, and secure storage and the safe handling of errors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Management &amp;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Storage, Errors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Management &amp;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Management &amp;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22VAC40-73-470 (medication management); Board of Nursing (RMA)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managed and administered safely, by authorized individuals, on proper orders, and under a medication management plan, consistent with 22VAC40-73 and the Board of Nursing regulations.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medication management plan and shall ensure medications are administered only on the orders of a physician or other prescriber by a licensed nurse, a registered medication aide, or other authorized individual, or self-administered by a resident assessed as capable, in accordance with 22VAC40-73 and the Board of Nursing regulations.</w:t>
      </w:r>
    </w:p>
    <w:p>
      <w:pPr>
        <w:pStyle w:val="Normal"/>
        <w:pBdr>
          <w:bottom w:val="single" w:sz="4" w:space="1" w:color="2E5E45"/>
        </w:pBdr>
        <w:spacing w:before="160" w:after="80"/>
        <w:rPr/>
      </w:pPr>
      <w:r>
        <w:rPr>
          <w:rFonts w:eastAsia="Arial" w:cs="Arial"/>
          <w:b/>
          <w:bCs/>
          <w:color w:val="1A4731"/>
          <w:sz w:val="20"/>
          <w:szCs w:val="20"/>
        </w:rPr>
        <w:t>PROCEDURE — MEDICATION MANAGEMENT PLAN &amp; ORDERS</w:t>
      </w:r>
    </w:p>
    <w:p>
      <w:pPr>
        <w:pStyle w:val="Normal"/>
        <w:tabs>
          <w:tab w:val="left" w:pos="720" w:leader="none"/>
        </w:tabs>
        <w:spacing w:lineRule="exact" w:line="264" w:before="0" w:after="80"/>
        <w:ind w:hanging="360" w:start="720"/>
        <w:rPr/>
      </w:pPr>
      <w:r>
        <w:rPr>
          <w:rFonts w:eastAsia="Arial" w:cs="Arial"/>
          <w:sz w:val="21"/>
          <w:szCs w:val="21"/>
        </w:rPr>
        <w:t>a. Maintain a written medication management plan addressing the Facility’s medication administration, storage, documentation, and oversight, consistent with the department’s medication management plan requirements.</w:t>
      </w:r>
    </w:p>
    <w:p>
      <w:pPr>
        <w:pStyle w:val="Normal"/>
        <w:tabs>
          <w:tab w:val="left" w:pos="720" w:leader="none"/>
        </w:tabs>
        <w:spacing w:lineRule="exact" w:line="264" w:before="0" w:after="80"/>
        <w:ind w:hanging="360" w:start="720"/>
        <w:rPr/>
      </w:pPr>
      <w:r>
        <w:rPr>
          <w:rFonts w:eastAsia="Arial" w:cs="Arial"/>
          <w:sz w:val="21"/>
          <w:szCs w:val="21"/>
        </w:rPr>
        <w:t>b. Administer medications and treatments only on the orders of a physician or other prescriber, and do not start, change, or discontinue any medication, dietary supplement, diet, procedure, or treatment without such an order.</w:t>
      </w:r>
    </w:p>
    <w:p>
      <w:pPr>
        <w:pStyle w:val="Normal"/>
        <w:tabs>
          <w:tab w:val="left" w:pos="720" w:leader="none"/>
        </w:tabs>
        <w:spacing w:lineRule="exact" w:line="264" w:before="0" w:after="80"/>
        <w:ind w:hanging="360" w:start="720"/>
        <w:rPr/>
      </w:pPr>
      <w:r>
        <w:rPr>
          <w:rFonts w:eastAsia="Arial" w:cs="Arial"/>
          <w:sz w:val="21"/>
          <w:szCs w:val="21"/>
        </w:rPr>
        <w:t>c. Obtain and maintain current orders, and reconcile medications at admission and at return from a hospital or other setting.</w:t>
      </w:r>
    </w:p>
    <w:p>
      <w:pPr>
        <w:pStyle w:val="Normal"/>
        <w:pBdr>
          <w:bottom w:val="single" w:sz="4" w:space="1" w:color="2E5E45"/>
        </w:pBdr>
        <w:spacing w:before="160" w:after="80"/>
        <w:rPr/>
      </w:pPr>
      <w:r>
        <w:rPr>
          <w:rFonts w:eastAsia="Arial" w:cs="Arial"/>
          <w:b/>
          <w:bCs/>
          <w:color w:val="1A4731"/>
          <w:sz w:val="20"/>
          <w:szCs w:val="20"/>
        </w:rPr>
        <w:t>PROCEDURE — ADMINISTRATION &amp; SELF-ADMINISTRATION</w:t>
      </w:r>
    </w:p>
    <w:p>
      <w:pPr>
        <w:pStyle w:val="Normal"/>
        <w:tabs>
          <w:tab w:val="left" w:pos="720" w:leader="none"/>
        </w:tabs>
        <w:spacing w:lineRule="exact" w:line="264" w:before="0" w:after="80"/>
        <w:ind w:hanging="360" w:start="720"/>
        <w:rPr/>
      </w:pPr>
      <w:r>
        <w:rPr>
          <w:rFonts w:eastAsia="Arial" w:cs="Arial"/>
          <w:sz w:val="21"/>
          <w:szCs w:val="21"/>
        </w:rPr>
        <w:t>d. Ensure medications are administered by a licensed nurse, by a registered medication aide (RMA) certified by the Virginia Board of Nursing acting within the scope of certification and any advanced registered medication aide provisions, or by other individuals authorized under 22VAC40-73, and record each dose on the medication administration record (MAR).</w:t>
      </w:r>
    </w:p>
    <w:p>
      <w:pPr>
        <w:pStyle w:val="Normal"/>
        <w:tabs>
          <w:tab w:val="left" w:pos="720" w:leader="none"/>
        </w:tabs>
        <w:spacing w:lineRule="exact" w:line="264" w:before="0" w:after="80"/>
        <w:ind w:hanging="360" w:start="720"/>
        <w:rPr/>
      </w:pPr>
      <w:r>
        <w:rPr>
          <w:rFonts w:eastAsia="Arial" w:cs="Arial"/>
          <w:sz w:val="21"/>
          <w:szCs w:val="21"/>
        </w:rPr>
        <w:t>e. Where a registered nurse delegates a nursing task, ensure the delegation complies with the Board of Nursing regulations (18VAC90-19-240 through -280) and 22VAC40-73-470 E.</w:t>
      </w:r>
    </w:p>
    <w:p>
      <w:pPr>
        <w:pStyle w:val="Normal"/>
        <w:tabs>
          <w:tab w:val="left" w:pos="720" w:leader="none"/>
        </w:tabs>
        <w:spacing w:lineRule="exact" w:line="264" w:before="0" w:after="80"/>
        <w:ind w:hanging="360" w:start="720"/>
        <w:rPr/>
      </w:pPr>
      <w:r>
        <w:rPr>
          <w:rFonts w:eastAsia="Arial" w:cs="Arial"/>
          <w:sz w:val="21"/>
          <w:szCs w:val="21"/>
        </w:rPr>
        <w:t>f. Permit self-administration only for residents assessed as capable in accordance with 22VAC40-73, and monitor for effectiveness and adverse effects, reporting concerns to the prescriber and legal representative.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Management Plan</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Physician / Prescriber Orders</w:t>
      </w:r>
    </w:p>
    <w:p>
      <w:pPr>
        <w:pStyle w:val="ListParagraph"/>
        <w:numPr>
          <w:ilvl w:val="0"/>
          <w:numId w:val="1"/>
        </w:numPr>
        <w:spacing w:lineRule="exact" w:line="264" w:before="0" w:after="60"/>
        <w:rPr/>
      </w:pPr>
      <w:r>
        <w:rPr>
          <w:rFonts w:eastAsia="Arial" w:cs="Arial"/>
          <w:sz w:val="21"/>
          <w:szCs w:val="21"/>
        </w:rPr>
        <w:t>Self-Administration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Storage, Errors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Storage, Errors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22VAC40-73-470 et seq. (medication storage/disposal)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securely stored, that medication errors are identified and reviewed, and that medications are disposed of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store medications securely, document and review medication errors through the quality improvement program, and dispose of medications by an approved method with documentation, in accordance with 22VAC40-73 and applicable controlled-substance laws.</w:t>
      </w:r>
    </w:p>
    <w:p>
      <w:pPr>
        <w:pStyle w:val="Normal"/>
        <w:pBdr>
          <w:bottom w:val="single" w:sz="4" w:space="1" w:color="2E5E45"/>
        </w:pBdr>
        <w:spacing w:before="160" w:after="80"/>
        <w:rPr/>
      </w:pPr>
      <w:r>
        <w:rPr>
          <w:rFonts w:eastAsia="Arial" w:cs="Arial"/>
          <w:b/>
          <w:bCs/>
          <w:color w:val="1A4731"/>
          <w:sz w:val="20"/>
          <w:szCs w:val="20"/>
        </w:rPr>
        <w:t>PROCEDURE — STORAGE</w:t>
      </w:r>
    </w:p>
    <w:p>
      <w:pPr>
        <w:pStyle w:val="Normal"/>
        <w:tabs>
          <w:tab w:val="left" w:pos="720" w:leader="none"/>
        </w:tabs>
        <w:spacing w:lineRule="exact" w:line="264" w:before="0" w:after="80"/>
        <w:ind w:hanging="360" w:start="720"/>
        <w:rPr/>
      </w:pPr>
      <w:r>
        <w:rPr>
          <w:rFonts w:eastAsia="Arial" w:cs="Arial"/>
          <w:sz w:val="21"/>
          <w:szCs w:val="21"/>
        </w:rPr>
        <w:t>a. Store medications securely so that residents cannot access others’ medications, with controlled substances secured and access limited to authorized staff, and keep medications in properly labeled containers separated from hazardous chemicals.</w:t>
      </w:r>
    </w:p>
    <w:p>
      <w:pPr>
        <w:pStyle w:val="Normal"/>
        <w:tabs>
          <w:tab w:val="left" w:pos="720" w:leader="none"/>
        </w:tabs>
        <w:spacing w:lineRule="exact" w:line="264" w:before="0" w:after="80"/>
        <w:ind w:hanging="360" w:start="720"/>
        <w:rPr/>
      </w:pPr>
      <w:r>
        <w:rPr>
          <w:rFonts w:eastAsia="Arial" w:cs="Arial"/>
          <w:sz w:val="21"/>
          <w:szCs w:val="21"/>
        </w:rPr>
        <w:t>b. Maintain required medication records, including the MAR and controlled-substance records, and keep current medication reference information available to staff.</w:t>
      </w:r>
    </w:p>
    <w:p>
      <w:pPr>
        <w:pStyle w:val="Normal"/>
        <w:pBdr>
          <w:bottom w:val="single" w:sz="4" w:space="1" w:color="2E5E45"/>
        </w:pBdr>
        <w:spacing w:before="160" w:after="80"/>
        <w:rPr/>
      </w:pPr>
      <w:r>
        <w:rPr>
          <w:rFonts w:eastAsia="Arial" w:cs="Arial"/>
          <w:b/>
          <w:bCs/>
          <w:color w:val="1A4731"/>
          <w:sz w:val="20"/>
          <w:szCs w:val="20"/>
        </w:rPr>
        <w:t>PROCEDURE — ERRORS &amp; DISPOSAL</w:t>
      </w:r>
    </w:p>
    <w:p>
      <w:pPr>
        <w:pStyle w:val="Normal"/>
        <w:tabs>
          <w:tab w:val="left" w:pos="720" w:leader="none"/>
        </w:tabs>
        <w:spacing w:lineRule="exact" w:line="264" w:before="0" w:after="80"/>
        <w:ind w:hanging="360" w:start="720"/>
        <w:rPr/>
      </w:pPr>
      <w:r>
        <w:rPr>
          <w:rFonts w:eastAsia="Arial" w:cs="Arial"/>
          <w:sz w:val="21"/>
          <w:szCs w:val="21"/>
        </w:rPr>
        <w:t>c. Document each medication error or discrepancy, including the effect on the resident and corrective action, notify the prescriber and legal representative of errors affecting a resident, and review medication errors for patterns through the quality improvement program.</w:t>
      </w:r>
    </w:p>
    <w:p>
      <w:pPr>
        <w:pStyle w:val="Normal"/>
        <w:tabs>
          <w:tab w:val="left" w:pos="720" w:leader="none"/>
        </w:tabs>
        <w:spacing w:lineRule="exact" w:line="264" w:before="0" w:after="80"/>
        <w:ind w:hanging="360" w:start="720"/>
        <w:rPr/>
      </w:pPr>
      <w:r>
        <w:rPr>
          <w:rFonts w:eastAsia="Arial" w:cs="Arial"/>
          <w:sz w:val="21"/>
          <w:szCs w:val="21"/>
        </w:rPr>
        <w:t>d. Dispose of discontinued, expired, or unused medications by an approved, non-retrievable method with witnessed verification and documentation, following additional controlled-substance requirements, and address disposition at discharge, death, or transfer.</w:t>
      </w:r>
    </w:p>
    <w:p>
      <w:pPr>
        <w:pStyle w:val="Normal"/>
        <w:tabs>
          <w:tab w:val="left" w:pos="720" w:leader="none"/>
        </w:tabs>
        <w:spacing w:lineRule="exact" w:line="264" w:before="0" w:after="80"/>
        <w:ind w:hanging="360" w:start="720"/>
        <w:rPr/>
      </w:pPr>
      <w:r>
        <w:rPr>
          <w:rFonts w:eastAsia="Arial" w:cs="Arial"/>
          <w:sz w:val="21"/>
          <w:szCs w:val="21"/>
        </w:rPr>
        <w:t>e. Return or dispose of medications consistent with 22VAC40-73 and applicable state and federal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Controlled Substance Records</w:t>
      </w:r>
    </w:p>
    <w:p>
      <w:pPr>
        <w:pStyle w:val="ListParagraph"/>
        <w:numPr>
          <w:ilvl w:val="0"/>
          <w:numId w:val="1"/>
        </w:numPr>
        <w:spacing w:lineRule="exact" w:line="264" w:before="0" w:after="60"/>
        <w:rPr/>
      </w:pPr>
      <w:r>
        <w:rPr>
          <w:rFonts w:eastAsia="Arial" w:cs="Arial"/>
          <w:sz w:val="21"/>
          <w:szCs w:val="21"/>
        </w:rPr>
        <w:t>Medication Destruction / Disposition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disaster response, an enhanced infection prevention and control program with a designated staff overseer (including COVID-19), hazardous-chemical safety, and the physical environment and dietary services required for an ALF.</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Disaster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Environment &amp; Dietary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Disaster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Disaster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(emergency preparedness); VDSS emergency guidance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or disaster, consistent with 22VAC40-73.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emergency preparedness and response plan, maintain fire-safety systems, train staff, conduct drills, and coordinate with local emergency services, accounting for residents’ evacuation needs.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and response plan addressing fire, severe weather (including hurricane and winter storm), utility failure, evacuation and relocation, shelter-in-place, and continuity of resident care, and review and update the plan as required.</w:t>
      </w:r>
    </w:p>
    <w:p>
      <w:pPr>
        <w:pStyle w:val="Normal"/>
        <w:tabs>
          <w:tab w:val="left" w:pos="720" w:leader="none"/>
        </w:tabs>
        <w:spacing w:lineRule="exact" w:line="264" w:before="0" w:after="80"/>
        <w:ind w:hanging="360" w:start="720"/>
        <w:rPr/>
      </w:pPr>
      <w:r>
        <w:rPr>
          <w:rFonts w:eastAsia="Arial" w:cs="Arial"/>
          <w:sz w:val="21"/>
          <w:szCs w:val="21"/>
        </w:rPr>
        <w:t>b. Maintain fire-safety systems and equipment, and ensure staff capable of responding to an emergency are present consistent with the Facility’s staffing requirements and level(s) of care.</w:t>
      </w:r>
    </w:p>
    <w:p>
      <w:pPr>
        <w:pStyle w:val="Normal"/>
        <w:tabs>
          <w:tab w:val="left" w:pos="720" w:leader="none"/>
        </w:tabs>
        <w:spacing w:lineRule="exact" w:line="264" w:before="0" w:after="80"/>
        <w:ind w:hanging="360" w:start="720"/>
        <w:rPr/>
      </w:pPr>
      <w:r>
        <w:rPr>
          <w:rFonts w:eastAsia="Arial" w:cs="Arial"/>
          <w:sz w:val="21"/>
          <w:szCs w:val="21"/>
        </w:rPr>
        <w:t>c. Assess each resident’s evacuation needs and address them in planning, providing for residents who need assistance to evacuate, including residents in a safe, secure environment.</w:t>
      </w:r>
    </w:p>
    <w:p>
      <w:pPr>
        <w:pStyle w:val="Normal"/>
        <w:tabs>
          <w:tab w:val="left" w:pos="720" w:leader="none"/>
        </w:tabs>
        <w:spacing w:lineRule="exact" w:line="264" w:before="0" w:after="80"/>
        <w:ind w:hanging="360" w:start="720"/>
        <w:rPr/>
      </w:pPr>
      <w:r>
        <w:rPr>
          <w:rFonts w:eastAsia="Arial" w:cs="Arial"/>
          <w:sz w:val="21"/>
          <w:szCs w:val="21"/>
        </w:rPr>
        <w:t>d. Conduct and document drills on the schedule required by rule, train all staff on their emergency roles, maintain emergency supplies and contact information, and coordinate with local fire, law enforcement,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Response Plan</w:t>
      </w:r>
    </w:p>
    <w:p>
      <w:pPr>
        <w:pStyle w:val="ListParagraph"/>
        <w:numPr>
          <w:ilvl w:val="0"/>
          <w:numId w:val="1"/>
        </w:numPr>
        <w:spacing w:lineRule="exact" w:line="264" w:before="0" w:after="60"/>
        <w:rPr/>
      </w:pPr>
      <w:r>
        <w:rPr>
          <w:rFonts w:eastAsia="Arial" w:cs="Arial"/>
          <w:sz w:val="21"/>
          <w:szCs w:val="21"/>
        </w:rPr>
        <w:t>Drill Records</w:t>
      </w:r>
    </w:p>
    <w:p>
      <w:pPr>
        <w:pStyle w:val="ListParagraph"/>
        <w:numPr>
          <w:ilvl w:val="0"/>
          <w:numId w:val="1"/>
        </w:numPr>
        <w:spacing w:lineRule="exact" w:line="264" w:before="0" w:after="60"/>
        <w:rPr/>
      </w:pPr>
      <w:r>
        <w:rPr>
          <w:rFonts w:eastAsia="Arial" w:cs="Arial"/>
          <w:sz w:val="21"/>
          <w:szCs w:val="21"/>
        </w:rPr>
        <w:t>Resident Evacuation Needs 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(infection prevention — designated staff); CDC guidance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respiratory and gastrointestinal illness outbreaks, and other communicable diseases — among residents, staff, and visitors through an enhanced infection prevention and control program overseen by a designated, trained staff member.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enhanced infection prevention and control program based on CDC guidance, designate a trained staff member to oversee infection prevention and control protocols, provide staff infection-prevention education, conduct surveillance, and respond to outbreaks including COVID-19 and respiratory and gastrointestinal illness.</w:t>
      </w:r>
    </w:p>
    <w:p>
      <w:pPr>
        <w:pStyle w:val="Normal"/>
        <w:pBdr>
          <w:bottom w:val="single" w:sz="4" w:space="1" w:color="2E5E45"/>
        </w:pBdr>
        <w:spacing w:before="160" w:after="80"/>
        <w:rPr/>
      </w:pPr>
      <w:r>
        <w:rPr>
          <w:rFonts w:eastAsia="Arial" w:cs="Arial"/>
          <w:b/>
          <w:bCs/>
          <w:color w:val="1A4731"/>
          <w:sz w:val="20"/>
          <w:szCs w:val="20"/>
        </w:rPr>
        <w:t>PROCEDURE — PROGRAM &amp; PREVENTION</w:t>
      </w:r>
    </w:p>
    <w:p>
      <w:pPr>
        <w:pStyle w:val="Normal"/>
        <w:tabs>
          <w:tab w:val="left" w:pos="720" w:leader="none"/>
        </w:tabs>
        <w:spacing w:lineRule="exact" w:line="264" w:before="0" w:after="80"/>
        <w:ind w:hanging="360" w:start="720"/>
        <w:rPr/>
      </w:pPr>
      <w:r>
        <w:rPr>
          <w:rFonts w:eastAsia="Arial" w:cs="Arial"/>
          <w:sz w:val="21"/>
          <w:szCs w:val="21"/>
        </w:rPr>
        <w:t>a. Designate a trained staff member to oversee the Facility’s infection prevention and control protocols, and complete the required infection prevention and control education.</w:t>
      </w:r>
    </w:p>
    <w:p>
      <w:pPr>
        <w:pStyle w:val="Normal"/>
        <w:tabs>
          <w:tab w:val="left" w:pos="720" w:leader="none"/>
        </w:tabs>
        <w:spacing w:lineRule="exact" w:line="264" w:before="0" w:after="80"/>
        <w:ind w:hanging="360" w:start="720"/>
        <w:rPr/>
      </w:pPr>
      <w:r>
        <w:rPr>
          <w:rFonts w:eastAsia="Arial" w:cs="Arial"/>
          <w:sz w:val="21"/>
          <w:szCs w:val="21"/>
        </w:rPr>
        <w:t>b. Practice hand hygiene and standard precautions, treating all blood and body fluids as potentially infectious, provide and require appropriate personal protective equipment, and maintain an environmental cleaning and disinfection program consistent with the Hazardous Chemicals policy.</w:t>
      </w:r>
    </w:p>
    <w:p>
      <w:pPr>
        <w:pStyle w:val="Normal"/>
        <w:tabs>
          <w:tab w:val="left" w:pos="720" w:leader="none"/>
        </w:tabs>
        <w:spacing w:lineRule="exact" w:line="264" w:before="0" w:after="80"/>
        <w:ind w:hanging="360" w:start="720"/>
        <w:rPr/>
      </w:pPr>
      <w:r>
        <w:rPr>
          <w:rFonts w:eastAsia="Arial" w:cs="Arial"/>
          <w:sz w:val="21"/>
          <w:szCs w:val="21"/>
        </w:rPr>
        <w:t>c. Complete tuberculosis screening for residents and staff as required, support recommended vaccinations (including seasonal influenza and COVID-19), and provide staff training in infection prevention and control.</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gastrointestinal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communicable diseases and outbreaks (including COVID-19 and respiratory and gastrointestinal outbreaks) to the Virginia Department of Health and VDSS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Prevention &amp; Control Program (designated staff)</w:t>
      </w:r>
    </w:p>
    <w:p>
      <w:pPr>
        <w:pStyle w:val="ListParagraph"/>
        <w:numPr>
          <w:ilvl w:val="0"/>
          <w:numId w:val="1"/>
        </w:numPr>
        <w:spacing w:lineRule="exact" w:line="264" w:before="0" w:after="60"/>
        <w:rPr/>
      </w:pPr>
      <w:r>
        <w:rPr>
          <w:rFonts w:eastAsia="Arial" w:cs="Arial"/>
          <w:sz w:val="21"/>
          <w:szCs w:val="21"/>
        </w:rPr>
        <w:t>Infection Surveillance / Outbreak Line List</w:t>
      </w:r>
    </w:p>
    <w:p>
      <w:pPr>
        <w:pStyle w:val="ListParagraph"/>
        <w:numPr>
          <w:ilvl w:val="0"/>
          <w:numId w:val="1"/>
        </w:numPr>
        <w:spacing w:lineRule="exact" w:line="264" w:before="0" w:after="60"/>
        <w:rPr/>
      </w:pPr>
      <w:r>
        <w:rPr>
          <w:rFonts w:eastAsia="Arial" w:cs="Arial"/>
          <w:sz w:val="21"/>
          <w:szCs w:val="21"/>
        </w:rPr>
        <w:t>TB Screening &amp; Vaccination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Environment &amp; Dietary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Environment &amp; Dietary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(buildings/grounds;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clean physical environment and to provide dietary services that meet residents’ nutritional needs, consistent with 22VAC40-73.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buildings and grounds in a safe, clean, and sanitary condition consistent with applicable building and fire-safety codes, and shall provide meals and dietary services that meet residents’ nutritional needs, including therapeutic diets ordered by a physician or prescriber.</w:t>
      </w:r>
    </w:p>
    <w:p>
      <w:pPr>
        <w:pStyle w:val="Normal"/>
        <w:pBdr>
          <w:bottom w:val="single" w:sz="4" w:space="1" w:color="2E5E45"/>
        </w:pBdr>
        <w:spacing w:before="160" w:after="80"/>
        <w:rPr/>
      </w:pPr>
      <w:r>
        <w:rPr>
          <w:rFonts w:eastAsia="Arial" w:cs="Arial"/>
          <w:b/>
          <w:bCs/>
          <w:color w:val="1A4731"/>
          <w:sz w:val="20"/>
          <w:szCs w:val="20"/>
        </w:rPr>
        <w:t>PROCEDURE — PHYSICAL ENVIRONMENT</w:t>
      </w:r>
    </w:p>
    <w:p>
      <w:pPr>
        <w:pStyle w:val="Normal"/>
        <w:tabs>
          <w:tab w:val="left" w:pos="720" w:leader="none"/>
        </w:tabs>
        <w:spacing w:lineRule="exact" w:line="264" w:before="0" w:after="80"/>
        <w:ind w:hanging="360" w:start="720"/>
        <w:rPr/>
      </w:pPr>
      <w:r>
        <w:rPr>
          <w:rFonts w:eastAsia="Arial" w:cs="Arial"/>
          <w:sz w:val="21"/>
          <w:szCs w:val="21"/>
        </w:rPr>
        <w:t>a. Maintain buildings and grounds in a safe, clean, and sanitary condition consistent with applicable building, fire-safety, and sanitation requirements, and pass the required general sanitation inspection.</w:t>
      </w:r>
    </w:p>
    <w:p>
      <w:pPr>
        <w:pStyle w:val="Normal"/>
        <w:tabs>
          <w:tab w:val="left" w:pos="720" w:leader="none"/>
        </w:tabs>
        <w:spacing w:lineRule="exact" w:line="264" w:before="0" w:after="80"/>
        <w:ind w:hanging="360" w:start="720"/>
        <w:rPr/>
      </w:pPr>
      <w:r>
        <w:rPr>
          <w:rFonts w:eastAsia="Arial" w:cs="Arial"/>
          <w:sz w:val="21"/>
          <w:szCs w:val="21"/>
        </w:rPr>
        <w:t>b. Maintain a hazardous-materials program consistent with the Hazardous Chemicals &amp; SDS Management policy, and provide a home-like environment that supports residents’ dignity and privacy.</w:t>
      </w:r>
    </w:p>
    <w:p>
      <w:pPr>
        <w:pStyle w:val="Normal"/>
        <w:tabs>
          <w:tab w:val="left" w:pos="720" w:leader="none"/>
        </w:tabs>
        <w:spacing w:lineRule="exact" w:line="264" w:before="0" w:after="80"/>
        <w:ind w:hanging="360" w:start="720"/>
        <w:rPr/>
      </w:pPr>
      <w:r>
        <w:rPr>
          <w:rFonts w:eastAsia="Arial" w:cs="Arial"/>
          <w:sz w:val="21"/>
          <w:szCs w:val="21"/>
        </w:rPr>
        <w:t>c. Maintain safe water, heating, cooling, and lighting, and conduct routine safety inspections and maintenance.</w:t>
      </w:r>
    </w:p>
    <w:p>
      <w:pPr>
        <w:pStyle w:val="Normal"/>
        <w:pBdr>
          <w:bottom w:val="single" w:sz="4" w:space="1" w:color="2E5E45"/>
        </w:pBdr>
        <w:spacing w:before="160" w:after="80"/>
        <w:rPr/>
      </w:pPr>
      <w:r>
        <w:rPr>
          <w:rFonts w:eastAsia="Arial" w:cs="Arial"/>
          <w:b/>
          <w:bCs/>
          <w:color w:val="1A4731"/>
          <w:sz w:val="20"/>
          <w:szCs w:val="20"/>
        </w:rPr>
        <w:t>PROCEDURE — DIETARY SERVICES</w:t>
      </w:r>
    </w:p>
    <w:p>
      <w:pPr>
        <w:pStyle w:val="Normal"/>
        <w:tabs>
          <w:tab w:val="left" w:pos="720" w:leader="none"/>
        </w:tabs>
        <w:spacing w:lineRule="exact" w:line="264" w:before="0" w:after="80"/>
        <w:ind w:hanging="360" w:start="720"/>
        <w:rPr/>
      </w:pPr>
      <w:r>
        <w:rPr>
          <w:rFonts w:eastAsia="Arial" w:cs="Arial"/>
          <w:sz w:val="21"/>
          <w:szCs w:val="21"/>
        </w:rPr>
        <w:t>d. Provide meals meeting residents’ nutritional needs, and provide therapeutic diets ordered by a physician or prescriber,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and ensure food-service staff meet applicable food-safety requirements.</w:t>
      </w:r>
    </w:p>
    <w:p>
      <w:pPr>
        <w:pStyle w:val="Normal"/>
        <w:tabs>
          <w:tab w:val="left" w:pos="720" w:leader="none"/>
        </w:tabs>
        <w:spacing w:lineRule="exact" w:line="264" w:before="0" w:after="80"/>
        <w:ind w:hanging="360" w:start="720"/>
        <w:rPr/>
      </w:pPr>
      <w:r>
        <w:rPr>
          <w:rFonts w:eastAsia="Arial" w:cs="Arial"/>
          <w:sz w:val="21"/>
          <w:szCs w:val="21"/>
        </w:rPr>
        <w:t>f. Accommodate residents’ dietary preferences consistent with their needs and the ISP.</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Sanitation Inspection Checklist</w:t>
      </w:r>
    </w:p>
    <w:p>
      <w:pPr>
        <w:pStyle w:val="ListParagraph"/>
        <w:numPr>
          <w:ilvl w:val="0"/>
          <w:numId w:val="1"/>
        </w:numPr>
        <w:spacing w:lineRule="exact" w:line="264" w:before="0" w:after="60"/>
        <w:rPr/>
      </w:pPr>
      <w:r>
        <w:rPr>
          <w:rFonts w:eastAsia="Arial" w:cs="Arial"/>
          <w:sz w:val="21"/>
          <w:szCs w:val="21"/>
        </w:rPr>
        <w:t>Menus (incl. therapeutic diets)</w:t>
      </w:r>
    </w:p>
    <w:p>
      <w:pPr>
        <w:pStyle w:val="ListParagraph"/>
        <w:numPr>
          <w:ilvl w:val="0"/>
          <w:numId w:val="1"/>
        </w:numPr>
        <w:spacing w:lineRule="exact" w:line="264" w:before="0" w:after="60"/>
        <w:rPr/>
      </w:pPr>
      <w:r>
        <w:rPr>
          <w:rFonts w:eastAsia="Arial" w:cs="Arial"/>
          <w:sz w:val="21"/>
          <w:szCs w:val="21"/>
        </w:rPr>
        <w:t>Food Service Sanitation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the quality improvement program aligned with Joint Commission Assisted Living Community principles, and — where the Facility operates one — the additional requirements for a safe, secure environment for residents with serious cognitive impairments.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Serious Cognitive Impairments — Safe, Secure Environment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(resident records);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22VAC40-73.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individual record for each resident, protect the confidentiality and security of resident information consistent with HIPAA and Virginia law, retain records as required, and make records available to VDSS on request.</w:t>
      </w:r>
    </w:p>
    <w:p>
      <w:pPr>
        <w:pStyle w:val="Normal"/>
        <w:pBdr>
          <w:bottom w:val="single" w:sz="4" w:space="1" w:color="2E5E45"/>
        </w:pBdr>
        <w:spacing w:before="160" w:after="80"/>
        <w:rPr/>
      </w:pPr>
      <w:r>
        <w:rPr>
          <w:rFonts w:eastAsia="Arial" w:cs="Arial"/>
          <w:b/>
          <w:bCs/>
          <w:color w:val="1A4731"/>
          <w:sz w:val="20"/>
          <w:szCs w:val="20"/>
        </w:rPr>
        <w:t>PROCEDURE — RECORD CONTENTS &amp; RETENTION</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and contact information; the resident agreement; the UAI and administrator’s written assurance; the preliminary plan of care and ISP; physician or prescriber orders; the medication administration record; records of services provided; and incident documentation.</w:t>
      </w:r>
    </w:p>
    <w:p>
      <w:pPr>
        <w:pStyle w:val="Normal"/>
        <w:tabs>
          <w:tab w:val="left" w:pos="720" w:leader="none"/>
        </w:tabs>
        <w:spacing w:lineRule="exact" w:line="264" w:before="0" w:after="80"/>
        <w:ind w:hanging="360" w:start="720"/>
        <w:rPr/>
      </w:pPr>
      <w:r>
        <w:rPr>
          <w:rFonts w:eastAsia="Arial" w:cs="Arial"/>
          <w:sz w:val="21"/>
          <w:szCs w:val="21"/>
        </w:rPr>
        <w:t>b. Retain resident records and required documentation for the periods required by rule, and maintain them securely.</w:t>
      </w:r>
    </w:p>
    <w:p>
      <w:pPr>
        <w:pStyle w:val="Normal"/>
        <w:tabs>
          <w:tab w:val="left" w:pos="720" w:leader="none"/>
        </w:tabs>
        <w:spacing w:lineRule="exact" w:line="264" w:before="0" w:after="80"/>
        <w:ind w:hanging="360" w:start="720"/>
        <w:rPr/>
      </w:pPr>
      <w:r>
        <w:rPr>
          <w:rFonts w:eastAsia="Arial" w:cs="Arial"/>
          <w:sz w:val="21"/>
          <w:szCs w:val="21"/>
        </w:rPr>
        <w:t>c. Document care and changes in condition contemporaneously, accurately, and legibly.</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or legal representative access to the record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(quality improvement); JC ALC principles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administrator and licensee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and collect and analyze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the administrator and licensee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Serious Cognitive Impairments — Safe, Secure Environment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Serious Cognitive Impairments — Safe, Secure Environment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22VAC40-73 Part IX — Additional Requirements for Facilities that Care for Adults with Serious Cognitive Impairments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Facility operates a safe, secure environment for residents who have a serious cognitive impairment due to a primary psychiatric diagnosis of dementia and cannot recognize danger or protect their own safety and welfare. This policy applies only where the Facility operates such a safe, secure environment.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operates a safe, secure environment for residents with serious cognitive impairments, it shall meet the additional requirements of 22VAC40-73 for assessment and placement, the physical environment, staffing and training, and activities,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PLACEMENT &amp; ASSESSMENT</w:t>
      </w:r>
    </w:p>
    <w:p>
      <w:pPr>
        <w:pStyle w:val="Normal"/>
        <w:tabs>
          <w:tab w:val="left" w:pos="720" w:leader="none"/>
        </w:tabs>
        <w:spacing w:lineRule="exact" w:line="264" w:before="0" w:after="80"/>
        <w:ind w:hanging="360" w:start="720"/>
        <w:rPr/>
      </w:pPr>
      <w:r>
        <w:rPr>
          <w:rFonts w:eastAsia="Arial" w:cs="Arial"/>
          <w:sz w:val="21"/>
          <w:szCs w:val="21"/>
        </w:rPr>
        <w:t>a. Place a resident in the safe, secure environment only in accordance with the regulation’s assessment and authorization requirements, including the required determinations and the involvement of the resident’s physician and legal representative.</w:t>
      </w:r>
    </w:p>
    <w:p>
      <w:pPr>
        <w:pStyle w:val="Normal"/>
        <w:tabs>
          <w:tab w:val="left" w:pos="720" w:leader="none"/>
        </w:tabs>
        <w:spacing w:lineRule="exact" w:line="264" w:before="0" w:after="80"/>
        <w:ind w:hanging="360" w:start="720"/>
        <w:rPr/>
      </w:pPr>
      <w:r>
        <w:rPr>
          <w:rFonts w:eastAsia="Arial" w:cs="Arial"/>
          <w:sz w:val="21"/>
          <w:szCs w:val="21"/>
        </w:rPr>
        <w:t>b. Assess residents in the safe, secure environment through the UAI and ISP, addressing cognitive status, behavior, elopement risk, and safety needs, and reassess on change of condition.</w:t>
      </w:r>
    </w:p>
    <w:p>
      <w:pPr>
        <w:pStyle w:val="Normal"/>
        <w:pBdr>
          <w:bottom w:val="single" w:sz="4" w:space="1" w:color="2E5E45"/>
        </w:pBdr>
        <w:spacing w:before="160" w:after="80"/>
        <w:rPr/>
      </w:pPr>
      <w:r>
        <w:rPr>
          <w:rFonts w:eastAsia="Arial" w:cs="Arial"/>
          <w:b/>
          <w:bCs/>
          <w:color w:val="1A4731"/>
          <w:sz w:val="20"/>
          <w:szCs w:val="20"/>
        </w:rPr>
        <w:t>PROCEDURE — ENVIRONMENT, STAFFING &amp; ACTIVITIES</w:t>
      </w:r>
    </w:p>
    <w:p>
      <w:pPr>
        <w:pStyle w:val="Normal"/>
        <w:tabs>
          <w:tab w:val="left" w:pos="720" w:leader="none"/>
        </w:tabs>
        <w:spacing w:lineRule="exact" w:line="264" w:before="0" w:after="80"/>
        <w:ind w:hanging="360" w:start="720"/>
        <w:rPr/>
      </w:pPr>
      <w:r>
        <w:rPr>
          <w:rFonts w:eastAsia="Arial" w:cs="Arial"/>
          <w:sz w:val="21"/>
          <w:szCs w:val="21"/>
        </w:rPr>
        <w:t>c. Maintain a physical environment designed to be safe and secure for residents with serious cognitive impairments, preventing undetected egress while preserving life-safety evacuation, and provide appropriate monitoring.</w:t>
      </w:r>
    </w:p>
    <w:p>
      <w:pPr>
        <w:pStyle w:val="Normal"/>
        <w:tabs>
          <w:tab w:val="left" w:pos="720" w:leader="none"/>
        </w:tabs>
        <w:spacing w:lineRule="exact" w:line="264" w:before="0" w:after="80"/>
        <w:ind w:hanging="360" w:start="720"/>
        <w:rPr/>
      </w:pPr>
      <w:r>
        <w:rPr>
          <w:rFonts w:eastAsia="Arial" w:cs="Arial"/>
          <w:sz w:val="21"/>
          <w:szCs w:val="21"/>
        </w:rPr>
        <w:t>d. Provide the additional staff orientation and training in cognitive impairment and dementia care required by the regulation, including behavioral approaches, communication, wandering and elopement prevention, and emergency evacuation of residents with cognitive impairment.</w:t>
      </w:r>
    </w:p>
    <w:p>
      <w:pPr>
        <w:pStyle w:val="Normal"/>
        <w:tabs>
          <w:tab w:val="left" w:pos="720" w:leader="none"/>
        </w:tabs>
        <w:spacing w:lineRule="exact" w:line="264" w:before="0" w:after="80"/>
        <w:ind w:hanging="360" w:start="720"/>
        <w:rPr/>
      </w:pPr>
      <w:r>
        <w:rPr>
          <w:rFonts w:eastAsia="Arial" w:cs="Arial"/>
          <w:sz w:val="21"/>
          <w:szCs w:val="21"/>
        </w:rPr>
        <w:t>e. Provide a structured activities program appropriate to residents with cognitive impairment, and review safe-secure-environment incidents, including elopement risk and behavioral events,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Safe, Secure Environment Placement / Assessment Record</w:t>
      </w:r>
    </w:p>
    <w:p>
      <w:pPr>
        <w:pStyle w:val="ListParagraph"/>
        <w:numPr>
          <w:ilvl w:val="0"/>
          <w:numId w:val="1"/>
        </w:numPr>
        <w:spacing w:lineRule="exact" w:line="264" w:before="0" w:after="60"/>
        <w:rPr/>
      </w:pPr>
      <w:r>
        <w:rPr>
          <w:rFonts w:eastAsia="Arial" w:cs="Arial"/>
          <w:sz w:val="21"/>
          <w:szCs w:val="21"/>
        </w:rPr>
        <w:t>Cognitive Impairment / Dementia Training Records</w:t>
      </w:r>
    </w:p>
    <w:p>
      <w:pPr>
        <w:pStyle w:val="ListParagraph"/>
        <w:numPr>
          <w:ilvl w:val="0"/>
          <w:numId w:val="1"/>
        </w:numPr>
        <w:spacing w:lineRule="exact" w:line="264" w:before="0" w:after="60"/>
        <w:rPr/>
      </w:pPr>
      <w:r>
        <w:rPr>
          <w:rFonts w:eastAsia="Arial" w:cs="Arial"/>
          <w:sz w:val="21"/>
          <w:szCs w:val="21"/>
        </w:rPr>
        <w:t>Elopement Risk &amp; Secure-Environment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Virginia agencies and resources, guidance on customizing the manual (including the social-services-agency note, the UAI/ISP note, and recent and forthcoming changes),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Virginia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Uniform Assessment Instrument (UAI)</w:t>
      </w:r>
    </w:p>
    <w:p>
      <w:pPr>
        <w:pStyle w:val="ListParagraph"/>
        <w:numPr>
          <w:ilvl w:val="0"/>
          <w:numId w:val="1"/>
        </w:numPr>
        <w:spacing w:lineRule="exact" w:line="264" w:before="0" w:after="60"/>
        <w:rPr/>
      </w:pPr>
      <w:r>
        <w:rPr>
          <w:rFonts w:eastAsia="Arial" w:cs="Arial"/>
          <w:sz w:val="21"/>
          <w:szCs w:val="21"/>
        </w:rPr>
        <w:t>Administrator’s Written Assurance of Appropriate Licensure</w:t>
      </w:r>
    </w:p>
    <w:p>
      <w:pPr>
        <w:pStyle w:val="ListParagraph"/>
        <w:numPr>
          <w:ilvl w:val="0"/>
          <w:numId w:val="1"/>
        </w:numPr>
        <w:spacing w:lineRule="exact" w:line="264" w:before="0" w:after="60"/>
        <w:rPr/>
      </w:pPr>
      <w:r>
        <w:rPr>
          <w:rFonts w:eastAsia="Arial" w:cs="Arial"/>
          <w:sz w:val="21"/>
          <w:szCs w:val="21"/>
        </w:rPr>
        <w:t>Resident Agreement (22VAC40-73-390)</w:t>
      </w:r>
    </w:p>
    <w:p>
      <w:pPr>
        <w:pStyle w:val="ListParagraph"/>
        <w:numPr>
          <w:ilvl w:val="0"/>
          <w:numId w:val="1"/>
        </w:numPr>
        <w:spacing w:lineRule="exact" w:line="264" w:before="0" w:after="60"/>
        <w:rPr/>
      </w:pPr>
      <w:r>
        <w:rPr>
          <w:rFonts w:eastAsia="Arial" w:cs="Arial"/>
          <w:sz w:val="21"/>
          <w:szCs w:val="21"/>
        </w:rPr>
        <w:t>Notice of Discharge / Transfer &amp; Relocation Assistance Record</w:t>
      </w:r>
    </w:p>
    <w:p>
      <w:pPr>
        <w:pStyle w:val="ListParagraph"/>
        <w:numPr>
          <w:ilvl w:val="0"/>
          <w:numId w:val="1"/>
        </w:numPr>
        <w:spacing w:lineRule="exact" w:line="264" w:before="0" w:after="60"/>
        <w:rPr/>
      </w:pPr>
      <w:r>
        <w:rPr>
          <w:rFonts w:eastAsia="Arial" w:cs="Arial"/>
          <w:sz w:val="21"/>
          <w:szCs w:val="21"/>
        </w:rPr>
        <w:t>Statement of Resident Rights &amp; Responsibilities (§ 63.2-1808)</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APS Report Record (online portal / hotline)</w:t>
      </w:r>
    </w:p>
    <w:p>
      <w:pPr>
        <w:pStyle w:val="ListParagraph"/>
        <w:numPr>
          <w:ilvl w:val="0"/>
          <w:numId w:val="1"/>
        </w:numPr>
        <w:spacing w:lineRule="exact" w:line="264" w:before="0" w:after="60"/>
        <w:rPr/>
      </w:pPr>
      <w:r>
        <w:rPr>
          <w:rFonts w:eastAsia="Arial" w:cs="Arial"/>
          <w:sz w:val="21"/>
          <w:szCs w:val="21"/>
        </w:rPr>
        <w:t>Serious Incident Report to VDSS</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Current VDSS License</w:t>
      </w:r>
    </w:p>
    <w:p>
      <w:pPr>
        <w:pStyle w:val="ListParagraph"/>
        <w:numPr>
          <w:ilvl w:val="0"/>
          <w:numId w:val="1"/>
        </w:numPr>
        <w:spacing w:lineRule="exact" w:line="264" w:before="0" w:after="60"/>
        <w:rPr/>
      </w:pPr>
      <w:r>
        <w:rPr>
          <w:rFonts w:eastAsia="Arial" w:cs="Arial"/>
          <w:sz w:val="21"/>
          <w:szCs w:val="21"/>
        </w:rPr>
        <w:t>Liability Insurance Documentation</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Sworn Statement or Affirmation</w:t>
      </w:r>
    </w:p>
    <w:p>
      <w:pPr>
        <w:pStyle w:val="ListParagraph"/>
        <w:numPr>
          <w:ilvl w:val="0"/>
          <w:numId w:val="1"/>
        </w:numPr>
        <w:spacing w:lineRule="exact" w:line="264" w:before="0" w:after="60"/>
        <w:rPr/>
      </w:pPr>
      <w:r>
        <w:rPr>
          <w:rFonts w:eastAsia="Arial" w:cs="Arial"/>
          <w:sz w:val="21"/>
          <w:szCs w:val="21"/>
        </w:rPr>
        <w:t>Criminal History &amp; Central Registry Checks</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Administrator License / Qualification Record</w:t>
      </w:r>
    </w:p>
    <w:p>
      <w:pPr>
        <w:pStyle w:val="ListParagraph"/>
        <w:numPr>
          <w:ilvl w:val="0"/>
          <w:numId w:val="1"/>
        </w:numPr>
        <w:spacing w:lineRule="exact" w:line="264" w:before="0" w:after="60"/>
        <w:rPr/>
      </w:pPr>
      <w:r>
        <w:rPr>
          <w:rFonts w:eastAsia="Arial" w:cs="Arial"/>
          <w:sz w:val="21"/>
          <w:szCs w:val="21"/>
        </w:rPr>
        <w:t>Acting Administrator / AIT Notices</w:t>
      </w:r>
    </w:p>
    <w:p>
      <w:pPr>
        <w:pStyle w:val="ListParagraph"/>
        <w:numPr>
          <w:ilvl w:val="0"/>
          <w:numId w:val="1"/>
        </w:numPr>
        <w:spacing w:lineRule="exact" w:line="264" w:before="0" w:after="60"/>
        <w:rPr/>
      </w:pPr>
      <w:r>
        <w:rPr>
          <w:rFonts w:eastAsia="Arial" w:cs="Arial"/>
          <w:sz w:val="21"/>
          <w:szCs w:val="21"/>
        </w:rPr>
        <w:t>Staff Qualification Records</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Orientation &amp; Training Records</w:t>
      </w:r>
    </w:p>
    <w:p>
      <w:pPr>
        <w:pStyle w:val="ListParagraph"/>
        <w:numPr>
          <w:ilvl w:val="0"/>
          <w:numId w:val="1"/>
        </w:numPr>
        <w:spacing w:lineRule="exact" w:line="264" w:before="0" w:after="60"/>
        <w:rPr/>
      </w:pPr>
      <w:r>
        <w:rPr>
          <w:rFonts w:eastAsia="Arial" w:cs="Arial"/>
          <w:sz w:val="21"/>
          <w:szCs w:val="21"/>
        </w:rPr>
        <w:t>Annual Continuing Education Log</w:t>
      </w:r>
    </w:p>
    <w:p>
      <w:pPr>
        <w:pStyle w:val="ListParagraph"/>
        <w:numPr>
          <w:ilvl w:val="0"/>
          <w:numId w:val="1"/>
        </w:numPr>
        <w:spacing w:lineRule="exact" w:line="264" w:before="0" w:after="60"/>
        <w:rPr/>
      </w:pPr>
      <w:r>
        <w:rPr>
          <w:rFonts w:eastAsia="Arial" w:cs="Arial"/>
          <w:sz w:val="21"/>
          <w:szCs w:val="21"/>
        </w:rPr>
        <w:t>Preliminary Plan of Care</w:t>
      </w:r>
    </w:p>
    <w:p>
      <w:pPr>
        <w:pStyle w:val="ListParagraph"/>
        <w:numPr>
          <w:ilvl w:val="0"/>
          <w:numId w:val="1"/>
        </w:numPr>
        <w:spacing w:lineRule="exact" w:line="264" w:before="0" w:after="60"/>
        <w:rPr/>
      </w:pPr>
      <w:r>
        <w:rPr>
          <w:rFonts w:eastAsia="Arial" w:cs="Arial"/>
          <w:sz w:val="21"/>
          <w:szCs w:val="21"/>
        </w:rPr>
        <w:t>Individualized Service Plan (ISP)</w:t>
      </w:r>
    </w:p>
    <w:p>
      <w:pPr>
        <w:pStyle w:val="ListParagraph"/>
        <w:numPr>
          <w:ilvl w:val="0"/>
          <w:numId w:val="1"/>
        </w:numPr>
        <w:spacing w:lineRule="exact" w:line="264" w:before="0" w:after="60"/>
        <w:rPr/>
      </w:pPr>
      <w:r>
        <w:rPr>
          <w:rFonts w:eastAsia="Arial" w:cs="Arial"/>
          <w:sz w:val="21"/>
          <w:szCs w:val="21"/>
        </w:rPr>
        <w:t>ISP Deviation Record</w:t>
      </w:r>
    </w:p>
    <w:p>
      <w:pPr>
        <w:pStyle w:val="ListParagraph"/>
        <w:numPr>
          <w:ilvl w:val="0"/>
          <w:numId w:val="1"/>
        </w:numPr>
        <w:spacing w:lineRule="exact" w:line="264" w:before="0" w:after="60"/>
        <w:rPr/>
      </w:pPr>
      <w:r>
        <w:rPr>
          <w:rFonts w:eastAsia="Arial" w:cs="Arial"/>
          <w:sz w:val="21"/>
          <w:szCs w:val="21"/>
        </w:rPr>
        <w:t>ADL / Service Delivery Record</w:t>
      </w:r>
    </w:p>
    <w:p>
      <w:pPr>
        <w:pStyle w:val="ListParagraph"/>
        <w:numPr>
          <w:ilvl w:val="0"/>
          <w:numId w:val="1"/>
        </w:numPr>
        <w:spacing w:lineRule="exact" w:line="264" w:before="0" w:after="60"/>
        <w:rPr/>
      </w:pPr>
      <w:r>
        <w:rPr>
          <w:rFonts w:eastAsia="Arial" w:cs="Arial"/>
          <w:sz w:val="21"/>
          <w:szCs w:val="21"/>
        </w:rPr>
        <w:t>Activities Calendar</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Medication Management Plan</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Physician / Prescriber Orders</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Controlled Substance Records</w:t>
      </w:r>
    </w:p>
    <w:p>
      <w:pPr>
        <w:pStyle w:val="ListParagraph"/>
        <w:numPr>
          <w:ilvl w:val="0"/>
          <w:numId w:val="1"/>
        </w:numPr>
        <w:spacing w:lineRule="exact" w:line="264" w:before="0" w:after="60"/>
        <w:rPr/>
      </w:pPr>
      <w:r>
        <w:rPr>
          <w:rFonts w:eastAsia="Arial" w:cs="Arial"/>
          <w:sz w:val="21"/>
          <w:szCs w:val="21"/>
        </w:rPr>
        <w:t>Medication Destruction / Disposition Record</w:t>
      </w:r>
    </w:p>
    <w:p>
      <w:pPr>
        <w:pStyle w:val="ListParagraph"/>
        <w:numPr>
          <w:ilvl w:val="0"/>
          <w:numId w:val="1"/>
        </w:numPr>
        <w:spacing w:lineRule="exact" w:line="264" w:before="0" w:after="60"/>
        <w:rPr/>
      </w:pPr>
      <w:r>
        <w:rPr>
          <w:rFonts w:eastAsia="Arial" w:cs="Arial"/>
          <w:sz w:val="21"/>
          <w:szCs w:val="21"/>
        </w:rPr>
        <w:t>Emergency Preparedness &amp; Response Plan</w:t>
      </w:r>
    </w:p>
    <w:p>
      <w:pPr>
        <w:pStyle w:val="ListParagraph"/>
        <w:numPr>
          <w:ilvl w:val="0"/>
          <w:numId w:val="1"/>
        </w:numPr>
        <w:spacing w:lineRule="exact" w:line="264" w:before="0" w:after="60"/>
        <w:rPr/>
      </w:pPr>
      <w:r>
        <w:rPr>
          <w:rFonts w:eastAsia="Arial" w:cs="Arial"/>
          <w:sz w:val="21"/>
          <w:szCs w:val="21"/>
        </w:rPr>
        <w:t>Drill Records</w:t>
      </w:r>
    </w:p>
    <w:p>
      <w:pPr>
        <w:pStyle w:val="ListParagraph"/>
        <w:numPr>
          <w:ilvl w:val="0"/>
          <w:numId w:val="1"/>
        </w:numPr>
        <w:spacing w:lineRule="exact" w:line="264" w:before="0" w:after="60"/>
        <w:rPr/>
      </w:pPr>
      <w:r>
        <w:rPr>
          <w:rFonts w:eastAsia="Arial" w:cs="Arial"/>
          <w:sz w:val="21"/>
          <w:szCs w:val="21"/>
        </w:rPr>
        <w:t>Resident Evacuation Needs List</w:t>
      </w:r>
    </w:p>
    <w:p>
      <w:pPr>
        <w:pStyle w:val="ListParagraph"/>
        <w:numPr>
          <w:ilvl w:val="0"/>
          <w:numId w:val="1"/>
        </w:numPr>
        <w:spacing w:lineRule="exact" w:line="264" w:before="0" w:after="60"/>
        <w:rPr/>
      </w:pPr>
      <w:r>
        <w:rPr>
          <w:rFonts w:eastAsia="Arial" w:cs="Arial"/>
          <w:sz w:val="21"/>
          <w:szCs w:val="21"/>
        </w:rPr>
        <w:t>Infection Prevention &amp; Control Program (designated staff)</w:t>
      </w:r>
    </w:p>
    <w:p>
      <w:pPr>
        <w:pStyle w:val="ListParagraph"/>
        <w:numPr>
          <w:ilvl w:val="0"/>
          <w:numId w:val="1"/>
        </w:numPr>
        <w:spacing w:lineRule="exact" w:line="264" w:before="0" w:after="60"/>
        <w:rPr/>
      </w:pPr>
      <w:r>
        <w:rPr>
          <w:rFonts w:eastAsia="Arial" w:cs="Arial"/>
          <w:sz w:val="21"/>
          <w:szCs w:val="21"/>
        </w:rPr>
        <w:t>Infection Surveillance / Outbreak Line List</w:t>
      </w:r>
    </w:p>
    <w:p>
      <w:pPr>
        <w:pStyle w:val="ListParagraph"/>
        <w:numPr>
          <w:ilvl w:val="0"/>
          <w:numId w:val="1"/>
        </w:numPr>
        <w:spacing w:lineRule="exact" w:line="264" w:before="0" w:after="60"/>
        <w:rPr/>
      </w:pPr>
      <w:r>
        <w:rPr>
          <w:rFonts w:eastAsia="Arial" w:cs="Arial"/>
          <w:sz w:val="21"/>
          <w:szCs w:val="21"/>
        </w:rPr>
        <w:t>TB Screening &amp; Vaccination Records</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Sanitation Inspection Checklist</w:t>
      </w:r>
    </w:p>
    <w:p>
      <w:pPr>
        <w:pStyle w:val="ListParagraph"/>
        <w:numPr>
          <w:ilvl w:val="0"/>
          <w:numId w:val="1"/>
        </w:numPr>
        <w:spacing w:lineRule="exact" w:line="264" w:before="0" w:after="60"/>
        <w:rPr/>
      </w:pPr>
      <w:r>
        <w:rPr>
          <w:rFonts w:eastAsia="Arial" w:cs="Arial"/>
          <w:sz w:val="21"/>
          <w:szCs w:val="21"/>
        </w:rPr>
        <w:t>Menus (incl. therapeutic diets) &amp; Food Service Sanitation Log</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Quality Improvement Plan &amp; PDSA / Root-Cause Records</w:t>
      </w:r>
    </w:p>
    <w:p>
      <w:pPr>
        <w:pStyle w:val="ListParagraph"/>
        <w:numPr>
          <w:ilvl w:val="0"/>
          <w:numId w:val="1"/>
        </w:numPr>
        <w:spacing w:lineRule="exact" w:line="264" w:before="0" w:after="60"/>
        <w:rPr/>
      </w:pPr>
      <w:r>
        <w:rPr>
          <w:rFonts w:eastAsia="Arial" w:cs="Arial"/>
          <w:sz w:val="21"/>
          <w:szCs w:val="21"/>
        </w:rPr>
        <w:t>Safe, Secure Environment Placement &amp; Dementia Training Records (if operated)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Virginia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names, addresses,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Virginia Department of Social Services (VDSS), Division of Licensing Programs (DOLP) — regional licensing offices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22VAC40-73 — Standards for Licensed Assisted Living Facilities (current standards eff. 11/06/2024; amendments 2025)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Code of Va. § 63.2-1700 et seq. (licensure); § 63.2-1805 (admission/retention); § 63.2-1808 (resident rights)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Regulation for Background Checks for Assisted Living Facilities and Adult Day Centers — effective 08/15/2025; Code of Va. § 63.2-1720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Administrator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Virginia Board of Long-Term Care Administrators (Department of Health Professions)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 Aides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Virginia Board of Nursing — Registered Medication Aide (RMA) / Advanced Registered Medication Aide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Virginia Adult Protective Services (APS online reporting portal / 888-832-3858); law enforcement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Virginia Office of the State Long-Term Care Ombudsman (Dept. for Aging and Rehabilitative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Financial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Auxiliary Grant (AG) program for eligible ALF residents (DARS 22VAC30-80) — optional payer layer</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Assessment Tool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Uniform Assessment Instrument (UAI) — required assessment; UAI and ISP training required</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the Virginia Standards for Licensed Assisted Living Facilities (22VAC40-73) and the Code of Virginia,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an ASSISTED LIVING FACILITY (ALF) licensed by the Virginia Department of Social Services (VDSS) under 22VAC40-73. Note that in Virginia, assisted living facilities are licensed by social services — not by the health department; nursing homes are separately regulated by the Virginia Department of Health. This manual covers both licensed levels of care — residential living care and assisted living care — and you should apply the provisions that match the level(s) of care your license authorizes.</w:t>
      </w:r>
    </w:p>
    <w:p>
      <w:pPr>
        <w:pStyle w:val="Normal"/>
        <w:spacing w:lineRule="exact" w:line="276" w:before="0" w:after="120"/>
        <w:rPr/>
      </w:pPr>
      <w:r>
        <w:rPr>
          <w:rFonts w:eastAsia="Arial" w:cs="Arial"/>
          <w:sz w:val="21"/>
          <w:szCs w:val="21"/>
        </w:rPr>
        <w:t>Uniform Assessment Instrument (UAI) &amp; ISP. Virginia requires the UAI as the assessment tool and an individualized service plan (ISP) developed by someone who has completed department-approved UAI and ISP training. The administrator must give the resident written assurance, based on the UAI, that the facility is appropriately licensed to meet the resident’s needs.</w:t>
      </w:r>
    </w:p>
    <w:p>
      <w:pPr>
        <w:pStyle w:val="Normal"/>
        <w:spacing w:lineRule="exact" w:line="276" w:before="0" w:after="120"/>
        <w:rPr/>
      </w:pPr>
      <w:r>
        <w:rPr>
          <w:rFonts w:eastAsia="Arial" w:cs="Arial"/>
          <w:sz w:val="21"/>
          <w:szCs w:val="21"/>
        </w:rPr>
        <w:t>Administrator and medication aides. The assisted living facility administrator is licensed by the Virginia Board of Long-Term Care Administrators (Department of Health Professions), and medication aides are certified by the Virginia Board of Nursing (Registered Medication Aide, and the Advanced Registered Medication Aide role). Maintain a written medication management plan consistent with the department’s template.</w:t>
      </w:r>
    </w:p>
    <w:p>
      <w:pPr>
        <w:pStyle w:val="Normal"/>
        <w:spacing w:lineRule="exact" w:line="276" w:before="0" w:after="120"/>
        <w:rPr/>
      </w:pPr>
      <w:r>
        <w:rPr>
          <w:rFonts w:eastAsia="Arial" w:cs="Arial"/>
          <w:sz w:val="21"/>
          <w:szCs w:val="21"/>
        </w:rPr>
        <w:t>Recent and forthcoming changes. Background checks are governed by the Regulation for Background Checks for Assisted Living Facilities and Adult Day Centers, effective August 15, 2025; the 2025 amendments added a liability-insurance requirement and expanded infection-prevention training with a designated staff overseer. A proposed involuntary-discharge rule (with an appeals process) was published in 2025 and, once final, will add specific involuntary-discharge and appeals requirements — review the Facility’s discharge and relocation-assistance procedures against the final rule when it takes effect.</w:t>
      </w:r>
    </w:p>
    <w:p>
      <w:pPr>
        <w:pStyle w:val="Normal"/>
        <w:spacing w:lineRule="exact" w:line="276" w:before="0" w:after="120"/>
        <w:rPr/>
      </w:pPr>
      <w:r>
        <w:rPr>
          <w:rFonts w:eastAsia="Arial" w:cs="Arial"/>
          <w:sz w:val="21"/>
          <w:szCs w:val="21"/>
        </w:rPr>
        <w:t>Serious cognitive impairments. Where the Facility operates a safe, secure environment for residents with serious cognitive impairments, the Serious Cognitive Impairments policy applies the additional 22VAC40-73 requirements for placement, environment, staffing, training, and activities; use it only if you operate such an environment.</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your level(s) of care, and your most recent VDSS inspection; confirm your license, liability insurance, administrator licensure, background-check process, UAI/ISP process, medication management plan, and staffing;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statement of my rights and responsibilities as a resident of this assisted living facility under § 63.2-1808 of the Code of Virginia and 22VAC40-73, including the Facility’s obligations, the grievance procedure, and the contact information for the Long-Term Care Ombudsman and the Virginia Department of Social Services.</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Legal 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Virginia — Assisted Living Facility (ALF)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Virginia — Assisted Living Facility (ALF)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2026-07-01T18:27:28Z</dcterms:created>
  <dc:creator>PolicyReady.org</dc:creator>
  <dc:description/>
  <dc:language>en-US</dc:language>
  <cp:lastModifiedBy>Un-named</cp:lastModifiedBy>
  <dcterms:modified xsi:type="dcterms:W3CDTF">2026-07-01T18:27:28Z</dcterms:modified>
  <cp:revision>1</cp:revision>
  <dc:subject/>
  <dc:title>Virginia Assisted Living Facility (ALF) Policy &amp; Procedure Manual</dc:title>
</cp:coreProperties>
</file>