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VIRGINIA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25"/>
          <w:szCs w:val="25"/>
        </w:rPr>
        <w:t>Substance Use Disorder Provider — DBHDS (12VAC35-105)</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[License Number]   •   [Services / ASAM Levels]</w:t>
      </w:r>
    </w:p>
    <w:p>
      <w:pPr>
        <w:pStyle w:val="Normal"/>
        <w:spacing w:before="1600" w:after="0"/>
        <w:jc w:val="center"/>
        <w:rPr/>
      </w:pPr>
      <w:r>
        <w:rPr>
          <w:rFonts w:eastAsia="Arial" w:cs="Arial"/>
          <w:color w:val="666666"/>
          <w:sz w:val="18"/>
          <w:szCs w:val="18"/>
        </w:rPr>
        <w:t>Aligned to 12VAC35-105 and 12VAC35-115; §§ 37.2-203, 37.2-400, Code of Virginia</w:t>
      </w:r>
    </w:p>
    <w:p>
      <w:pPr>
        <w:pStyle w:val="Normal"/>
        <w:spacing w:before="60" w:after="0"/>
        <w:jc w:val="center"/>
        <w:rPr/>
      </w:pPr>
      <w:r>
        <w:rPr>
          <w:rFonts w:eastAsia="Arial" w:cs="Arial"/>
          <w:color w:val="666666"/>
          <w:sz w:val="18"/>
          <w:szCs w:val="18"/>
        </w:rPr>
        <w:t>Virginia Department of Behavioral Health and Developmental Services — Office of Licensing</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Manual</w:t>
      </w:r>
    </w:p>
    <w:p>
      <w:pPr>
        <w:pStyle w:val="Normal"/>
        <w:spacing w:lineRule="exact" w:line="276" w:before="0" w:after="120"/>
        <w:rPr/>
      </w:pPr>
      <w:r>
        <w:rPr>
          <w:rFonts w:eastAsia="Arial" w:cs="Arial"/>
          <w:sz w:val="21"/>
          <w:szCs w:val="21"/>
        </w:rPr>
        <w:t>This Policy &amp; Procedure Manual is a comprehensive, customizable template for a Virginia provider licensed to deliver substance abuse (substance use disorder) services by the Virginia Department of Behavioral Health and Developmental Services (DBHDS), Office of Licensing. It is built to 12VAC35-105, the “Rules and Regulations for Licensing Providers by the Department of Behavioral Health and Developmental Services,” and to the companion human-rights regulation 12VAC35-115, under the statutory authority of §§ 37.2-203 and 37.2-400 of the Code of Virginia.</w:t>
      </w:r>
    </w:p>
    <w:p>
      <w:pPr>
        <w:pStyle w:val="Normal"/>
        <w:spacing w:lineRule="exact" w:line="276" w:before="0" w:after="120"/>
        <w:rPr/>
      </w:pPr>
      <w:r>
        <w:rPr>
          <w:rFonts w:eastAsia="Arial" w:cs="Arial"/>
          <w:sz w:val="21"/>
          <w:szCs w:val="21"/>
        </w:rPr>
        <w:t>How Virginia licenses behavioral health services. DBHDS licenses providers who offer services to individuals who have mental illness, a developmental disability, a substance use disorder, or a brain injury. Rather than a separate rulebook for each provider type, Virginia uses one integrated chapter — 12VAC35-105 — whose general requirements apply to all licensed services, together with service-specific descriptions. This manual applies the general requirements to a substance use disorder provider and adds the substance-use service-specific standards. Licenses are issued by service and location; the provider applies for and manages its license through the DBHDS web-based licensing system.</w:t>
      </w:r>
    </w:p>
    <w:p>
      <w:pPr>
        <w:pStyle w:val="Normal"/>
        <w:spacing w:lineRule="exact" w:line="276" w:before="0" w:after="120"/>
        <w:rPr/>
      </w:pPr>
      <w:r>
        <w:rPr>
          <w:rFonts w:eastAsia="Arial" w:cs="Arial"/>
          <w:sz w:val="21"/>
          <w:szCs w:val="21"/>
        </w:rPr>
        <w:t>License types. The Commissioner may issue a full license and, in defined circumstances, a conditional license (to a new provider that has demonstrated compliance with administrative and policy regulations but not yet with all regulations) or a provisional license (to a provider that has not maintained compliance, for a term not to exceed six months and not to exceed twelve successive months for all provisional licenses combined, during which the provider may not increase services, locations, or capacity). The provider maintains compliance to move to and keep a full license.</w:t>
      </w:r>
    </w:p>
    <w:p>
      <w:pPr>
        <w:pStyle w:val="Normal"/>
        <w:spacing w:lineRule="exact" w:line="276" w:before="0" w:after="120"/>
        <w:rPr/>
      </w:pPr>
      <w:r>
        <w:rPr>
          <w:rFonts w:eastAsia="Arial" w:cs="Arial"/>
          <w:sz w:val="21"/>
          <w:szCs w:val="21"/>
        </w:rPr>
        <w:t>ASAM levels of care. Virginia's substance use disorder services are aligned with the American Society of Addiction Medicine (ASAM) criteria and levels of care — from outpatient (Level 1.0) through intensive outpatient (2.1) and partial hospitalization (2.5) to clinically managed and medically monitored residential services (Levels 3.1, 3.3, 3.5, and 3.7), withdrawal management, and opioid treatment. This manual references ASAM within the relevant policies; the provider applies the level(s) of care it is licensed to provide.</w:t>
      </w:r>
    </w:p>
    <w:p>
      <w:pPr>
        <w:pStyle w:val="Normal"/>
        <w:spacing w:lineRule="exact" w:line="276" w:before="0" w:after="120"/>
        <w:rPr/>
      </w:pPr>
      <w:r>
        <w:rPr>
          <w:rFonts w:eastAsia="Arial" w:cs="Arial"/>
          <w:sz w:val="21"/>
          <w:szCs w:val="21"/>
        </w:rPr>
        <w:t>How the policies are organized. This manual is deliberately detailed. Each policy follows the same structure: a header block (title, department, regulatory reference, effective date, revision dates, and approval), followed by a Purpose, the Scope of the policy, Definitions where useful, a Policy statement that sets the governing standards, one or more Procedure sub-processes that break the work into concrete steps, Documentation and Oversight expectations where relevant, and a Related Forms list, and each policy closes with a Document History table. Replace every [bracketed] placeholder with your organization's information, and review each policy against your actual operations and your license before adopting.</w:t>
      </w:r>
    </w:p>
    <w:p>
      <w:pPr>
        <w:pStyle w:val="Normal"/>
        <w:spacing w:lineRule="exact" w:line="276" w:before="0" w:after="120"/>
        <w:rPr/>
      </w:pPr>
      <w:r>
        <w:rPr>
          <w:rFonts w:eastAsia="Arial" w:cs="Arial"/>
          <w:sz w:val="21"/>
          <w:szCs w:val="21"/>
        </w:rPr>
        <w:t>Sections A through E contain the general 12VAC35-105 requirements as they apply to a substance use disorder provider. Section F contains the substance-use service-specific standards across the ASAM continuum, to be adopted only for the service(s) the provider is licensed to deliver.</w:t>
      </w:r>
    </w:p>
    <w:p>
      <w:pPr>
        <w:pStyle w:val="Normal"/>
        <w:spacing w:lineRule="exact" w:line="276" w:before="0" w:after="120"/>
        <w:rPr/>
      </w:pPr>
      <w:r>
        <w:rPr>
          <w:rFonts w:eastAsia="Arial" w:cs="Arial"/>
          <w:sz w:val="21"/>
          <w:szCs w:val="21"/>
        </w:rPr>
        <w:t>A note on terminology. This manual refers to the person receiving services as the individual receiving services, or individual (Virginia's term), and to the licensed entity as the provider. The person-centered plan is the individualized services plan (ISP). Services are delivered by qualified staff — including certified substance abuse counselors (CSAC) and certified substance abuse counseling assistants, peer recovery support specialists, qualified mental health professionals, and licensed professionals — whose qualifications and scope of practice are set by the Department of Health Professions and who each practice within their scope.</w:t>
      </w:r>
    </w:p>
    <w:p>
      <w:pPr>
        <w:pStyle w:val="Normal"/>
        <w:spacing w:lineRule="exact" w:line="276" w:before="0" w:after="120"/>
        <w:rPr/>
      </w:pPr>
      <w:r>
        <w:rPr>
          <w:rFonts w:eastAsia="Arial" w:cs="Arial"/>
          <w:sz w:val="21"/>
          <w:szCs w:val="21"/>
        </w:rPr>
        <w:t>A note on human rights. Virginia licensed providers must comply with 12VAC35-115, the “Regulations to Assure the Rights of Individuals Receiving Services from Providers Licensed, Funded, or Operated by the Department of Behavioral Health and Developmental Services.” These human-rights protections — including dignity, informed consent, confidentiality, freedom from abuse and neglect, strict limits on seclusion and restraint, and the complaint and appeal process involving the human rights advocate and the State Human Rights Committee — are addressed in Section C and applied throughout.</w:t>
      </w:r>
    </w:p>
    <w:p>
      <w:pPr>
        <w:pStyle w:val="Normal"/>
        <w:spacing w:lineRule="exact" w:line="276" w:before="0" w:after="120"/>
        <w:rPr/>
      </w:pPr>
      <w:r>
        <w:rPr>
          <w:rFonts w:eastAsia="Arial" w:cs="Arial"/>
          <w:sz w:val="21"/>
          <w:szCs w:val="21"/>
        </w:rPr>
        <w:t>A note on confidentiality. Substance use disorder treatment records are protected by the federal rule at 42 CFR Part 2 (“Confidentiality of Substance Use Disorder Patient Records”), by HIPAA (45 CFR Parts 160 and 164), and by Virginia law. Because these are among the most strictly protected records in health care, the confidentiality policy in Section C should be read closely and applied throughout.</w:t>
      </w:r>
    </w:p>
    <w:p>
      <w:pPr>
        <w:pStyle w:val="Normal"/>
        <w:spacing w:lineRule="exact" w:line="276" w:before="0" w:after="120"/>
        <w:rPr/>
      </w:pPr>
      <w:r>
        <w:rPr>
          <w:rFonts w:eastAsia="Arial" w:cs="Arial"/>
          <w:sz w:val="21"/>
          <w:szCs w:val="21"/>
        </w:rPr>
        <w:t>A note on the regulatory landscape. DBHDS amended 12VAC35-105 substantially in 2025 as part of a statewide regulatory-reduction initiative (repealing and reducing a number of provisions and moving fully to a web-based licensing system) and adopted the ASAM levels of care in recent years. This manual is built to the current, integrated, ASAM-aligned regulation; confirm the current version of 12VAC35-105 and 12VAC35-115, and your license requirements, with DBHDS before adopting, and update the manual when the rules change.</w:t>
      </w:r>
    </w:p>
    <w:p>
      <w:pPr>
        <w:pStyle w:val="Normal"/>
        <w:spacing w:lineRule="exact" w:line="276" w:before="0" w:after="120"/>
        <w:rPr/>
      </w:pPr>
      <w:r>
        <w:rPr>
          <w:rFonts w:eastAsia="Arial" w:cs="Arial"/>
          <w:sz w:val="21"/>
          <w:szCs w:val="21"/>
        </w:rPr>
        <w:t>This manual is a template and is not legal advice. Behavioral health licensure in Virginia is detailed and changes over time; the provider should have qualified Virginia counsel or a compliance professional review this manual against the current regulations and its license before adoption. Official DBHDS submissions are made through the web-based licensing system; required documents are referenced by name only.</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Licensure &amp; Administration</w:t>
      </w:r>
    </w:p>
    <w:p>
      <w:pPr>
        <w:pStyle w:val="Normal"/>
        <w:spacing w:lineRule="exact" w:line="288" w:before="0" w:after="240"/>
        <w:rPr/>
      </w:pPr>
      <w:r>
        <w:rPr>
          <w:rFonts w:eastAsia="Arial" w:cs="Arial"/>
          <w:color w:val="444444"/>
          <w:sz w:val="22"/>
          <w:szCs w:val="22"/>
        </w:rPr>
        <w:t>This section establishes how the provider is governed and licensed — provider governance, licensure and license types, the service description, policies and records management, quality improvement and risk management, and serious incident reporting and root cause analysis.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Provider Governance &amp; 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Licensure &amp; License Types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Service Description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Policies, Procedures &amp; Records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Quality Improvement &amp; Risk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1.05  Serious Incident Reporting &amp; Root Cause Analysis</w:t>
      </w:r>
    </w:p>
    <w:p>
      <w:pPr>
        <w:pStyle w:val="Normal"/>
        <w:rPr/>
      </w:pPr>
      <w:r>
        <w:rPr/>
      </w:r>
      <w:r>
        <w:br w:type="page"/>
      </w:r>
    </w:p>
    <w:p>
      <w:pPr>
        <w:pStyle w:val="Heading2"/>
        <w:spacing w:before="0" w:after="120"/>
        <w:rPr/>
      </w:pPr>
      <w:r>
        <w:rPr>
          <w:rFonts w:eastAsia="Arial" w:cs="Arial" w:ascii="Arial" w:hAnsi="Arial"/>
          <w:b/>
          <w:bCs/>
          <w:color w:val="1A4731"/>
          <w:sz w:val="26"/>
          <w:szCs w:val="26"/>
        </w:rPr>
        <w:t>1.00  Provider Governance &amp; 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Provider Governance &amp; 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 37.2-203, 37.2-400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provider's governance and administrative accountability for licensed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governing authority and management of the provider.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is a legally constituted entity with a governing authority responsible for its mission, policies, financial integrity, and compliance with 12VAC35-105, 12VAC35-115, and other applicable law. The governing authority defines the organizational structure and lines of authority, designates a responsible administrator or director for day-to-day operations, ensures the provider is adequately resourced and lawfully operated, and ensures the provider obtains and maintains its DBHDS license for each service and location. The provider operates within the scope of its license.</w:t>
      </w:r>
    </w:p>
    <w:p>
      <w:pPr>
        <w:pStyle w:val="Normal"/>
        <w:pBdr>
          <w:bottom w:val="single" w:sz="4" w:space="1" w:color="2E5E45"/>
        </w:pBdr>
        <w:spacing w:before="160" w:after="80"/>
        <w:rPr/>
      </w:pPr>
      <w:r>
        <w:rPr>
          <w:rFonts w:eastAsia="Arial" w:cs="Arial"/>
          <w:b/>
          <w:bCs/>
          <w:color w:val="1A4731"/>
          <w:sz w:val="20"/>
          <w:szCs w:val="20"/>
        </w:rPr>
        <w:t>PROCEDURE — GOVERNANCE &amp; ADMINISTRATION</w:t>
      </w:r>
    </w:p>
    <w:p>
      <w:pPr>
        <w:pStyle w:val="Normal"/>
        <w:tabs>
          <w:tab w:val="left" w:pos="720" w:leader="none"/>
        </w:tabs>
        <w:spacing w:lineRule="exact" w:line="264" w:before="0" w:after="80"/>
        <w:ind w:hanging="360" w:start="720"/>
        <w:rPr/>
      </w:pPr>
      <w:r>
        <w:rPr>
          <w:rFonts w:eastAsia="Arial" w:cs="Arial"/>
          <w:sz w:val="21"/>
          <w:szCs w:val="21"/>
        </w:rPr>
        <w:t>a. Maintain the provider's legal-entity documentation and a written organizational structure with defined lines of authority.</w:t>
      </w:r>
    </w:p>
    <w:p>
      <w:pPr>
        <w:pStyle w:val="Normal"/>
        <w:tabs>
          <w:tab w:val="left" w:pos="720" w:leader="none"/>
        </w:tabs>
        <w:spacing w:lineRule="exact" w:line="264" w:before="0" w:after="80"/>
        <w:ind w:hanging="360" w:start="720"/>
        <w:rPr/>
      </w:pPr>
      <w:r>
        <w:rPr>
          <w:rFonts w:eastAsia="Arial" w:cs="Arial"/>
          <w:sz w:val="21"/>
          <w:szCs w:val="21"/>
        </w:rPr>
        <w:t>b. Designate a responsible administrator or director for day-to-day operations and compliance.</w:t>
      </w:r>
    </w:p>
    <w:p>
      <w:pPr>
        <w:pStyle w:val="Normal"/>
        <w:tabs>
          <w:tab w:val="left" w:pos="720" w:leader="none"/>
        </w:tabs>
        <w:spacing w:lineRule="exact" w:line="264" w:before="0" w:after="80"/>
        <w:ind w:hanging="360" w:start="720"/>
        <w:rPr/>
      </w:pPr>
      <w:r>
        <w:rPr>
          <w:rFonts w:eastAsia="Arial" w:cs="Arial"/>
          <w:sz w:val="21"/>
          <w:szCs w:val="21"/>
        </w:rPr>
        <w:t>c. Obtain and maintain the DBHDS license for each service and location and operate within its scope.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Governing Authority Charter &amp;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Administrator / Director Job Description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Licensure &amp; License Types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Licensure &amp; License Types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12VAC35-105-30; Part II (Licensing Process)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obtain and maintain the appropriate DBHDS license and to understand the license types and process.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initial licensure, renewal, service and location changes, and the license types.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Conditional license — issued to a new provider that has demonstrated compliance with administrative and policy regulations but has not yet demonstrated compliance with all regulations.</w:t>
      </w:r>
    </w:p>
    <w:p>
      <w:pPr>
        <w:pStyle w:val="Normal"/>
        <w:spacing w:lineRule="exact" w:line="276" w:before="0" w:after="120"/>
        <w:rPr/>
      </w:pPr>
      <w:r>
        <w:rPr>
          <w:rFonts w:eastAsia="Arial" w:cs="Arial"/>
          <w:sz w:val="21"/>
          <w:szCs w:val="21"/>
        </w:rPr>
        <w:t>Provisional license — issued to a provider that has not maintained compliance; term not to exceed six months, and not to exceed twelve successive months for all provisional licenses and renewals combined, during which the provider may not increase services, locations, or capacity.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obtains a DBHDS license before delivering a licensed service and maintains a license for each service and location. The provider applies through the DBHDS web-based licensing system, submitting the required documentation (including employee credentials and job descriptions, a service description, and a records-management policy), and cooperates with the Office of Licensing's reviews and inspections. The provider confirms its intent to renew before expiration and notifies the department in advance of any change in service or location. Where issued a conditional or provisional license, the provider demonstrates progress toward and achieves full compliance within the applicable timeframe.</w:t>
      </w:r>
    </w:p>
    <w:p>
      <w:pPr>
        <w:pStyle w:val="Normal"/>
        <w:pBdr>
          <w:bottom w:val="single" w:sz="4" w:space="1" w:color="2E5E45"/>
        </w:pBdr>
        <w:spacing w:before="160" w:after="80"/>
        <w:rPr/>
      </w:pPr>
      <w:r>
        <w:rPr>
          <w:rFonts w:eastAsia="Arial" w:cs="Arial"/>
          <w:b/>
          <w:bCs/>
          <w:color w:val="1A4731"/>
          <w:sz w:val="20"/>
          <w:szCs w:val="20"/>
        </w:rPr>
        <w:t>PROCEDURE — LICENSURE</w:t>
      </w:r>
    </w:p>
    <w:p>
      <w:pPr>
        <w:pStyle w:val="Normal"/>
        <w:tabs>
          <w:tab w:val="left" w:pos="720" w:leader="none"/>
        </w:tabs>
        <w:spacing w:lineRule="exact" w:line="264" w:before="0" w:after="80"/>
        <w:ind w:hanging="360" w:start="720"/>
        <w:rPr/>
      </w:pPr>
      <w:r>
        <w:rPr>
          <w:rFonts w:eastAsia="Arial" w:cs="Arial"/>
          <w:sz w:val="21"/>
          <w:szCs w:val="21"/>
        </w:rPr>
        <w:t>a. Apply through the DBHDS web-based licensing system with required documentation and obtain a license before delivering a service.</w:t>
      </w:r>
    </w:p>
    <w:p>
      <w:pPr>
        <w:pStyle w:val="Normal"/>
        <w:tabs>
          <w:tab w:val="left" w:pos="720" w:leader="none"/>
        </w:tabs>
        <w:spacing w:lineRule="exact" w:line="264" w:before="0" w:after="80"/>
        <w:ind w:hanging="360" w:start="720"/>
        <w:rPr/>
      </w:pPr>
      <w:r>
        <w:rPr>
          <w:rFonts w:eastAsia="Arial" w:cs="Arial"/>
          <w:sz w:val="21"/>
          <w:szCs w:val="21"/>
        </w:rPr>
        <w:t>b. Cooperate with Office of Licensing reviews and inspections and maintain a license for each service and location.</w:t>
      </w:r>
    </w:p>
    <w:p>
      <w:pPr>
        <w:pStyle w:val="Normal"/>
        <w:tabs>
          <w:tab w:val="left" w:pos="720" w:leader="none"/>
        </w:tabs>
        <w:spacing w:lineRule="exact" w:line="264" w:before="0" w:after="80"/>
        <w:ind w:hanging="360" w:start="720"/>
        <w:rPr/>
      </w:pPr>
      <w:r>
        <w:rPr>
          <w:rFonts w:eastAsia="Arial" w:cs="Arial"/>
          <w:sz w:val="21"/>
          <w:szCs w:val="21"/>
        </w:rPr>
        <w:t>c. Confirm renewal before expiration, notify the department of service or location changes, and achieve full compliance where holding a conditional or provisional license.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License Application &amp; Current License(s)</w:t>
      </w:r>
    </w:p>
    <w:p>
      <w:pPr>
        <w:pStyle w:val="ListParagraph"/>
        <w:numPr>
          <w:ilvl w:val="0"/>
          <w:numId w:val="1"/>
        </w:numPr>
        <w:spacing w:lineRule="exact" w:line="264" w:before="0" w:after="60"/>
        <w:rPr/>
      </w:pPr>
      <w:r>
        <w:rPr>
          <w:rFonts w:eastAsia="Arial" w:cs="Arial"/>
          <w:sz w:val="21"/>
          <w:szCs w:val="21"/>
        </w:rPr>
        <w:t>Service &amp; Location Change Notification</w:t>
      </w:r>
    </w:p>
    <w:p>
      <w:pPr>
        <w:pStyle w:val="ListParagraph"/>
        <w:numPr>
          <w:ilvl w:val="0"/>
          <w:numId w:val="1"/>
        </w:numPr>
        <w:spacing w:lineRule="exact" w:line="264" w:before="0" w:after="60"/>
        <w:rPr/>
      </w:pPr>
      <w:r>
        <w:rPr>
          <w:rFonts w:eastAsia="Arial" w:cs="Arial"/>
          <w:sz w:val="21"/>
          <w:szCs w:val="21"/>
        </w:rPr>
        <w:t>Renewal Confirmation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Service Description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Service Description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12VAC35-105-580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service description that meets 12VAC35-105-580 for each licensed substance use disorder service.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service description for each service the provider is licensed to deliver.</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written service description for each licensed service that contains the elements 12VAC35-105-580 requires, including the population served, the service's goals and the types of services and interventions provided, the service setting and hours, staffing, admission and discharge criteria, and, for substance use disorder services, the timely and appropriate treatment of pregnant women with substance use disorders. The service description reflects the applicable ASAM level of care and is consistent with the provider's license, is followed in practice, and is reviewed and updated as needed.</w:t>
      </w:r>
    </w:p>
    <w:p>
      <w:pPr>
        <w:pStyle w:val="Normal"/>
        <w:pBdr>
          <w:bottom w:val="single" w:sz="4" w:space="1" w:color="2E5E45"/>
        </w:pBdr>
        <w:spacing w:before="160" w:after="80"/>
        <w:rPr/>
      </w:pPr>
      <w:r>
        <w:rPr>
          <w:rFonts w:eastAsia="Arial" w:cs="Arial"/>
          <w:b/>
          <w:bCs/>
          <w:color w:val="1A4731"/>
          <w:sz w:val="20"/>
          <w:szCs w:val="20"/>
        </w:rPr>
        <w:t>PROCEDURE — SERVICE DESCRIPTION</w:t>
      </w:r>
    </w:p>
    <w:p>
      <w:pPr>
        <w:pStyle w:val="Normal"/>
        <w:tabs>
          <w:tab w:val="left" w:pos="720" w:leader="none"/>
        </w:tabs>
        <w:spacing w:lineRule="exact" w:line="264" w:before="0" w:after="80"/>
        <w:ind w:hanging="360" w:start="720"/>
        <w:rPr/>
      </w:pPr>
      <w:r>
        <w:rPr>
          <w:rFonts w:eastAsia="Arial" w:cs="Arial"/>
          <w:sz w:val="21"/>
          <w:szCs w:val="21"/>
        </w:rPr>
        <w:t>a. Maintain a service description with all 12VAC35-105-580 elements for each licensed service, reflecting the applicable ASAM level of care.</w:t>
      </w:r>
    </w:p>
    <w:p>
      <w:pPr>
        <w:pStyle w:val="Normal"/>
        <w:tabs>
          <w:tab w:val="left" w:pos="720" w:leader="none"/>
        </w:tabs>
        <w:spacing w:lineRule="exact" w:line="264" w:before="0" w:after="80"/>
        <w:ind w:hanging="360" w:start="720"/>
        <w:rPr/>
      </w:pPr>
      <w:r>
        <w:rPr>
          <w:rFonts w:eastAsia="Arial" w:cs="Arial"/>
          <w:sz w:val="21"/>
          <w:szCs w:val="21"/>
        </w:rPr>
        <w:t>b. Address the timely and appropriate treatment of pregnant women with substance use disorders.</w:t>
      </w:r>
    </w:p>
    <w:p>
      <w:pPr>
        <w:pStyle w:val="Normal"/>
        <w:tabs>
          <w:tab w:val="left" w:pos="720" w:leader="none"/>
        </w:tabs>
        <w:spacing w:lineRule="exact" w:line="264" w:before="0" w:after="80"/>
        <w:ind w:hanging="360" w:start="720"/>
        <w:rPr/>
      </w:pPr>
      <w:r>
        <w:rPr>
          <w:rFonts w:eastAsia="Arial" w:cs="Arial"/>
          <w:sz w:val="21"/>
          <w:szCs w:val="21"/>
        </w:rPr>
        <w:t>c. Follow the service description in practice and review and update it as needed.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Service Description (per service)</w:t>
      </w:r>
    </w:p>
    <w:p>
      <w:pPr>
        <w:pStyle w:val="ListParagraph"/>
        <w:numPr>
          <w:ilvl w:val="0"/>
          <w:numId w:val="1"/>
        </w:numPr>
        <w:spacing w:lineRule="exact" w:line="264" w:before="0" w:after="60"/>
        <w:rPr/>
      </w:pPr>
      <w:r>
        <w:rPr>
          <w:rFonts w:eastAsia="Arial" w:cs="Arial"/>
          <w:sz w:val="21"/>
          <w:szCs w:val="21"/>
        </w:rPr>
        <w:t>Service Description Review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Policies, Procedures &amp; Records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Policies, Procedures &amp; Records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12VAC35-105-390; 12VAC35-105-870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maintains the policies and procedures and the records-management program 12VAC35-105 requires.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governs the provider's policies and procedures and its management of records.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the written policies and procedures 12VAC35-105 requires for its services, approved by the appropriate authority, made available to staff, and maintained under version control with an effective date, revision dates, and a document-history record. The provider maintains a records-management policy meeting 12VAC35-105-390 and 12VAC35-105-870 that addresses the creation, maintenance, security, retention, and disposition of individual and provider records, protects records against loss and unauthorized access, and ensures records are available to DBHDS as required. All staff have a working knowledge of the policies applicable to their duties.</w:t>
      </w:r>
    </w:p>
    <w:p>
      <w:pPr>
        <w:pStyle w:val="Normal"/>
        <w:pBdr>
          <w:bottom w:val="single" w:sz="4" w:space="1" w:color="2E5E45"/>
        </w:pBdr>
        <w:spacing w:before="160" w:after="80"/>
        <w:rPr/>
      </w:pPr>
      <w:r>
        <w:rPr>
          <w:rFonts w:eastAsia="Arial" w:cs="Arial"/>
          <w:b/>
          <w:bCs/>
          <w:color w:val="1A4731"/>
          <w:sz w:val="20"/>
          <w:szCs w:val="20"/>
        </w:rPr>
        <w:t>PROCEDURE — POLICIES &amp; RECORDS</w:t>
      </w:r>
    </w:p>
    <w:p>
      <w:pPr>
        <w:pStyle w:val="Normal"/>
        <w:tabs>
          <w:tab w:val="left" w:pos="720" w:leader="none"/>
        </w:tabs>
        <w:spacing w:lineRule="exact" w:line="264" w:before="0" w:after="80"/>
        <w:ind w:hanging="360" w:start="720"/>
        <w:rPr/>
      </w:pPr>
      <w:r>
        <w:rPr>
          <w:rFonts w:eastAsia="Arial" w:cs="Arial"/>
          <w:sz w:val="21"/>
          <w:szCs w:val="21"/>
        </w:rPr>
        <w:t>a. Maintain approved, version-controlled policies and procedures required by 12VAC35-105 and train staff on them.</w:t>
      </w:r>
    </w:p>
    <w:p>
      <w:pPr>
        <w:pStyle w:val="Normal"/>
        <w:tabs>
          <w:tab w:val="left" w:pos="720" w:leader="none"/>
        </w:tabs>
        <w:spacing w:lineRule="exact" w:line="264" w:before="0" w:after="80"/>
        <w:ind w:hanging="360" w:start="720"/>
        <w:rPr/>
      </w:pPr>
      <w:r>
        <w:rPr>
          <w:rFonts w:eastAsia="Arial" w:cs="Arial"/>
          <w:sz w:val="21"/>
          <w:szCs w:val="21"/>
        </w:rPr>
        <w:t>b. Maintain a records-management policy meeting 12VAC35-105-390 and 105-870 for records creation, security, retention, and disposition.</w:t>
      </w:r>
    </w:p>
    <w:p>
      <w:pPr>
        <w:pStyle w:val="Normal"/>
        <w:tabs>
          <w:tab w:val="left" w:pos="720" w:leader="none"/>
        </w:tabs>
        <w:spacing w:lineRule="exact" w:line="264" w:before="0" w:after="80"/>
        <w:ind w:hanging="360" w:start="720"/>
        <w:rPr/>
      </w:pPr>
      <w:r>
        <w:rPr>
          <w:rFonts w:eastAsia="Arial" w:cs="Arial"/>
          <w:sz w:val="21"/>
          <w:szCs w:val="21"/>
        </w:rPr>
        <w:t>c. Protect records against loss and unauthorized access and make them available to DBHDS as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Records Management Policy</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Quality Improvement &amp; Risk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Quality Improvement &amp; Risk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(quality improvement)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quality improvement and risk-management program that monitors and improves services and maintains compliance.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quality improvement and risk management across the provider's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implements a quality improvement program that, on a regular basis, collects and reviews data on service quality and outcomes, serious incidents, complaints, and risks; identifies opportunities for improvement; implements corrective and preventive action; and evaluates effectiveness. The provider identifies and mitigates risks to the health and safety of individuals receiving services, reviews its performance against 12VAC35-105 and 12VAC35-115, and reports results to leadership and the governing authority. The provider cooperates with DBHDS reviews and corrects deficiencies within required timeframes.</w:t>
      </w:r>
    </w:p>
    <w:p>
      <w:pPr>
        <w:pStyle w:val="Normal"/>
        <w:pBdr>
          <w:bottom w:val="single" w:sz="4" w:space="1" w:color="2E5E45"/>
        </w:pBdr>
        <w:spacing w:before="160" w:after="80"/>
        <w:rPr/>
      </w:pPr>
      <w:r>
        <w:rPr>
          <w:rFonts w:eastAsia="Arial" w:cs="Arial"/>
          <w:b/>
          <w:bCs/>
          <w:color w:val="1A4731"/>
          <w:sz w:val="20"/>
          <w:szCs w:val="20"/>
        </w:rPr>
        <w:t>PROCEDURE — QUALITY &amp; RISK</w:t>
      </w:r>
    </w:p>
    <w:p>
      <w:pPr>
        <w:pStyle w:val="Normal"/>
        <w:tabs>
          <w:tab w:val="left" w:pos="720" w:leader="none"/>
        </w:tabs>
        <w:spacing w:lineRule="exact" w:line="264" w:before="0" w:after="80"/>
        <w:ind w:hanging="360" w:start="720"/>
        <w:rPr/>
      </w:pPr>
      <w:r>
        <w:rPr>
          <w:rFonts w:eastAsia="Arial" w:cs="Arial"/>
          <w:sz w:val="21"/>
          <w:szCs w:val="21"/>
        </w:rPr>
        <w:t>a. Collect and review data on quality, outcomes, serious incidents, complaints, and risks on a regular basis.</w:t>
      </w:r>
    </w:p>
    <w:p>
      <w:pPr>
        <w:pStyle w:val="Normal"/>
        <w:tabs>
          <w:tab w:val="left" w:pos="720" w:leader="none"/>
        </w:tabs>
        <w:spacing w:lineRule="exact" w:line="264" w:before="0" w:after="80"/>
        <w:ind w:hanging="360" w:start="720"/>
        <w:rPr/>
      </w:pPr>
      <w:r>
        <w:rPr>
          <w:rFonts w:eastAsia="Arial" w:cs="Arial"/>
          <w:sz w:val="21"/>
          <w:szCs w:val="21"/>
        </w:rPr>
        <w:t>b. Identify improvement opportunities, implement corrective and preventive action, and evaluate effectiveness.</w:t>
      </w:r>
    </w:p>
    <w:p>
      <w:pPr>
        <w:pStyle w:val="Normal"/>
        <w:tabs>
          <w:tab w:val="left" w:pos="720" w:leader="none"/>
        </w:tabs>
        <w:spacing w:lineRule="exact" w:line="264" w:before="0" w:after="80"/>
        <w:ind w:hanging="360" w:start="720"/>
        <w:rPr/>
      </w:pPr>
      <w:r>
        <w:rPr>
          <w:rFonts w:eastAsia="Arial" w:cs="Arial"/>
          <w:sz w:val="21"/>
          <w:szCs w:val="21"/>
        </w:rPr>
        <w:t>c. Report to leadership and the governing authority and correct DBHDS-identified deficiencies within required timeframes.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Risk Management Record</w:t>
      </w:r>
    </w:p>
    <w:p>
      <w:pPr>
        <w:pStyle w:val="ListParagraph"/>
        <w:numPr>
          <w:ilvl w:val="0"/>
          <w:numId w:val="1"/>
        </w:numPr>
        <w:spacing w:lineRule="exact" w:line="264" w:before="0" w:after="60"/>
        <w:rPr/>
      </w:pPr>
      <w:r>
        <w:rPr>
          <w:rFonts w:eastAsia="Arial" w:cs="Arial"/>
          <w:sz w:val="21"/>
          <w:szCs w:val="21"/>
        </w:rPr>
        <w:t>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1.05  Serious Incident Reporting &amp; Root Cause Analysis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1.05  Serious Incident Reporting &amp; Root Cause Analysis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Licensure &amp; Administration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(serious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serious incidents are reported to DBHDS and analyzed to prevent recurrence.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serious incidents involving individuals receiving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reports serious incidents to DBHDS as 12VAC35-105 requires and within the required timeframes, using the department's reporting system, and reports to other authorities as required. Serious incidents include a death, a serious injury, an overdose, a serious medication error, an act of abuse or neglect, an emergency situation, and other events the regulation defines by level. The provider responds to protect the individual, notifies the individual's authorized representative where required, conducts a root cause analysis for the incidents the regulation specifies, implements corrective action, and analyzes incident data through quality improvement to prevent recurrence. Serious-incident documentation is retained and available to DBHDS.</w:t>
      </w:r>
    </w:p>
    <w:p>
      <w:pPr>
        <w:pStyle w:val="Normal"/>
        <w:pBdr>
          <w:bottom w:val="single" w:sz="4" w:space="1" w:color="2E5E45"/>
        </w:pBdr>
        <w:spacing w:before="160" w:after="80"/>
        <w:rPr/>
      </w:pPr>
      <w:r>
        <w:rPr>
          <w:rFonts w:eastAsia="Arial" w:cs="Arial"/>
          <w:b/>
          <w:bCs/>
          <w:color w:val="1A4731"/>
          <w:sz w:val="20"/>
          <w:szCs w:val="20"/>
        </w:rPr>
        <w:t>PROCEDURE — SERIOUS INCIDENTS</w:t>
      </w:r>
    </w:p>
    <w:p>
      <w:pPr>
        <w:pStyle w:val="Normal"/>
        <w:tabs>
          <w:tab w:val="left" w:pos="720" w:leader="none"/>
        </w:tabs>
        <w:spacing w:lineRule="exact" w:line="264" w:before="0" w:after="80"/>
        <w:ind w:hanging="360" w:start="720"/>
        <w:rPr/>
      </w:pPr>
      <w:r>
        <w:rPr>
          <w:rFonts w:eastAsia="Arial" w:cs="Arial"/>
          <w:sz w:val="21"/>
          <w:szCs w:val="21"/>
        </w:rPr>
        <w:t>a. Report serious incidents to DBHDS within required timeframes using the department's reporting system, and to other authorities as required.</w:t>
      </w:r>
    </w:p>
    <w:p>
      <w:pPr>
        <w:pStyle w:val="Normal"/>
        <w:tabs>
          <w:tab w:val="left" w:pos="720" w:leader="none"/>
        </w:tabs>
        <w:spacing w:lineRule="exact" w:line="264" w:before="0" w:after="80"/>
        <w:ind w:hanging="360" w:start="720"/>
        <w:rPr/>
      </w:pPr>
      <w:r>
        <w:rPr>
          <w:rFonts w:eastAsia="Arial" w:cs="Arial"/>
          <w:sz w:val="21"/>
          <w:szCs w:val="21"/>
        </w:rPr>
        <w:t>b. Respond to protect the individual, notify the authorized representative where required, and conduct root cause analysis where specified.</w:t>
      </w:r>
    </w:p>
    <w:p>
      <w:pPr>
        <w:pStyle w:val="Normal"/>
        <w:tabs>
          <w:tab w:val="left" w:pos="720" w:leader="none"/>
        </w:tabs>
        <w:spacing w:lineRule="exact" w:line="264" w:before="0" w:after="80"/>
        <w:ind w:hanging="360" w:start="720"/>
        <w:rPr/>
      </w:pPr>
      <w:r>
        <w:rPr>
          <w:rFonts w:eastAsia="Arial" w:cs="Arial"/>
          <w:sz w:val="21"/>
          <w:szCs w:val="21"/>
        </w:rPr>
        <w:t>c. Implement corrective action and analyze incident data through quality improvement to prevent recurrence.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Serious Incident Report</w:t>
      </w:r>
    </w:p>
    <w:p>
      <w:pPr>
        <w:pStyle w:val="ListParagraph"/>
        <w:numPr>
          <w:ilvl w:val="0"/>
          <w:numId w:val="1"/>
        </w:numPr>
        <w:spacing w:lineRule="exact" w:line="264" w:before="0" w:after="60"/>
        <w:rPr/>
      </w:pPr>
      <w:r>
        <w:rPr>
          <w:rFonts w:eastAsia="Arial" w:cs="Arial"/>
          <w:sz w:val="21"/>
          <w:szCs w:val="21"/>
        </w:rPr>
        <w:t>Root Cause Analysis Record</w:t>
      </w:r>
    </w:p>
    <w:p>
      <w:pPr>
        <w:pStyle w:val="ListParagraph"/>
        <w:numPr>
          <w:ilvl w:val="0"/>
          <w:numId w:val="1"/>
        </w:numPr>
        <w:spacing w:lineRule="exact" w:line="264" w:before="0" w:after="60"/>
        <w:rPr/>
      </w:pPr>
      <w:r>
        <w:rPr>
          <w:rFonts w:eastAsia="Arial" w:cs="Arial"/>
          <w:sz w:val="21"/>
          <w:szCs w:val="21"/>
        </w:rPr>
        <w:t>Incident Data Review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Staffing</w:t>
      </w:r>
    </w:p>
    <w:p>
      <w:pPr>
        <w:pStyle w:val="Normal"/>
        <w:spacing w:lineRule="exact" w:line="288" w:before="0" w:after="240"/>
        <w:rPr/>
      </w:pPr>
      <w:r>
        <w:rPr>
          <w:rFonts w:eastAsia="Arial" w:cs="Arial"/>
          <w:color w:val="444444"/>
          <w:sz w:val="22"/>
          <w:szCs w:val="22"/>
        </w:rPr>
        <w:t>This section sets the requirements for who delivers services and how they are prepared — staffing, employee credentials and job descriptions, clinical supervision, training and development, and background checks.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Staffing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Employee Credentials &amp; Job Descriptions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2.03  Training &amp; Development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2.04  Background Checks</w:t>
      </w:r>
    </w:p>
    <w:p>
      <w:pPr>
        <w:pStyle w:val="Normal"/>
        <w:rPr/>
      </w:pPr>
      <w:r>
        <w:rPr/>
      </w:r>
      <w:r>
        <w:br w:type="page"/>
      </w:r>
    </w:p>
    <w:p>
      <w:pPr>
        <w:pStyle w:val="Heading2"/>
        <w:spacing w:before="0" w:after="120"/>
        <w:rPr/>
      </w:pPr>
      <w:r>
        <w:rPr>
          <w:rFonts w:eastAsia="Arial" w:cs="Arial" w:ascii="Arial" w:hAnsi="Arial"/>
          <w:b/>
          <w:bCs/>
          <w:color w:val="1A4731"/>
          <w:sz w:val="26"/>
          <w:szCs w:val="26"/>
        </w:rPr>
        <w:t>2.00  Staffing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Staffing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12VAC35-105-590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is staffed adequately and appropriately to deliver its licensed services safely.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staffing across all services, including any students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staffing sufficient in number, qualifications, and availability to deliver its licensed services safely and to meet the needs of the individuals receiving services, consistent with 12VAC35-105-590, the service description, and the applicable ASAM staffing framework for the service and level of care. The provider ensures appropriate supervision of staff, students, and volunteers, maintains the coverage the service requires, and adjusts staffing to the acuity and census of the individuals served. Withdrawal management and residential services follow the staffing standards their ASAM level of care requires.</w:t>
      </w:r>
    </w:p>
    <w:p>
      <w:pPr>
        <w:pStyle w:val="Normal"/>
        <w:pBdr>
          <w:bottom w:val="single" w:sz="4" w:space="1" w:color="2E5E45"/>
        </w:pBdr>
        <w:spacing w:before="160" w:after="80"/>
        <w:rPr/>
      </w:pPr>
      <w:r>
        <w:rPr>
          <w:rFonts w:eastAsia="Arial" w:cs="Arial"/>
          <w:b/>
          <w:bCs/>
          <w:color w:val="1A4731"/>
          <w:sz w:val="20"/>
          <w:szCs w:val="20"/>
        </w:rPr>
        <w:t>PROCEDURE — STAFFING</w:t>
      </w:r>
    </w:p>
    <w:p>
      <w:pPr>
        <w:pStyle w:val="Normal"/>
        <w:tabs>
          <w:tab w:val="left" w:pos="720" w:leader="none"/>
        </w:tabs>
        <w:spacing w:lineRule="exact" w:line="264" w:before="0" w:after="80"/>
        <w:ind w:hanging="360" w:start="720"/>
        <w:rPr/>
      </w:pPr>
      <w:r>
        <w:rPr>
          <w:rFonts w:eastAsia="Arial" w:cs="Arial"/>
          <w:sz w:val="21"/>
          <w:szCs w:val="21"/>
        </w:rPr>
        <w:t>a. Maintain staffing sufficient in number, qualifications, and availability for the licensed services and ASAM level of care.</w:t>
      </w:r>
    </w:p>
    <w:p>
      <w:pPr>
        <w:pStyle w:val="Normal"/>
        <w:tabs>
          <w:tab w:val="left" w:pos="720" w:leader="none"/>
        </w:tabs>
        <w:spacing w:lineRule="exact" w:line="264" w:before="0" w:after="80"/>
        <w:ind w:hanging="360" w:start="720"/>
        <w:rPr/>
      </w:pPr>
      <w:r>
        <w:rPr>
          <w:rFonts w:eastAsia="Arial" w:cs="Arial"/>
          <w:sz w:val="21"/>
          <w:szCs w:val="21"/>
        </w:rPr>
        <w:t>b. Ensure appropriate supervision of staff, students, and volunteers and maintain required coverage.</w:t>
      </w:r>
    </w:p>
    <w:p>
      <w:pPr>
        <w:pStyle w:val="Normal"/>
        <w:tabs>
          <w:tab w:val="left" w:pos="720" w:leader="none"/>
        </w:tabs>
        <w:spacing w:lineRule="exact" w:line="264" w:before="0" w:after="80"/>
        <w:ind w:hanging="360" w:start="720"/>
        <w:rPr/>
      </w:pPr>
      <w:r>
        <w:rPr>
          <w:rFonts w:eastAsia="Arial" w:cs="Arial"/>
          <w:sz w:val="21"/>
          <w:szCs w:val="21"/>
        </w:rPr>
        <w:t>c. Adjust staffing to the acuity and census of the individuals served.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Supervision of Students &amp; Volunteers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Employee Credentials &amp; Job Descriptions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Employee Credentials &amp; Job Descriptions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12VAC35-105-410; Department of Health Professions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are qualified and credentialed for their roles and that personnel records are complete.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contractors who deliver or support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Allied health professional — a professional such as a certified substance abuse counselor (CSAC), a certified substance abuse counseling assistant, or a peer recovery support specialist involved in the delivery of health or related services.</w:t>
      </w:r>
    </w:p>
    <w:p>
      <w:pPr>
        <w:pStyle w:val="Normal"/>
        <w:spacing w:lineRule="exact" w:line="276" w:before="0" w:after="120"/>
        <w:rPr/>
      </w:pPr>
      <w:r>
        <w:rPr>
          <w:rFonts w:eastAsia="Arial" w:cs="Arial"/>
          <w:sz w:val="21"/>
          <w:szCs w:val="21"/>
        </w:rPr>
        <w:t>Qualified mental health professional (QMHP) and licensed professional — staff whose qualifications and scope of practice are set by the Virginia Department of Health Professions.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Services are provided by staff qualified by education, training, and credentials, each operating within the scope of practice set by the Department of Health Professions — including certified substance abuse counselors and counseling assistants, peer recovery support specialists, qualified mental health professionals, and licensed professionals. The provider maintains for each employee the credentials and a job description containing the elements 12VAC35-105-410 requires, verifies each credential before the staff member provides services requiring it, ensures staff practice within their scope and any required supervision, and monitors continued good standing and timely renewal.</w:t>
      </w:r>
    </w:p>
    <w:p>
      <w:pPr>
        <w:pStyle w:val="Normal"/>
        <w:pBdr>
          <w:bottom w:val="single" w:sz="4" w:space="1" w:color="2E5E45"/>
        </w:pBdr>
        <w:spacing w:before="160" w:after="80"/>
        <w:rPr/>
      </w:pPr>
      <w:r>
        <w:rPr>
          <w:rFonts w:eastAsia="Arial" w:cs="Arial"/>
          <w:b/>
          <w:bCs/>
          <w:color w:val="1A4731"/>
          <w:sz w:val="20"/>
          <w:szCs w:val="20"/>
        </w:rPr>
        <w:t>PROCEDURE — CREDENTIALS &amp; JOB DESCRIPTIONS</w:t>
      </w:r>
    </w:p>
    <w:p>
      <w:pPr>
        <w:pStyle w:val="Normal"/>
        <w:tabs>
          <w:tab w:val="left" w:pos="720" w:leader="none"/>
        </w:tabs>
        <w:spacing w:lineRule="exact" w:line="264" w:before="0" w:after="80"/>
        <w:ind w:hanging="360" w:start="720"/>
        <w:rPr/>
      </w:pPr>
      <w:r>
        <w:rPr>
          <w:rFonts w:eastAsia="Arial" w:cs="Arial"/>
          <w:sz w:val="21"/>
          <w:szCs w:val="21"/>
        </w:rPr>
        <w:t>a. Maintain employee credentials and a compliant job description (12VAC35-105-410) for each staff member.</w:t>
      </w:r>
    </w:p>
    <w:p>
      <w:pPr>
        <w:pStyle w:val="Normal"/>
        <w:tabs>
          <w:tab w:val="left" w:pos="720" w:leader="none"/>
        </w:tabs>
        <w:spacing w:lineRule="exact" w:line="264" w:before="0" w:after="80"/>
        <w:ind w:hanging="360" w:start="720"/>
        <w:rPr/>
      </w:pPr>
      <w:r>
        <w:rPr>
          <w:rFonts w:eastAsia="Arial" w:cs="Arial"/>
          <w:sz w:val="21"/>
          <w:szCs w:val="21"/>
        </w:rPr>
        <w:t>b. Verify each credential before the staff member provides services requiring it and ensure practice within scope and required supervision.</w:t>
      </w:r>
    </w:p>
    <w:p>
      <w:pPr>
        <w:pStyle w:val="Normal"/>
        <w:tabs>
          <w:tab w:val="left" w:pos="720" w:leader="none"/>
        </w:tabs>
        <w:spacing w:lineRule="exact" w:line="264" w:before="0" w:after="80"/>
        <w:ind w:hanging="360" w:start="720"/>
        <w:rPr/>
      </w:pPr>
      <w:r>
        <w:rPr>
          <w:rFonts w:eastAsia="Arial" w:cs="Arial"/>
          <w:sz w:val="21"/>
          <w:szCs w:val="21"/>
        </w:rPr>
        <w:t>c. Monitor continued good standing and timely credential renewal.</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Job Descriptions (per role)</w:t>
      </w:r>
    </w:p>
    <w:p>
      <w:pPr>
        <w:pStyle w:val="ListParagraph"/>
        <w:numPr>
          <w:ilvl w:val="0"/>
          <w:numId w:val="1"/>
        </w:numPr>
        <w:spacing w:lineRule="exact" w:line="264" w:before="0" w:after="60"/>
        <w:rPr/>
      </w:pPr>
      <w:r>
        <w:rPr>
          <w:rFonts w:eastAsia="Arial" w:cs="Arial"/>
          <w:sz w:val="21"/>
          <w:szCs w:val="21"/>
        </w:rPr>
        <w:t>Scope-of-Practice &amp; Supervision Roster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12VAC35-105-590; DHP supervision requirements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supervision appropriate to their credentials so that services are competent, safe,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clinical supervisor and to all staff subject to supervision.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Staff who require supervision — including certified substance abuse counseling assistants, qualified mental health professional-trainees, peer recovery support specialists, and other staff practicing under supervision — provide services under a qualified supervisor consistent with 12VAC35-105 and the requirements of the Department of Health Professions and the applicable credentialing board. The provider defines supervisory relationships, ensures supervised staff provide only services within their qualifications and scope, and documents supervision, including frequency, content, and the supervisor's review of clinical work and individualized services plans.</w:t>
      </w:r>
    </w:p>
    <w:p>
      <w:pPr>
        <w:pStyle w:val="Normal"/>
        <w:pBdr>
          <w:bottom w:val="single" w:sz="4" w:space="1" w:color="2E5E45"/>
        </w:pBdr>
        <w:spacing w:before="160" w:after="80"/>
        <w:rPr/>
      </w:pPr>
      <w:r>
        <w:rPr>
          <w:rFonts w:eastAsia="Arial" w:cs="Arial"/>
          <w:b/>
          <w:bCs/>
          <w:color w:val="1A4731"/>
          <w:sz w:val="20"/>
          <w:szCs w:val="20"/>
        </w:rPr>
        <w:t>PROCEDURE — SUPERVISION</w:t>
      </w:r>
    </w:p>
    <w:p>
      <w:pPr>
        <w:pStyle w:val="Normal"/>
        <w:tabs>
          <w:tab w:val="left" w:pos="720" w:leader="none"/>
        </w:tabs>
        <w:spacing w:lineRule="exact" w:line="264" w:before="0" w:after="80"/>
        <w:ind w:hanging="360" w:start="720"/>
        <w:rPr/>
      </w:pPr>
      <w:r>
        <w:rPr>
          <w:rFonts w:eastAsia="Arial" w:cs="Arial"/>
          <w:sz w:val="21"/>
          <w:szCs w:val="21"/>
        </w:rPr>
        <w:t>a. Assign a qualified supervisor for each supervised staff member and define supervisory relationships.</w:t>
      </w:r>
    </w:p>
    <w:p>
      <w:pPr>
        <w:pStyle w:val="Normal"/>
        <w:tabs>
          <w:tab w:val="left" w:pos="720" w:leader="none"/>
        </w:tabs>
        <w:spacing w:lineRule="exact" w:line="264" w:before="0" w:after="80"/>
        <w:ind w:hanging="360" w:start="720"/>
        <w:rPr/>
      </w:pPr>
      <w:r>
        <w:rPr>
          <w:rFonts w:eastAsia="Arial" w:cs="Arial"/>
          <w:sz w:val="21"/>
          <w:szCs w:val="21"/>
        </w:rPr>
        <w:t>b. Ensure supervised staff provide only services within their qualifications and scope.</w:t>
      </w:r>
    </w:p>
    <w:p>
      <w:pPr>
        <w:pStyle w:val="Normal"/>
        <w:tabs>
          <w:tab w:val="left" w:pos="720" w:leader="none"/>
        </w:tabs>
        <w:spacing w:lineRule="exact" w:line="264" w:before="0" w:after="80"/>
        <w:ind w:hanging="360" w:start="720"/>
        <w:rPr/>
      </w:pPr>
      <w:r>
        <w:rPr>
          <w:rFonts w:eastAsia="Arial" w:cs="Arial"/>
          <w:sz w:val="21"/>
          <w:szCs w:val="21"/>
        </w:rPr>
        <w:t>c. Document supervision, including frequency, content, and review of clinical work and ISPs.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2.03  Training &amp; Development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2.03  Training &amp; Development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(training)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receive orientation and ongoing training appropriate to their duties and the individuals served.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the person responsible for staff development.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provides new staff with orientation to its operations, policies, human rights (12VAC35-115), and confidentiality requirements before they work independently with individuals, and provides ongoing training appropriate to each staff member's duties and the individuals served. Training includes human rights, confidentiality (42 CFR Part 2 and HIPAA), serious incident recognition and reporting, emergency procedures, overdose recognition and response, infection control, behavior intervention and any authorized emergency safety procedures, and the clinical topics relevant to the service and ASAM level of care. Withdrawal management staff complete the training the ASAM staffing framework requires. All training is documented with the date, subject, participants, and trainer.</w:t>
      </w:r>
    </w:p>
    <w:p>
      <w:pPr>
        <w:pStyle w:val="Normal"/>
        <w:pBdr>
          <w:bottom w:val="single" w:sz="4" w:space="1" w:color="2E5E45"/>
        </w:pBdr>
        <w:spacing w:before="160" w:after="80"/>
        <w:rPr/>
      </w:pPr>
      <w:r>
        <w:rPr>
          <w:rFonts w:eastAsia="Arial" w:cs="Arial"/>
          <w:b/>
          <w:bCs/>
          <w:color w:val="1A4731"/>
          <w:sz w:val="20"/>
          <w:szCs w:val="20"/>
        </w:rPr>
        <w:t>PROCEDURE — ORIENTATION &amp; TRAINING</w:t>
      </w:r>
    </w:p>
    <w:p>
      <w:pPr>
        <w:pStyle w:val="Normal"/>
        <w:tabs>
          <w:tab w:val="left" w:pos="720" w:leader="none"/>
        </w:tabs>
        <w:spacing w:lineRule="exact" w:line="264" w:before="0" w:after="80"/>
        <w:ind w:hanging="360" w:start="720"/>
        <w:rPr/>
      </w:pPr>
      <w:r>
        <w:rPr>
          <w:rFonts w:eastAsia="Arial" w:cs="Arial"/>
          <w:sz w:val="21"/>
          <w:szCs w:val="21"/>
        </w:rPr>
        <w:t>a. Provide orientation covering operations, policies, human rights, and confidentiality before independent work with individuals.</w:t>
      </w:r>
    </w:p>
    <w:p>
      <w:pPr>
        <w:pStyle w:val="Normal"/>
        <w:tabs>
          <w:tab w:val="left" w:pos="720" w:leader="none"/>
        </w:tabs>
        <w:spacing w:lineRule="exact" w:line="264" w:before="0" w:after="80"/>
        <w:ind w:hanging="360" w:start="720"/>
        <w:rPr/>
      </w:pPr>
      <w:r>
        <w:rPr>
          <w:rFonts w:eastAsia="Arial" w:cs="Arial"/>
          <w:sz w:val="21"/>
          <w:szCs w:val="21"/>
        </w:rPr>
        <w:t>b. Provide ongoing training on human rights, confidentiality, incident reporting, emergencies, overdose response, and clinical topics for the ASAM level of care.</w:t>
      </w:r>
    </w:p>
    <w:p>
      <w:pPr>
        <w:pStyle w:val="Normal"/>
        <w:tabs>
          <w:tab w:val="left" w:pos="720" w:leader="none"/>
        </w:tabs>
        <w:spacing w:lineRule="exact" w:line="264" w:before="0" w:after="80"/>
        <w:ind w:hanging="360" w:start="720"/>
        <w:rPr/>
      </w:pPr>
      <w:r>
        <w:rPr>
          <w:rFonts w:eastAsia="Arial" w:cs="Arial"/>
          <w:sz w:val="21"/>
          <w:szCs w:val="21"/>
        </w:rPr>
        <w:t>c. Document each training activity with date, subject, participants, and trainer.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2.04  Background Checks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2.04  Background Checks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Staffing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 37.2-416, Code of Virginia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receiving services by completing background investigations on staff.</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staff, contractors, students, and volunteers subject to background investigations.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the background investigations Virginia law and 12VAC35-105 require for staff and applicants in positions subject to screening, including the criminal history background check and any registry checks the law requires (for example, under § 37.2-416 of the Code of Virginia), evaluates the results against applicable barrier crimes and disqualifiers, and does not employ or retain an individual in a position for which the individual is barred. The provider completes required rechecks and documents the completion and disposition of each background investigation in the personnel record.</w:t>
      </w:r>
    </w:p>
    <w:p>
      <w:pPr>
        <w:pStyle w:val="Normal"/>
        <w:pBdr>
          <w:bottom w:val="single" w:sz="4" w:space="1" w:color="2E5E45"/>
        </w:pBdr>
        <w:spacing w:before="160" w:after="80"/>
        <w:rPr/>
      </w:pPr>
      <w:r>
        <w:rPr>
          <w:rFonts w:eastAsia="Arial" w:cs="Arial"/>
          <w:b/>
          <w:bCs/>
          <w:color w:val="1A4731"/>
          <w:sz w:val="20"/>
          <w:szCs w:val="20"/>
        </w:rPr>
        <w:t>PROCEDURE — BACKGROUND INVESTIGATIONS</w:t>
      </w:r>
    </w:p>
    <w:p>
      <w:pPr>
        <w:pStyle w:val="Normal"/>
        <w:tabs>
          <w:tab w:val="left" w:pos="720" w:leader="none"/>
        </w:tabs>
        <w:spacing w:lineRule="exact" w:line="264" w:before="0" w:after="80"/>
        <w:ind w:hanging="360" w:start="720"/>
        <w:rPr/>
      </w:pPr>
      <w:r>
        <w:rPr>
          <w:rFonts w:eastAsia="Arial" w:cs="Arial"/>
          <w:sz w:val="21"/>
          <w:szCs w:val="21"/>
        </w:rPr>
        <w:t>a. Complete required criminal history and registry checks for covered positions and evaluate results against barrier crimes and disqualifiers.</w:t>
      </w:r>
    </w:p>
    <w:p>
      <w:pPr>
        <w:pStyle w:val="Normal"/>
        <w:tabs>
          <w:tab w:val="left" w:pos="720" w:leader="none"/>
        </w:tabs>
        <w:spacing w:lineRule="exact" w:line="264" w:before="0" w:after="80"/>
        <w:ind w:hanging="360" w:start="720"/>
        <w:rPr/>
      </w:pPr>
      <w:r>
        <w:rPr>
          <w:rFonts w:eastAsia="Arial" w:cs="Arial"/>
          <w:sz w:val="21"/>
          <w:szCs w:val="21"/>
        </w:rPr>
        <w:t>b. Do not employ or retain a barred individual and complete required rechecks.</w:t>
      </w:r>
    </w:p>
    <w:p>
      <w:pPr>
        <w:pStyle w:val="Normal"/>
        <w:tabs>
          <w:tab w:val="left" w:pos="720" w:leader="none"/>
        </w:tabs>
        <w:spacing w:lineRule="exact" w:line="264" w:before="0" w:after="80"/>
        <w:ind w:hanging="360" w:start="720"/>
        <w:rPr/>
      </w:pPr>
      <w:r>
        <w:rPr>
          <w:rFonts w:eastAsia="Arial" w:cs="Arial"/>
          <w:sz w:val="21"/>
          <w:szCs w:val="21"/>
        </w:rPr>
        <w:t>c. Document the completion and disposition of each background investigation in the personnel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Background Investigation Record</w:t>
      </w:r>
    </w:p>
    <w:p>
      <w:pPr>
        <w:pStyle w:val="ListParagraph"/>
        <w:numPr>
          <w:ilvl w:val="0"/>
          <w:numId w:val="1"/>
        </w:numPr>
        <w:spacing w:lineRule="exact" w:line="264" w:before="0" w:after="60"/>
        <w:rPr/>
      </w:pPr>
      <w:r>
        <w:rPr>
          <w:rFonts w:eastAsia="Arial" w:cs="Arial"/>
          <w:sz w:val="21"/>
          <w:szCs w:val="21"/>
        </w:rPr>
        <w:t>Barrier-Crime / Eligibility Determination</w:t>
      </w:r>
    </w:p>
    <w:p>
      <w:pPr>
        <w:pStyle w:val="ListParagraph"/>
        <w:numPr>
          <w:ilvl w:val="0"/>
          <w:numId w:val="1"/>
        </w:numPr>
        <w:spacing w:lineRule="exact" w:line="264" w:before="0" w:after="60"/>
        <w:rPr/>
      </w:pPr>
      <w:r>
        <w:rPr>
          <w:rFonts w:eastAsia="Arial" w:cs="Arial"/>
          <w:sz w:val="21"/>
          <w:szCs w:val="21"/>
        </w:rPr>
        <w:t>Recheck Tracking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Individual Rights &amp; Protection</w:t>
      </w:r>
    </w:p>
    <w:p>
      <w:pPr>
        <w:pStyle w:val="Normal"/>
        <w:spacing w:lineRule="exact" w:line="288" w:before="0" w:after="240"/>
        <w:rPr/>
      </w:pPr>
      <w:r>
        <w:rPr>
          <w:rFonts w:eastAsia="Arial" w:cs="Arial"/>
          <w:color w:val="444444"/>
          <w:sz w:val="22"/>
          <w:szCs w:val="22"/>
        </w:rPr>
        <w:t>This section protects the people the provider serves — the human rights of individuals receiving services under 12VAC35-115; confidentiality under 42 CFR Part 2, HIPAA and Virginia law; behavior intervention, seclusion and restraint; complaints and appeals; and abuse, neglect and exploitation prevention and reporting.</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Human Rights of Individuals Receiving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Confidentiality (42 CFR Part 2, HIPAA &amp; Virginia Law)</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Behavior Intervention, Seclusion &amp; Restraint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3.03  Complaints &amp; Appeals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3.04  Abuse, Neglect &amp; Exploitation Prevention &amp; Reporting</w:t>
      </w:r>
    </w:p>
    <w:p>
      <w:pPr>
        <w:pStyle w:val="Normal"/>
        <w:rPr/>
      </w:pPr>
      <w:r>
        <w:rPr/>
      </w:r>
      <w:r>
        <w:br w:type="page"/>
      </w:r>
    </w:p>
    <w:p>
      <w:pPr>
        <w:pStyle w:val="Heading2"/>
        <w:spacing w:before="0" w:after="120"/>
        <w:rPr/>
      </w:pPr>
      <w:r>
        <w:rPr>
          <w:rFonts w:eastAsia="Arial" w:cs="Arial" w:ascii="Arial" w:hAnsi="Arial"/>
          <w:b/>
          <w:bCs/>
          <w:color w:val="1A4731"/>
          <w:sz w:val="26"/>
          <w:szCs w:val="26"/>
        </w:rPr>
        <w:t>3.00  Human Rights of Individuals Receiving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Human Rights of Individuals Receiving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12VAC35-115; §§ 37.2-302, 37.2-400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and promote the human rights of each individual receiving services under 12VAC35-115.</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every individual receiving services and to all staff, contractors, students, and volunteers.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assures the rights of each individual receiving services in accordance with 12VAC35-115, including the right to be treated with dignity and respect; the right to services in the least restrictive environment appropriate to the individual's needs; the right to give informed consent to and to participate in decisions about treatment and services and to withdraw consent; the right to confidentiality; the right to be free from abuse, neglect, exploitation, and unnecessary or excessive restraint or seclusion; the right to a safe and humane environment; and the right to complain and appeal without retaliation. Each individual (and, as applicable, the authorized representative) is informed of these rights, in an understandable manner, at the beginning of services, and the provider designates or has access to a human rights advocate and cooperates with the local and State Human Rights Committees. Rights are honored throughout services.</w:t>
      </w:r>
    </w:p>
    <w:p>
      <w:pPr>
        <w:pStyle w:val="Normal"/>
        <w:pBdr>
          <w:bottom w:val="single" w:sz="4" w:space="1" w:color="2E5E45"/>
        </w:pBdr>
        <w:spacing w:before="160" w:after="80"/>
        <w:rPr/>
      </w:pPr>
      <w:r>
        <w:rPr>
          <w:rFonts w:eastAsia="Arial" w:cs="Arial"/>
          <w:b/>
          <w:bCs/>
          <w:color w:val="1A4731"/>
          <w:sz w:val="20"/>
          <w:szCs w:val="20"/>
        </w:rPr>
        <w:t>PROCEDURE — ASSURING RIGHTS</w:t>
      </w:r>
    </w:p>
    <w:p>
      <w:pPr>
        <w:pStyle w:val="Normal"/>
        <w:tabs>
          <w:tab w:val="left" w:pos="720" w:leader="none"/>
        </w:tabs>
        <w:spacing w:lineRule="exact" w:line="264" w:before="0" w:after="80"/>
        <w:ind w:hanging="360" w:start="720"/>
        <w:rPr/>
      </w:pPr>
      <w:r>
        <w:rPr>
          <w:rFonts w:eastAsia="Arial" w:cs="Arial"/>
          <w:sz w:val="21"/>
          <w:szCs w:val="21"/>
        </w:rPr>
        <w:t>a. Inform each individual and any authorized representative of their rights, in an understandable manner, at the beginning of services.</w:t>
      </w:r>
    </w:p>
    <w:p>
      <w:pPr>
        <w:pStyle w:val="Normal"/>
        <w:tabs>
          <w:tab w:val="left" w:pos="720" w:leader="none"/>
        </w:tabs>
        <w:spacing w:lineRule="exact" w:line="264" w:before="0" w:after="80"/>
        <w:ind w:hanging="360" w:start="720"/>
        <w:rPr/>
      </w:pPr>
      <w:r>
        <w:rPr>
          <w:rFonts w:eastAsia="Arial" w:cs="Arial"/>
          <w:sz w:val="21"/>
          <w:szCs w:val="21"/>
        </w:rPr>
        <w:t>b. Honor rights to dignity, least-restrictive services, informed consent, confidentiality, and freedom from abuse and unnecessary restraint throughout services.</w:t>
      </w:r>
    </w:p>
    <w:p>
      <w:pPr>
        <w:pStyle w:val="Normal"/>
        <w:tabs>
          <w:tab w:val="left" w:pos="720" w:leader="none"/>
        </w:tabs>
        <w:spacing w:lineRule="exact" w:line="264" w:before="0" w:after="80"/>
        <w:ind w:hanging="360" w:start="720"/>
        <w:rPr/>
      </w:pPr>
      <w:r>
        <w:rPr>
          <w:rFonts w:eastAsia="Arial" w:cs="Arial"/>
          <w:sz w:val="21"/>
          <w:szCs w:val="21"/>
        </w:rPr>
        <w:t>c. Provide access to a human rights advocate and cooperate with the local and State Human Rights Committees.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Notification of Human Rights</w:t>
      </w:r>
    </w:p>
    <w:p>
      <w:pPr>
        <w:pStyle w:val="ListParagraph"/>
        <w:numPr>
          <w:ilvl w:val="0"/>
          <w:numId w:val="1"/>
        </w:numPr>
        <w:spacing w:lineRule="exact" w:line="264" w:before="0" w:after="60"/>
        <w:rPr/>
      </w:pPr>
      <w:r>
        <w:rPr>
          <w:rFonts w:eastAsia="Arial" w:cs="Arial"/>
          <w:sz w:val="21"/>
          <w:szCs w:val="21"/>
        </w:rPr>
        <w:t>Informed Consent Record</w:t>
      </w:r>
    </w:p>
    <w:p>
      <w:pPr>
        <w:pStyle w:val="ListParagraph"/>
        <w:numPr>
          <w:ilvl w:val="0"/>
          <w:numId w:val="1"/>
        </w:numPr>
        <w:spacing w:lineRule="exact" w:line="264" w:before="0" w:after="60"/>
        <w:rPr/>
      </w:pPr>
      <w:r>
        <w:rPr>
          <w:rFonts w:eastAsia="Arial" w:cs="Arial"/>
          <w:sz w:val="21"/>
          <w:szCs w:val="21"/>
        </w:rPr>
        <w:t>Human Rights Advocate Contact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Confidentiality (42 CFR Part 2, HIPAA &amp; Virginia Law)</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Confidentiality (42 CFR Part 2, HIPAA &amp; Virginia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42 CFR Part 2; 45 CFR Parts 160, 164; 12VAC35-115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confidentiality of individuals' records and identifying information under the federal substance use disorder rule, HIPAA, and Virginia law.</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records and identifying information in any form and to everyone who creates, uses, or discloses them.</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42 CFR Part 2 — the federal regulation providing heightened protection for records that identify a person as having a substance use disorder in a federally assisted program, generally requiring specific written consent for disclosure and limiting re-disclosure.</w:t>
      </w:r>
    </w:p>
    <w:p>
      <w:pPr>
        <w:pStyle w:val="Normal"/>
        <w:spacing w:lineRule="exact" w:line="276" w:before="0" w:after="120"/>
        <w:rPr/>
      </w:pPr>
      <w:r>
        <w:rPr>
          <w:rFonts w:eastAsia="Arial" w:cs="Arial"/>
          <w:sz w:val="21"/>
          <w:szCs w:val="21"/>
        </w:rPr>
        <w:t>Protected Health Information (PHI) — individually identifiable health information protected by HIPAA (45 CFR Parts 160 and 164).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protects the confidentiality of each individual's information, complies with 42 CFR Part 2, protects PHI under HIPAA, and follows the confidentiality provisions of 12VAC35-115 and Virginia law. Except as permitted by law, disclosure of a record requires the individual's (or authorized representative's) specific written consent, and re-disclosure is limited. The provider maintains a notice of privacy practices, applies minimum-necessary and safeguarding standards, secures records against unauthorized access, trains staff on 42 CFR Part 2, HIPAA, and Virginia law, and executes qualified service organization and business associate agreements where appropriate. DBHDS is provided access to records as required to determine compliance, consistent with confidentiality law.</w:t>
      </w:r>
    </w:p>
    <w:p>
      <w:pPr>
        <w:pStyle w:val="Normal"/>
        <w:pBdr>
          <w:bottom w:val="single" w:sz="4" w:space="1" w:color="2E5E45"/>
        </w:pBdr>
        <w:spacing w:before="160" w:after="80"/>
        <w:rPr/>
      </w:pPr>
      <w:r>
        <w:rPr>
          <w:rFonts w:eastAsia="Arial" w:cs="Arial"/>
          <w:b/>
          <w:bCs/>
          <w:color w:val="1A4731"/>
          <w:sz w:val="20"/>
          <w:szCs w:val="20"/>
        </w:rPr>
        <w:t>PROCEDURE — CONSENT &amp; DISCLOSURE</w:t>
      </w:r>
    </w:p>
    <w:p>
      <w:pPr>
        <w:pStyle w:val="Normal"/>
        <w:tabs>
          <w:tab w:val="left" w:pos="720" w:leader="none"/>
        </w:tabs>
        <w:spacing w:lineRule="exact" w:line="264" w:before="0" w:after="80"/>
        <w:ind w:hanging="360" w:start="720"/>
        <w:rPr/>
      </w:pPr>
      <w:r>
        <w:rPr>
          <w:rFonts w:eastAsia="Arial" w:cs="Arial"/>
          <w:sz w:val="21"/>
          <w:szCs w:val="21"/>
        </w:rPr>
        <w:t>a. Obtain 42 CFR Part 2-compliant written consent before disclosing a record, except as permitted by law, and honor re-disclosure limits.</w:t>
      </w:r>
    </w:p>
    <w:p>
      <w:pPr>
        <w:pStyle w:val="Normal"/>
        <w:tabs>
          <w:tab w:val="left" w:pos="720" w:leader="none"/>
        </w:tabs>
        <w:spacing w:lineRule="exact" w:line="264" w:before="0" w:after="80"/>
        <w:ind w:hanging="360" w:start="720"/>
        <w:rPr/>
      </w:pPr>
      <w:r>
        <w:rPr>
          <w:rFonts w:eastAsia="Arial" w:cs="Arial"/>
          <w:sz w:val="21"/>
          <w:szCs w:val="21"/>
        </w:rPr>
        <w:t>b. Provide DBHDS access to records for compliance determinations consistent with confidentiality law.</w:t>
      </w:r>
    </w:p>
    <w:p>
      <w:pPr>
        <w:pStyle w:val="Normal"/>
        <w:tabs>
          <w:tab w:val="left" w:pos="720" w:leader="none"/>
        </w:tabs>
        <w:spacing w:lineRule="exact" w:line="264" w:before="0" w:after="80"/>
        <w:ind w:hanging="360" w:start="720"/>
        <w:rPr/>
      </w:pPr>
      <w:r>
        <w:rPr>
          <w:rFonts w:eastAsia="Arial" w:cs="Arial"/>
          <w:sz w:val="21"/>
          <w:szCs w:val="21"/>
        </w:rPr>
        <w:t>c. Execute qualified service organization and business associate agreements where appropriate.</w:t>
      </w:r>
    </w:p>
    <w:p>
      <w:pPr>
        <w:pStyle w:val="Normal"/>
        <w:pBdr>
          <w:bottom w:val="single" w:sz="4" w:space="1" w:color="2E5E45"/>
        </w:pBdr>
        <w:spacing w:before="160" w:after="80"/>
        <w:rPr/>
      </w:pPr>
      <w:r>
        <w:rPr>
          <w:rFonts w:eastAsia="Arial" w:cs="Arial"/>
          <w:b/>
          <w:bCs/>
          <w:color w:val="1A4731"/>
          <w:sz w:val="20"/>
          <w:szCs w:val="20"/>
        </w:rPr>
        <w:t>PROCEDURE — SAFEGUARDS &amp; TRAINING</w:t>
      </w:r>
    </w:p>
    <w:p>
      <w:pPr>
        <w:pStyle w:val="Normal"/>
        <w:tabs>
          <w:tab w:val="left" w:pos="720" w:leader="none"/>
        </w:tabs>
        <w:spacing w:lineRule="exact" w:line="264" w:before="0" w:after="80"/>
        <w:ind w:hanging="360" w:start="720"/>
        <w:rPr/>
      </w:pPr>
      <w:r>
        <w:rPr>
          <w:rFonts w:eastAsia="Arial" w:cs="Arial"/>
          <w:sz w:val="21"/>
          <w:szCs w:val="21"/>
        </w:rPr>
        <w:t>d. Maintain a notice of privacy practices, apply minimum-necessary and safeguarding standards, and store records securely.</w:t>
      </w:r>
    </w:p>
    <w:p>
      <w:pPr>
        <w:pStyle w:val="Normal"/>
        <w:tabs>
          <w:tab w:val="left" w:pos="720" w:leader="none"/>
        </w:tabs>
        <w:spacing w:lineRule="exact" w:line="264" w:before="0" w:after="80"/>
        <w:ind w:hanging="360" w:start="720"/>
        <w:rPr/>
      </w:pPr>
      <w:r>
        <w:rPr>
          <w:rFonts w:eastAsia="Arial" w:cs="Arial"/>
          <w:sz w:val="21"/>
          <w:szCs w:val="21"/>
        </w:rPr>
        <w:t>e. Train staff on 42 CFR Part 2, HIPAA, and Virginia confidentiality law.</w:t>
      </w:r>
    </w:p>
    <w:p>
      <w:pPr>
        <w:pStyle w:val="Normal"/>
        <w:tabs>
          <w:tab w:val="left" w:pos="720" w:leader="none"/>
        </w:tabs>
        <w:spacing w:lineRule="exact" w:line="264" w:before="0" w:after="80"/>
        <w:ind w:hanging="360" w:start="720"/>
        <w:rPr/>
      </w:pPr>
      <w:r>
        <w:rPr>
          <w:rFonts w:eastAsia="Arial" w:cs="Arial"/>
          <w:sz w:val="21"/>
          <w:szCs w:val="21"/>
        </w:rPr>
        <w:t>f. Investigate and respond to suspected impermissible disclosures.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Behavior Intervention, Seclusion &amp; Restraint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Behavior Intervention, Seclusion &amp; Restraint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12VAC35-115; 12VAC35-105 (behavior intervention)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behavior is supported constructively and that any seclusion or restraint is strictly limited, safe, and compliant.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individuals receiving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Behavior intervention — the principles and methods a provider employs to help an individual achieve a positive outcome and address challenging behavior in a constructive and safe manner, employed in accordance with the individualized services plan and written policies.</w:t>
      </w:r>
    </w:p>
    <w:p>
      <w:pPr>
        <w:pStyle w:val="Normal"/>
        <w:spacing w:lineRule="exact" w:line="276" w:before="0" w:after="120"/>
        <w:rPr/>
      </w:pPr>
      <w:r>
        <w:rPr>
          <w:rFonts w:eastAsia="Arial" w:cs="Arial"/>
          <w:sz w:val="21"/>
          <w:szCs w:val="21"/>
        </w:rPr>
        <w:t>Seclusion and restraint — the emergency safety interventions strictly limited by 12VAC35-115 and 12VAC35-105.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supports individuals using positive, person-centered behavior intervention consistent with the individualized services plan, emphasizing prevention and de-escalation, and prohibits coercive, punitive, humiliating, or retaliatory practices and any exploitative relationship between staff and an individual. Seclusion and restraint are used only where permitted by 12VAC35-115 and 12VAC35-105 and applicable law — only in an emergency to prevent imminent harm when less restrictive interventions are insufficient, only by trained staff, ordered and monitored as required, for the shortest time necessary, with documentation, notification, debriefing, and review, and never as coercion, discipline, punishment, retaliation, or staff convenience. Most substance use disorder services do not use these interventions; where they are not used, staff rely on prevention and de-escalation and summon emergency assistance and arrange transfer for an emergency. Any use of seclusion or restraint is reported and reviewed as a serious incident.</w:t>
      </w:r>
    </w:p>
    <w:p>
      <w:pPr>
        <w:pStyle w:val="Normal"/>
        <w:pBdr>
          <w:bottom w:val="single" w:sz="4" w:space="1" w:color="2E5E45"/>
        </w:pBdr>
        <w:spacing w:before="160" w:after="80"/>
        <w:rPr/>
      </w:pPr>
      <w:r>
        <w:rPr>
          <w:rFonts w:eastAsia="Arial" w:cs="Arial"/>
          <w:b/>
          <w:bCs/>
          <w:color w:val="1A4731"/>
          <w:sz w:val="20"/>
          <w:szCs w:val="20"/>
        </w:rPr>
        <w:t>PROCEDURE — BEHAVIOR INTERVENTION &amp; EMERGENCY SAFETY</w:t>
      </w:r>
    </w:p>
    <w:p>
      <w:pPr>
        <w:pStyle w:val="Normal"/>
        <w:tabs>
          <w:tab w:val="left" w:pos="720" w:leader="none"/>
        </w:tabs>
        <w:spacing w:lineRule="exact" w:line="264" w:before="0" w:after="80"/>
        <w:ind w:hanging="360" w:start="720"/>
        <w:rPr/>
      </w:pPr>
      <w:r>
        <w:rPr>
          <w:rFonts w:eastAsia="Arial" w:cs="Arial"/>
          <w:sz w:val="21"/>
          <w:szCs w:val="21"/>
        </w:rPr>
        <w:t>a. Support individuals through person-centered behavior intervention consistent with the ISP, emphasizing prevention and de-escalation.</w:t>
      </w:r>
    </w:p>
    <w:p>
      <w:pPr>
        <w:pStyle w:val="Normal"/>
        <w:tabs>
          <w:tab w:val="left" w:pos="720" w:leader="none"/>
        </w:tabs>
        <w:spacing w:lineRule="exact" w:line="264" w:before="0" w:after="80"/>
        <w:ind w:hanging="360" w:start="720"/>
        <w:rPr/>
      </w:pPr>
      <w:r>
        <w:rPr>
          <w:rFonts w:eastAsia="Arial" w:cs="Arial"/>
          <w:sz w:val="21"/>
          <w:szCs w:val="21"/>
        </w:rPr>
        <w:t>b. Use seclusion or restraint only where permitted, in an emergency, by trained staff, ordered, monitored, time-limited, documented, and reviewed.</w:t>
      </w:r>
    </w:p>
    <w:p>
      <w:pPr>
        <w:pStyle w:val="Normal"/>
        <w:tabs>
          <w:tab w:val="left" w:pos="720" w:leader="none"/>
        </w:tabs>
        <w:spacing w:lineRule="exact" w:line="264" w:before="0" w:after="80"/>
        <w:ind w:hanging="360" w:start="720"/>
        <w:rPr/>
      </w:pPr>
      <w:r>
        <w:rPr>
          <w:rFonts w:eastAsia="Arial" w:cs="Arial"/>
          <w:sz w:val="21"/>
          <w:szCs w:val="21"/>
        </w:rPr>
        <w:t>c. Report and review any use as a serious incident and summon emergency assistance and arrange transfer for emergencies.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Behavior Intervention / Support Plan</w:t>
      </w:r>
    </w:p>
    <w:p>
      <w:pPr>
        <w:pStyle w:val="ListParagraph"/>
        <w:numPr>
          <w:ilvl w:val="0"/>
          <w:numId w:val="1"/>
        </w:numPr>
        <w:spacing w:lineRule="exact" w:line="264" w:before="0" w:after="60"/>
        <w:rPr/>
      </w:pPr>
      <w:r>
        <w:rPr>
          <w:rFonts w:eastAsia="Arial" w:cs="Arial"/>
          <w:sz w:val="21"/>
          <w:szCs w:val="21"/>
        </w:rPr>
        <w:t>De-escalation Procedure</w:t>
      </w:r>
    </w:p>
    <w:p>
      <w:pPr>
        <w:pStyle w:val="ListParagraph"/>
        <w:numPr>
          <w:ilvl w:val="0"/>
          <w:numId w:val="1"/>
        </w:numPr>
        <w:spacing w:lineRule="exact" w:line="264" w:before="0" w:after="60"/>
        <w:rPr/>
      </w:pPr>
      <w:r>
        <w:rPr>
          <w:rFonts w:eastAsia="Arial" w:cs="Arial"/>
          <w:sz w:val="21"/>
          <w:szCs w:val="21"/>
        </w:rPr>
        <w:t>Seclusion / Restraint Documentation &amp; Review (where applicable)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3.03  Complaints &amp; Appeals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3.03  Complaints &amp; Appeals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12VAC35-115 (complaint and appeal process)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can raise complaints and appeal decisions through the human-rights process without retaliation.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complaints and appeals by individuals receiving services and their authorized representatives.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complaint and appeal process consistent with 12VAC35-115 that allows an individual (or authorized representative) to complain about a violation of rights or a decision affecting services without retaliation. The provider informs individuals how to file a complaint, including how to contact the human rights advocate and the local and State Human Rights Committees; investigates and resolves complaints within the required timeframes; documents complaints and their resolution; and cooperates with review by the human rights advocate and the committees. Complaint data is analyzed through quality improvement.</w:t>
      </w:r>
    </w:p>
    <w:p>
      <w:pPr>
        <w:pStyle w:val="Normal"/>
        <w:pBdr>
          <w:bottom w:val="single" w:sz="4" w:space="1" w:color="2E5E45"/>
        </w:pBdr>
        <w:spacing w:before="160" w:after="80"/>
        <w:rPr/>
      </w:pPr>
      <w:r>
        <w:rPr>
          <w:rFonts w:eastAsia="Arial" w:cs="Arial"/>
          <w:b/>
          <w:bCs/>
          <w:color w:val="1A4731"/>
          <w:sz w:val="20"/>
          <w:szCs w:val="20"/>
        </w:rPr>
        <w:t>PROCEDURE — COMPLAINTS &amp; APPEALS</w:t>
      </w:r>
    </w:p>
    <w:p>
      <w:pPr>
        <w:pStyle w:val="Normal"/>
        <w:tabs>
          <w:tab w:val="left" w:pos="720" w:leader="none"/>
        </w:tabs>
        <w:spacing w:lineRule="exact" w:line="264" w:before="0" w:after="80"/>
        <w:ind w:hanging="360" w:start="720"/>
        <w:rPr/>
      </w:pPr>
      <w:r>
        <w:rPr>
          <w:rFonts w:eastAsia="Arial" w:cs="Arial"/>
          <w:sz w:val="21"/>
          <w:szCs w:val="21"/>
        </w:rPr>
        <w:t>a. Inform individuals how to file a complaint and how to contact the human rights advocate and Human Rights Committees.</w:t>
      </w:r>
    </w:p>
    <w:p>
      <w:pPr>
        <w:pStyle w:val="Normal"/>
        <w:tabs>
          <w:tab w:val="left" w:pos="720" w:leader="none"/>
        </w:tabs>
        <w:spacing w:lineRule="exact" w:line="264" w:before="0" w:after="80"/>
        <w:ind w:hanging="360" w:start="720"/>
        <w:rPr/>
      </w:pPr>
      <w:r>
        <w:rPr>
          <w:rFonts w:eastAsia="Arial" w:cs="Arial"/>
          <w:sz w:val="21"/>
          <w:szCs w:val="21"/>
        </w:rPr>
        <w:t>b. Investigate and resolve complaints within required timeframes without retaliation and document resolution.</w:t>
      </w:r>
    </w:p>
    <w:p>
      <w:pPr>
        <w:pStyle w:val="Normal"/>
        <w:tabs>
          <w:tab w:val="left" w:pos="720" w:leader="none"/>
        </w:tabs>
        <w:spacing w:lineRule="exact" w:line="264" w:before="0" w:after="80"/>
        <w:ind w:hanging="360" w:start="720"/>
        <w:rPr/>
      </w:pPr>
      <w:r>
        <w:rPr>
          <w:rFonts w:eastAsia="Arial" w:cs="Arial"/>
          <w:sz w:val="21"/>
          <w:szCs w:val="21"/>
        </w:rPr>
        <w:t>c. Cooperate with human rights advocate and committee review and analyze complaint data through quality improvement.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Complaint / Appeal Form &amp; Log</w:t>
      </w:r>
    </w:p>
    <w:p>
      <w:pPr>
        <w:pStyle w:val="ListParagraph"/>
        <w:numPr>
          <w:ilvl w:val="0"/>
          <w:numId w:val="1"/>
        </w:numPr>
        <w:spacing w:lineRule="exact" w:line="264" w:before="0" w:after="60"/>
        <w:rPr/>
      </w:pPr>
      <w:r>
        <w:rPr>
          <w:rFonts w:eastAsia="Arial" w:cs="Arial"/>
          <w:sz w:val="21"/>
          <w:szCs w:val="21"/>
        </w:rPr>
        <w:t>Complaint Resolution Record</w:t>
      </w:r>
    </w:p>
    <w:p>
      <w:pPr>
        <w:pStyle w:val="ListParagraph"/>
        <w:numPr>
          <w:ilvl w:val="0"/>
          <w:numId w:val="1"/>
        </w:numPr>
        <w:spacing w:lineRule="exact" w:line="264" w:before="0" w:after="60"/>
        <w:rPr/>
      </w:pPr>
      <w:r>
        <w:rPr>
          <w:rFonts w:eastAsia="Arial" w:cs="Arial"/>
          <w:sz w:val="21"/>
          <w:szCs w:val="21"/>
        </w:rPr>
        <w:t>Human Rights Committee Correspondence File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3.04  Abuse, Neglect &amp; Exploitation Prevention &amp;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3.04  Abuse, Neglect &amp; Exploitation Prevention &amp;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Individual Rights &amp; Protection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12VAC35-115; § 37.2-100; Virginia reporting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from abuse, neglect, and exploitation and to ensure suspected instances are reported and investigated.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 and to every interaction with individuals receiving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Abuse — as defined by § 37.2-100 of the Code of Virginia, any act or failure to act by a person responsible for the care of an individual that was performed knowingly, recklessly, or intentionally and that caused or might have caused physical or psychological harm, injury, or death, including noncompliant use of physical or mechanical restraint.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zero-tolerance policy for abuse, neglect, and exploitation of individuals receiving services. Staff are trained to recognize, prevent, and immediately report suspected abuse, neglect, or exploitation, and the provider reports to DBHDS as a serious incident and to Adult Protective Services, Child Protective Services, or law enforcement as Virginia law requires and within required timeframes. The provider protects the individual, takes protective action toward any staff member alleged to be involved, investigates as required, cooperates with external investigations by DBHDS and Protective Services, implements corrective action, and prohibits retaliation for good-faith reports.</w:t>
      </w:r>
    </w:p>
    <w:p>
      <w:pPr>
        <w:pStyle w:val="Normal"/>
        <w:pBdr>
          <w:bottom w:val="single" w:sz="4" w:space="1" w:color="2E5E45"/>
        </w:pBdr>
        <w:spacing w:before="160" w:after="80"/>
        <w:rPr/>
      </w:pPr>
      <w:r>
        <w:rPr>
          <w:rFonts w:eastAsia="Arial" w:cs="Arial"/>
          <w:b/>
          <w:bCs/>
          <w:color w:val="1A4731"/>
          <w:sz w:val="20"/>
          <w:szCs w:val="20"/>
        </w:rPr>
        <w:t>PROCEDURE — PREVENTION &amp; REPORTING</w:t>
      </w:r>
    </w:p>
    <w:p>
      <w:pPr>
        <w:pStyle w:val="Normal"/>
        <w:tabs>
          <w:tab w:val="left" w:pos="720" w:leader="none"/>
        </w:tabs>
        <w:spacing w:lineRule="exact" w:line="264" w:before="0" w:after="80"/>
        <w:ind w:hanging="360" w:start="720"/>
        <w:rPr/>
      </w:pPr>
      <w:r>
        <w:rPr>
          <w:rFonts w:eastAsia="Arial" w:cs="Arial"/>
          <w:sz w:val="21"/>
          <w:szCs w:val="21"/>
        </w:rPr>
        <w:t>a. Train staff to recognize, prevent, and immediately report suspected abuse, neglect, or exploitation.</w:t>
      </w:r>
    </w:p>
    <w:p>
      <w:pPr>
        <w:pStyle w:val="Normal"/>
        <w:tabs>
          <w:tab w:val="left" w:pos="720" w:leader="none"/>
        </w:tabs>
        <w:spacing w:lineRule="exact" w:line="264" w:before="0" w:after="80"/>
        <w:ind w:hanging="360" w:start="720"/>
        <w:rPr/>
      </w:pPr>
      <w:r>
        <w:rPr>
          <w:rFonts w:eastAsia="Arial" w:cs="Arial"/>
          <w:sz w:val="21"/>
          <w:szCs w:val="21"/>
        </w:rPr>
        <w:t>b. Report to DBHDS as a serious incident and to Adult/Child Protective Services or law enforcement within required timeframes.</w:t>
      </w:r>
    </w:p>
    <w:p>
      <w:pPr>
        <w:pStyle w:val="Normal"/>
        <w:tabs>
          <w:tab w:val="left" w:pos="720" w:leader="none"/>
        </w:tabs>
        <w:spacing w:lineRule="exact" w:line="264" w:before="0" w:after="80"/>
        <w:ind w:hanging="360" w:start="720"/>
        <w:rPr/>
      </w:pPr>
      <w:r>
        <w:rPr>
          <w:rFonts w:eastAsia="Arial" w:cs="Arial"/>
          <w:sz w:val="21"/>
          <w:szCs w:val="21"/>
        </w:rPr>
        <w:t>c. Protect the individual, investigate, cooperate with external investigations, implement corrective action, and prohibit retaliation.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Assessment, Services &amp; Documentation</w:t>
      </w:r>
    </w:p>
    <w:p>
      <w:pPr>
        <w:pStyle w:val="Normal"/>
        <w:spacing w:lineRule="exact" w:line="288" w:before="0" w:after="240"/>
        <w:rPr/>
      </w:pPr>
      <w:r>
        <w:rPr>
          <w:rFonts w:eastAsia="Arial" w:cs="Arial"/>
          <w:color w:val="444444"/>
          <w:sz w:val="22"/>
          <w:szCs w:val="22"/>
        </w:rPr>
        <w:t>This section covers the clinical process — screening, intake and admission; assessment and ASAM level of care; the individualized services plan (ISP); service delivery and progress documentation; health care and medication services; and discharge and continuity of care.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Screening, Intake &amp; Admission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Assessment &amp; ASAM Level of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4.02  Individualized Services Plan (ISP)</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4.03  Service Delivery &amp; Progress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4.04  Health Care &amp; Medication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4.05  Discharge &amp; Continuity of Care</w:t>
      </w:r>
    </w:p>
    <w:p>
      <w:pPr>
        <w:pStyle w:val="Normal"/>
        <w:rPr/>
      </w:pPr>
      <w:r>
        <w:rPr/>
      </w:r>
      <w:r>
        <w:br w:type="page"/>
      </w:r>
    </w:p>
    <w:p>
      <w:pPr>
        <w:pStyle w:val="Heading2"/>
        <w:spacing w:before="0" w:after="120"/>
        <w:rPr/>
      </w:pPr>
      <w:r>
        <w:rPr>
          <w:rFonts w:eastAsia="Arial" w:cs="Arial" w:ascii="Arial" w:hAnsi="Arial"/>
          <w:b/>
          <w:bCs/>
          <w:color w:val="1A4731"/>
          <w:sz w:val="26"/>
          <w:szCs w:val="26"/>
        </w:rPr>
        <w:t>4.00  Screening, Intake &amp; Admission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Screening, Intake &amp; Admission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Assessment, Services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12VAC35-105-580 G (pregnant women)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are screened and admitted appropriately and that pregnant women receive timely, appropriate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screening, intake, and admission activity and to the staff who perform it.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screens each prospective individual to determine appropriateness for admission and the appropriate ASAM level of care, and admits only individuals whose needs it can meet within its licensed service and level of care. Intake obtains informed consent and required authorizations, informs the individual of rights and program expectations, and documents the basis for admission. The provider ensures the timely and appropriate treatment of pregnant women with substance use disorders, giving them priority access consistent with its service description and applicable requirements, and refers prospective individuals it cannot admit to an appropriate level of care.</w:t>
      </w:r>
    </w:p>
    <w:p>
      <w:pPr>
        <w:pStyle w:val="Normal"/>
        <w:pBdr>
          <w:bottom w:val="single" w:sz="4" w:space="1" w:color="2E5E45"/>
        </w:pBdr>
        <w:spacing w:before="160" w:after="80"/>
        <w:rPr/>
      </w:pPr>
      <w:r>
        <w:rPr>
          <w:rFonts w:eastAsia="Arial" w:cs="Arial"/>
          <w:b/>
          <w:bCs/>
          <w:color w:val="1A4731"/>
          <w:sz w:val="20"/>
          <w:szCs w:val="20"/>
        </w:rPr>
        <w:t>PROCEDURE — SCREENING &amp; ADMISSION</w:t>
      </w:r>
    </w:p>
    <w:p>
      <w:pPr>
        <w:pStyle w:val="Normal"/>
        <w:tabs>
          <w:tab w:val="left" w:pos="720" w:leader="none"/>
        </w:tabs>
        <w:spacing w:lineRule="exact" w:line="264" w:before="0" w:after="80"/>
        <w:ind w:hanging="360" w:start="720"/>
        <w:rPr/>
      </w:pPr>
      <w:r>
        <w:rPr>
          <w:rFonts w:eastAsia="Arial" w:cs="Arial"/>
          <w:sz w:val="21"/>
          <w:szCs w:val="21"/>
        </w:rPr>
        <w:t>a. Screen each prospective individual for appropriateness and ASAM level of care and admit only those the service can serve.</w:t>
      </w:r>
    </w:p>
    <w:p>
      <w:pPr>
        <w:pStyle w:val="Normal"/>
        <w:tabs>
          <w:tab w:val="left" w:pos="720" w:leader="none"/>
        </w:tabs>
        <w:spacing w:lineRule="exact" w:line="264" w:before="0" w:after="80"/>
        <w:ind w:hanging="360" w:start="720"/>
        <w:rPr/>
      </w:pPr>
      <w:r>
        <w:rPr>
          <w:rFonts w:eastAsia="Arial" w:cs="Arial"/>
          <w:sz w:val="21"/>
          <w:szCs w:val="21"/>
        </w:rPr>
        <w:t>b. Obtain informed consent and required authorizations, inform the individual of rights and expectations, and document admission.</w:t>
      </w:r>
    </w:p>
    <w:p>
      <w:pPr>
        <w:pStyle w:val="Normal"/>
        <w:tabs>
          <w:tab w:val="left" w:pos="720" w:leader="none"/>
        </w:tabs>
        <w:spacing w:lineRule="exact" w:line="264" w:before="0" w:after="80"/>
        <w:ind w:hanging="360" w:start="720"/>
        <w:rPr/>
      </w:pPr>
      <w:r>
        <w:rPr>
          <w:rFonts w:eastAsia="Arial" w:cs="Arial"/>
          <w:sz w:val="21"/>
          <w:szCs w:val="21"/>
        </w:rPr>
        <w:t>c. Ensure timely, appropriate treatment and priority access for pregnant women and refer individuals the service cannot admit.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Screening &amp; Level-of-Care Determination</w:t>
      </w:r>
    </w:p>
    <w:p>
      <w:pPr>
        <w:pStyle w:val="ListParagraph"/>
        <w:numPr>
          <w:ilvl w:val="0"/>
          <w:numId w:val="1"/>
        </w:numPr>
        <w:spacing w:lineRule="exact" w:line="264" w:before="0" w:after="60"/>
        <w:rPr/>
      </w:pPr>
      <w:r>
        <w:rPr>
          <w:rFonts w:eastAsia="Arial" w:cs="Arial"/>
          <w:sz w:val="21"/>
          <w:szCs w:val="21"/>
        </w:rPr>
        <w:t>Consent to Treatment &amp; Authorization</w:t>
      </w:r>
    </w:p>
    <w:p>
      <w:pPr>
        <w:pStyle w:val="ListParagraph"/>
        <w:numPr>
          <w:ilvl w:val="0"/>
          <w:numId w:val="1"/>
        </w:numPr>
        <w:spacing w:lineRule="exact" w:line="264" w:before="0" w:after="60"/>
        <w:rPr/>
      </w:pPr>
      <w:r>
        <w:rPr>
          <w:rFonts w:eastAsia="Arial" w:cs="Arial"/>
          <w:sz w:val="21"/>
          <w:szCs w:val="21"/>
        </w:rPr>
        <w:t>Referral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Assessment &amp; ASAM Level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Assessment &amp; ASAM Level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Assessment, Services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criteria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receives an assessment and an ASAM-based level-of-care determination that drives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and to the qualified staff who assess and determine level of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completes an assessment for each individual, conducted by qualified staff within their scope, that gathers substance use and treatment history, physical and mental health status, psychosocial history, strengths, and risk (including risk of harm and, where applicable, withdrawal risk), and identifies co-occurring conditions. The provider uses the ASAM criteria to determine the appropriate level of care for admission, continued stay, transfer, and discharge, matching the individual to the service and level of care, and updates the assessment as needed. The individual is referred for medical, mental health, or other services when indicated.</w:t>
      </w:r>
    </w:p>
    <w:p>
      <w:pPr>
        <w:pStyle w:val="Normal"/>
        <w:pBdr>
          <w:bottom w:val="single" w:sz="4" w:space="1" w:color="2E5E45"/>
        </w:pBdr>
        <w:spacing w:before="160" w:after="80"/>
        <w:rPr/>
      </w:pPr>
      <w:r>
        <w:rPr>
          <w:rFonts w:eastAsia="Arial" w:cs="Arial"/>
          <w:b/>
          <w:bCs/>
          <w:color w:val="1A4731"/>
          <w:sz w:val="20"/>
          <w:szCs w:val="20"/>
        </w:rPr>
        <w:t>PROCEDURE — ASSESSMENT &amp; LEVEL OF CARE</w:t>
      </w:r>
    </w:p>
    <w:p>
      <w:pPr>
        <w:pStyle w:val="Normal"/>
        <w:tabs>
          <w:tab w:val="left" w:pos="720" w:leader="none"/>
        </w:tabs>
        <w:spacing w:lineRule="exact" w:line="264" w:before="0" w:after="80"/>
        <w:ind w:hanging="360" w:start="720"/>
        <w:rPr/>
      </w:pPr>
      <w:r>
        <w:rPr>
          <w:rFonts w:eastAsia="Arial" w:cs="Arial"/>
          <w:sz w:val="21"/>
          <w:szCs w:val="21"/>
        </w:rPr>
        <w:t>a. Complete an assessment gathering substance use, health, psychosocial, and risk information and co-occurring conditions.</w:t>
      </w:r>
    </w:p>
    <w:p>
      <w:pPr>
        <w:pStyle w:val="Normal"/>
        <w:tabs>
          <w:tab w:val="left" w:pos="720" w:leader="none"/>
        </w:tabs>
        <w:spacing w:lineRule="exact" w:line="264" w:before="0" w:after="80"/>
        <w:ind w:hanging="360" w:start="720"/>
        <w:rPr/>
      </w:pPr>
      <w:r>
        <w:rPr>
          <w:rFonts w:eastAsia="Arial" w:cs="Arial"/>
          <w:sz w:val="21"/>
          <w:szCs w:val="21"/>
        </w:rPr>
        <w:t>b. Use ASAM criteria to determine level of care for admission, continued stay, transfer, and discharge.</w:t>
      </w:r>
    </w:p>
    <w:p>
      <w:pPr>
        <w:pStyle w:val="Normal"/>
        <w:tabs>
          <w:tab w:val="left" w:pos="720" w:leader="none"/>
        </w:tabs>
        <w:spacing w:lineRule="exact" w:line="264" w:before="0" w:after="80"/>
        <w:ind w:hanging="360" w:start="720"/>
        <w:rPr/>
      </w:pPr>
      <w:r>
        <w:rPr>
          <w:rFonts w:eastAsia="Arial" w:cs="Arial"/>
          <w:sz w:val="21"/>
          <w:szCs w:val="21"/>
        </w:rPr>
        <w:t>c. Update the assessment as needed and refer for medical, mental health, or other services when indicated.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Assessment</w:t>
      </w:r>
    </w:p>
    <w:p>
      <w:pPr>
        <w:pStyle w:val="ListParagraph"/>
        <w:numPr>
          <w:ilvl w:val="0"/>
          <w:numId w:val="1"/>
        </w:numPr>
        <w:spacing w:lineRule="exact" w:line="264" w:before="0" w:after="60"/>
        <w:rPr/>
      </w:pPr>
      <w:r>
        <w:rPr>
          <w:rFonts w:eastAsia="Arial" w:cs="Arial"/>
          <w:sz w:val="21"/>
          <w:szCs w:val="21"/>
        </w:rPr>
        <w:t>ASAM Level-of-Care Determination</w:t>
      </w:r>
    </w:p>
    <w:p>
      <w:pPr>
        <w:pStyle w:val="ListParagraph"/>
        <w:numPr>
          <w:ilvl w:val="0"/>
          <w:numId w:val="1"/>
        </w:numPr>
        <w:spacing w:lineRule="exact" w:line="264" w:before="0" w:after="60"/>
        <w:rPr/>
      </w:pPr>
      <w:r>
        <w:rPr>
          <w:rFonts w:eastAsia="Arial" w:cs="Arial"/>
          <w:sz w:val="21"/>
          <w:szCs w:val="21"/>
        </w:rPr>
        <w:t>Reassessment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4.02  Individualized Services Plan (ISP)</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4.02  Individualized Services Plan (ISP)</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Assessment, Services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(individualized services plan)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has an individualized services plan developed with the individual and reviewed on schedule.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individuals receiving services and to the staff who develop and review plans.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Individualized services plan (ISP) — the comprehensive, person-centered plan of the services and supports to be provided to the individual.</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develops an individualized services plan (ISP) for each individual, based on the assessment and developed with the active participation of the individual (and, as applicable, the authorized representative), that states the individual's strengths, needs, and preferences, measurable goals and objectives, the services and interventions to be provided and by whom, and target dates. The ISP is developed within the timeframe the regulation requires, implemented, and reviewed and updated at the required intervals and when the individual's needs change, and the individual's participation is documented. Progress toward the ISP goals is documented in the individual's record.</w:t>
      </w:r>
    </w:p>
    <w:p>
      <w:pPr>
        <w:pStyle w:val="Normal"/>
        <w:pBdr>
          <w:bottom w:val="single" w:sz="4" w:space="1" w:color="2E5E45"/>
        </w:pBdr>
        <w:spacing w:before="160" w:after="80"/>
        <w:rPr/>
      </w:pPr>
      <w:r>
        <w:rPr>
          <w:rFonts w:eastAsia="Arial" w:cs="Arial"/>
          <w:b/>
          <w:bCs/>
          <w:color w:val="1A4731"/>
          <w:sz w:val="20"/>
          <w:szCs w:val="20"/>
        </w:rPr>
        <w:t>PROCEDURE — ISP</w:t>
      </w:r>
    </w:p>
    <w:p>
      <w:pPr>
        <w:pStyle w:val="Normal"/>
        <w:tabs>
          <w:tab w:val="left" w:pos="720" w:leader="none"/>
        </w:tabs>
        <w:spacing w:lineRule="exact" w:line="264" w:before="0" w:after="80"/>
        <w:ind w:hanging="360" w:start="720"/>
        <w:rPr/>
      </w:pPr>
      <w:r>
        <w:rPr>
          <w:rFonts w:eastAsia="Arial" w:cs="Arial"/>
          <w:sz w:val="21"/>
          <w:szCs w:val="21"/>
        </w:rPr>
        <w:t>a. Develop an ISP from the assessment with the individual's active participation, stating strengths, needs, measurable goals, services, responsible staff, and target dates.</w:t>
      </w:r>
    </w:p>
    <w:p>
      <w:pPr>
        <w:pStyle w:val="Normal"/>
        <w:tabs>
          <w:tab w:val="left" w:pos="720" w:leader="none"/>
        </w:tabs>
        <w:spacing w:lineRule="exact" w:line="264" w:before="0" w:after="80"/>
        <w:ind w:hanging="360" w:start="720"/>
        <w:rPr/>
      </w:pPr>
      <w:r>
        <w:rPr>
          <w:rFonts w:eastAsia="Arial" w:cs="Arial"/>
          <w:sz w:val="21"/>
          <w:szCs w:val="21"/>
        </w:rPr>
        <w:t>b. Implement the ISP and document the individual's participation.</w:t>
      </w:r>
    </w:p>
    <w:p>
      <w:pPr>
        <w:pStyle w:val="Normal"/>
        <w:tabs>
          <w:tab w:val="left" w:pos="720" w:leader="none"/>
        </w:tabs>
        <w:spacing w:lineRule="exact" w:line="264" w:before="0" w:after="80"/>
        <w:ind w:hanging="360" w:start="720"/>
        <w:rPr/>
      </w:pPr>
      <w:r>
        <w:rPr>
          <w:rFonts w:eastAsia="Arial" w:cs="Arial"/>
          <w:sz w:val="21"/>
          <w:szCs w:val="21"/>
        </w:rPr>
        <w:t>c. Review and update the ISP at required intervals and when needs change and document reviews.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Individualized Services Plan (ISP)</w:t>
      </w:r>
    </w:p>
    <w:p>
      <w:pPr>
        <w:pStyle w:val="ListParagraph"/>
        <w:numPr>
          <w:ilvl w:val="0"/>
          <w:numId w:val="1"/>
        </w:numPr>
        <w:spacing w:lineRule="exact" w:line="264" w:before="0" w:after="60"/>
        <w:rPr/>
      </w:pPr>
      <w:r>
        <w:rPr>
          <w:rFonts w:eastAsia="Arial" w:cs="Arial"/>
          <w:sz w:val="21"/>
          <w:szCs w:val="21"/>
        </w:rPr>
        <w:t>ISP Review &amp; Revision Record</w:t>
      </w:r>
    </w:p>
    <w:p>
      <w:pPr>
        <w:pStyle w:val="ListParagraph"/>
        <w:numPr>
          <w:ilvl w:val="0"/>
          <w:numId w:val="1"/>
        </w:numPr>
        <w:spacing w:lineRule="exact" w:line="264" w:before="0" w:after="60"/>
        <w:rPr/>
      </w:pPr>
      <w:r>
        <w:rPr>
          <w:rFonts w:eastAsia="Arial" w:cs="Arial"/>
          <w:sz w:val="21"/>
          <w:szCs w:val="21"/>
        </w:rPr>
        <w:t>Individual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4.03  Service Delivery &amp; Progress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4.03  Service Delivery &amp; Progress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Assessment, Services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12VAC35-105-870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services are delivered per the ISP and documented accurately in the individual's record.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delivery and clinical documentation.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delivers services in accordance with each individual's ISP and the applicable ASAM level of care, provided by qualified staff within their scope, and documents each service in a progress note that describes the service provided and the individual's response and progress toward the ISP goals. The provider maintains an individual's record meeting 12VAC35-105 and 12VAC35-105-870 that includes identifying information, consents, the assessment and level-of-care determination, the ISP and reviews, progress notes, health and medication documentation where applicable, and discharge documentation. Documentation is accurate, legible, dated, and authenticated by the person providing the service, completed within required timeframes, and any correction is made without obscuring the original.</w:t>
      </w:r>
    </w:p>
    <w:p>
      <w:pPr>
        <w:pStyle w:val="Normal"/>
        <w:pBdr>
          <w:bottom w:val="single" w:sz="4" w:space="1" w:color="2E5E45"/>
        </w:pBdr>
        <w:spacing w:before="160" w:after="80"/>
        <w:rPr/>
      </w:pPr>
      <w:r>
        <w:rPr>
          <w:rFonts w:eastAsia="Arial" w:cs="Arial"/>
          <w:b/>
          <w:bCs/>
          <w:color w:val="1A4731"/>
          <w:sz w:val="20"/>
          <w:szCs w:val="20"/>
        </w:rPr>
        <w:t>PROCEDURE — SERVICE DELIVERY &amp; DOCUMENTATION</w:t>
      </w:r>
    </w:p>
    <w:p>
      <w:pPr>
        <w:pStyle w:val="Normal"/>
        <w:tabs>
          <w:tab w:val="left" w:pos="720" w:leader="none"/>
        </w:tabs>
        <w:spacing w:lineRule="exact" w:line="264" w:before="0" w:after="80"/>
        <w:ind w:hanging="360" w:start="720"/>
        <w:rPr/>
      </w:pPr>
      <w:r>
        <w:rPr>
          <w:rFonts w:eastAsia="Arial" w:cs="Arial"/>
          <w:sz w:val="21"/>
          <w:szCs w:val="21"/>
        </w:rPr>
        <w:t>a. Deliver services per each individual's ISP and ASAM level of care through qualified staff within scope.</w:t>
      </w:r>
    </w:p>
    <w:p>
      <w:pPr>
        <w:pStyle w:val="Normal"/>
        <w:tabs>
          <w:tab w:val="left" w:pos="720" w:leader="none"/>
        </w:tabs>
        <w:spacing w:lineRule="exact" w:line="264" w:before="0" w:after="80"/>
        <w:ind w:hanging="360" w:start="720"/>
        <w:rPr/>
      </w:pPr>
      <w:r>
        <w:rPr>
          <w:rFonts w:eastAsia="Arial" w:cs="Arial"/>
          <w:sz w:val="21"/>
          <w:szCs w:val="21"/>
        </w:rPr>
        <w:t>b. Document each service in a progress note describing the service and the individual's response and progress.</w:t>
      </w:r>
    </w:p>
    <w:p>
      <w:pPr>
        <w:pStyle w:val="Normal"/>
        <w:tabs>
          <w:tab w:val="left" w:pos="720" w:leader="none"/>
        </w:tabs>
        <w:spacing w:lineRule="exact" w:line="264" w:before="0" w:after="80"/>
        <w:ind w:hanging="360" w:start="720"/>
        <w:rPr/>
      </w:pPr>
      <w:r>
        <w:rPr>
          <w:rFonts w:eastAsia="Arial" w:cs="Arial"/>
          <w:sz w:val="21"/>
          <w:szCs w:val="21"/>
        </w:rPr>
        <w:t>c. Maintain a complete individual's record meeting 12VAC35-105-870, accurate, dated, authenticated, and timely.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Individual Record Index / Chart Order</w:t>
      </w:r>
    </w:p>
    <w:p>
      <w:pPr>
        <w:pStyle w:val="ListParagraph"/>
        <w:numPr>
          <w:ilvl w:val="0"/>
          <w:numId w:val="1"/>
        </w:numPr>
        <w:spacing w:lineRule="exact" w:line="264" w:before="0" w:after="60"/>
        <w:rPr/>
      </w:pPr>
      <w:r>
        <w:rPr>
          <w:rFonts w:eastAsia="Arial" w:cs="Arial"/>
          <w:sz w:val="21"/>
          <w:szCs w:val="21"/>
        </w:rPr>
        <w:t>Documentation Audit Tool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4.04  Health Care &amp; Medication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4.04  Health Care &amp; Medication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Assessment, Services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(healthcare and medication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health-care needs are identified and addressed and that medication services are safe and compliant.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health-care coordination and to medication services the provider furnishes.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identifies and responds to the health-care needs of each individual, directly or by coordination and referral, and, where it provides medication services, delivers them under appropriate medical direction and in accordance with 12VAC35-105 and applicable law. The provider supports access to medication-assisted treatment for substance use disorders, directly or by referral, and does not deny services solely because an individual is receiving medication-assisted treatment. Medication is prescribed, administered, stored, and documented safely, medication errors and adverse reactions are addressed, and the provider maintains access to naloxone and staff trained to respond to opioid overdose.</w:t>
      </w:r>
    </w:p>
    <w:p>
      <w:pPr>
        <w:pStyle w:val="Normal"/>
        <w:pBdr>
          <w:bottom w:val="single" w:sz="4" w:space="1" w:color="2E5E45"/>
        </w:pBdr>
        <w:spacing w:before="160" w:after="80"/>
        <w:rPr/>
      </w:pPr>
      <w:r>
        <w:rPr>
          <w:rFonts w:eastAsia="Arial" w:cs="Arial"/>
          <w:b/>
          <w:bCs/>
          <w:color w:val="1A4731"/>
          <w:sz w:val="20"/>
          <w:szCs w:val="20"/>
        </w:rPr>
        <w:t>PROCEDURE — HEALTH CARE &amp; MEDICATION</w:t>
      </w:r>
    </w:p>
    <w:p>
      <w:pPr>
        <w:pStyle w:val="Normal"/>
        <w:tabs>
          <w:tab w:val="left" w:pos="720" w:leader="none"/>
        </w:tabs>
        <w:spacing w:lineRule="exact" w:line="264" w:before="0" w:after="80"/>
        <w:ind w:hanging="360" w:start="720"/>
        <w:rPr/>
      </w:pPr>
      <w:r>
        <w:rPr>
          <w:rFonts w:eastAsia="Arial" w:cs="Arial"/>
          <w:sz w:val="21"/>
          <w:szCs w:val="21"/>
        </w:rPr>
        <w:t>a. Identify and respond to each individual's health-care needs directly or by coordination and referral.</w:t>
      </w:r>
    </w:p>
    <w:p>
      <w:pPr>
        <w:pStyle w:val="Normal"/>
        <w:tabs>
          <w:tab w:val="left" w:pos="720" w:leader="none"/>
        </w:tabs>
        <w:spacing w:lineRule="exact" w:line="264" w:before="0" w:after="80"/>
        <w:ind w:hanging="360" w:start="720"/>
        <w:rPr/>
      </w:pPr>
      <w:r>
        <w:rPr>
          <w:rFonts w:eastAsia="Arial" w:cs="Arial"/>
          <w:sz w:val="21"/>
          <w:szCs w:val="21"/>
        </w:rPr>
        <w:t>b. Provide any medication services under medical direction and support medication-assisted treatment access without denying services for it.</w:t>
      </w:r>
    </w:p>
    <w:p>
      <w:pPr>
        <w:pStyle w:val="Normal"/>
        <w:tabs>
          <w:tab w:val="left" w:pos="720" w:leader="none"/>
        </w:tabs>
        <w:spacing w:lineRule="exact" w:line="264" w:before="0" w:after="80"/>
        <w:ind w:hanging="360" w:start="720"/>
        <w:rPr/>
      </w:pPr>
      <w:r>
        <w:rPr>
          <w:rFonts w:eastAsia="Arial" w:cs="Arial"/>
          <w:sz w:val="21"/>
          <w:szCs w:val="21"/>
        </w:rPr>
        <w:t>c. Administer, store, and document medication safely, address errors and adverse reactions, and maintain naloxone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Care Coordination / Referral Record</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4.05  Discharge &amp; Continuity of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4.05  Discharge &amp; Continuity of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Assessment, Services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(discharge)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each individual is discharged with planning that supports continuing recovery.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discharge and continuity of care across the provider's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plans for discharge and continuity of care from admission and completes a discharge summary and continuity-of-care plan for each individual that document the course of services, the individual's status at discharge, and the aftercare plan, including referrals and recommendations to support continuing recovery, using ASAM criteria for transfer and discharge decisions. The provider connects the individual to appropriate continuing services and supports, and, where an individual leaves against staff advice or before completion, documents the circumstances and provides available follow-up and referral information. Discharge and continuity of care are documented in the individual's record.</w:t>
      </w:r>
    </w:p>
    <w:p>
      <w:pPr>
        <w:pStyle w:val="Normal"/>
        <w:pBdr>
          <w:bottom w:val="single" w:sz="4" w:space="1" w:color="2E5E45"/>
        </w:pBdr>
        <w:spacing w:before="160" w:after="80"/>
        <w:rPr/>
      </w:pPr>
      <w:r>
        <w:rPr>
          <w:rFonts w:eastAsia="Arial" w:cs="Arial"/>
          <w:b/>
          <w:bCs/>
          <w:color w:val="1A4731"/>
          <w:sz w:val="20"/>
          <w:szCs w:val="20"/>
        </w:rPr>
        <w:t>PROCEDURE — DISCHARGE &amp; CONTINUITY</w:t>
      </w:r>
    </w:p>
    <w:p>
      <w:pPr>
        <w:pStyle w:val="Normal"/>
        <w:tabs>
          <w:tab w:val="left" w:pos="720" w:leader="none"/>
        </w:tabs>
        <w:spacing w:lineRule="exact" w:line="264" w:before="0" w:after="80"/>
        <w:ind w:hanging="360" w:start="720"/>
        <w:rPr/>
      </w:pPr>
      <w:r>
        <w:rPr>
          <w:rFonts w:eastAsia="Arial" w:cs="Arial"/>
          <w:sz w:val="21"/>
          <w:szCs w:val="21"/>
        </w:rPr>
        <w:t>a. Plan for discharge and continuity of care from admission using ASAM criteria for transfer and discharge.</w:t>
      </w:r>
    </w:p>
    <w:p>
      <w:pPr>
        <w:pStyle w:val="Normal"/>
        <w:tabs>
          <w:tab w:val="left" w:pos="720" w:leader="none"/>
        </w:tabs>
        <w:spacing w:lineRule="exact" w:line="264" w:before="0" w:after="80"/>
        <w:ind w:hanging="360" w:start="720"/>
        <w:rPr/>
      </w:pPr>
      <w:r>
        <w:rPr>
          <w:rFonts w:eastAsia="Arial" w:cs="Arial"/>
          <w:sz w:val="21"/>
          <w:szCs w:val="21"/>
        </w:rPr>
        <w:t>b. Complete a discharge summary and continuity-of-care plan with referrals and connect the individual to continuing services.</w:t>
      </w:r>
    </w:p>
    <w:p>
      <w:pPr>
        <w:pStyle w:val="Normal"/>
        <w:tabs>
          <w:tab w:val="left" w:pos="720" w:leader="none"/>
        </w:tabs>
        <w:spacing w:lineRule="exact" w:line="264" w:before="0" w:after="80"/>
        <w:ind w:hanging="360" w:start="720"/>
        <w:rPr/>
      </w:pPr>
      <w:r>
        <w:rPr>
          <w:rFonts w:eastAsia="Arial" w:cs="Arial"/>
          <w:sz w:val="21"/>
          <w:szCs w:val="21"/>
        </w:rPr>
        <w:t>c. Document circumstances and provide follow-up information where an individual leaves against advice or early.</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Summary &amp; Continuity-of-Care Plan</w:t>
      </w:r>
    </w:p>
    <w:p>
      <w:pPr>
        <w:pStyle w:val="ListParagraph"/>
        <w:numPr>
          <w:ilvl w:val="0"/>
          <w:numId w:val="1"/>
        </w:numPr>
        <w:spacing w:lineRule="exact" w:line="264" w:before="0" w:after="60"/>
        <w:rPr/>
      </w:pPr>
      <w:r>
        <w:rPr>
          <w:rFonts w:eastAsia="Arial" w:cs="Arial"/>
          <w:sz w:val="21"/>
          <w:szCs w:val="21"/>
        </w:rPr>
        <w:t>Referral &amp; Continuing-Care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Setting, Safety &amp; Health</w:t>
      </w:r>
    </w:p>
    <w:p>
      <w:pPr>
        <w:pStyle w:val="Normal"/>
        <w:spacing w:lineRule="exact" w:line="288" w:before="0" w:after="240"/>
        <w:rPr/>
      </w:pPr>
      <w:r>
        <w:rPr>
          <w:rFonts w:eastAsia="Arial" w:cs="Arial"/>
          <w:color w:val="444444"/>
          <w:sz w:val="22"/>
          <w:szCs w:val="22"/>
        </w:rPr>
        <w:t>This section governs the environment and safety — the physical environment, medication management, emergency preparedness and overdose response, infection control and health safety, and nutrition and food service for residential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Physical Environment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Medication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Emergency Preparedness &amp; Overdose Response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Infection Control &amp; Health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Nutrition &amp; Food Service (Residential)</w:t>
      </w:r>
    </w:p>
    <w:p>
      <w:pPr>
        <w:pStyle w:val="Normal"/>
        <w:rPr/>
      </w:pPr>
      <w:r>
        <w:rPr/>
      </w:r>
      <w:r>
        <w:br w:type="page"/>
      </w:r>
    </w:p>
    <w:p>
      <w:pPr>
        <w:pStyle w:val="Heading2"/>
        <w:spacing w:before="0" w:after="120"/>
        <w:rPr/>
      </w:pPr>
      <w:r>
        <w:rPr>
          <w:rFonts w:eastAsia="Arial" w:cs="Arial" w:ascii="Arial" w:hAnsi="Arial"/>
          <w:b/>
          <w:bCs/>
          <w:color w:val="1A4731"/>
          <w:sz w:val="26"/>
          <w:szCs w:val="26"/>
        </w:rPr>
        <w:t>5.00  Physical Environment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Setting,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(physical environment)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provider's setting is safe, clean, and suitable for the services provided.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service locations,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physical environment that is safe, clean, sanitary, and suitable for the services provided and that complies with 12VAC35-105 and applicable state and local building, fire, safety, and health requirements, maintaining current inspections and approvals. The provider provides adequate space for services and for confidential interactions, secure storage for records and medication, and, for residential services, adequate sleeping, living, dining, and bathing space appropriate to the individuals served and the service's capacity. The provider identifies and corrects environmental hazards through routine inspection and maintains the premises in good repair.</w:t>
      </w:r>
    </w:p>
    <w:p>
      <w:pPr>
        <w:pStyle w:val="Normal"/>
        <w:pBdr>
          <w:bottom w:val="single" w:sz="4" w:space="1" w:color="2E5E45"/>
        </w:pBdr>
        <w:spacing w:before="160" w:after="80"/>
        <w:rPr/>
      </w:pPr>
      <w:r>
        <w:rPr>
          <w:rFonts w:eastAsia="Arial" w:cs="Arial"/>
          <w:b/>
          <w:bCs/>
          <w:color w:val="1A4731"/>
          <w:sz w:val="20"/>
          <w:szCs w:val="20"/>
        </w:rPr>
        <w:t>PROCEDURE — PHYSICAL ENVIRONMENT</w:t>
      </w:r>
    </w:p>
    <w:p>
      <w:pPr>
        <w:pStyle w:val="Normal"/>
        <w:tabs>
          <w:tab w:val="left" w:pos="720" w:leader="none"/>
        </w:tabs>
        <w:spacing w:lineRule="exact" w:line="264" w:before="0" w:after="80"/>
        <w:ind w:hanging="360" w:start="720"/>
        <w:rPr/>
      </w:pPr>
      <w:r>
        <w:rPr>
          <w:rFonts w:eastAsia="Arial" w:cs="Arial"/>
          <w:sz w:val="21"/>
          <w:szCs w:val="21"/>
        </w:rPr>
        <w:t>a. Maintain safe, clean, suitable premises meeting applicable building, fire, safety, and health requirements with current approvals.</w:t>
      </w:r>
    </w:p>
    <w:p>
      <w:pPr>
        <w:pStyle w:val="Normal"/>
        <w:tabs>
          <w:tab w:val="left" w:pos="720" w:leader="none"/>
        </w:tabs>
        <w:spacing w:lineRule="exact" w:line="264" w:before="0" w:after="80"/>
        <w:ind w:hanging="360" w:start="720"/>
        <w:rPr/>
      </w:pPr>
      <w:r>
        <w:rPr>
          <w:rFonts w:eastAsia="Arial" w:cs="Arial"/>
          <w:sz w:val="21"/>
          <w:szCs w:val="21"/>
        </w:rPr>
        <w:t>b. Provide adequate service, confidential, and (for residential) living space and secure storage.</w:t>
      </w:r>
    </w:p>
    <w:p>
      <w:pPr>
        <w:pStyle w:val="Normal"/>
        <w:tabs>
          <w:tab w:val="left" w:pos="720" w:leader="none"/>
        </w:tabs>
        <w:spacing w:lineRule="exact" w:line="264" w:before="0" w:after="80"/>
        <w:ind w:hanging="360" w:start="720"/>
        <w:rPr/>
      </w:pPr>
      <w:r>
        <w:rPr>
          <w:rFonts w:eastAsia="Arial" w:cs="Arial"/>
          <w:sz w:val="21"/>
          <w:szCs w:val="21"/>
        </w:rPr>
        <w:t>c. Inspect for hazards, correct them, and maintain the premises in good repair.</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Building, Fire &amp; Health Approvals</w:t>
      </w:r>
    </w:p>
    <w:p>
      <w:pPr>
        <w:pStyle w:val="ListParagraph"/>
        <w:numPr>
          <w:ilvl w:val="0"/>
          <w:numId w:val="1"/>
        </w:numPr>
        <w:spacing w:lineRule="exact" w:line="264" w:before="0" w:after="60"/>
        <w:rPr/>
      </w:pPr>
      <w:r>
        <w:rPr>
          <w:rFonts w:eastAsia="Arial" w:cs="Arial"/>
          <w:sz w:val="21"/>
          <w:szCs w:val="21"/>
        </w:rPr>
        <w:t>Maintenance &amp; Repair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Medication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Setting,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(medication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is handled, stored, administered, and documented safely and lawfully where the provider handles medication.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wherever the provider administers, stores, or supervises medication.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provider handles medications, it maintains written medication-management policies in accordance with 12VAC35-105 and applicable state and federal law, under appropriate medical or nursing direction. Medication is legally prescribed and labeled for the individual for whom it is intended, stored securely in a locked location with controlled substances subject to additional controls, and administered only by personnel authorized by law and in accordance with the prescriber's orders. Where individuals self-administer, training and supervision are provided and documented. The provider maintains a medication administration record, documents medication in the individual's record, addresses medication errors and adverse reactions, disposes of unused medication appropriately, and maintains access to naloxone and staff trained to respond to opioid overdose.</w:t>
      </w:r>
    </w:p>
    <w:p>
      <w:pPr>
        <w:pStyle w:val="Normal"/>
        <w:pBdr>
          <w:bottom w:val="single" w:sz="4" w:space="1" w:color="2E5E45"/>
        </w:pBdr>
        <w:spacing w:before="160" w:after="80"/>
        <w:rPr/>
      </w:pPr>
      <w:r>
        <w:rPr>
          <w:rFonts w:eastAsia="Arial" w:cs="Arial"/>
          <w:b/>
          <w:bCs/>
          <w:color w:val="1A4731"/>
          <w:sz w:val="20"/>
          <w:szCs w:val="20"/>
        </w:rPr>
        <w:t>PROCEDURE — MEDICATION MANAGEMENT</w:t>
      </w:r>
    </w:p>
    <w:p>
      <w:pPr>
        <w:pStyle w:val="Normal"/>
        <w:tabs>
          <w:tab w:val="left" w:pos="720" w:leader="none"/>
        </w:tabs>
        <w:spacing w:lineRule="exact" w:line="264" w:before="0" w:after="80"/>
        <w:ind w:hanging="360" w:start="720"/>
        <w:rPr/>
      </w:pPr>
      <w:r>
        <w:rPr>
          <w:rFonts w:eastAsia="Arial" w:cs="Arial"/>
          <w:sz w:val="21"/>
          <w:szCs w:val="21"/>
        </w:rPr>
        <w:t>a. Maintain written medication-management policies and store medication securely with additional controls for controlled substances.</w:t>
      </w:r>
    </w:p>
    <w:p>
      <w:pPr>
        <w:pStyle w:val="Normal"/>
        <w:tabs>
          <w:tab w:val="left" w:pos="720" w:leader="none"/>
        </w:tabs>
        <w:spacing w:lineRule="exact" w:line="264" w:before="0" w:after="80"/>
        <w:ind w:hanging="360" w:start="720"/>
        <w:rPr/>
      </w:pPr>
      <w:r>
        <w:rPr>
          <w:rFonts w:eastAsia="Arial" w:cs="Arial"/>
          <w:sz w:val="21"/>
          <w:szCs w:val="21"/>
        </w:rPr>
        <w:t>b. Administer medication only through authorized personnel per orders and document supervision of self-administration.</w:t>
      </w:r>
    </w:p>
    <w:p>
      <w:pPr>
        <w:pStyle w:val="Normal"/>
        <w:tabs>
          <w:tab w:val="left" w:pos="720" w:leader="none"/>
        </w:tabs>
        <w:spacing w:lineRule="exact" w:line="264" w:before="0" w:after="80"/>
        <w:ind w:hanging="360" w:start="720"/>
        <w:rPr/>
      </w:pPr>
      <w:r>
        <w:rPr>
          <w:rFonts w:eastAsia="Arial" w:cs="Arial"/>
          <w:sz w:val="21"/>
          <w:szCs w:val="21"/>
        </w:rPr>
        <w:t>c. Maintain a medication administration record, address errors and adverse reactions, and maintain naloxone access.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Emergency Preparedness &amp; Overdose Response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Emergency Preparedness &amp; Overdose Response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Setting,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provider is prepared for medical and other emergencies and disasters, including overdose.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emergency preparedness at all service locations, with additional requirements for residential settings.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a written emergency preparedness plan addressing medical emergencies, overdose, fire, severe weather and natural disasters, utility failure, and, for residential settings, evacuation and relocation, with posted routes and clear exits. The provider trains staff and, for residential settings, individuals on the plan and conducts and documents drills. Because the provider serves people with substance use disorders, it maintains an overdose-response capability, including access to naloxone and staff trained to recognize and respond to overdose and to summon emergency medical services, and maintains first-aid supplies and procedures for obtaining emergency medical services.</w:t>
      </w:r>
    </w:p>
    <w:p>
      <w:pPr>
        <w:pStyle w:val="Normal"/>
        <w:pBdr>
          <w:bottom w:val="single" w:sz="4" w:space="1" w:color="2E5E45"/>
        </w:pBdr>
        <w:spacing w:before="160" w:after="80"/>
        <w:rPr/>
      </w:pPr>
      <w:r>
        <w:rPr>
          <w:rFonts w:eastAsia="Arial" w:cs="Arial"/>
          <w:b/>
          <w:bCs/>
          <w:color w:val="1A4731"/>
          <w:sz w:val="20"/>
          <w:szCs w:val="20"/>
        </w:rPr>
        <w:t>PROCEDURE — EMERGENCY &amp; OVERDOSE RESPONSE</w:t>
      </w:r>
    </w:p>
    <w:p>
      <w:pPr>
        <w:pStyle w:val="Normal"/>
        <w:tabs>
          <w:tab w:val="left" w:pos="720" w:leader="none"/>
        </w:tabs>
        <w:spacing w:lineRule="exact" w:line="264" w:before="0" w:after="80"/>
        <w:ind w:hanging="360" w:start="720"/>
        <w:rPr/>
      </w:pPr>
      <w:r>
        <w:rPr>
          <w:rFonts w:eastAsia="Arial" w:cs="Arial"/>
          <w:sz w:val="21"/>
          <w:szCs w:val="21"/>
        </w:rPr>
        <w:t>a. Maintain a written emergency preparedness plan with posted routes and clear exits and train staff and residential individuals, conducting and documenting drills.</w:t>
      </w:r>
    </w:p>
    <w:p>
      <w:pPr>
        <w:pStyle w:val="Normal"/>
        <w:tabs>
          <w:tab w:val="left" w:pos="720" w:leader="none"/>
        </w:tabs>
        <w:spacing w:lineRule="exact" w:line="264" w:before="0" w:after="80"/>
        <w:ind w:hanging="360" w:start="720"/>
        <w:rPr/>
      </w:pPr>
      <w:r>
        <w:rPr>
          <w:rFonts w:eastAsia="Arial" w:cs="Arial"/>
          <w:sz w:val="21"/>
          <w:szCs w:val="21"/>
        </w:rPr>
        <w:t>b. Maintain overdose-response capability, including naloxone access and trained staff, and summon emergency medical services as needed.</w:t>
      </w:r>
    </w:p>
    <w:p>
      <w:pPr>
        <w:pStyle w:val="Normal"/>
        <w:tabs>
          <w:tab w:val="left" w:pos="720" w:leader="none"/>
        </w:tabs>
        <w:spacing w:lineRule="exact" w:line="264" w:before="0" w:after="80"/>
        <w:ind w:hanging="360" w:start="720"/>
        <w:rPr/>
      </w:pPr>
      <w:r>
        <w:rPr>
          <w:rFonts w:eastAsia="Arial" w:cs="Arial"/>
          <w:sz w:val="21"/>
          <w:szCs w:val="21"/>
        </w:rPr>
        <w:t>c. Maintain first-aid supplies and procedures for obtaining emergency medical services.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Emergency Preparedness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Emergency Contact &amp; EMS Procedure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Infection Control &amp; Health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Infection Control &amp; Health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Setting,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(health and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and staff through infection-control and health-and-safety practices.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infection control and health and safety across the provider's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provider maintains infection-control practices in accordance with 12VAC35-105, including standard precautions, safe handling and disposal of hazardous and biohazardous materials, sanitary practices, and measures to prevent the transmission of communicable disease, including tuberculosis and bloodborne pathogens. The provider maintains a clean, sanitary environment, provides staff training and supplies for infection control, addresses first aid and health-and-safety needs, and monitors and addresses infection-control and safety concerns through its quality improvement and risk-management program.</w:t>
      </w:r>
    </w:p>
    <w:p>
      <w:pPr>
        <w:pStyle w:val="Normal"/>
        <w:pBdr>
          <w:bottom w:val="single" w:sz="4" w:space="1" w:color="2E5E45"/>
        </w:pBdr>
        <w:spacing w:before="160" w:after="80"/>
        <w:rPr/>
      </w:pPr>
      <w:r>
        <w:rPr>
          <w:rFonts w:eastAsia="Arial" w:cs="Arial"/>
          <w:b/>
          <w:bCs/>
          <w:color w:val="1A4731"/>
          <w:sz w:val="20"/>
          <w:szCs w:val="20"/>
        </w:rPr>
        <w:t>PROCEDURE — INFECTION CONTROL &amp; SAFETY</w:t>
      </w:r>
    </w:p>
    <w:p>
      <w:pPr>
        <w:pStyle w:val="Normal"/>
        <w:tabs>
          <w:tab w:val="left" w:pos="720" w:leader="none"/>
        </w:tabs>
        <w:spacing w:lineRule="exact" w:line="264" w:before="0" w:after="80"/>
        <w:ind w:hanging="360" w:start="720"/>
        <w:rPr/>
      </w:pPr>
      <w:r>
        <w:rPr>
          <w:rFonts w:eastAsia="Arial" w:cs="Arial"/>
          <w:sz w:val="21"/>
          <w:szCs w:val="21"/>
        </w:rPr>
        <w:t>a. Apply standard precautions and safe handling and disposal of hazardous and biohazardous materials.</w:t>
      </w:r>
    </w:p>
    <w:p>
      <w:pPr>
        <w:pStyle w:val="Normal"/>
        <w:tabs>
          <w:tab w:val="left" w:pos="720" w:leader="none"/>
        </w:tabs>
        <w:spacing w:lineRule="exact" w:line="264" w:before="0" w:after="80"/>
        <w:ind w:hanging="360" w:start="720"/>
        <w:rPr/>
      </w:pPr>
      <w:r>
        <w:rPr>
          <w:rFonts w:eastAsia="Arial" w:cs="Arial"/>
          <w:sz w:val="21"/>
          <w:szCs w:val="21"/>
        </w:rPr>
        <w:t>b. Maintain sanitary practices and measures to prevent communicable-disease transmission, including TB and bloodborne pathogens.</w:t>
      </w:r>
    </w:p>
    <w:p>
      <w:pPr>
        <w:pStyle w:val="Normal"/>
        <w:tabs>
          <w:tab w:val="left" w:pos="720" w:leader="none"/>
        </w:tabs>
        <w:spacing w:lineRule="exact" w:line="264" w:before="0" w:after="80"/>
        <w:ind w:hanging="360" w:start="720"/>
        <w:rPr/>
      </w:pPr>
      <w:r>
        <w:rPr>
          <w:rFonts w:eastAsia="Arial" w:cs="Arial"/>
          <w:sz w:val="21"/>
          <w:szCs w:val="21"/>
        </w:rPr>
        <w:t>c. Provide infection-control training and supplies and monitor concerns through quality improvement and risk management.</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Control Plan &amp; Standard Precautions</w:t>
      </w:r>
    </w:p>
    <w:p>
      <w:pPr>
        <w:pStyle w:val="ListParagraph"/>
        <w:numPr>
          <w:ilvl w:val="0"/>
          <w:numId w:val="1"/>
        </w:numPr>
        <w:spacing w:lineRule="exact" w:line="264" w:before="0" w:after="60"/>
        <w:rPr/>
      </w:pPr>
      <w:r>
        <w:rPr>
          <w:rFonts w:eastAsia="Arial" w:cs="Arial"/>
          <w:sz w:val="21"/>
          <w:szCs w:val="21"/>
        </w:rPr>
        <w:t>Biohazardous Waste Handling Record</w:t>
      </w:r>
    </w:p>
    <w:p>
      <w:pPr>
        <w:pStyle w:val="ListParagraph"/>
        <w:numPr>
          <w:ilvl w:val="0"/>
          <w:numId w:val="1"/>
        </w:numPr>
        <w:spacing w:lineRule="exact" w:line="264" w:before="0" w:after="60"/>
        <w:rPr/>
      </w:pPr>
      <w:r>
        <w:rPr>
          <w:rFonts w:eastAsia="Arial" w:cs="Arial"/>
          <w:sz w:val="21"/>
          <w:szCs w:val="21"/>
        </w:rPr>
        <w:t>Health &amp; Safety Inspection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Nutrition &amp; Food Service (Residential)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Nutrition &amp; Food Service (Residential)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Setting, Safety &amp; Health</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(residential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in residential services receive safe, adequate, and nutritious food prepared and served under sanitary conditions.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residential services that provide food service.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residential service that provides food does so in accordance with 12VAC35-105 and applicable food-safety law. Individuals are provided meals that meet their nutritional needs, with reasonable accommodation of special dietary needs, and food is never withheld as a disciplinary measure. Food is purchased, stored, prepared, and served under sanitary conditions by staff who follow safe food-handling practices, and where food service is contracted, the contract and required inspections are maintained.</w:t>
      </w:r>
    </w:p>
    <w:p>
      <w:pPr>
        <w:pStyle w:val="Normal"/>
        <w:pBdr>
          <w:bottom w:val="single" w:sz="4" w:space="1" w:color="2E5E45"/>
        </w:pBdr>
        <w:spacing w:before="160" w:after="80"/>
        <w:rPr/>
      </w:pPr>
      <w:r>
        <w:rPr>
          <w:rFonts w:eastAsia="Arial" w:cs="Arial"/>
          <w:b/>
          <w:bCs/>
          <w:color w:val="1A4731"/>
          <w:sz w:val="20"/>
          <w:szCs w:val="20"/>
        </w:rPr>
        <w:t>PROCEDURE — NUTRITION &amp; FOOD SERVICE</w:t>
      </w:r>
    </w:p>
    <w:p>
      <w:pPr>
        <w:pStyle w:val="Normal"/>
        <w:tabs>
          <w:tab w:val="left" w:pos="720" w:leader="none"/>
        </w:tabs>
        <w:spacing w:lineRule="exact" w:line="264" w:before="0" w:after="80"/>
        <w:ind w:hanging="360" w:start="720"/>
        <w:rPr/>
      </w:pPr>
      <w:r>
        <w:rPr>
          <w:rFonts w:eastAsia="Arial" w:cs="Arial"/>
          <w:sz w:val="21"/>
          <w:szCs w:val="21"/>
        </w:rPr>
        <w:t>a. Provide nutritionally adequate meals with reasonable accommodation of special diets and never withhold food as discipline.</w:t>
      </w:r>
    </w:p>
    <w:p>
      <w:pPr>
        <w:pStyle w:val="Normal"/>
        <w:tabs>
          <w:tab w:val="left" w:pos="720" w:leader="none"/>
        </w:tabs>
        <w:spacing w:lineRule="exact" w:line="264" w:before="0" w:after="80"/>
        <w:ind w:hanging="360" w:start="720"/>
        <w:rPr/>
      </w:pPr>
      <w:r>
        <w:rPr>
          <w:rFonts w:eastAsia="Arial" w:cs="Arial"/>
          <w:sz w:val="21"/>
          <w:szCs w:val="21"/>
        </w:rPr>
        <w:t>b. Store, prepare, and serve food under sanitary conditions with safe food-handling practices.</w:t>
      </w:r>
    </w:p>
    <w:p>
      <w:pPr>
        <w:pStyle w:val="Normal"/>
        <w:tabs>
          <w:tab w:val="left" w:pos="720" w:leader="none"/>
        </w:tabs>
        <w:spacing w:lineRule="exact" w:line="264" w:before="0" w:after="80"/>
        <w:ind w:hanging="360" w:start="720"/>
        <w:rPr/>
      </w:pPr>
      <w:r>
        <w:rPr>
          <w:rFonts w:eastAsia="Arial" w:cs="Arial"/>
          <w:sz w:val="21"/>
          <w:szCs w:val="21"/>
        </w:rPr>
        <w:t>c. Maintain menus and, where contracted, the food-service contract and inspections.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ListParagraph"/>
        <w:numPr>
          <w:ilvl w:val="0"/>
          <w:numId w:val="1"/>
        </w:numPr>
        <w:spacing w:lineRule="exact" w:line="264" w:before="0" w:after="60"/>
        <w:rPr/>
      </w:pPr>
      <w:r>
        <w:rPr>
          <w:rFonts w:eastAsia="Arial" w:cs="Arial"/>
          <w:sz w:val="21"/>
          <w:szCs w:val="21"/>
        </w:rPr>
        <w:t>Food-Service Contract &amp; Inspection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Service-Type Standards (ASAM Continuum)</w:t>
      </w:r>
    </w:p>
    <w:p>
      <w:pPr>
        <w:pStyle w:val="Normal"/>
        <w:spacing w:lineRule="exact" w:line="288" w:before="0" w:after="240"/>
        <w:rPr/>
      </w:pPr>
      <w:r>
        <w:rPr>
          <w:rFonts w:eastAsia="Arial" w:cs="Arial"/>
          <w:color w:val="444444"/>
          <w:sz w:val="22"/>
          <w:szCs w:val="22"/>
        </w:rPr>
        <w:t>This section applies only to the substance use service(s) and ASAM level(s) of care the provider is licensed to deliver. Adopt each policy only for a service on your license — outpatient (1.0), intensive outpatient (2.1), partial hospitalization (2.5), clinically managed residential (3.1, 3.3), high-intensity or medically monitored residential (3.5, 3.7), withdrawal management, and opioid treatment / MAT.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Substance Abuse Outpatient Services (ASAM Level 1.0)</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Substance Abuse Intensive Outpatient Services (ASAM Level 2.1)</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Substance Abuse Partial Hospitalization Services (ASAM Level 2.5)</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6.03  Clinically Managed Residential Services (ASAM Levels 3.1 &amp; 3.3)</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6.04  Medically Monitored &amp; High-Intensity Residential Services (ASAM Levels 3.5 &amp; 3.7)</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6.05  Substance Abuse Withdrawal Management (Detoxification)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6.06  Opioid Treatment &amp; Medication Assisted Treatment</w:t>
      </w:r>
    </w:p>
    <w:p>
      <w:pPr>
        <w:pStyle w:val="Normal"/>
        <w:rPr/>
      </w:pPr>
      <w:r>
        <w:rPr/>
      </w:r>
      <w:r>
        <w:br w:type="page"/>
      </w:r>
    </w:p>
    <w:p>
      <w:pPr>
        <w:pStyle w:val="Heading2"/>
        <w:spacing w:before="0" w:after="120"/>
        <w:rPr/>
      </w:pPr>
      <w:r>
        <w:rPr>
          <w:rFonts w:eastAsia="Arial" w:cs="Arial" w:ascii="Arial" w:hAnsi="Arial"/>
          <w:b/>
          <w:bCs/>
          <w:color w:val="1A4731"/>
          <w:sz w:val="26"/>
          <w:szCs w:val="26"/>
        </w:rPr>
        <w:t>6.00  Substance Abuse Outpatient Services (ASAM Level 1.0)</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Substance Abuse Outpatient Services (ASAM Level 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Level 1.0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licensed for substance abuse outpatient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for substance abuse outpatient services (ASAM Level 1.0).</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Substance abuse outpatient service is a nonresidential service, aligned with ASAM Level 1.0, providing professionally directed treatment delivered for fewer than nine hours of service per week for adults and fewer than six hours per week for adolescents, on an individual, group, or family basis. The service may include diagnosis and evaluation, screening and intake, counseling, psychotherapy, behavior management, psychological testing and assessment, laboratory and other ancillary services, medical services, and medication services, and often serves as a step-down aftercare service. Individuals must meet the ASAM Level 1 criteria; individuals who require more than nine hours of programming are referred to a higher level of care.</w:t>
      </w:r>
    </w:p>
    <w:p>
      <w:pPr>
        <w:pStyle w:val="Normal"/>
        <w:pBdr>
          <w:bottom w:val="single" w:sz="4" w:space="1" w:color="2E5E45"/>
        </w:pBdr>
        <w:spacing w:before="160" w:after="80"/>
        <w:rPr/>
      </w:pPr>
      <w:r>
        <w:rPr>
          <w:rFonts w:eastAsia="Arial" w:cs="Arial"/>
          <w:b/>
          <w:bCs/>
          <w:color w:val="1A4731"/>
          <w:sz w:val="20"/>
          <w:szCs w:val="20"/>
        </w:rPr>
        <w:t>PROCEDURE — OUTPATIENT SERVICES</w:t>
      </w:r>
    </w:p>
    <w:p>
      <w:pPr>
        <w:pStyle w:val="Normal"/>
        <w:tabs>
          <w:tab w:val="left" w:pos="720" w:leader="none"/>
        </w:tabs>
        <w:spacing w:lineRule="exact" w:line="264" w:before="0" w:after="80"/>
        <w:ind w:hanging="360" w:start="720"/>
        <w:rPr/>
      </w:pPr>
      <w:r>
        <w:rPr>
          <w:rFonts w:eastAsia="Arial" w:cs="Arial"/>
          <w:sz w:val="21"/>
          <w:szCs w:val="21"/>
        </w:rPr>
        <w:t>a. Provide ASAM Level 1.0 outpatient treatment (under nine hours weekly for adults, under six for adolescents) per each individual's ISP.</w:t>
      </w:r>
    </w:p>
    <w:p>
      <w:pPr>
        <w:pStyle w:val="Normal"/>
        <w:tabs>
          <w:tab w:val="left" w:pos="720" w:leader="none"/>
        </w:tabs>
        <w:spacing w:lineRule="exact" w:line="264" w:before="0" w:after="80"/>
        <w:ind w:hanging="360" w:start="720"/>
        <w:rPr/>
      </w:pPr>
      <w:r>
        <w:rPr>
          <w:rFonts w:eastAsia="Arial" w:cs="Arial"/>
          <w:sz w:val="21"/>
          <w:szCs w:val="21"/>
        </w:rPr>
        <w:t>b. Deliver the applicable component services (counseling, psychotherapy, behavior management, and ancillary, medical, and medication services).</w:t>
      </w:r>
    </w:p>
    <w:p>
      <w:pPr>
        <w:pStyle w:val="Normal"/>
        <w:tabs>
          <w:tab w:val="left" w:pos="720" w:leader="none"/>
        </w:tabs>
        <w:spacing w:lineRule="exact" w:line="264" w:before="0" w:after="80"/>
        <w:ind w:hanging="360" w:start="720"/>
        <w:rPr/>
      </w:pPr>
      <w:r>
        <w:rPr>
          <w:rFonts w:eastAsia="Arial" w:cs="Arial"/>
          <w:sz w:val="21"/>
          <w:szCs w:val="21"/>
        </w:rPr>
        <w:t>c. Confirm individuals meet Level 1 criteria and refer individuals needing more programming to a higher level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Outpatient Service Schedule &amp; Notes</w:t>
      </w:r>
    </w:p>
    <w:p>
      <w:pPr>
        <w:pStyle w:val="ListParagraph"/>
        <w:numPr>
          <w:ilvl w:val="0"/>
          <w:numId w:val="1"/>
        </w:numPr>
        <w:spacing w:lineRule="exact" w:line="264" w:before="0" w:after="60"/>
        <w:rPr/>
      </w:pPr>
      <w:r>
        <w:rPr>
          <w:rFonts w:eastAsia="Arial" w:cs="Arial"/>
          <w:sz w:val="21"/>
          <w:szCs w:val="21"/>
        </w:rPr>
        <w:t>Level-of-Care Confirmation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Substance Abuse Intensive Outpatient Services (ASAM Level 2.1)</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Substance Abuse Intensive Outpatient Services (ASAM Level 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Level 2.1</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licensed for substance abuse intensive outpatient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for substance abuse intensive outpatient services (ASAM Level 2.1).</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Substance abuse intensive outpatient service is a nonresidential service, aligned with ASAM Level 2.1, providing structured programming at a greater intensity and frequency than outpatient service, typically delivering several hours of service per day on multiple days per week, under clinical oversight. The service delivers the component services consistent with each individual's ISP and level of care, addresses co-occurring behavioral and medical needs through integrated or coordinated services, and follows the staffing and programming requirements for the level of care. Individuals must meet the ASAM Level 2.1 criteria, and the provider coordinates step-up or step-down as needs change.</w:t>
      </w:r>
    </w:p>
    <w:p>
      <w:pPr>
        <w:pStyle w:val="Normal"/>
        <w:pBdr>
          <w:bottom w:val="single" w:sz="4" w:space="1" w:color="2E5E45"/>
        </w:pBdr>
        <w:spacing w:before="160" w:after="80"/>
        <w:rPr/>
      </w:pPr>
      <w:r>
        <w:rPr>
          <w:rFonts w:eastAsia="Arial" w:cs="Arial"/>
          <w:b/>
          <w:bCs/>
          <w:color w:val="1A4731"/>
          <w:sz w:val="20"/>
          <w:szCs w:val="20"/>
        </w:rPr>
        <w:t>PROCEDURE — INTENSIVE OUTPATIENT</w:t>
      </w:r>
    </w:p>
    <w:p>
      <w:pPr>
        <w:pStyle w:val="Normal"/>
        <w:tabs>
          <w:tab w:val="left" w:pos="720" w:leader="none"/>
        </w:tabs>
        <w:spacing w:lineRule="exact" w:line="264" w:before="0" w:after="80"/>
        <w:ind w:hanging="360" w:start="720"/>
        <w:rPr/>
      </w:pPr>
      <w:r>
        <w:rPr>
          <w:rFonts w:eastAsia="Arial" w:cs="Arial"/>
          <w:sz w:val="21"/>
          <w:szCs w:val="21"/>
        </w:rPr>
        <w:t>a. Provide structured ASAM Level 2.1 programming at the required intensity under clinical oversight per each individual's ISP.</w:t>
      </w:r>
    </w:p>
    <w:p>
      <w:pPr>
        <w:pStyle w:val="Normal"/>
        <w:tabs>
          <w:tab w:val="left" w:pos="720" w:leader="none"/>
        </w:tabs>
        <w:spacing w:lineRule="exact" w:line="264" w:before="0" w:after="80"/>
        <w:ind w:hanging="360" w:start="720"/>
        <w:rPr/>
      </w:pPr>
      <w:r>
        <w:rPr>
          <w:rFonts w:eastAsia="Arial" w:cs="Arial"/>
          <w:sz w:val="21"/>
          <w:szCs w:val="21"/>
        </w:rPr>
        <w:t>b. Deliver component services and address co-occurring needs through integrated or coordinated services.</w:t>
      </w:r>
    </w:p>
    <w:p>
      <w:pPr>
        <w:pStyle w:val="Normal"/>
        <w:tabs>
          <w:tab w:val="left" w:pos="720" w:leader="none"/>
        </w:tabs>
        <w:spacing w:lineRule="exact" w:line="264" w:before="0" w:after="80"/>
        <w:ind w:hanging="360" w:start="720"/>
        <w:rPr/>
      </w:pPr>
      <w:r>
        <w:rPr>
          <w:rFonts w:eastAsia="Arial" w:cs="Arial"/>
          <w:sz w:val="21"/>
          <w:szCs w:val="21"/>
        </w:rPr>
        <w:t>c. Confirm Level 2.1 criteria and coordinate step-up or step-down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IOP Programming Schedule</w:t>
      </w:r>
    </w:p>
    <w:p>
      <w:pPr>
        <w:pStyle w:val="ListParagraph"/>
        <w:numPr>
          <w:ilvl w:val="0"/>
          <w:numId w:val="1"/>
        </w:numPr>
        <w:spacing w:lineRule="exact" w:line="264" w:before="0" w:after="60"/>
        <w:rPr/>
      </w:pPr>
      <w:r>
        <w:rPr>
          <w:rFonts w:eastAsia="Arial" w:cs="Arial"/>
          <w:sz w:val="21"/>
          <w:szCs w:val="21"/>
        </w:rPr>
        <w:t>Attendance &amp; Participation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Substance Abuse Partial Hospitalization Services (ASAM Level 2.5)</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Substance Abuse Partial Hospitalization Services (ASAM Level 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Level 2.5</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licensed for substance abuse partial hospitalization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for substance abuse partial hospitalization services (ASAM Level 2.5).</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Substance abuse partial hospitalization service is a short-term, nonresidential substance use treatment program, aligned with ASAM Level 2.5, provided for a minimum of twenty hours a week, that uses multidisciplinary staff for individuals who require a more intensive treatment experience than intensive outpatient. The service delivers structured clinical programming and the component services consistent with each individual's ISP and level of care, provides the multidisciplinary staffing the level of care requires, and addresses co-occurring behavioral and medical needs through integrated or coordinated services. Individuals must meet the ASAM Level 2.5 criteria, and the provider coordinates step-up or step-down as needs change.</w:t>
      </w:r>
    </w:p>
    <w:p>
      <w:pPr>
        <w:pStyle w:val="Normal"/>
        <w:pBdr>
          <w:bottom w:val="single" w:sz="4" w:space="1" w:color="2E5E45"/>
        </w:pBdr>
        <w:spacing w:before="160" w:after="80"/>
        <w:rPr/>
      </w:pPr>
      <w:r>
        <w:rPr>
          <w:rFonts w:eastAsia="Arial" w:cs="Arial"/>
          <w:b/>
          <w:bCs/>
          <w:color w:val="1A4731"/>
          <w:sz w:val="20"/>
          <w:szCs w:val="20"/>
        </w:rPr>
        <w:t>PROCEDURE — PARTIAL HOSPITALIZATION</w:t>
      </w:r>
    </w:p>
    <w:p>
      <w:pPr>
        <w:pStyle w:val="Normal"/>
        <w:tabs>
          <w:tab w:val="left" w:pos="720" w:leader="none"/>
        </w:tabs>
        <w:spacing w:lineRule="exact" w:line="264" w:before="0" w:after="80"/>
        <w:ind w:hanging="360" w:start="720"/>
        <w:rPr/>
      </w:pPr>
      <w:r>
        <w:rPr>
          <w:rFonts w:eastAsia="Arial" w:cs="Arial"/>
          <w:sz w:val="21"/>
          <w:szCs w:val="21"/>
        </w:rPr>
        <w:t>a. Provide ASAM Level 2.5 programming of at least twenty hours per week with multidisciplinary staff per each individual's ISP.</w:t>
      </w:r>
    </w:p>
    <w:p>
      <w:pPr>
        <w:pStyle w:val="Normal"/>
        <w:tabs>
          <w:tab w:val="left" w:pos="720" w:leader="none"/>
        </w:tabs>
        <w:spacing w:lineRule="exact" w:line="264" w:before="0" w:after="80"/>
        <w:ind w:hanging="360" w:start="720"/>
        <w:rPr/>
      </w:pPr>
      <w:r>
        <w:rPr>
          <w:rFonts w:eastAsia="Arial" w:cs="Arial"/>
          <w:sz w:val="21"/>
          <w:szCs w:val="21"/>
        </w:rPr>
        <w:t>b. Deliver structured component services and address co-occurring behavioral and medical needs.</w:t>
      </w:r>
    </w:p>
    <w:p>
      <w:pPr>
        <w:pStyle w:val="Normal"/>
        <w:tabs>
          <w:tab w:val="left" w:pos="720" w:leader="none"/>
        </w:tabs>
        <w:spacing w:lineRule="exact" w:line="264" w:before="0" w:after="80"/>
        <w:ind w:hanging="360" w:start="720"/>
        <w:rPr/>
      </w:pPr>
      <w:r>
        <w:rPr>
          <w:rFonts w:eastAsia="Arial" w:cs="Arial"/>
          <w:sz w:val="21"/>
          <w:szCs w:val="21"/>
        </w:rPr>
        <w:t>c. Confirm Level 2.5 criteria and coordinate step-up or step-down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PHP Programming Schedule (20+ hours/week)</w:t>
      </w:r>
    </w:p>
    <w:p>
      <w:pPr>
        <w:pStyle w:val="ListParagraph"/>
        <w:numPr>
          <w:ilvl w:val="0"/>
          <w:numId w:val="1"/>
        </w:numPr>
        <w:spacing w:lineRule="exact" w:line="264" w:before="0" w:after="60"/>
        <w:rPr/>
      </w:pPr>
      <w:r>
        <w:rPr>
          <w:rFonts w:eastAsia="Arial" w:cs="Arial"/>
          <w:sz w:val="21"/>
          <w:szCs w:val="21"/>
        </w:rPr>
        <w:t>Multidisciplinary Staffing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6.03  Clinically Managed Residential Services (ASAM Levels 3.1 &amp; 3.3)</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6.03  Clinically Managed Residential Services (ASAM Levels 3.1 &amp; 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Levels 3.1, 3.3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licensed for clinically managed low- or population-specific high-intensity residential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for clinically managed residential services at ASAM Level 3.1 or 3.3.</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Clinically managed low-intensity residential service (ASAM Level 3.1) is a supportive living environment with 24-hour staff that provides rehabilitation and recovery services, and clinically managed population-specific high-intensity residential service (ASAM Level 3.3) provides a structured 24-hour residential program for individuals with cognitive or other impairments who need a slower pace of treatment. The provider delivers the clinical services in Sections C and D — assessment and ASAM level of care, the ISP, service delivery, health and medication services, and discharge — together with the residential environment, safety, medication, and nutrition requirements in Section E, maintains the 24-hour staffing and structured programming the level of care requires, and coordinates step-up or step-down as the individual's needs change.</w:t>
      </w:r>
    </w:p>
    <w:p>
      <w:pPr>
        <w:pStyle w:val="Normal"/>
        <w:pBdr>
          <w:bottom w:val="single" w:sz="4" w:space="1" w:color="2E5E45"/>
        </w:pBdr>
        <w:spacing w:before="160" w:after="80"/>
        <w:rPr/>
      </w:pPr>
      <w:r>
        <w:rPr>
          <w:rFonts w:eastAsia="Arial" w:cs="Arial"/>
          <w:b/>
          <w:bCs/>
          <w:color w:val="1A4731"/>
          <w:sz w:val="20"/>
          <w:szCs w:val="20"/>
        </w:rPr>
        <w:t>PROCEDURE — CLINICALLY MANAGED RESIDENTIAL (3.1 / 3.3)</w:t>
      </w:r>
    </w:p>
    <w:p>
      <w:pPr>
        <w:pStyle w:val="Normal"/>
        <w:tabs>
          <w:tab w:val="left" w:pos="720" w:leader="none"/>
        </w:tabs>
        <w:spacing w:lineRule="exact" w:line="264" w:before="0" w:after="80"/>
        <w:ind w:hanging="360" w:start="720"/>
        <w:rPr/>
      </w:pPr>
      <w:r>
        <w:rPr>
          <w:rFonts w:eastAsia="Arial" w:cs="Arial"/>
          <w:sz w:val="21"/>
          <w:szCs w:val="21"/>
        </w:rPr>
        <w:t>a. Provide the 24-hour supportive or structured residential program the ASAM Level 3.1 or 3.3 level of care requires.</w:t>
      </w:r>
    </w:p>
    <w:p>
      <w:pPr>
        <w:pStyle w:val="Normal"/>
        <w:tabs>
          <w:tab w:val="left" w:pos="720" w:leader="none"/>
        </w:tabs>
        <w:spacing w:lineRule="exact" w:line="264" w:before="0" w:after="80"/>
        <w:ind w:hanging="360" w:start="720"/>
        <w:rPr/>
      </w:pPr>
      <w:r>
        <w:rPr>
          <w:rFonts w:eastAsia="Arial" w:cs="Arial"/>
          <w:sz w:val="21"/>
          <w:szCs w:val="21"/>
        </w:rPr>
        <w:t>b. Deliver the Section C–D clinical services and the Section E residential environment, safety, medication, and nutrition requirements.</w:t>
      </w:r>
    </w:p>
    <w:p>
      <w:pPr>
        <w:pStyle w:val="Normal"/>
        <w:tabs>
          <w:tab w:val="left" w:pos="720" w:leader="none"/>
        </w:tabs>
        <w:spacing w:lineRule="exact" w:line="264" w:before="0" w:after="80"/>
        <w:ind w:hanging="360" w:start="720"/>
        <w:rPr/>
      </w:pPr>
      <w:r>
        <w:rPr>
          <w:rFonts w:eastAsia="Arial" w:cs="Arial"/>
          <w:sz w:val="21"/>
          <w:szCs w:val="21"/>
        </w:rPr>
        <w:t>c. Maintain required 24-hour staffing and structured programming and coordinate step-up or step-down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24-Hour Staffing Record</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6.04  Medically Monitored &amp; High-Intensity Residential Services (ASAM Levels 3.5 &amp; 3.7)</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6.04  Medically Monitored &amp; High-Intensity Residential Services (ASAM Levels 3.5 &amp; 3.7)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Levels 3.5, 3.7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licensed for clinically managed high-intensity or medically monitored residential services.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for residential services at ASAM Level 3.5 or 3.7.</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Clinically managed high-intensity residential service (ASAM Level 3.5) provides a structured 24-hour residential treatment program with a higher intensity of clinical services, and medically monitored residential service (ASAM Level 3.7) provides 24-hour residential treatment with medical monitoring for individuals whose needs require it. The provider delivers the clinical services in Sections C and D together with the residential environment, safety, medication, and nutrition requirements in Section E, maintains the 24-hour staffing, clinical intensity, and, for Level 3.7, medical monitoring the level of care requires, addresses co-occurring behavioral and medical needs, and coordinates step-up or step-down and prompt access to a higher level of medical care as the individual's needs change.</w:t>
      </w:r>
    </w:p>
    <w:p>
      <w:pPr>
        <w:pStyle w:val="Normal"/>
        <w:pBdr>
          <w:bottom w:val="single" w:sz="4" w:space="1" w:color="2E5E45"/>
        </w:pBdr>
        <w:spacing w:before="160" w:after="80"/>
        <w:rPr/>
      </w:pPr>
      <w:r>
        <w:rPr>
          <w:rFonts w:eastAsia="Arial" w:cs="Arial"/>
          <w:b/>
          <w:bCs/>
          <w:color w:val="1A4731"/>
          <w:sz w:val="20"/>
          <w:szCs w:val="20"/>
        </w:rPr>
        <w:t>PROCEDURE — HIGH-INTENSITY / MEDICALLY MONITORED RESIDENTIAL (3.5 / 3.7)</w:t>
      </w:r>
    </w:p>
    <w:p>
      <w:pPr>
        <w:pStyle w:val="Normal"/>
        <w:tabs>
          <w:tab w:val="left" w:pos="720" w:leader="none"/>
        </w:tabs>
        <w:spacing w:lineRule="exact" w:line="264" w:before="0" w:after="80"/>
        <w:ind w:hanging="360" w:start="720"/>
        <w:rPr/>
      </w:pPr>
      <w:r>
        <w:rPr>
          <w:rFonts w:eastAsia="Arial" w:cs="Arial"/>
          <w:sz w:val="21"/>
          <w:szCs w:val="21"/>
        </w:rPr>
        <w:t>a. Provide the structured 24-hour high-intensity or medically monitored residential program the ASAM Level 3.5 or 3.7 level of care requires.</w:t>
      </w:r>
    </w:p>
    <w:p>
      <w:pPr>
        <w:pStyle w:val="Normal"/>
        <w:tabs>
          <w:tab w:val="left" w:pos="720" w:leader="none"/>
        </w:tabs>
        <w:spacing w:lineRule="exact" w:line="264" w:before="0" w:after="80"/>
        <w:ind w:hanging="360" w:start="720"/>
        <w:rPr/>
      </w:pPr>
      <w:r>
        <w:rPr>
          <w:rFonts w:eastAsia="Arial" w:cs="Arial"/>
          <w:sz w:val="21"/>
          <w:szCs w:val="21"/>
        </w:rPr>
        <w:t>b. Deliver the Section C–D clinical services and Section E residential requirements with required staffing and, for 3.7, medical monitoring.</w:t>
      </w:r>
    </w:p>
    <w:p>
      <w:pPr>
        <w:pStyle w:val="Normal"/>
        <w:tabs>
          <w:tab w:val="left" w:pos="720" w:leader="none"/>
        </w:tabs>
        <w:spacing w:lineRule="exact" w:line="264" w:before="0" w:after="80"/>
        <w:ind w:hanging="360" w:start="720"/>
        <w:rPr/>
      </w:pPr>
      <w:r>
        <w:rPr>
          <w:rFonts w:eastAsia="Arial" w:cs="Arial"/>
          <w:sz w:val="21"/>
          <w:szCs w:val="21"/>
        </w:rPr>
        <w:t>c. Address co-occurring needs and coordinate step-up or step-down and prompt access to higher medical care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Residential Program Schedule &amp; Clinical Intensity Record</w:t>
      </w:r>
    </w:p>
    <w:p>
      <w:pPr>
        <w:pStyle w:val="ListParagraph"/>
        <w:numPr>
          <w:ilvl w:val="0"/>
          <w:numId w:val="1"/>
        </w:numPr>
        <w:spacing w:lineRule="exact" w:line="264" w:before="0" w:after="60"/>
        <w:rPr/>
      </w:pPr>
      <w:r>
        <w:rPr>
          <w:rFonts w:eastAsia="Arial" w:cs="Arial"/>
          <w:sz w:val="21"/>
          <w:szCs w:val="21"/>
        </w:rPr>
        <w:t>Medical Monitoring Record (Level 3.7)</w:t>
      </w:r>
    </w:p>
    <w:p>
      <w:pPr>
        <w:pStyle w:val="ListParagraph"/>
        <w:numPr>
          <w:ilvl w:val="0"/>
          <w:numId w:val="1"/>
        </w:numPr>
        <w:spacing w:lineRule="exact" w:line="264" w:before="0" w:after="60"/>
        <w:rPr/>
      </w:pPr>
      <w:r>
        <w:rPr>
          <w:rFonts w:eastAsia="Arial" w:cs="Arial"/>
          <w:sz w:val="21"/>
          <w:szCs w:val="21"/>
        </w:rPr>
        <w:t>Level-of-Care Transition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6.05  Substance Abuse Withdrawal Management (Detoxification)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6.05  Substance Abuse Withdrawal Management (Detoxification)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ASAM withdrawal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is licensed to provide substance abuse withdrawal management.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provide withdrawal management (detoxification)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 withdrawal management service provides supervised support for the withdrawal process in accordance with 12VAC35-105 and the applicable ASAM level of withdrawal management, with the medical oversight, protocols, and monitoring the level of care requires and the staffing the ASAM staffing framework requires. The provider assesses each individual's suitability for the withdrawal-management level offered, monitors individuals during withdrawal, maintains criteria for identifying when an individual's condition requires a higher level of medical care, maintains prompt access to emergency medical services, and arranges transfer when needed. Withdrawal management and each individual's continuing-care plan are documented, and staff are trained to recognize and respond to withdrawal complications and overdose.</w:t>
      </w:r>
    </w:p>
    <w:p>
      <w:pPr>
        <w:pStyle w:val="Normal"/>
        <w:pBdr>
          <w:bottom w:val="single" w:sz="4" w:space="1" w:color="2E5E45"/>
        </w:pBdr>
        <w:spacing w:before="160" w:after="80"/>
        <w:rPr/>
      </w:pPr>
      <w:r>
        <w:rPr>
          <w:rFonts w:eastAsia="Arial" w:cs="Arial"/>
          <w:b/>
          <w:bCs/>
          <w:color w:val="1A4731"/>
          <w:sz w:val="20"/>
          <w:szCs w:val="20"/>
        </w:rPr>
        <w:t>PROCEDURE — WITHDRAWAL MANAGEMENT</w:t>
      </w:r>
    </w:p>
    <w:p>
      <w:pPr>
        <w:pStyle w:val="Normal"/>
        <w:tabs>
          <w:tab w:val="left" w:pos="720" w:leader="none"/>
        </w:tabs>
        <w:spacing w:lineRule="exact" w:line="264" w:before="0" w:after="80"/>
        <w:ind w:hanging="360" w:start="720"/>
        <w:rPr/>
      </w:pPr>
      <w:r>
        <w:rPr>
          <w:rFonts w:eastAsia="Arial" w:cs="Arial"/>
          <w:sz w:val="21"/>
          <w:szCs w:val="21"/>
        </w:rPr>
        <w:t>a. Provide withdrawal management with the medical oversight, protocols, monitoring, and ASAM-framework staffing the level of care requires.</w:t>
      </w:r>
    </w:p>
    <w:p>
      <w:pPr>
        <w:pStyle w:val="Normal"/>
        <w:tabs>
          <w:tab w:val="left" w:pos="720" w:leader="none"/>
        </w:tabs>
        <w:spacing w:lineRule="exact" w:line="264" w:before="0" w:after="80"/>
        <w:ind w:hanging="360" w:start="720"/>
        <w:rPr/>
      </w:pPr>
      <w:r>
        <w:rPr>
          <w:rFonts w:eastAsia="Arial" w:cs="Arial"/>
          <w:sz w:val="21"/>
          <w:szCs w:val="21"/>
        </w:rPr>
        <w:t>b. Assess suitability, monitor withdrawal, maintain higher-level-of-care criteria, and keep prompt access to emergency services.</w:t>
      </w:r>
    </w:p>
    <w:p>
      <w:pPr>
        <w:pStyle w:val="Normal"/>
        <w:tabs>
          <w:tab w:val="left" w:pos="720" w:leader="none"/>
        </w:tabs>
        <w:spacing w:lineRule="exact" w:line="264" w:before="0" w:after="80"/>
        <w:ind w:hanging="360" w:start="720"/>
        <w:rPr/>
      </w:pPr>
      <w:r>
        <w:rPr>
          <w:rFonts w:eastAsia="Arial" w:cs="Arial"/>
          <w:sz w:val="21"/>
          <w:szCs w:val="21"/>
        </w:rPr>
        <w:t>c. Document withdrawal management and continuing-care plans and train staff on withdrawal complications and overdose.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Withdrawal Management Suitability Assessment</w:t>
      </w:r>
    </w:p>
    <w:p>
      <w:pPr>
        <w:pStyle w:val="ListParagraph"/>
        <w:numPr>
          <w:ilvl w:val="0"/>
          <w:numId w:val="1"/>
        </w:numPr>
        <w:spacing w:lineRule="exact" w:line="264" w:before="0" w:after="60"/>
        <w:rPr/>
      </w:pPr>
      <w:r>
        <w:rPr>
          <w:rFonts w:eastAsia="Arial" w:cs="Arial"/>
          <w:sz w:val="21"/>
          <w:szCs w:val="21"/>
        </w:rPr>
        <w:t>Withdrawal Monitoring Protocol &amp; Record</w:t>
      </w:r>
    </w:p>
    <w:p>
      <w:pPr>
        <w:pStyle w:val="ListParagraph"/>
        <w:numPr>
          <w:ilvl w:val="0"/>
          <w:numId w:val="1"/>
        </w:numPr>
        <w:spacing w:lineRule="exact" w:line="264" w:before="0" w:after="60"/>
        <w:rPr/>
      </w:pPr>
      <w:r>
        <w:rPr>
          <w:rFonts w:eastAsia="Arial" w:cs="Arial"/>
          <w:sz w:val="21"/>
          <w:szCs w:val="21"/>
        </w:rPr>
        <w:t>Higher-Level-of-Care / Transfer Criteria</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6.06  Opioid Treatment &amp; Medication Assisted Treatment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6.06  Opioid Treatment &amp; Medication Assisted Treatment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Service-Type Standards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12VAC35-105; 42 CFR Part 8; DEA; SAMHSA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meet the requirements that apply when the provider operates an opioid treatment program or office-based opioid / medication assisted treatment.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only to a provider licensed to provide opioid treatment or office-based opioid / medication assisted treatment.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opioid treatment program provides opioid agonist and other approved medications (such as methadone or products containing buprenorphine) in combination with counseling and behavioral therapies, in accordance with 12VAC35-105 and all applicable federal and state requirements, including SAMHSA certification, 42 CFR Part 8, and DEA registration, and office-based opioid treatment provides medication for opioid use disorder in an office-based setting with the required prescriber involvement, counseling access, and coordination. The provider delivers these services under appropriate medical direction, completes the required intake, assessment, and treatment planning, conducts consistent drug-screening protocols, maintains the required medication handling, records, security, and diversion controls, provides overdose information and naloxone access, and delivers services with the confidentiality and safety protections in this manual.</w:t>
      </w:r>
    </w:p>
    <w:p>
      <w:pPr>
        <w:pStyle w:val="Normal"/>
        <w:pBdr>
          <w:bottom w:val="single" w:sz="4" w:space="1" w:color="2E5E45"/>
        </w:pBdr>
        <w:spacing w:before="160" w:after="80"/>
        <w:rPr/>
      </w:pPr>
      <w:r>
        <w:rPr>
          <w:rFonts w:eastAsia="Arial" w:cs="Arial"/>
          <w:b/>
          <w:bCs/>
          <w:color w:val="1A4731"/>
          <w:sz w:val="20"/>
          <w:szCs w:val="20"/>
        </w:rPr>
        <w:t>PROCEDURE — OPIOID / MEDICATION ASSISTED TREATMENT</w:t>
      </w:r>
    </w:p>
    <w:p>
      <w:pPr>
        <w:pStyle w:val="Normal"/>
        <w:tabs>
          <w:tab w:val="left" w:pos="720" w:leader="none"/>
        </w:tabs>
        <w:spacing w:lineRule="exact" w:line="264" w:before="0" w:after="80"/>
        <w:ind w:hanging="360" w:start="720"/>
        <w:rPr/>
      </w:pPr>
      <w:r>
        <w:rPr>
          <w:rFonts w:eastAsia="Arial" w:cs="Arial"/>
          <w:sz w:val="21"/>
          <w:szCs w:val="21"/>
        </w:rPr>
        <w:t>a. For an opioid treatment program, comply with SAMHSA certification, 42 CFR Part 8, and DEA registration; for office-based treatment, provide required prescriber involvement, counseling access, and coordination.</w:t>
      </w:r>
    </w:p>
    <w:p>
      <w:pPr>
        <w:pStyle w:val="Normal"/>
        <w:tabs>
          <w:tab w:val="left" w:pos="720" w:leader="none"/>
        </w:tabs>
        <w:spacing w:lineRule="exact" w:line="264" w:before="0" w:after="80"/>
        <w:ind w:hanging="360" w:start="720"/>
        <w:rPr/>
      </w:pPr>
      <w:r>
        <w:rPr>
          <w:rFonts w:eastAsia="Arial" w:cs="Arial"/>
          <w:sz w:val="21"/>
          <w:szCs w:val="21"/>
        </w:rPr>
        <w:t>b. Complete intake, assessment, and treatment planning, conduct consistent drug screening, and maintain medication handling, records, security, and diversion controls.</w:t>
      </w:r>
    </w:p>
    <w:p>
      <w:pPr>
        <w:pStyle w:val="Normal"/>
        <w:tabs>
          <w:tab w:val="left" w:pos="720" w:leader="none"/>
        </w:tabs>
        <w:spacing w:lineRule="exact" w:line="264" w:before="0" w:after="80"/>
        <w:ind w:hanging="360" w:start="720"/>
        <w:rPr/>
      </w:pPr>
      <w:r>
        <w:rPr>
          <w:rFonts w:eastAsia="Arial" w:cs="Arial"/>
          <w:sz w:val="21"/>
          <w:szCs w:val="21"/>
        </w:rPr>
        <w:t>c. Provide overdose information and naloxone access and deliver services with the manual's confidentiality and safety protections.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OTP Certification, SAMHSA &amp; DEA File</w:t>
      </w:r>
    </w:p>
    <w:p>
      <w:pPr>
        <w:pStyle w:val="ListParagraph"/>
        <w:numPr>
          <w:ilvl w:val="0"/>
          <w:numId w:val="1"/>
        </w:numPr>
        <w:spacing w:lineRule="exact" w:line="264" w:before="0" w:after="60"/>
        <w:rPr/>
      </w:pPr>
      <w:r>
        <w:rPr>
          <w:rFonts w:eastAsia="Arial" w:cs="Arial"/>
          <w:sz w:val="21"/>
          <w:szCs w:val="21"/>
        </w:rPr>
        <w:t>Dosing, Drug-Screening &amp; Diversion-Control Records</w:t>
      </w:r>
    </w:p>
    <w:p>
      <w:pPr>
        <w:pStyle w:val="ListParagraph"/>
        <w:numPr>
          <w:ilvl w:val="0"/>
          <w:numId w:val="1"/>
        </w:numPr>
        <w:spacing w:lineRule="exact" w:line="264" w:before="0" w:after="60"/>
        <w:rPr/>
      </w:pPr>
      <w:r>
        <w:rPr>
          <w:rFonts w:eastAsia="Arial" w:cs="Arial"/>
          <w:sz w:val="21"/>
          <w:szCs w:val="21"/>
        </w:rPr>
        <w:t>Office-Based Treatment Prescriber &amp; Counseling Coordination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required-forms checklist, a directory of Virginia agencies and resources, guidance on customizing the manual and matching it to the provider's licensed services, and a human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Virginia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Human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forms below are referenced throughout this manual, grouped by section. The provider should maintain a current copy of each and customize as needed. Where a form corresponds to an official DBHDS submission, use the current version in the web-based licensing system.</w:t>
      </w:r>
    </w:p>
    <w:p>
      <w:pPr>
        <w:pStyle w:val="Normal"/>
        <w:spacing w:before="140" w:after="40"/>
        <w:rPr/>
      </w:pPr>
      <w:r>
        <w:rPr>
          <w:rFonts w:eastAsia="Arial" w:cs="Arial"/>
          <w:b/>
          <w:bCs/>
          <w:color w:val="333333"/>
          <w:sz w:val="21"/>
          <w:szCs w:val="21"/>
        </w:rPr>
        <w:t>Section A — Licensure &amp; Administration</w:t>
      </w:r>
    </w:p>
    <w:p>
      <w:pPr>
        <w:pStyle w:val="ListParagraph"/>
        <w:numPr>
          <w:ilvl w:val="0"/>
          <w:numId w:val="1"/>
        </w:numPr>
        <w:spacing w:lineRule="exact" w:line="264" w:before="0" w:after="60"/>
        <w:rPr/>
      </w:pPr>
      <w:r>
        <w:rPr>
          <w:rFonts w:eastAsia="Arial" w:cs="Arial"/>
          <w:sz w:val="21"/>
          <w:szCs w:val="21"/>
        </w:rPr>
        <w:t>Governing Authority Charter &amp; Bylaws</w:t>
      </w:r>
    </w:p>
    <w:p>
      <w:pPr>
        <w:pStyle w:val="ListParagraph"/>
        <w:numPr>
          <w:ilvl w:val="0"/>
          <w:numId w:val="1"/>
        </w:numPr>
        <w:spacing w:lineRule="exact" w:line="264" w:before="0" w:after="60"/>
        <w:rPr/>
      </w:pPr>
      <w:r>
        <w:rPr>
          <w:rFonts w:eastAsia="Arial" w:cs="Arial"/>
          <w:sz w:val="21"/>
          <w:szCs w:val="21"/>
        </w:rPr>
        <w:t>Organizational Chart</w:t>
      </w:r>
    </w:p>
    <w:p>
      <w:pPr>
        <w:pStyle w:val="ListParagraph"/>
        <w:numPr>
          <w:ilvl w:val="0"/>
          <w:numId w:val="1"/>
        </w:numPr>
        <w:spacing w:lineRule="exact" w:line="264" w:before="0" w:after="60"/>
        <w:rPr/>
      </w:pPr>
      <w:r>
        <w:rPr>
          <w:rFonts w:eastAsia="Arial" w:cs="Arial"/>
          <w:sz w:val="21"/>
          <w:szCs w:val="21"/>
        </w:rPr>
        <w:t>Administrator / Director Job Description</w:t>
      </w:r>
    </w:p>
    <w:p>
      <w:pPr>
        <w:pStyle w:val="ListParagraph"/>
        <w:numPr>
          <w:ilvl w:val="0"/>
          <w:numId w:val="1"/>
        </w:numPr>
        <w:spacing w:lineRule="exact" w:line="264" w:before="0" w:after="60"/>
        <w:rPr/>
      </w:pPr>
      <w:r>
        <w:rPr>
          <w:rFonts w:eastAsia="Arial" w:cs="Arial"/>
          <w:sz w:val="21"/>
          <w:szCs w:val="21"/>
        </w:rPr>
        <w:t>License Application &amp; Current License(s)</w:t>
      </w:r>
    </w:p>
    <w:p>
      <w:pPr>
        <w:pStyle w:val="ListParagraph"/>
        <w:numPr>
          <w:ilvl w:val="0"/>
          <w:numId w:val="1"/>
        </w:numPr>
        <w:spacing w:lineRule="exact" w:line="264" w:before="0" w:after="60"/>
        <w:rPr/>
      </w:pPr>
      <w:r>
        <w:rPr>
          <w:rFonts w:eastAsia="Arial" w:cs="Arial"/>
          <w:sz w:val="21"/>
          <w:szCs w:val="21"/>
        </w:rPr>
        <w:t>Service &amp; Location Change Notification</w:t>
      </w:r>
    </w:p>
    <w:p>
      <w:pPr>
        <w:pStyle w:val="ListParagraph"/>
        <w:numPr>
          <w:ilvl w:val="0"/>
          <w:numId w:val="1"/>
        </w:numPr>
        <w:spacing w:lineRule="exact" w:line="264" w:before="0" w:after="60"/>
        <w:rPr/>
      </w:pPr>
      <w:r>
        <w:rPr>
          <w:rFonts w:eastAsia="Arial" w:cs="Arial"/>
          <w:sz w:val="21"/>
          <w:szCs w:val="21"/>
        </w:rPr>
        <w:t>Service Description (per service)</w:t>
      </w:r>
    </w:p>
    <w:p>
      <w:pPr>
        <w:pStyle w:val="ListParagraph"/>
        <w:numPr>
          <w:ilvl w:val="0"/>
          <w:numId w:val="1"/>
        </w:numPr>
        <w:spacing w:lineRule="exact" w:line="264" w:before="0" w:after="60"/>
        <w:rPr/>
      </w:pPr>
      <w:r>
        <w:rPr>
          <w:rFonts w:eastAsia="Arial" w:cs="Arial"/>
          <w:sz w:val="21"/>
          <w:szCs w:val="21"/>
        </w:rPr>
        <w:t>Master Policy Index &amp; Version Log</w:t>
      </w:r>
    </w:p>
    <w:p>
      <w:pPr>
        <w:pStyle w:val="ListParagraph"/>
        <w:numPr>
          <w:ilvl w:val="0"/>
          <w:numId w:val="1"/>
        </w:numPr>
        <w:spacing w:lineRule="exact" w:line="264" w:before="0" w:after="60"/>
        <w:rPr/>
      </w:pPr>
      <w:r>
        <w:rPr>
          <w:rFonts w:eastAsia="Arial" w:cs="Arial"/>
          <w:sz w:val="21"/>
          <w:szCs w:val="21"/>
        </w:rPr>
        <w:t>Records Management Policy</w:t>
      </w:r>
    </w:p>
    <w:p>
      <w:pPr>
        <w:pStyle w:val="ListParagraph"/>
        <w:numPr>
          <w:ilvl w:val="0"/>
          <w:numId w:val="1"/>
        </w:numPr>
        <w:spacing w:lineRule="exact" w:line="264" w:before="0" w:after="60"/>
        <w:rPr/>
      </w:pPr>
      <w:r>
        <w:rPr>
          <w:rFonts w:eastAsia="Arial" w:cs="Arial"/>
          <w:sz w:val="21"/>
          <w:szCs w:val="21"/>
        </w:rPr>
        <w:t>Record Retention &amp; Destruction Schedule</w:t>
      </w:r>
    </w:p>
    <w:p>
      <w:pPr>
        <w:pStyle w:val="ListParagraph"/>
        <w:numPr>
          <w:ilvl w:val="0"/>
          <w:numId w:val="1"/>
        </w:numPr>
        <w:spacing w:lineRule="exact" w:line="264" w:before="0" w:after="60"/>
        <w:rPr/>
      </w:pPr>
      <w:r>
        <w:rPr>
          <w:rFonts w:eastAsia="Arial" w:cs="Arial"/>
          <w:sz w:val="21"/>
          <w:szCs w:val="21"/>
        </w:rPr>
        <w:t>Quality Improvement Plan</w:t>
      </w:r>
    </w:p>
    <w:p>
      <w:pPr>
        <w:pStyle w:val="ListParagraph"/>
        <w:numPr>
          <w:ilvl w:val="0"/>
          <w:numId w:val="1"/>
        </w:numPr>
        <w:spacing w:lineRule="exact" w:line="264" w:before="0" w:after="60"/>
        <w:rPr/>
      </w:pPr>
      <w:r>
        <w:rPr>
          <w:rFonts w:eastAsia="Arial" w:cs="Arial"/>
          <w:sz w:val="21"/>
          <w:szCs w:val="21"/>
        </w:rPr>
        <w:t>Risk Management Record</w:t>
      </w:r>
    </w:p>
    <w:p>
      <w:pPr>
        <w:pStyle w:val="ListParagraph"/>
        <w:numPr>
          <w:ilvl w:val="0"/>
          <w:numId w:val="1"/>
        </w:numPr>
        <w:spacing w:lineRule="exact" w:line="264" w:before="0" w:after="60"/>
        <w:rPr/>
      </w:pPr>
      <w:r>
        <w:rPr>
          <w:rFonts w:eastAsia="Arial" w:cs="Arial"/>
          <w:sz w:val="21"/>
          <w:szCs w:val="21"/>
        </w:rPr>
        <w:t>Corrective Action Record</w:t>
      </w:r>
    </w:p>
    <w:p>
      <w:pPr>
        <w:pStyle w:val="ListParagraph"/>
        <w:numPr>
          <w:ilvl w:val="0"/>
          <w:numId w:val="1"/>
        </w:numPr>
        <w:spacing w:lineRule="exact" w:line="264" w:before="0" w:after="60"/>
        <w:rPr/>
      </w:pPr>
      <w:r>
        <w:rPr>
          <w:rFonts w:eastAsia="Arial" w:cs="Arial"/>
          <w:sz w:val="21"/>
          <w:szCs w:val="21"/>
        </w:rPr>
        <w:t>Serious Incident Report</w:t>
      </w:r>
    </w:p>
    <w:p>
      <w:pPr>
        <w:pStyle w:val="ListParagraph"/>
        <w:numPr>
          <w:ilvl w:val="0"/>
          <w:numId w:val="1"/>
        </w:numPr>
        <w:spacing w:lineRule="exact" w:line="264" w:before="0" w:after="60"/>
        <w:rPr/>
      </w:pPr>
      <w:r>
        <w:rPr>
          <w:rFonts w:eastAsia="Arial" w:cs="Arial"/>
          <w:sz w:val="21"/>
          <w:szCs w:val="21"/>
        </w:rPr>
        <w:t>Root Cause Analysis Record</w:t>
      </w:r>
    </w:p>
    <w:p>
      <w:pPr>
        <w:pStyle w:val="ListParagraph"/>
        <w:numPr>
          <w:ilvl w:val="0"/>
          <w:numId w:val="1"/>
        </w:numPr>
        <w:spacing w:lineRule="exact" w:line="264" w:before="0" w:after="60"/>
        <w:rPr/>
      </w:pPr>
      <w:r>
        <w:rPr>
          <w:rFonts w:eastAsia="Arial" w:cs="Arial"/>
          <w:sz w:val="21"/>
          <w:szCs w:val="21"/>
        </w:rPr>
        <w:t>Incident Data Review Record</w:t>
      </w:r>
    </w:p>
    <w:p>
      <w:pPr>
        <w:pStyle w:val="Normal"/>
        <w:spacing w:before="140" w:after="40"/>
        <w:rPr/>
      </w:pPr>
      <w:r>
        <w:rPr>
          <w:rFonts w:eastAsia="Arial" w:cs="Arial"/>
          <w:b/>
          <w:bCs/>
          <w:color w:val="333333"/>
          <w:sz w:val="21"/>
          <w:szCs w:val="21"/>
        </w:rPr>
        <w:t>Section B — Personnel &amp; Staffing</w:t>
      </w:r>
    </w:p>
    <w:p>
      <w:pPr>
        <w:pStyle w:val="ListParagraph"/>
        <w:numPr>
          <w:ilvl w:val="0"/>
          <w:numId w:val="1"/>
        </w:numPr>
        <w:spacing w:lineRule="exact" w:line="264" w:before="0" w:after="60"/>
        <w:rPr/>
      </w:pPr>
      <w:r>
        <w:rPr>
          <w:rFonts w:eastAsia="Arial" w:cs="Arial"/>
          <w:sz w:val="21"/>
          <w:szCs w:val="21"/>
        </w:rPr>
        <w:t>Staffing Plan &amp; Coverage Schedule</w:t>
      </w:r>
    </w:p>
    <w:p>
      <w:pPr>
        <w:pStyle w:val="ListParagraph"/>
        <w:numPr>
          <w:ilvl w:val="0"/>
          <w:numId w:val="1"/>
        </w:numPr>
        <w:spacing w:lineRule="exact" w:line="264" w:before="0" w:after="60"/>
        <w:rPr/>
      </w:pPr>
      <w:r>
        <w:rPr>
          <w:rFonts w:eastAsia="Arial" w:cs="Arial"/>
          <w:sz w:val="21"/>
          <w:szCs w:val="21"/>
        </w:rPr>
        <w:t>Supervision of Students &amp; Volunteers Record</w:t>
      </w:r>
    </w:p>
    <w:p>
      <w:pPr>
        <w:pStyle w:val="ListParagraph"/>
        <w:numPr>
          <w:ilvl w:val="0"/>
          <w:numId w:val="1"/>
        </w:numPr>
        <w:spacing w:lineRule="exact" w:line="264" w:before="0" w:after="60"/>
        <w:rPr/>
      </w:pPr>
      <w:r>
        <w:rPr>
          <w:rFonts w:eastAsia="Arial" w:cs="Arial"/>
          <w:sz w:val="21"/>
          <w:szCs w:val="21"/>
        </w:rPr>
        <w:t>Credential Verification Record</w:t>
      </w:r>
    </w:p>
    <w:p>
      <w:pPr>
        <w:pStyle w:val="ListParagraph"/>
        <w:numPr>
          <w:ilvl w:val="0"/>
          <w:numId w:val="1"/>
        </w:numPr>
        <w:spacing w:lineRule="exact" w:line="264" w:before="0" w:after="60"/>
        <w:rPr/>
      </w:pPr>
      <w:r>
        <w:rPr>
          <w:rFonts w:eastAsia="Arial" w:cs="Arial"/>
          <w:sz w:val="21"/>
          <w:szCs w:val="21"/>
        </w:rPr>
        <w:t>Job Descriptions (per role)</w:t>
      </w:r>
    </w:p>
    <w:p>
      <w:pPr>
        <w:pStyle w:val="ListParagraph"/>
        <w:numPr>
          <w:ilvl w:val="0"/>
          <w:numId w:val="1"/>
        </w:numPr>
        <w:spacing w:lineRule="exact" w:line="264" w:before="0" w:after="60"/>
        <w:rPr/>
      </w:pPr>
      <w:r>
        <w:rPr>
          <w:rFonts w:eastAsia="Arial" w:cs="Arial"/>
          <w:sz w:val="21"/>
          <w:szCs w:val="21"/>
        </w:rPr>
        <w:t>Scope-of-Practice &amp; Supervision Roster</w:t>
      </w:r>
    </w:p>
    <w:p>
      <w:pPr>
        <w:pStyle w:val="ListParagraph"/>
        <w:numPr>
          <w:ilvl w:val="0"/>
          <w:numId w:val="1"/>
        </w:numPr>
        <w:spacing w:lineRule="exact" w:line="264" w:before="0" w:after="60"/>
        <w:rPr/>
      </w:pPr>
      <w:r>
        <w:rPr>
          <w:rFonts w:eastAsia="Arial" w:cs="Arial"/>
          <w:sz w:val="21"/>
          <w:szCs w:val="21"/>
        </w:rPr>
        <w:t>Clinical Supervision Assignment Record</w:t>
      </w:r>
    </w:p>
    <w:p>
      <w:pPr>
        <w:pStyle w:val="ListParagraph"/>
        <w:numPr>
          <w:ilvl w:val="0"/>
          <w:numId w:val="1"/>
        </w:numPr>
        <w:spacing w:lineRule="exact" w:line="264" w:before="0" w:after="60"/>
        <w:rPr/>
      </w:pPr>
      <w:r>
        <w:rPr>
          <w:rFonts w:eastAsia="Arial" w:cs="Arial"/>
          <w:sz w:val="21"/>
          <w:szCs w:val="21"/>
        </w:rPr>
        <w:t>Supervision Log</w:t>
      </w:r>
    </w:p>
    <w:p>
      <w:pPr>
        <w:pStyle w:val="ListParagraph"/>
        <w:numPr>
          <w:ilvl w:val="0"/>
          <w:numId w:val="1"/>
        </w:numPr>
        <w:spacing w:lineRule="exact" w:line="264" w:before="0" w:after="60"/>
        <w:rPr/>
      </w:pPr>
      <w:r>
        <w:rPr>
          <w:rFonts w:eastAsia="Arial" w:cs="Arial"/>
          <w:sz w:val="21"/>
          <w:szCs w:val="21"/>
        </w:rPr>
        <w:t>Orientation Checklist &amp; Acknowledgment</w:t>
      </w:r>
    </w:p>
    <w:p>
      <w:pPr>
        <w:pStyle w:val="ListParagraph"/>
        <w:numPr>
          <w:ilvl w:val="0"/>
          <w:numId w:val="1"/>
        </w:numPr>
        <w:spacing w:lineRule="exact" w:line="264" w:before="0" w:after="60"/>
        <w:rPr/>
      </w:pPr>
      <w:r>
        <w:rPr>
          <w:rFonts w:eastAsia="Arial" w:cs="Arial"/>
          <w:sz w:val="21"/>
          <w:szCs w:val="21"/>
        </w:rPr>
        <w:t>Annual Training Plan</w:t>
      </w:r>
    </w:p>
    <w:p>
      <w:pPr>
        <w:pStyle w:val="ListParagraph"/>
        <w:numPr>
          <w:ilvl w:val="0"/>
          <w:numId w:val="1"/>
        </w:numPr>
        <w:spacing w:lineRule="exact" w:line="264" w:before="0" w:after="60"/>
        <w:rPr/>
      </w:pPr>
      <w:r>
        <w:rPr>
          <w:rFonts w:eastAsia="Arial" w:cs="Arial"/>
          <w:sz w:val="21"/>
          <w:szCs w:val="21"/>
        </w:rPr>
        <w:t>Training Attendance &amp; Documentation Log</w:t>
      </w:r>
    </w:p>
    <w:p>
      <w:pPr>
        <w:pStyle w:val="ListParagraph"/>
        <w:numPr>
          <w:ilvl w:val="0"/>
          <w:numId w:val="1"/>
        </w:numPr>
        <w:spacing w:lineRule="exact" w:line="264" w:before="0" w:after="60"/>
        <w:rPr/>
      </w:pPr>
      <w:r>
        <w:rPr>
          <w:rFonts w:eastAsia="Arial" w:cs="Arial"/>
          <w:sz w:val="21"/>
          <w:szCs w:val="21"/>
        </w:rPr>
        <w:t>Background Investigation Record</w:t>
      </w:r>
    </w:p>
    <w:p>
      <w:pPr>
        <w:pStyle w:val="ListParagraph"/>
        <w:numPr>
          <w:ilvl w:val="0"/>
          <w:numId w:val="1"/>
        </w:numPr>
        <w:spacing w:lineRule="exact" w:line="264" w:before="0" w:after="60"/>
        <w:rPr/>
      </w:pPr>
      <w:r>
        <w:rPr>
          <w:rFonts w:eastAsia="Arial" w:cs="Arial"/>
          <w:sz w:val="21"/>
          <w:szCs w:val="21"/>
        </w:rPr>
        <w:t>Barrier-Crime / Eligibility Determination</w:t>
      </w:r>
    </w:p>
    <w:p>
      <w:pPr>
        <w:pStyle w:val="Normal"/>
        <w:spacing w:before="140" w:after="40"/>
        <w:rPr/>
      </w:pPr>
      <w:r>
        <w:rPr>
          <w:rFonts w:eastAsia="Arial" w:cs="Arial"/>
          <w:b/>
          <w:bCs/>
          <w:color w:val="333333"/>
          <w:sz w:val="21"/>
          <w:szCs w:val="21"/>
        </w:rPr>
        <w:t>Section C — Individual Rights &amp; Protection</w:t>
      </w:r>
    </w:p>
    <w:p>
      <w:pPr>
        <w:pStyle w:val="ListParagraph"/>
        <w:numPr>
          <w:ilvl w:val="0"/>
          <w:numId w:val="1"/>
        </w:numPr>
        <w:spacing w:lineRule="exact" w:line="264" w:before="0" w:after="60"/>
        <w:rPr/>
      </w:pPr>
      <w:r>
        <w:rPr>
          <w:rFonts w:eastAsia="Arial" w:cs="Arial"/>
          <w:sz w:val="21"/>
          <w:szCs w:val="21"/>
        </w:rPr>
        <w:t>Notification of Human Rights</w:t>
      </w:r>
    </w:p>
    <w:p>
      <w:pPr>
        <w:pStyle w:val="ListParagraph"/>
        <w:numPr>
          <w:ilvl w:val="0"/>
          <w:numId w:val="1"/>
        </w:numPr>
        <w:spacing w:lineRule="exact" w:line="264" w:before="0" w:after="60"/>
        <w:rPr/>
      </w:pPr>
      <w:r>
        <w:rPr>
          <w:rFonts w:eastAsia="Arial" w:cs="Arial"/>
          <w:sz w:val="21"/>
          <w:szCs w:val="21"/>
        </w:rPr>
        <w:t>Informed Consent Record</w:t>
      </w:r>
    </w:p>
    <w:p>
      <w:pPr>
        <w:pStyle w:val="ListParagraph"/>
        <w:numPr>
          <w:ilvl w:val="0"/>
          <w:numId w:val="1"/>
        </w:numPr>
        <w:spacing w:lineRule="exact" w:line="264" w:before="0" w:after="60"/>
        <w:rPr/>
      </w:pPr>
      <w:r>
        <w:rPr>
          <w:rFonts w:eastAsia="Arial" w:cs="Arial"/>
          <w:sz w:val="21"/>
          <w:szCs w:val="21"/>
        </w:rPr>
        <w:t>Human Rights Advocate Contact Information</w:t>
      </w:r>
    </w:p>
    <w:p>
      <w:pPr>
        <w:pStyle w:val="ListParagraph"/>
        <w:numPr>
          <w:ilvl w:val="0"/>
          <w:numId w:val="1"/>
        </w:numPr>
        <w:spacing w:lineRule="exact" w:line="264" w:before="0" w:after="60"/>
        <w:rPr/>
      </w:pPr>
      <w:r>
        <w:rPr>
          <w:rFonts w:eastAsia="Arial" w:cs="Arial"/>
          <w:sz w:val="21"/>
          <w:szCs w:val="21"/>
        </w:rPr>
        <w:t>42 CFR Part 2 Consent to Disclosure</w:t>
      </w:r>
    </w:p>
    <w:p>
      <w:pPr>
        <w:pStyle w:val="ListParagraph"/>
        <w:numPr>
          <w:ilvl w:val="0"/>
          <w:numId w:val="1"/>
        </w:numPr>
        <w:spacing w:lineRule="exact" w:line="264" w:before="0" w:after="60"/>
        <w:rPr/>
      </w:pPr>
      <w:r>
        <w:rPr>
          <w:rFonts w:eastAsia="Arial" w:cs="Arial"/>
          <w:sz w:val="21"/>
          <w:szCs w:val="21"/>
        </w:rPr>
        <w:t>Release-of-Information Log</w:t>
      </w:r>
    </w:p>
    <w:p>
      <w:pPr>
        <w:pStyle w:val="ListParagraph"/>
        <w:numPr>
          <w:ilvl w:val="0"/>
          <w:numId w:val="1"/>
        </w:numPr>
        <w:spacing w:lineRule="exact" w:line="264" w:before="0" w:after="60"/>
        <w:rPr/>
      </w:pPr>
      <w:r>
        <w:rPr>
          <w:rFonts w:eastAsia="Arial" w:cs="Arial"/>
          <w:sz w:val="21"/>
          <w:szCs w:val="21"/>
        </w:rPr>
        <w:t>Notice of Privacy Practices</w:t>
      </w:r>
    </w:p>
    <w:p>
      <w:pPr>
        <w:pStyle w:val="ListParagraph"/>
        <w:numPr>
          <w:ilvl w:val="0"/>
          <w:numId w:val="1"/>
        </w:numPr>
        <w:spacing w:lineRule="exact" w:line="264" w:before="0" w:after="60"/>
        <w:rPr/>
      </w:pPr>
      <w:r>
        <w:rPr>
          <w:rFonts w:eastAsia="Arial" w:cs="Arial"/>
          <w:sz w:val="21"/>
          <w:szCs w:val="21"/>
        </w:rPr>
        <w:t>Qualified Service Organization / Business Associate Agreement</w:t>
      </w:r>
    </w:p>
    <w:p>
      <w:pPr>
        <w:pStyle w:val="ListParagraph"/>
        <w:numPr>
          <w:ilvl w:val="0"/>
          <w:numId w:val="1"/>
        </w:numPr>
        <w:spacing w:lineRule="exact" w:line="264" w:before="0" w:after="60"/>
        <w:rPr/>
      </w:pPr>
      <w:r>
        <w:rPr>
          <w:rFonts w:eastAsia="Arial" w:cs="Arial"/>
          <w:sz w:val="21"/>
          <w:szCs w:val="21"/>
        </w:rPr>
        <w:t>Behavior Intervention / Support Plan</w:t>
      </w:r>
    </w:p>
    <w:p>
      <w:pPr>
        <w:pStyle w:val="ListParagraph"/>
        <w:numPr>
          <w:ilvl w:val="0"/>
          <w:numId w:val="1"/>
        </w:numPr>
        <w:spacing w:lineRule="exact" w:line="264" w:before="0" w:after="60"/>
        <w:rPr/>
      </w:pPr>
      <w:r>
        <w:rPr>
          <w:rFonts w:eastAsia="Arial" w:cs="Arial"/>
          <w:sz w:val="21"/>
          <w:szCs w:val="21"/>
        </w:rPr>
        <w:t>Seclusion / Restraint Documentation &amp; Review</w:t>
      </w:r>
    </w:p>
    <w:p>
      <w:pPr>
        <w:pStyle w:val="ListParagraph"/>
        <w:numPr>
          <w:ilvl w:val="0"/>
          <w:numId w:val="1"/>
        </w:numPr>
        <w:spacing w:lineRule="exact" w:line="264" w:before="0" w:after="60"/>
        <w:rPr/>
      </w:pPr>
      <w:r>
        <w:rPr>
          <w:rFonts w:eastAsia="Arial" w:cs="Arial"/>
          <w:sz w:val="21"/>
          <w:szCs w:val="21"/>
        </w:rPr>
        <w:t>Complaint / Appeal Form &amp; Log</w:t>
      </w:r>
    </w:p>
    <w:p>
      <w:pPr>
        <w:pStyle w:val="ListParagraph"/>
        <w:numPr>
          <w:ilvl w:val="0"/>
          <w:numId w:val="1"/>
        </w:numPr>
        <w:spacing w:lineRule="exact" w:line="264" w:before="0" w:after="60"/>
        <w:rPr/>
      </w:pPr>
      <w:r>
        <w:rPr>
          <w:rFonts w:eastAsia="Arial" w:cs="Arial"/>
          <w:sz w:val="21"/>
          <w:szCs w:val="21"/>
        </w:rPr>
        <w:t>Complaint Resolution Record</w:t>
      </w:r>
    </w:p>
    <w:p>
      <w:pPr>
        <w:pStyle w:val="ListParagraph"/>
        <w:numPr>
          <w:ilvl w:val="0"/>
          <w:numId w:val="1"/>
        </w:numPr>
        <w:spacing w:lineRule="exact" w:line="264" w:before="0" w:after="60"/>
        <w:rPr/>
      </w:pPr>
      <w:r>
        <w:rPr>
          <w:rFonts w:eastAsia="Arial" w:cs="Arial"/>
          <w:sz w:val="21"/>
          <w:szCs w:val="21"/>
        </w:rPr>
        <w:t>Suspected Abuse/Neglect/Exploitation Report</w:t>
      </w:r>
    </w:p>
    <w:p>
      <w:pPr>
        <w:pStyle w:val="ListParagraph"/>
        <w:numPr>
          <w:ilvl w:val="0"/>
          <w:numId w:val="1"/>
        </w:numPr>
        <w:spacing w:lineRule="exact" w:line="264" w:before="0" w:after="60"/>
        <w:rPr/>
      </w:pPr>
      <w:r>
        <w:rPr>
          <w:rFonts w:eastAsia="Arial" w:cs="Arial"/>
          <w:sz w:val="21"/>
          <w:szCs w:val="21"/>
        </w:rPr>
        <w:t>Protective Action Record</w:t>
      </w:r>
    </w:p>
    <w:p>
      <w:pPr>
        <w:pStyle w:val="Normal"/>
        <w:spacing w:before="140" w:after="40"/>
        <w:rPr/>
      </w:pPr>
      <w:r>
        <w:rPr>
          <w:rFonts w:eastAsia="Arial" w:cs="Arial"/>
          <w:b/>
          <w:bCs/>
          <w:color w:val="333333"/>
          <w:sz w:val="21"/>
          <w:szCs w:val="21"/>
        </w:rPr>
        <w:t>Section D — Assessment, Services &amp; Documentation</w:t>
      </w:r>
    </w:p>
    <w:p>
      <w:pPr>
        <w:pStyle w:val="ListParagraph"/>
        <w:numPr>
          <w:ilvl w:val="0"/>
          <w:numId w:val="1"/>
        </w:numPr>
        <w:spacing w:lineRule="exact" w:line="264" w:before="0" w:after="60"/>
        <w:rPr/>
      </w:pPr>
      <w:r>
        <w:rPr>
          <w:rFonts w:eastAsia="Arial" w:cs="Arial"/>
          <w:sz w:val="21"/>
          <w:szCs w:val="21"/>
        </w:rPr>
        <w:t>Screening &amp; Level-of-Care Determination</w:t>
      </w:r>
    </w:p>
    <w:p>
      <w:pPr>
        <w:pStyle w:val="ListParagraph"/>
        <w:numPr>
          <w:ilvl w:val="0"/>
          <w:numId w:val="1"/>
        </w:numPr>
        <w:spacing w:lineRule="exact" w:line="264" w:before="0" w:after="60"/>
        <w:rPr/>
      </w:pPr>
      <w:r>
        <w:rPr>
          <w:rFonts w:eastAsia="Arial" w:cs="Arial"/>
          <w:sz w:val="21"/>
          <w:szCs w:val="21"/>
        </w:rPr>
        <w:t>Consent to Treatment &amp; Authorization</w:t>
      </w:r>
    </w:p>
    <w:p>
      <w:pPr>
        <w:pStyle w:val="ListParagraph"/>
        <w:numPr>
          <w:ilvl w:val="0"/>
          <w:numId w:val="1"/>
        </w:numPr>
        <w:spacing w:lineRule="exact" w:line="264" w:before="0" w:after="60"/>
        <w:rPr/>
      </w:pPr>
      <w:r>
        <w:rPr>
          <w:rFonts w:eastAsia="Arial" w:cs="Arial"/>
          <w:sz w:val="21"/>
          <w:szCs w:val="21"/>
        </w:rPr>
        <w:t>Referral Record</w:t>
      </w:r>
    </w:p>
    <w:p>
      <w:pPr>
        <w:pStyle w:val="ListParagraph"/>
        <w:numPr>
          <w:ilvl w:val="0"/>
          <w:numId w:val="1"/>
        </w:numPr>
        <w:spacing w:lineRule="exact" w:line="264" w:before="0" w:after="60"/>
        <w:rPr/>
      </w:pPr>
      <w:r>
        <w:rPr>
          <w:rFonts w:eastAsia="Arial" w:cs="Arial"/>
          <w:sz w:val="21"/>
          <w:szCs w:val="21"/>
        </w:rPr>
        <w:t>Assessment</w:t>
      </w:r>
    </w:p>
    <w:p>
      <w:pPr>
        <w:pStyle w:val="ListParagraph"/>
        <w:numPr>
          <w:ilvl w:val="0"/>
          <w:numId w:val="1"/>
        </w:numPr>
        <w:spacing w:lineRule="exact" w:line="264" w:before="0" w:after="60"/>
        <w:rPr/>
      </w:pPr>
      <w:r>
        <w:rPr>
          <w:rFonts w:eastAsia="Arial" w:cs="Arial"/>
          <w:sz w:val="21"/>
          <w:szCs w:val="21"/>
        </w:rPr>
        <w:t>ASAM Level-of-Care Determination</w:t>
      </w:r>
    </w:p>
    <w:p>
      <w:pPr>
        <w:pStyle w:val="ListParagraph"/>
        <w:numPr>
          <w:ilvl w:val="0"/>
          <w:numId w:val="1"/>
        </w:numPr>
        <w:spacing w:lineRule="exact" w:line="264" w:before="0" w:after="60"/>
        <w:rPr/>
      </w:pPr>
      <w:r>
        <w:rPr>
          <w:rFonts w:eastAsia="Arial" w:cs="Arial"/>
          <w:sz w:val="21"/>
          <w:szCs w:val="21"/>
        </w:rPr>
        <w:t>Individualized Services Plan (ISP)</w:t>
      </w:r>
    </w:p>
    <w:p>
      <w:pPr>
        <w:pStyle w:val="ListParagraph"/>
        <w:numPr>
          <w:ilvl w:val="0"/>
          <w:numId w:val="1"/>
        </w:numPr>
        <w:spacing w:lineRule="exact" w:line="264" w:before="0" w:after="60"/>
        <w:rPr/>
      </w:pPr>
      <w:r>
        <w:rPr>
          <w:rFonts w:eastAsia="Arial" w:cs="Arial"/>
          <w:sz w:val="21"/>
          <w:szCs w:val="21"/>
        </w:rPr>
        <w:t>ISP Review &amp; Revision Record</w:t>
      </w:r>
    </w:p>
    <w:p>
      <w:pPr>
        <w:pStyle w:val="ListParagraph"/>
        <w:numPr>
          <w:ilvl w:val="0"/>
          <w:numId w:val="1"/>
        </w:numPr>
        <w:spacing w:lineRule="exact" w:line="264" w:before="0" w:after="60"/>
        <w:rPr/>
      </w:pPr>
      <w:r>
        <w:rPr>
          <w:rFonts w:eastAsia="Arial" w:cs="Arial"/>
          <w:sz w:val="21"/>
          <w:szCs w:val="21"/>
        </w:rPr>
        <w:t>Individual Participation Record</w:t>
      </w:r>
    </w:p>
    <w:p>
      <w:pPr>
        <w:pStyle w:val="ListParagraph"/>
        <w:numPr>
          <w:ilvl w:val="0"/>
          <w:numId w:val="1"/>
        </w:numPr>
        <w:spacing w:lineRule="exact" w:line="264" w:before="0" w:after="60"/>
        <w:rPr/>
      </w:pPr>
      <w:r>
        <w:rPr>
          <w:rFonts w:eastAsia="Arial" w:cs="Arial"/>
          <w:sz w:val="21"/>
          <w:szCs w:val="21"/>
        </w:rPr>
        <w:t>Progress Note Template</w:t>
      </w:r>
    </w:p>
    <w:p>
      <w:pPr>
        <w:pStyle w:val="ListParagraph"/>
        <w:numPr>
          <w:ilvl w:val="0"/>
          <w:numId w:val="1"/>
        </w:numPr>
        <w:spacing w:lineRule="exact" w:line="264" w:before="0" w:after="60"/>
        <w:rPr/>
      </w:pPr>
      <w:r>
        <w:rPr>
          <w:rFonts w:eastAsia="Arial" w:cs="Arial"/>
          <w:sz w:val="21"/>
          <w:szCs w:val="21"/>
        </w:rPr>
        <w:t>Individual Record Index / Chart Order</w:t>
      </w:r>
    </w:p>
    <w:p>
      <w:pPr>
        <w:pStyle w:val="ListParagraph"/>
        <w:numPr>
          <w:ilvl w:val="0"/>
          <w:numId w:val="1"/>
        </w:numPr>
        <w:spacing w:lineRule="exact" w:line="264" w:before="0" w:after="60"/>
        <w:rPr/>
      </w:pPr>
      <w:r>
        <w:rPr>
          <w:rFonts w:eastAsia="Arial" w:cs="Arial"/>
          <w:sz w:val="21"/>
          <w:szCs w:val="21"/>
        </w:rPr>
        <w:t>Health Care Coordination / Referral Record</w:t>
      </w:r>
    </w:p>
    <w:p>
      <w:pPr>
        <w:pStyle w:val="ListParagraph"/>
        <w:numPr>
          <w:ilvl w:val="0"/>
          <w:numId w:val="1"/>
        </w:numPr>
        <w:spacing w:lineRule="exact" w:line="264" w:before="0" w:after="60"/>
        <w:rPr/>
      </w:pPr>
      <w:r>
        <w:rPr>
          <w:rFonts w:eastAsia="Arial" w:cs="Arial"/>
          <w:sz w:val="21"/>
          <w:szCs w:val="21"/>
        </w:rPr>
        <w:t>Discharge Summary &amp; Continuity-of-Care Plan</w:t>
      </w:r>
    </w:p>
    <w:p>
      <w:pPr>
        <w:pStyle w:val="Normal"/>
        <w:spacing w:before="140" w:after="40"/>
        <w:rPr/>
      </w:pPr>
      <w:r>
        <w:rPr>
          <w:rFonts w:eastAsia="Arial" w:cs="Arial"/>
          <w:b/>
          <w:bCs/>
          <w:color w:val="333333"/>
          <w:sz w:val="21"/>
          <w:szCs w:val="21"/>
        </w:rPr>
        <w:t>Section E — Setting, Safety &amp; Health</w:t>
      </w:r>
    </w:p>
    <w:p>
      <w:pPr>
        <w:pStyle w:val="ListParagraph"/>
        <w:numPr>
          <w:ilvl w:val="0"/>
          <w:numId w:val="1"/>
        </w:numPr>
        <w:spacing w:lineRule="exact" w:line="264" w:before="0" w:after="60"/>
        <w:rPr/>
      </w:pPr>
      <w:r>
        <w:rPr>
          <w:rFonts w:eastAsia="Arial" w:cs="Arial"/>
          <w:sz w:val="21"/>
          <w:szCs w:val="21"/>
        </w:rPr>
        <w:t>Environmental Safety Inspection Checklist</w:t>
      </w:r>
    </w:p>
    <w:p>
      <w:pPr>
        <w:pStyle w:val="ListParagraph"/>
        <w:numPr>
          <w:ilvl w:val="0"/>
          <w:numId w:val="1"/>
        </w:numPr>
        <w:spacing w:lineRule="exact" w:line="264" w:before="0" w:after="60"/>
        <w:rPr/>
      </w:pPr>
      <w:r>
        <w:rPr>
          <w:rFonts w:eastAsia="Arial" w:cs="Arial"/>
          <w:sz w:val="21"/>
          <w:szCs w:val="21"/>
        </w:rPr>
        <w:t>Building, Fire &amp; Health Approvals</w:t>
      </w:r>
    </w:p>
    <w:p>
      <w:pPr>
        <w:pStyle w:val="ListParagraph"/>
        <w:numPr>
          <w:ilvl w:val="0"/>
          <w:numId w:val="1"/>
        </w:numPr>
        <w:spacing w:lineRule="exact" w:line="264" w:before="0" w:after="60"/>
        <w:rPr/>
      </w:pPr>
      <w:r>
        <w:rPr>
          <w:rFonts w:eastAsia="Arial" w:cs="Arial"/>
          <w:sz w:val="21"/>
          <w:szCs w:val="21"/>
        </w:rPr>
        <w:t>Maintenance &amp; Repair Log</w:t>
      </w:r>
    </w:p>
    <w:p>
      <w:pPr>
        <w:pStyle w:val="ListParagraph"/>
        <w:numPr>
          <w:ilvl w:val="0"/>
          <w:numId w:val="1"/>
        </w:numPr>
        <w:spacing w:lineRule="exact" w:line="264" w:before="0" w:after="60"/>
        <w:rPr/>
      </w:pPr>
      <w:r>
        <w:rPr>
          <w:rFonts w:eastAsia="Arial" w:cs="Arial"/>
          <w:sz w:val="21"/>
          <w:szCs w:val="21"/>
        </w:rPr>
        <w:t>Medication Administration Record</w:t>
      </w:r>
    </w:p>
    <w:p>
      <w:pPr>
        <w:pStyle w:val="ListParagraph"/>
        <w:numPr>
          <w:ilvl w:val="0"/>
          <w:numId w:val="1"/>
        </w:numPr>
        <w:spacing w:lineRule="exact" w:line="264" w:before="0" w:after="60"/>
        <w:rPr/>
      </w:pPr>
      <w:r>
        <w:rPr>
          <w:rFonts w:eastAsia="Arial" w:cs="Arial"/>
          <w:sz w:val="21"/>
          <w:szCs w:val="21"/>
        </w:rPr>
        <w:t>Controlled-Substance Storage &amp; Inventory Log</w:t>
      </w:r>
    </w:p>
    <w:p>
      <w:pPr>
        <w:pStyle w:val="ListParagraph"/>
        <w:numPr>
          <w:ilvl w:val="0"/>
          <w:numId w:val="1"/>
        </w:numPr>
        <w:spacing w:lineRule="exact" w:line="264" w:before="0" w:after="60"/>
        <w:rPr/>
      </w:pPr>
      <w:r>
        <w:rPr>
          <w:rFonts w:eastAsia="Arial" w:cs="Arial"/>
          <w:sz w:val="21"/>
          <w:szCs w:val="21"/>
        </w:rPr>
        <w:t>Medication Error / Adverse Reaction Report</w:t>
      </w:r>
    </w:p>
    <w:p>
      <w:pPr>
        <w:pStyle w:val="ListParagraph"/>
        <w:numPr>
          <w:ilvl w:val="0"/>
          <w:numId w:val="1"/>
        </w:numPr>
        <w:spacing w:lineRule="exact" w:line="264" w:before="0" w:after="60"/>
        <w:rPr/>
      </w:pPr>
      <w:r>
        <w:rPr>
          <w:rFonts w:eastAsia="Arial" w:cs="Arial"/>
          <w:sz w:val="21"/>
          <w:szCs w:val="21"/>
        </w:rPr>
        <w:t>Emergency Preparedness Plan &amp; Drill Log</w:t>
      </w:r>
    </w:p>
    <w:p>
      <w:pPr>
        <w:pStyle w:val="ListParagraph"/>
        <w:numPr>
          <w:ilvl w:val="0"/>
          <w:numId w:val="1"/>
        </w:numPr>
        <w:spacing w:lineRule="exact" w:line="264" w:before="0" w:after="60"/>
        <w:rPr/>
      </w:pPr>
      <w:r>
        <w:rPr>
          <w:rFonts w:eastAsia="Arial" w:cs="Arial"/>
          <w:sz w:val="21"/>
          <w:szCs w:val="21"/>
        </w:rPr>
        <w:t>Overdose Response / Naloxone Procedure</w:t>
      </w:r>
    </w:p>
    <w:p>
      <w:pPr>
        <w:pStyle w:val="ListParagraph"/>
        <w:numPr>
          <w:ilvl w:val="0"/>
          <w:numId w:val="1"/>
        </w:numPr>
        <w:spacing w:lineRule="exact" w:line="264" w:before="0" w:after="60"/>
        <w:rPr/>
      </w:pPr>
      <w:r>
        <w:rPr>
          <w:rFonts w:eastAsia="Arial" w:cs="Arial"/>
          <w:sz w:val="21"/>
          <w:szCs w:val="21"/>
        </w:rPr>
        <w:t>Infection Control Plan &amp; Standard Precautions</w:t>
      </w:r>
    </w:p>
    <w:p>
      <w:pPr>
        <w:pStyle w:val="ListParagraph"/>
        <w:numPr>
          <w:ilvl w:val="0"/>
          <w:numId w:val="1"/>
        </w:numPr>
        <w:spacing w:lineRule="exact" w:line="264" w:before="0" w:after="60"/>
        <w:rPr/>
      </w:pPr>
      <w:r>
        <w:rPr>
          <w:rFonts w:eastAsia="Arial" w:cs="Arial"/>
          <w:sz w:val="21"/>
          <w:szCs w:val="21"/>
        </w:rPr>
        <w:t>Biohazardous Waste Handling Record</w:t>
      </w:r>
    </w:p>
    <w:p>
      <w:pPr>
        <w:pStyle w:val="ListParagraph"/>
        <w:numPr>
          <w:ilvl w:val="0"/>
          <w:numId w:val="1"/>
        </w:numPr>
        <w:spacing w:lineRule="exact" w:line="264" w:before="0" w:after="60"/>
        <w:rPr/>
      </w:pPr>
      <w:r>
        <w:rPr>
          <w:rFonts w:eastAsia="Arial" w:cs="Arial"/>
          <w:sz w:val="21"/>
          <w:szCs w:val="21"/>
        </w:rPr>
        <w:t>Menu &amp; Nutrition Plan</w:t>
      </w:r>
    </w:p>
    <w:p>
      <w:pPr>
        <w:pStyle w:val="ListParagraph"/>
        <w:numPr>
          <w:ilvl w:val="0"/>
          <w:numId w:val="1"/>
        </w:numPr>
        <w:spacing w:lineRule="exact" w:line="264" w:before="0" w:after="60"/>
        <w:rPr/>
      </w:pPr>
      <w:r>
        <w:rPr>
          <w:rFonts w:eastAsia="Arial" w:cs="Arial"/>
          <w:sz w:val="21"/>
          <w:szCs w:val="21"/>
        </w:rPr>
        <w:t>Food-Service Sanitation Log</w:t>
      </w:r>
    </w:p>
    <w:p>
      <w:pPr>
        <w:pStyle w:val="Normal"/>
        <w:spacing w:before="140" w:after="40"/>
        <w:rPr/>
      </w:pPr>
      <w:r>
        <w:rPr>
          <w:rFonts w:eastAsia="Arial" w:cs="Arial"/>
          <w:b/>
          <w:bCs/>
          <w:color w:val="333333"/>
          <w:sz w:val="21"/>
          <w:szCs w:val="21"/>
        </w:rPr>
        <w:t>Section F — Service-Type Standards (ASAM Continuum)</w:t>
      </w:r>
    </w:p>
    <w:p>
      <w:pPr>
        <w:pStyle w:val="ListParagraph"/>
        <w:numPr>
          <w:ilvl w:val="0"/>
          <w:numId w:val="1"/>
        </w:numPr>
        <w:spacing w:lineRule="exact" w:line="264" w:before="0" w:after="60"/>
        <w:rPr/>
      </w:pPr>
      <w:r>
        <w:rPr>
          <w:rFonts w:eastAsia="Arial" w:cs="Arial"/>
          <w:sz w:val="21"/>
          <w:szCs w:val="21"/>
        </w:rPr>
        <w:t>Outpatient Service Schedule &amp; Notes</w:t>
      </w:r>
    </w:p>
    <w:p>
      <w:pPr>
        <w:pStyle w:val="ListParagraph"/>
        <w:numPr>
          <w:ilvl w:val="0"/>
          <w:numId w:val="1"/>
        </w:numPr>
        <w:spacing w:lineRule="exact" w:line="264" w:before="0" w:after="60"/>
        <w:rPr/>
      </w:pPr>
      <w:r>
        <w:rPr>
          <w:rFonts w:eastAsia="Arial" w:cs="Arial"/>
          <w:sz w:val="21"/>
          <w:szCs w:val="21"/>
        </w:rPr>
        <w:t>IOP Programming Schedule</w:t>
      </w:r>
    </w:p>
    <w:p>
      <w:pPr>
        <w:pStyle w:val="ListParagraph"/>
        <w:numPr>
          <w:ilvl w:val="0"/>
          <w:numId w:val="1"/>
        </w:numPr>
        <w:spacing w:lineRule="exact" w:line="264" w:before="0" w:after="60"/>
        <w:rPr/>
      </w:pPr>
      <w:r>
        <w:rPr>
          <w:rFonts w:eastAsia="Arial" w:cs="Arial"/>
          <w:sz w:val="21"/>
          <w:szCs w:val="21"/>
        </w:rPr>
        <w:t>PHP Programming Schedule (20+ hours/week)</w:t>
      </w:r>
    </w:p>
    <w:p>
      <w:pPr>
        <w:pStyle w:val="ListParagraph"/>
        <w:numPr>
          <w:ilvl w:val="0"/>
          <w:numId w:val="1"/>
        </w:numPr>
        <w:spacing w:lineRule="exact" w:line="264" w:before="0" w:after="60"/>
        <w:rPr/>
      </w:pPr>
      <w:r>
        <w:rPr>
          <w:rFonts w:eastAsia="Arial" w:cs="Arial"/>
          <w:sz w:val="21"/>
          <w:szCs w:val="21"/>
        </w:rPr>
        <w:t>Residential Program Schedule</w:t>
      </w:r>
    </w:p>
    <w:p>
      <w:pPr>
        <w:pStyle w:val="ListParagraph"/>
        <w:numPr>
          <w:ilvl w:val="0"/>
          <w:numId w:val="1"/>
        </w:numPr>
        <w:spacing w:lineRule="exact" w:line="264" w:before="0" w:after="60"/>
        <w:rPr/>
      </w:pPr>
      <w:r>
        <w:rPr>
          <w:rFonts w:eastAsia="Arial" w:cs="Arial"/>
          <w:sz w:val="21"/>
          <w:szCs w:val="21"/>
        </w:rPr>
        <w:t>24-Hour Staffing Record</w:t>
      </w:r>
    </w:p>
    <w:p>
      <w:pPr>
        <w:pStyle w:val="ListParagraph"/>
        <w:numPr>
          <w:ilvl w:val="0"/>
          <w:numId w:val="1"/>
        </w:numPr>
        <w:spacing w:lineRule="exact" w:line="264" w:before="0" w:after="60"/>
        <w:rPr/>
      </w:pPr>
      <w:r>
        <w:rPr>
          <w:rFonts w:eastAsia="Arial" w:cs="Arial"/>
          <w:sz w:val="21"/>
          <w:szCs w:val="21"/>
        </w:rPr>
        <w:t>Medical Monitoring Record (Level 3.7)</w:t>
      </w:r>
    </w:p>
    <w:p>
      <w:pPr>
        <w:pStyle w:val="ListParagraph"/>
        <w:numPr>
          <w:ilvl w:val="0"/>
          <w:numId w:val="1"/>
        </w:numPr>
        <w:spacing w:lineRule="exact" w:line="264" w:before="0" w:after="60"/>
        <w:rPr/>
      </w:pPr>
      <w:r>
        <w:rPr>
          <w:rFonts w:eastAsia="Arial" w:cs="Arial"/>
          <w:sz w:val="21"/>
          <w:szCs w:val="21"/>
        </w:rPr>
        <w:t>Level-of-Care Transition Record</w:t>
      </w:r>
    </w:p>
    <w:p>
      <w:pPr>
        <w:pStyle w:val="ListParagraph"/>
        <w:numPr>
          <w:ilvl w:val="0"/>
          <w:numId w:val="1"/>
        </w:numPr>
        <w:spacing w:lineRule="exact" w:line="264" w:before="0" w:after="60"/>
        <w:rPr/>
      </w:pPr>
      <w:r>
        <w:rPr>
          <w:rFonts w:eastAsia="Arial" w:cs="Arial"/>
          <w:sz w:val="21"/>
          <w:szCs w:val="21"/>
        </w:rPr>
        <w:t>Withdrawal Management Suitability Assessment</w:t>
      </w:r>
    </w:p>
    <w:p>
      <w:pPr>
        <w:pStyle w:val="ListParagraph"/>
        <w:numPr>
          <w:ilvl w:val="0"/>
          <w:numId w:val="1"/>
        </w:numPr>
        <w:spacing w:lineRule="exact" w:line="264" w:before="0" w:after="60"/>
        <w:rPr/>
      </w:pPr>
      <w:r>
        <w:rPr>
          <w:rFonts w:eastAsia="Arial" w:cs="Arial"/>
          <w:sz w:val="21"/>
          <w:szCs w:val="21"/>
        </w:rPr>
        <w:t>Withdrawal Monitoring Protocol &amp; Record</w:t>
      </w:r>
    </w:p>
    <w:p>
      <w:pPr>
        <w:pStyle w:val="ListParagraph"/>
        <w:numPr>
          <w:ilvl w:val="0"/>
          <w:numId w:val="1"/>
        </w:numPr>
        <w:spacing w:lineRule="exact" w:line="264" w:before="0" w:after="60"/>
        <w:rPr/>
      </w:pPr>
      <w:r>
        <w:rPr>
          <w:rFonts w:eastAsia="Arial" w:cs="Arial"/>
          <w:sz w:val="21"/>
          <w:szCs w:val="21"/>
        </w:rPr>
        <w:t>OTP Certification, SAMHSA &amp; DEA File</w:t>
      </w:r>
    </w:p>
    <w:p>
      <w:pPr>
        <w:pStyle w:val="ListParagraph"/>
        <w:numPr>
          <w:ilvl w:val="0"/>
          <w:numId w:val="1"/>
        </w:numPr>
        <w:spacing w:lineRule="exact" w:line="264" w:before="0" w:after="60"/>
        <w:rPr/>
      </w:pPr>
      <w:r>
        <w:rPr>
          <w:rFonts w:eastAsia="Arial" w:cs="Arial"/>
          <w:sz w:val="21"/>
          <w:szCs w:val="21"/>
        </w:rPr>
        <w:t>Dosing, Drug-Screening &amp; Diversion-Control Records</w:t>
      </w:r>
    </w:p>
    <w:p>
      <w:pPr>
        <w:pStyle w:val="ListParagraph"/>
        <w:numPr>
          <w:ilvl w:val="0"/>
          <w:numId w:val="1"/>
        </w:numPr>
        <w:spacing w:lineRule="exact" w:line="264" w:before="0" w:after="60"/>
        <w:rPr/>
      </w:pPr>
      <w:r>
        <w:rPr>
          <w:rFonts w:eastAsia="Arial" w:cs="Arial"/>
          <w:sz w:val="21"/>
          <w:szCs w:val="21"/>
        </w:rPr>
        <w:t>Office-Based Treatment Coordination Record</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Virginia Agency &amp; Resource Directory</w:t>
      </w:r>
    </w:p>
    <w:p>
      <w:pPr>
        <w:pStyle w:val="Normal"/>
        <w:spacing w:lineRule="exact" w:line="276" w:before="0" w:after="120"/>
        <w:rPr/>
      </w:pPr>
      <w:r>
        <w:rPr>
          <w:rFonts w:eastAsia="Arial" w:cs="Arial"/>
          <w:sz w:val="21"/>
          <w:szCs w:val="21"/>
        </w:rPr>
        <w:t>The references below support the requirements in this manual. Confirm the current citation, form, and contact information directly with each source, as rules, forms, and web addresses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Regulator</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Virginia Department of Behavioral Health and Developmental Services (DBHDS), Office of Licensing — licenses providers of mental health, developmental, substance use, and brain injury services. Submissions are made through the DBHDS web-based licensing system.</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12VAC35-105 — Rules and Regulations for Licensing Providers by the Department of Behavioral Health and Developmental Services (integrated across service types; substance use services are ASAM-aligned).</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Human rights regulation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12VAC35-115 — Regulations to Assure the Rights of Individuals Receiving Services (human rights advocate; local and State Human Rights Committees).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Statutory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 37.2-203 and 37.2-400 (licensing); §§ 37.2-302 and 37.2-400 (human rights); § 37.2-100 (definitions, including abuse); § 37.2-416 (background checks), Code of Virginia.</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License types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Full license; conditional license (new provider, admin/policy compliance demonstrated); provisional license (compliance not maintained; ≤ 6 months, ≤ 12 successive months combined; no expansion).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Key sections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12VAC35-105-30 (licenses); -390 &amp; -870 (records); -410 (employee credentials &amp; job descriptions); -580 (service description; -580 G pregnant women); -590 (staffing).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ASAM levels of care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Outpatient 1.0 (&lt;9 hrs adult / &lt;6 adolescent); intensive outpatient 2.1; partial hospitalization 2.5 (≥ 20 hrs/week); residential 3.1, 3.3, 3.5, 3.7; withdrawal management; opioid treatment / MAT.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Clinical credentials</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Set by the Virginia Department of Health Professions — certified substance abuse counselor (CSAC), certified substance abuse counseling assistant, peer recovery support specialist, qualified mental health professional (QMHP), and licensed professionals.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Opioid treatment</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SAMHSA certification; 42 CFR Part 8; DEA registration; office-based opioid / medication assisted treatment under medical direction.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Confidentiality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42 CFR Part 2 (SUD records); HIPAA (45 CFR Parts 160, 164); 12VAC35-115 and applicable Virginia law.</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ARTS / Medicaid</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Addiction and Recovery Treatment Services (ARTS) through the Department of Medical Assistance Services (DMAS) — relevant for Medicaid-funded ASAM services and certification.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Brain injury &amp; mental health</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12VAC35-105 also licenses brain injury and mental health services under the same integrated chapter; this manual is written for a substance use disorder provider and can be adapted with the applicable service-specific standards.</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p>
      <w:pPr>
        <w:pStyle w:val="Normal"/>
        <w:spacing w:lineRule="exact" w:line="276" w:before="0" w:after="120"/>
        <w:rPr/>
      </w:pPr>
      <w:r>
        <w:rPr>
          <w:rFonts w:eastAsia="Arial" w:cs="Arial"/>
          <w:sz w:val="21"/>
          <w:szCs w:val="21"/>
        </w:rPr>
        <w:t>This manual is a customizable template for a Virginia DBHDS-licensed substance use disorder provider. Follow the steps below to adopt it as your organization's own manual.</w:t>
      </w:r>
    </w:p>
    <w:p>
      <w:pPr>
        <w:pStyle w:val="Normal"/>
        <w:spacing w:before="140" w:after="40"/>
        <w:rPr/>
      </w:pPr>
      <w:r>
        <w:rPr>
          <w:rFonts w:eastAsia="Arial" w:cs="Arial"/>
          <w:b/>
          <w:bCs/>
          <w:color w:val="333333"/>
          <w:sz w:val="21"/>
          <w:szCs w:val="21"/>
        </w:rPr>
        <w:t>1. Customize every placeholder</w:t>
      </w:r>
    </w:p>
    <w:p>
      <w:pPr>
        <w:pStyle w:val="Normal"/>
        <w:spacing w:lineRule="exact" w:line="276" w:before="0" w:after="120"/>
        <w:rPr/>
      </w:pPr>
      <w:r>
        <w:rPr>
          <w:rFonts w:eastAsia="Arial" w:cs="Arial"/>
          <w:sz w:val="21"/>
          <w:szCs w:val="21"/>
        </w:rPr>
        <w:t>Replace each [bracketed] item — organization name, address, license number, effective date, and role titles — with your organization's information. Set the effective date on each policy when it is adopted.</w:t>
      </w:r>
    </w:p>
    <w:p>
      <w:pPr>
        <w:pStyle w:val="Normal"/>
        <w:spacing w:before="140" w:after="40"/>
        <w:rPr/>
      </w:pPr>
      <w:r>
        <w:rPr>
          <w:rFonts w:eastAsia="Arial" w:cs="Arial"/>
          <w:b/>
          <w:bCs/>
          <w:color w:val="333333"/>
          <w:sz w:val="21"/>
          <w:szCs w:val="21"/>
        </w:rPr>
        <w:t>2. Match the manual to your licensed services</w:t>
      </w:r>
    </w:p>
    <w:p>
      <w:pPr>
        <w:pStyle w:val="Normal"/>
        <w:spacing w:lineRule="exact" w:line="276" w:before="0" w:after="120"/>
        <w:rPr/>
      </w:pPr>
      <w:r>
        <w:rPr>
          <w:rFonts w:eastAsia="Arial" w:cs="Arial"/>
          <w:sz w:val="21"/>
          <w:szCs w:val="21"/>
        </w:rPr>
        <w:t>Sections A through E contain the general 12VAC35-105 requirements. Keep the Section F policies only for the substance use service(s) and ASAM level(s) of care your organization is licensed to provide — outpatient (1.0), intensive outpatient (2.1), partial hospitalization (2.5), clinically managed residential (3.1, 3.3), high-intensity or medically monitored residential (3.5, 3.7), withdrawal management, and opioid treatment / MAT. Mark any that do not apply as not applicable, or remove that policy.</w:t>
      </w:r>
    </w:p>
    <w:p>
      <w:pPr>
        <w:pStyle w:val="Normal"/>
        <w:spacing w:before="140" w:after="40"/>
        <w:rPr/>
      </w:pPr>
      <w:r>
        <w:rPr>
          <w:rFonts w:eastAsia="Arial" w:cs="Arial"/>
          <w:b/>
          <w:bCs/>
          <w:color w:val="333333"/>
          <w:sz w:val="21"/>
          <w:szCs w:val="21"/>
        </w:rPr>
        <w:t>3. Apply the human rights regulation and ASAM</w:t>
      </w:r>
    </w:p>
    <w:p>
      <w:pPr>
        <w:pStyle w:val="Normal"/>
        <w:spacing w:lineRule="exact" w:line="276" w:before="0" w:after="120"/>
        <w:rPr/>
      </w:pPr>
      <w:r>
        <w:rPr>
          <w:rFonts w:eastAsia="Arial" w:cs="Arial"/>
          <w:sz w:val="21"/>
          <w:szCs w:val="21"/>
        </w:rPr>
        <w:t>Confirm your policies implement 12VAC35-115 (human rights, including the human rights advocate and the complaint and appeal process) and apply the ASAM criteria to admission, continued stay, transfer, and discharge. Confirm your service description addresses the timely and appropriate treatment of pregnant women with substance use disorders (12VAC35-105-580 G).</w:t>
      </w:r>
    </w:p>
    <w:p>
      <w:pPr>
        <w:pStyle w:val="Normal"/>
        <w:spacing w:before="140" w:after="40"/>
        <w:rPr/>
      </w:pPr>
      <w:r>
        <w:rPr>
          <w:rFonts w:eastAsia="Arial" w:cs="Arial"/>
          <w:b/>
          <w:bCs/>
          <w:color w:val="333333"/>
          <w:sz w:val="21"/>
          <w:szCs w:val="21"/>
        </w:rPr>
        <w:t>4. Update the Table of Contents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4" w:space="0" w:color="1A4731"/>
              <w:start w:val="single" w:sz="4" w:space="0" w:color="1A4731"/>
              <w:bottom w:val="single" w:sz="4" w:space="0" w:color="1A4731"/>
              <w:end w:val="single" w:sz="4" w:space="0" w:color="1A4731"/>
            </w:tcBorders>
            <w:shd w:fill="EFF3F0" w:val="clear"/>
          </w:tcPr>
          <w:p>
            <w:pPr>
              <w:pStyle w:val="Normal"/>
              <w:spacing w:lineRule="exact" w:line="276" w:before="0" w:after="80"/>
              <w:rPr/>
            </w:pPr>
            <w:r>
              <w:rPr>
                <w:rFonts w:eastAsia="Arial" w:cs="Arial"/>
                <w:color w:val="222222"/>
                <w:sz w:val="20"/>
                <w:szCs w:val="20"/>
              </w:rPr>
              <w:t>This manual's Table of Contents is a Word field. When you open the document, Word may ask whether to update fields — click Yes.</w:t>
            </w:r>
          </w:p>
          <w:p>
            <w:pPr>
              <w:pStyle w:val="Normal"/>
              <w:spacing w:lineRule="exact" w:line="276" w:before="0" w:after="0"/>
              <w:rPr/>
            </w:pPr>
            <w:r>
              <w:rPr>
                <w:rFonts w:eastAsia="Arial" w:cs="Arial"/>
                <w:color w:val="222222"/>
                <w:sz w:val="20"/>
                <w:szCs w:val="20"/>
              </w:rPr>
              <w:t>To refresh page numbers and entries after editing, right-click the Table of Contents and choose “Update Field,” then “Update entire table.”</w:t>
            </w:r>
          </w:p>
        </w:tc>
      </w:tr>
    </w:tbl>
    <w:p>
      <w:pPr>
        <w:pStyle w:val="Normal"/>
        <w:spacing w:before="140" w:after="40"/>
        <w:rPr/>
      </w:pPr>
      <w:r>
        <w:rPr>
          <w:rFonts w:eastAsia="Arial" w:cs="Arial"/>
          <w:b/>
          <w:bCs/>
          <w:color w:val="333333"/>
          <w:sz w:val="21"/>
          <w:szCs w:val="21"/>
        </w:rPr>
        <w:t>5. Review, approve, and confirm currency</w:t>
      </w:r>
    </w:p>
    <w:p>
      <w:pPr>
        <w:pStyle w:val="Normal"/>
        <w:spacing w:lineRule="exact" w:line="276" w:before="0" w:after="120"/>
        <w:rPr/>
      </w:pPr>
      <w:r>
        <w:rPr>
          <w:rFonts w:eastAsia="Arial" w:cs="Arial"/>
          <w:sz w:val="21"/>
          <w:szCs w:val="21"/>
        </w:rPr>
        <w:t>Have the governing authority and qualified Virginia counsel or a compliance professional review the manual before adoption. DBHDS amended 12VAC35-105 substantially in 2025 and adopted the ASAM levels of care in recent years; confirm the current versions of 12VAC35-105 and 12VAC35-115 and your license requirements through the DBHDS Office of Licensing before adopting and periodically thereafter. Record each revision in the document-history table at the end of each policy.</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Human Rights Acknowledgment</w:t>
      </w:r>
    </w:p>
    <w:p>
      <w:pPr>
        <w:pStyle w:val="Normal"/>
        <w:spacing w:lineRule="exact" w:line="276" w:before="0" w:after="120"/>
        <w:rPr/>
      </w:pPr>
      <w:r>
        <w:rPr>
          <w:rFonts w:eastAsia="Arial" w:cs="Arial"/>
          <w:sz w:val="21"/>
          <w:szCs w:val="21"/>
        </w:rPr>
        <w:t>This acknowledgment may be provided to an individual receiving services or the individual's authorized representative at the beginning of services, together with the written notification of human rights under 12VAC35-115. Customize as needed.</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 acknowledge that I have received a written explanation of my rights as an individual receiving services from [Organization Name], that these rights and the program expectations have been explained to me in a manner I can understand, and that I have been informed of how to file a complaint and how to contact the human rights advocate, including my right to complain and appeal without retaliation.</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Individual name (print): ______________________________________________</w:t>
      </w:r>
    </w:p>
    <w:p>
      <w:pPr>
        <w:pStyle w:val="Normal"/>
        <w:spacing w:lineRule="exact" w:line="276" w:before="0" w:after="120"/>
        <w:rPr/>
      </w:pPr>
      <w:r>
        <w:rPr>
          <w:rFonts w:eastAsia="Arial" w:cs="Arial"/>
          <w:sz w:val="21"/>
          <w:szCs w:val="21"/>
        </w:rPr>
        <w:t>Individual signature: ________________________________   Date: ____________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Authorized representative name (print), if applicable: ____________________</w:t>
      </w:r>
    </w:p>
    <w:p>
      <w:pPr>
        <w:pStyle w:val="Normal"/>
        <w:spacing w:lineRule="exact" w:line="276" w:before="0" w:after="120"/>
        <w:rPr/>
      </w:pPr>
      <w:r>
        <w:rPr>
          <w:rFonts w:eastAsia="Arial" w:cs="Arial"/>
          <w:sz w:val="21"/>
          <w:szCs w:val="21"/>
        </w:rPr>
        <w:t>Authorized representative signature: ________________________   Date: __________</w:t>
      </w:r>
    </w:p>
    <w:p>
      <w:pPr>
        <w:pStyle w:val="Normal"/>
        <w:spacing w:lineRule="exact" w:line="276" w:before="0" w:after="120"/>
        <w:rPr/>
      </w:pPr>
      <w:r>
        <w:rPr>
          <w:rFonts w:eastAsia="Arial" w:cs="Arial"/>
          <w:sz w:val="21"/>
          <w:szCs w:val="21"/>
        </w:rPr>
        <w:t xml:space="preserve"> </w:t>
      </w:r>
    </w:p>
    <w:p>
      <w:pPr>
        <w:pStyle w:val="Normal"/>
        <w:spacing w:lineRule="exact" w:line="276" w:before="0" w:after="120"/>
        <w:rPr/>
      </w:pPr>
      <w:r>
        <w:rPr>
          <w:rFonts w:eastAsia="Arial" w:cs="Arial"/>
          <w:sz w:val="21"/>
          <w:szCs w:val="21"/>
        </w:rPr>
        <w:t>Staff witness (print): ______________________________________________</w:t>
      </w:r>
    </w:p>
    <w:p>
      <w:pPr>
        <w:pStyle w:val="Normal"/>
        <w:spacing w:lineRule="exact" w:line="276" w:before="0" w:after="120"/>
        <w:rPr/>
      </w:pPr>
      <w:r>
        <w:rPr>
          <w:rFonts w:eastAsia="Arial" w:cs="Arial"/>
          <w:sz w:val="21"/>
          <w:szCs w:val="21"/>
        </w:rPr>
        <w:t>Staff witness signature: __________________________   Date: 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Virginia — Substance Use Disorder Provider (DBHDS 12VAC35-105)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4"/>
        <w:szCs w:val="14"/>
      </w:rPr>
      <w:t>Virginia — Substance Use Disorder Provider (DBHDS 12VAC35-105) Policy &amp; Procedure Manual</w:t>
    </w:r>
    <w:r>
      <w:rPr>
        <w:rFonts w:eastAsia="Arial" w:cs="Arial"/>
        <w:sz w:val="14"/>
        <w:szCs w:val="14"/>
      </w:rPr>
      <w:tab/>
    </w:r>
    <w:r>
      <w:rPr>
        <w:rFonts w:eastAsia="Arial" w:cs="Arial"/>
        <w:color w:val="888888"/>
        <w:sz w:val="14"/>
        <w:szCs w:val="14"/>
      </w:rPr>
      <w:t xml:space="preserve">Page </w:t>
    </w:r>
    <w:r>
      <w:rPr/>
      <w:fldChar w:fldCharType="begin"/>
    </w:r>
    <w:r>
      <w:rPr/>
      <w:instrText xml:space="preserve"> PAGE </w:instrText>
    </w:r>
    <w:r>
      <w:rPr/>
      <w:fldChar w:fldCharType="separate"/>
    </w:r>
    <w:r>
      <w:rPr/>
      <w:t>58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2026-07-02T11:23:26Z</dcterms:created>
  <dc:creator>PolicyReady.org</dc:creator>
  <dc:description/>
  <dc:language>en-US</dc:language>
  <cp:lastModifiedBy>Un-named</cp:lastModifiedBy>
  <dcterms:modified xsi:type="dcterms:W3CDTF">2026-07-02T11:23:26Z</dcterms:modified>
  <cp:revision>1</cp:revision>
  <dc:subject/>
  <dc:title>Virginia Substance Use Disorder Provider (DBHDS 12VAC35-105) Policy &amp; Procedure Manual</dc:title>
</cp:coreProperties>
</file>