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WISCONSIN</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8"/>
          <w:szCs w:val="28"/>
        </w:rPr>
        <w:t>Licensed Adult Family Home (AFH, 3–4 Bed)</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[Home Name]</w:t>
      </w:r>
    </w:p>
    <w:p>
      <w:pPr>
        <w:pStyle w:val="Normal"/>
        <w:spacing w:before="60" w:after="0"/>
        <w:jc w:val="center"/>
        <w:rPr/>
      </w:pPr>
      <w:r>
        <w:rPr>
          <w:rFonts w:eastAsia="Arial" w:cs="Arial"/>
          <w:color w:val="666666"/>
          <w:sz w:val="20"/>
          <w:szCs w:val="20"/>
        </w:rPr>
        <w:t>[Address]   •   [DQA License Number]   •   [Class A / B / C]</w:t>
      </w:r>
    </w:p>
    <w:p>
      <w:pPr>
        <w:pStyle w:val="Normal"/>
        <w:spacing w:before="1600" w:after="0"/>
        <w:jc w:val="center"/>
        <w:rPr/>
      </w:pPr>
      <w:r>
        <w:rPr>
          <w:rFonts w:eastAsia="Arial" w:cs="Arial"/>
          <w:color w:val="666666"/>
          <w:sz w:val="18"/>
          <w:szCs w:val="18"/>
        </w:rPr>
        <w:t>Aligned to Wis. Admin. Code ch. DHS 88 and Wis. Stat. § 50.033</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Home is governed and how it admits, protects, and resolves concerns for the residents it serves under its DQA license. It covers admission, the service agreement, and orientation; residents’ rights and grievances; abuse and neglect reporting; resident funds; and licensing, classification, change of ownership, and biennial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Placement &amp; Service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Rights of Residents &amp; Grievance Procedure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Reporting of Abuse &amp; Neglect;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Resident Funds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Licensing, Classification, Change of Ownership &amp; Reporting</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Placement &amp; Service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Placement &amp; Service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88.06; Wis. Stat. § 50.033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Home admits, places, and retains residents, consistent with Wisconsin Administrative Code Chapter DHS 88 (Licensed Adult Family Homes) and Wis. Stat. § 50.033.</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Home is licensed by the Wisconsin Department of Health Services (DHS), Division of Quality Assurance (DQA), Bureau of Assisted Living, as an Adult Family Home (AFH) under Chapter DHS 88 and Wis. Stat. § 50.033. A licensed (3–4 bed) AFH provides care and maintenance above the level of room and board — including up to seven (7) hours per week of nursing care — for three (3) or four (4) unrelated adult residents in a residential home setting. The Home serves the client group(s) identified in its program statement; where the Home serves residents with irreversible dementia, the Dementia Care policy applies the additional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admit and retain only residents within its program statement and licensing classification whose needs it can safely meet, provide each resident an admission agreement and service agreement, and complete a written assessment and individual service plan within 30 days after placement.</w:t>
      </w:r>
    </w:p>
    <w:p>
      <w:pPr>
        <w:pStyle w:val="Normal"/>
        <w:pBdr>
          <w:bottom w:val="single" w:sz="4" w:space="1" w:color="2E5E45"/>
        </w:pBdr>
        <w:spacing w:before="160" w:after="80"/>
        <w:rPr/>
      </w:pPr>
      <w:r>
        <w:rPr>
          <w:rFonts w:eastAsia="Arial" w:cs="Arial"/>
          <w:b/>
          <w:bCs/>
          <w:color w:val="1A4731"/>
          <w:sz w:val="20"/>
          <w:szCs w:val="20"/>
        </w:rPr>
        <w:t>PROCEDURE — ADMISSION AGREEMENT &amp; ORIENTATION</w:t>
      </w:r>
    </w:p>
    <w:p>
      <w:pPr>
        <w:pStyle w:val="Normal"/>
        <w:tabs>
          <w:tab w:val="left" w:pos="720" w:leader="none"/>
        </w:tabs>
        <w:spacing w:lineRule="exact" w:line="264" w:before="0" w:after="80"/>
        <w:ind w:hanging="360" w:start="720"/>
        <w:rPr/>
      </w:pPr>
      <w:r>
        <w:rPr>
          <w:rFonts w:eastAsia="Arial" w:cs="Arial"/>
          <w:sz w:val="21"/>
          <w:szCs w:val="21"/>
        </w:rPr>
        <w:t>a. Before or at placement, provide an admission agreement that identifies the parties; the amount, possible sources, and acceptable methods of payment; and the roles, responsibilities, and expectations of all parties, including a review of the Home’s program statement and any personal housekeeping the resident may be requested (but may refuse) to perform.</w:t>
      </w:r>
    </w:p>
    <w:p>
      <w:pPr>
        <w:pStyle w:val="Normal"/>
        <w:tabs>
          <w:tab w:val="left" w:pos="720" w:leader="none"/>
        </w:tabs>
        <w:spacing w:lineRule="exact" w:line="264" w:before="0" w:after="80"/>
        <w:ind w:hanging="360" w:start="720"/>
        <w:rPr/>
      </w:pPr>
      <w:r>
        <w:rPr>
          <w:rFonts w:eastAsia="Arial" w:cs="Arial"/>
          <w:sz w:val="21"/>
          <w:szCs w:val="21"/>
        </w:rPr>
        <w:t>b. Make a copy of Chapter DHS 88 available on request to a prospective resident or guardian, and give the prospective resident an opportunity to meet current residents, spend time in the home, and become familiar with household routines (which may include a daytime visit or overnight stay).</w:t>
      </w:r>
    </w:p>
    <w:p>
      <w:pPr>
        <w:pStyle w:val="Normal"/>
        <w:tabs>
          <w:tab w:val="left" w:pos="720" w:leader="none"/>
        </w:tabs>
        <w:spacing w:lineRule="exact" w:line="264" w:before="0" w:after="80"/>
        <w:ind w:hanging="360" w:start="720"/>
        <w:rPr/>
      </w:pPr>
      <w:r>
        <w:rPr>
          <w:rFonts w:eastAsia="Arial" w:cs="Arial"/>
          <w:sz w:val="21"/>
          <w:szCs w:val="21"/>
        </w:rPr>
        <w:t>c. Confirm the resident is appropriate for the Home’s licensing classification (Class A, B, or C) based on the resident’s ability to respond to a fire alarm and exit, and ensure required environmental modifications for a semi-ambulatory or non-ambulatory resident are in place before placement.</w:t>
      </w:r>
    </w:p>
    <w:p>
      <w:pPr>
        <w:pStyle w:val="Normal"/>
        <w:pBdr>
          <w:bottom w:val="single" w:sz="4" w:space="1" w:color="2E5E45"/>
        </w:pBdr>
        <w:spacing w:before="160" w:after="80"/>
        <w:rPr/>
      </w:pPr>
      <w:r>
        <w:rPr>
          <w:rFonts w:eastAsia="Arial" w:cs="Arial"/>
          <w:b/>
          <w:bCs/>
          <w:color w:val="1A4731"/>
          <w:sz w:val="20"/>
          <w:szCs w:val="20"/>
        </w:rPr>
        <w:t>PROCEDURE — SERVICE AGREEMENT</w:t>
      </w:r>
    </w:p>
    <w:p>
      <w:pPr>
        <w:pStyle w:val="Normal"/>
        <w:tabs>
          <w:tab w:val="left" w:pos="720" w:leader="none"/>
        </w:tabs>
        <w:spacing w:lineRule="exact" w:line="264" w:before="0" w:after="80"/>
        <w:ind w:hanging="360" w:start="720"/>
        <w:rPr/>
      </w:pPr>
      <w:r>
        <w:rPr>
          <w:rFonts w:eastAsia="Arial" w:cs="Arial"/>
          <w:sz w:val="21"/>
          <w:szCs w:val="21"/>
        </w:rPr>
        <w:t>d. Enter into a service agreement (DHS 88.06(2)(c)) that specifies the names of the parties; the services provided and a description of each; charges for room, board, and services and any security deposit; the frequency, amount, source, and method of payment; how personal funds will be handled; the conditions for transfer or discharge and the relocation assistance the Home will provide; and a statement that resident rights and grievance procedures have been explained and copies provided.</w:t>
      </w:r>
    </w:p>
    <w:p>
      <w:pPr>
        <w:pStyle w:val="Normal"/>
        <w:tabs>
          <w:tab w:val="left" w:pos="720" w:leader="none"/>
        </w:tabs>
        <w:spacing w:lineRule="exact" w:line="264" w:before="0" w:after="80"/>
        <w:ind w:hanging="360" w:start="720"/>
        <w:rPr/>
      </w:pPr>
      <w:r>
        <w:rPr>
          <w:rFonts w:eastAsia="Arial" w:cs="Arial"/>
          <w:sz w:val="21"/>
          <w:szCs w:val="21"/>
        </w:rPr>
        <w:t>e. Provide copies of the signed agreement to the resident and the resident’s guardian or designated representative, if any.</w:t>
      </w:r>
    </w:p>
    <w:p>
      <w:pPr>
        <w:pStyle w:val="Normal"/>
        <w:tabs>
          <w:tab w:val="left" w:pos="720" w:leader="none"/>
        </w:tabs>
        <w:spacing w:lineRule="exact" w:line="264" w:before="0" w:after="80"/>
        <w:ind w:hanging="360" w:start="720"/>
        <w:rPr/>
      </w:pPr>
      <w:r>
        <w:rPr>
          <w:rFonts w:eastAsia="Arial" w:cs="Arial"/>
          <w:sz w:val="21"/>
          <w:szCs w:val="21"/>
        </w:rPr>
        <w:t>f. Review and update the agreement as the resident’s needs or circumstances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Admission Agreement (DHS 88.06(2))</w:t>
      </w:r>
    </w:p>
    <w:p>
      <w:pPr>
        <w:pStyle w:val="ListParagraph"/>
        <w:numPr>
          <w:ilvl w:val="0"/>
          <w:numId w:val="1"/>
        </w:numPr>
        <w:spacing w:lineRule="exact" w:line="264" w:before="0" w:after="60"/>
        <w:rPr/>
      </w:pPr>
      <w:r>
        <w:rPr>
          <w:rFonts w:eastAsia="Arial" w:cs="Arial"/>
          <w:sz w:val="21"/>
          <w:szCs w:val="21"/>
        </w:rPr>
        <w:t>Service Agreement (DHS 88.06(2)(c))</w:t>
      </w:r>
    </w:p>
    <w:p>
      <w:pPr>
        <w:pStyle w:val="ListParagraph"/>
        <w:numPr>
          <w:ilvl w:val="0"/>
          <w:numId w:val="1"/>
        </w:numPr>
        <w:spacing w:lineRule="exact" w:line="264" w:before="0" w:after="60"/>
        <w:rPr/>
      </w:pPr>
      <w:r>
        <w:rPr>
          <w:rFonts w:eastAsia="Arial" w:cs="Arial"/>
          <w:sz w:val="21"/>
          <w:szCs w:val="21"/>
        </w:rPr>
        <w:t>Program Statement</w:t>
      </w:r>
    </w:p>
    <w:p>
      <w:pPr>
        <w:pStyle w:val="ListParagraph"/>
        <w:numPr>
          <w:ilvl w:val="0"/>
          <w:numId w:val="1"/>
        </w:numPr>
        <w:spacing w:lineRule="exact" w:line="264" w:before="0" w:after="60"/>
        <w:rPr/>
      </w:pPr>
      <w:r>
        <w:rPr>
          <w:rFonts w:eastAsia="Arial" w:cs="Arial"/>
          <w:sz w:val="21"/>
          <w:szCs w:val="21"/>
        </w:rPr>
        <w:t>Licensing Classification (A/B/C) Determination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Rights of Residents &amp; Grievance Procedure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Rights of Residents &amp; Grievance Procedure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88.07; Board on Aging &amp; Long Term Care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required by DHS 88.07 and to provide a grievance procedure and access to the Long-Term Care Ombudsman.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observe and protect the rights of each resident, explain resident rights and the grievance procedure and provide copies at admission, and support each resident’s dignity, privacy, self-determination, and access to the community and the Long-Term Care Ombudsman.</w:t>
      </w:r>
    </w:p>
    <w:p>
      <w:pPr>
        <w:pStyle w:val="Normal"/>
        <w:pBdr>
          <w:bottom w:val="single" w:sz="4" w:space="1" w:color="2E5E45"/>
        </w:pBdr>
        <w:spacing w:before="160" w:after="80"/>
        <w:rPr/>
      </w:pPr>
      <w:r>
        <w:rPr>
          <w:rFonts w:eastAsia="Arial" w:cs="Arial"/>
          <w:b/>
          <w:bCs/>
          <w:color w:val="1A4731"/>
          <w:sz w:val="20"/>
          <w:szCs w:val="20"/>
        </w:rPr>
        <w:t>PROCEDURE — RIGHTS OF RESIDENTS</w:t>
      </w:r>
    </w:p>
    <w:p>
      <w:pPr>
        <w:pStyle w:val="Normal"/>
        <w:tabs>
          <w:tab w:val="left" w:pos="720" w:leader="none"/>
        </w:tabs>
        <w:spacing w:lineRule="exact" w:line="264" w:before="0" w:after="80"/>
        <w:ind w:hanging="360" w:start="720"/>
        <w:rPr/>
      </w:pPr>
      <w:r>
        <w:rPr>
          <w:rFonts w:eastAsia="Arial" w:cs="Arial"/>
          <w:sz w:val="21"/>
          <w:szCs w:val="21"/>
        </w:rPr>
        <w:t>a. Ensure each resident’s rights under DHS 88.07, including the right to be treated with dignity and respect; to be free from abuse, neglect, exploitation, and improper use of restraint; and to privacy in the home.</w:t>
      </w:r>
    </w:p>
    <w:p>
      <w:pPr>
        <w:pStyle w:val="Normal"/>
        <w:tabs>
          <w:tab w:val="left" w:pos="720" w:leader="none"/>
        </w:tabs>
        <w:spacing w:lineRule="exact" w:line="264" w:before="0" w:after="80"/>
        <w:ind w:hanging="360" w:start="720"/>
        <w:rPr/>
      </w:pPr>
      <w:r>
        <w:rPr>
          <w:rFonts w:eastAsia="Arial" w:cs="Arial"/>
          <w:sz w:val="21"/>
          <w:szCs w:val="21"/>
        </w:rPr>
        <w:t>b. Ensure the right to manage personal funds or receive an accounting, to communicate and receive visitors, to participate in the community, to make decisions, and to refuse to perform work for the Home.</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assessment and individual service plan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Explain resident rights and provide a written copy to the resident and guardian or designated representative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 &amp; OMBUDSMAN</w:t>
      </w:r>
    </w:p>
    <w:p>
      <w:pPr>
        <w:pStyle w:val="Normal"/>
        <w:tabs>
          <w:tab w:val="left" w:pos="720" w:leader="none"/>
        </w:tabs>
        <w:spacing w:lineRule="exact" w:line="264" w:before="0" w:after="80"/>
        <w:ind w:hanging="360" w:start="720"/>
        <w:rPr/>
      </w:pPr>
      <w:r>
        <w:rPr>
          <w:rFonts w:eastAsia="Arial" w:cs="Arial"/>
          <w:sz w:val="21"/>
          <w:szCs w:val="21"/>
        </w:rPr>
        <w:t>e. Maintain and follow a grievance procedure,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f. Provide and support access to the Long-Term Care Ombudsman (Board on Aging and Long Term Care) and other advocacy resources.</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DQA.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Ombudsman Program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Reporting of Abuse &amp; Neglect;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Reporting of Abuse &amp; Neglect;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88.07 (abuse/neglect reporting); Wis. Stat. § 50.065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misappropriation of resident property and other reportable incidents are identified, reported, and investigated as required by Wisconsin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requires immediate reporting of suspected abuse, neglect, and misappropriation of resident property, protects residents’ immediate safety, and reports and investigates incidents as required by DHS 88 and the caregiver misconduct requirements.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the licensee and all service providers to immediately report suspected abuse, neglect, or misappropriation of resident property to the appropriate authorities, including law enforcement and county adult protective services as applicable, and through the caregiver program (Wis. Stat. § 50.065).</w:t>
      </w:r>
    </w:p>
    <w:p>
      <w:pPr>
        <w:pStyle w:val="Normal"/>
        <w:tabs>
          <w:tab w:val="left" w:pos="720" w:leader="none"/>
        </w:tabs>
        <w:spacing w:lineRule="exact" w:line="264" w:before="0" w:after="80"/>
        <w:ind w:hanging="360" w:start="720"/>
        <w:rPr/>
      </w:pPr>
      <w:r>
        <w:rPr>
          <w:rFonts w:eastAsia="Arial" w:cs="Arial"/>
          <w:sz w:val="21"/>
          <w:szCs w:val="21"/>
        </w:rPr>
        <w:t>b. Protect the resident’s immediate safety, and notify the resident’s guardian, designated representative, service coordinator, and physician as appropriate.</w:t>
      </w:r>
    </w:p>
    <w:p>
      <w:pPr>
        <w:pStyle w:val="Normal"/>
        <w:tabs>
          <w:tab w:val="left" w:pos="720" w:leader="none"/>
        </w:tabs>
        <w:spacing w:lineRule="exact" w:line="264" w:before="0" w:after="80"/>
        <w:ind w:hanging="360" w:start="720"/>
        <w:rPr/>
      </w:pPr>
      <w:r>
        <w:rPr>
          <w:rFonts w:eastAsia="Arial" w:cs="Arial"/>
          <w:sz w:val="21"/>
          <w:szCs w:val="21"/>
        </w:rPr>
        <w:t>c. Investigate each incident and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Cooperate fully with DQA, the ombudsman, and external investigations, and report to the Department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Caregiver Misconduct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Resident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Resident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88.06(2)(c)6., 88.07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property where the Home handles them, consistent with DHS 88.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handle resident funds only as agreed in the service agreement, with written authorization and a separate accounting, and shall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Specify in the service agreement how the resident’s personal funds will be handled, and obtain written authorization before managing or holding any resident funds.</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transaction with supporting documentation, and keep resident funds separate from the Home’s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Licensing, Classification, Change of Ownership &amp;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Licensing, Classification, Change of Ownership &amp;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88.04, 88.09, 88.10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Home maintains a valid DQA license and classification, operates in a permitted location, and meets change-of-ownership and biennial reporting requirements, consistent with DHS 88.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DQA license is issued only for the premises and persons named in the application and may not be transferred. The Home shall maintain a current license and classification, operate within its program statement, and meet the reporting and change-of-ownership requirements of DHS 88.09 and 88.10.</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valid AFH license at the correct classification (Class A ambulatory; Class B semi-ambulatory; Class C non-ambulatory) and a program statement identifying the number and types of residents served and how the Home meets their needs; ensure semi-ambulatory or non-ambulatory residents have their bedroom, bathroom, and common living areas on the first floor as required.</w:t>
      </w:r>
    </w:p>
    <w:p>
      <w:pPr>
        <w:pStyle w:val="Normal"/>
        <w:tabs>
          <w:tab w:val="left" w:pos="720" w:leader="none"/>
        </w:tabs>
        <w:spacing w:lineRule="exact" w:line="264" w:before="0" w:after="80"/>
        <w:ind w:hanging="360" w:start="720"/>
        <w:rPr/>
      </w:pPr>
      <w:r>
        <w:rPr>
          <w:rFonts w:eastAsia="Arial" w:cs="Arial"/>
          <w:sz w:val="21"/>
          <w:szCs w:val="21"/>
        </w:rPr>
        <w:t>b. Confirm the Home is located in a residential area typical of the community with access to community activities and supportive services, consistent with DHS 88.04, and confirm zoning permits the AFH.</w:t>
      </w:r>
    </w:p>
    <w:p>
      <w:pPr>
        <w:pStyle w:val="Normal"/>
        <w:tabs>
          <w:tab w:val="left" w:pos="720" w:leader="none"/>
        </w:tabs>
        <w:spacing w:lineRule="exact" w:line="264" w:before="0" w:after="80"/>
        <w:ind w:hanging="360" w:start="720"/>
        <w:rPr/>
      </w:pPr>
      <w:r>
        <w:rPr>
          <w:rFonts w:eastAsia="Arial" w:cs="Arial"/>
          <w:sz w:val="21"/>
          <w:szCs w:val="21"/>
        </w:rPr>
        <w:t>c. Submit the biennial report and license continuation fees through the Department’s web-based system, and submit the resident assessment report within 2 weeks of completing each resident assessment (DHS 88.09).</w:t>
      </w:r>
    </w:p>
    <w:p>
      <w:pPr>
        <w:pStyle w:val="Normal"/>
        <w:tabs>
          <w:tab w:val="left" w:pos="720" w:leader="none"/>
        </w:tabs>
        <w:spacing w:lineRule="exact" w:line="264" w:before="0" w:after="80"/>
        <w:ind w:hanging="360" w:start="720"/>
        <w:rPr/>
      </w:pPr>
      <w:r>
        <w:rPr>
          <w:rFonts w:eastAsia="Arial" w:cs="Arial"/>
          <w:sz w:val="21"/>
          <w:szCs w:val="21"/>
        </w:rPr>
        <w:t>d. For a change of ownership, notify the Department at least 60 days before the transfer and each resident or legal representative at least 7 days in advance, following DHS 88.10; notify the Department in writing at least 30 days before other changes requiring notice.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AFH License &amp; Classification</w:t>
      </w:r>
    </w:p>
    <w:p>
      <w:pPr>
        <w:pStyle w:val="ListParagraph"/>
        <w:numPr>
          <w:ilvl w:val="0"/>
          <w:numId w:val="1"/>
        </w:numPr>
        <w:spacing w:lineRule="exact" w:line="264" w:before="0" w:after="60"/>
        <w:rPr/>
      </w:pPr>
      <w:r>
        <w:rPr>
          <w:rFonts w:eastAsia="Arial" w:cs="Arial"/>
          <w:sz w:val="21"/>
          <w:szCs w:val="21"/>
        </w:rPr>
        <w:t>Program Statement</w:t>
      </w:r>
    </w:p>
    <w:p>
      <w:pPr>
        <w:pStyle w:val="ListParagraph"/>
        <w:numPr>
          <w:ilvl w:val="0"/>
          <w:numId w:val="1"/>
        </w:numPr>
        <w:spacing w:lineRule="exact" w:line="264" w:before="0" w:after="60"/>
        <w:rPr/>
      </w:pPr>
      <w:r>
        <w:rPr>
          <w:rFonts w:eastAsia="Arial" w:cs="Arial"/>
          <w:sz w:val="21"/>
          <w:szCs w:val="21"/>
        </w:rPr>
        <w:t>Biennial Report / Resident Assessment Report</w:t>
      </w:r>
    </w:p>
    <w:p>
      <w:pPr>
        <w:pStyle w:val="ListParagraph"/>
        <w:numPr>
          <w:ilvl w:val="0"/>
          <w:numId w:val="1"/>
        </w:numPr>
        <w:spacing w:lineRule="exact" w:line="264" w:before="0" w:after="60"/>
        <w:rPr/>
      </w:pPr>
      <w:r>
        <w:rPr>
          <w:rFonts w:eastAsia="Arial" w:cs="Arial"/>
          <w:sz w:val="21"/>
          <w:szCs w:val="21"/>
        </w:rPr>
        <w:t>Change of Ownership Notice (60-day / 7-day)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the licensee and service provider qualifications and the caregiver background check, and the 15-hour initial and 8-hour annual training (including bloodborne pathogens) and staffing sufficient to meet residents’ needs.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Licensee &amp; Service Provider Qualifications;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Training, Continuing Education &amp;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Licensee &amp; Service Provider Qualifications;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Licensee &amp; Service Provider Qualifications;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88.04; Wis. Stat. § 50.065 (caregiver background check)</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licensee and every service provider are qualified, of reputable character, and screened through the caregiver background check, consistent with DHS 88.04 and Wis. Stat. § 50.065.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licensee shall be at least 21 years of age and physically, emotionally, and mentally capable of providing care; each service provider shall be at least 18 years of age; and all shall be responsible, mature, and of reputable character. The Home shall complete a caregiver background check before a person provides care or has contact with residents, and every four years thereafter.</w:t>
      </w:r>
    </w:p>
    <w:p>
      <w:pPr>
        <w:pStyle w:val="Normal"/>
        <w:pBdr>
          <w:bottom w:val="single" w:sz="4" w:space="1" w:color="2E5E45"/>
        </w:pBdr>
        <w:spacing w:before="160" w:after="80"/>
        <w:rPr/>
      </w:pPr>
      <w:r>
        <w:rPr>
          <w:rFonts w:eastAsia="Arial" w:cs="Arial"/>
          <w:b/>
          <w:bCs/>
          <w:color w:val="1A4731"/>
          <w:sz w:val="20"/>
          <w:szCs w:val="20"/>
        </w:rPr>
        <w:t>PROCEDURE — QUALIFICATIONS</w:t>
      </w:r>
    </w:p>
    <w:p>
      <w:pPr>
        <w:pStyle w:val="Normal"/>
        <w:tabs>
          <w:tab w:val="left" w:pos="720" w:leader="none"/>
        </w:tabs>
        <w:spacing w:lineRule="exact" w:line="264" w:before="0" w:after="80"/>
        <w:ind w:hanging="360" w:start="720"/>
        <w:rPr/>
      </w:pPr>
      <w:r>
        <w:rPr>
          <w:rFonts w:eastAsia="Arial" w:cs="Arial"/>
          <w:sz w:val="21"/>
          <w:szCs w:val="21"/>
        </w:rPr>
        <w:t>a. Ensure the licensee is at least 21 years of age and physically, emotionally, and mentally capable of providing care for the residents, and that each service provider is at least 18 years of age.</w:t>
      </w:r>
    </w:p>
    <w:p>
      <w:pPr>
        <w:pStyle w:val="Normal"/>
        <w:tabs>
          <w:tab w:val="left" w:pos="720" w:leader="none"/>
        </w:tabs>
        <w:spacing w:lineRule="exact" w:line="264" w:before="0" w:after="80"/>
        <w:ind w:hanging="360" w:start="720"/>
        <w:rPr/>
      </w:pPr>
      <w:r>
        <w:rPr>
          <w:rFonts w:eastAsia="Arial" w:cs="Arial"/>
          <w:sz w:val="21"/>
          <w:szCs w:val="21"/>
        </w:rPr>
        <w:t>b. Ensure the licensee and each service provider are responsible, mature, and of reputable character and display the capacity to successfully provide care for the residents identified in the program statement.</w:t>
      </w:r>
    </w:p>
    <w:p>
      <w:pPr>
        <w:pStyle w:val="Normal"/>
        <w:tabs>
          <w:tab w:val="left" w:pos="720" w:leader="none"/>
        </w:tabs>
        <w:spacing w:lineRule="exact" w:line="264" w:before="0" w:after="80"/>
        <w:ind w:hanging="360" w:start="720"/>
        <w:rPr/>
      </w:pPr>
      <w:r>
        <w:rPr>
          <w:rFonts w:eastAsia="Arial" w:cs="Arial"/>
          <w:sz w:val="21"/>
          <w:szCs w:val="21"/>
        </w:rPr>
        <w:t>c. Ensure the licensee may not permit the existence or continuation of a condition in the Home that places the health, safety, or welfare of a resident at substantial risk of harm (DHS 88.04(2)(f)).</w:t>
      </w:r>
    </w:p>
    <w:p>
      <w:pPr>
        <w:pStyle w:val="Normal"/>
        <w:pBdr>
          <w:bottom w:val="single" w:sz="4" w:space="1" w:color="2E5E45"/>
        </w:pBdr>
        <w:spacing w:before="160" w:after="80"/>
        <w:rPr/>
      </w:pPr>
      <w:r>
        <w:rPr>
          <w:rFonts w:eastAsia="Arial" w:cs="Arial"/>
          <w:b/>
          <w:bCs/>
          <w:color w:val="1A4731"/>
          <w:sz w:val="20"/>
          <w:szCs w:val="20"/>
        </w:rPr>
        <w:t>PROCEDURE — BACKGROUND CHECKS &amp; RECORDS</w:t>
      </w:r>
    </w:p>
    <w:p>
      <w:pPr>
        <w:pStyle w:val="Normal"/>
        <w:tabs>
          <w:tab w:val="left" w:pos="720" w:leader="none"/>
        </w:tabs>
        <w:spacing w:lineRule="exact" w:line="264" w:before="0" w:after="80"/>
        <w:ind w:hanging="360" w:start="720"/>
        <w:rPr/>
      </w:pPr>
      <w:r>
        <w:rPr>
          <w:rFonts w:eastAsia="Arial" w:cs="Arial"/>
          <w:sz w:val="21"/>
          <w:szCs w:val="21"/>
        </w:rPr>
        <w:t>d. Complete a caregiver background check under Wis. Stat. § 50.065, including a Background Information Disclosure, before a person provides care or has resident contact, and every four years thereafter, and do not employ or contract with a person with a disqualifying conviction or a substantiated finding of misconduct unless approved under the Department’s rehabilitation review.</w:t>
      </w:r>
    </w:p>
    <w:p>
      <w:pPr>
        <w:pStyle w:val="Normal"/>
        <w:tabs>
          <w:tab w:val="left" w:pos="720" w:leader="none"/>
        </w:tabs>
        <w:spacing w:lineRule="exact" w:line="264" w:before="0" w:after="80"/>
        <w:ind w:hanging="360" w:start="720"/>
        <w:rPr/>
      </w:pPr>
      <w:r>
        <w:rPr>
          <w:rFonts w:eastAsia="Arial" w:cs="Arial"/>
          <w:sz w:val="21"/>
          <w:szCs w:val="21"/>
        </w:rPr>
        <w:t>e. Maintain a separate personnel record for each service provider (DHS 88.09(2)(a)) including name and address, date of birth, beginning date of employment, job-related experience and training, educational qualifications, job description, and documentation of completed training under DHS 88.04(5).</w:t>
      </w:r>
    </w:p>
    <w:p>
      <w:pPr>
        <w:pStyle w:val="Normal"/>
        <w:tabs>
          <w:tab w:val="left" w:pos="720" w:leader="none"/>
        </w:tabs>
        <w:spacing w:lineRule="exact" w:line="264" w:before="0" w:after="80"/>
        <w:ind w:hanging="360" w:start="720"/>
        <w:rPr/>
      </w:pPr>
      <w:r>
        <w:rPr>
          <w:rFonts w:eastAsia="Arial" w:cs="Arial"/>
          <w:sz w:val="21"/>
          <w:szCs w:val="21"/>
        </w:rPr>
        <w:t>f. Safeguard all service provider records against destruction, loss, or unauthorized use.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Background Check &amp; Background Information Disclosure (§ 50.065)</w:t>
      </w:r>
    </w:p>
    <w:p>
      <w:pPr>
        <w:pStyle w:val="ListParagraph"/>
        <w:numPr>
          <w:ilvl w:val="0"/>
          <w:numId w:val="1"/>
        </w:numPr>
        <w:spacing w:lineRule="exact" w:line="264" w:before="0" w:after="60"/>
        <w:rPr/>
      </w:pPr>
      <w:r>
        <w:rPr>
          <w:rFonts w:eastAsia="Arial" w:cs="Arial"/>
          <w:sz w:val="21"/>
          <w:szCs w:val="21"/>
        </w:rPr>
        <w:t>Licensee / Service Provider Qualification Record</w:t>
      </w:r>
    </w:p>
    <w:p>
      <w:pPr>
        <w:pStyle w:val="ListParagraph"/>
        <w:numPr>
          <w:ilvl w:val="0"/>
          <w:numId w:val="1"/>
        </w:numPr>
        <w:spacing w:lineRule="exact" w:line="264" w:before="0" w:after="60"/>
        <w:rPr/>
      </w:pPr>
      <w:r>
        <w:rPr>
          <w:rFonts w:eastAsia="Arial" w:cs="Arial"/>
          <w:sz w:val="21"/>
          <w:szCs w:val="21"/>
        </w:rPr>
        <w:t>Personnel Record (DHS 88.09(2))</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Training, Continuing Education &amp;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Training, Continuing Education &amp;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88.04(5) (training); OSHA 29 CFR 1910.1030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licensee and every service provider complete the required initial and annual training and that the Home is staffed to meet residents’ needs, consistent with DHS 88.04(5).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licensee and each service provider shall complete 15 hours of approved training prior to or within six months after starting to provide care, and 8 hours of approved training each year thereafter, and shall be competent to meet residents’ needs; the Home shall be staffed sufficiently to provide the services in the residents’ service agreements.</w:t>
      </w:r>
    </w:p>
    <w:p>
      <w:pPr>
        <w:pStyle w:val="Normal"/>
        <w:pBdr>
          <w:bottom w:val="single" w:sz="4" w:space="1" w:color="2E5E45"/>
        </w:pBdr>
        <w:spacing w:before="160" w:after="80"/>
        <w:rPr/>
      </w:pPr>
      <w:r>
        <w:rPr>
          <w:rFonts w:eastAsia="Arial" w:cs="Arial"/>
          <w:b/>
          <w:bCs/>
          <w:color w:val="1A4731"/>
          <w:sz w:val="20"/>
          <w:szCs w:val="20"/>
        </w:rPr>
        <w:t>PROCEDURE — INITIAL &amp; ANNUAL TRAINING</w:t>
      </w:r>
    </w:p>
    <w:p>
      <w:pPr>
        <w:pStyle w:val="Normal"/>
        <w:tabs>
          <w:tab w:val="left" w:pos="720" w:leader="none"/>
        </w:tabs>
        <w:spacing w:lineRule="exact" w:line="264" w:before="0" w:after="80"/>
        <w:ind w:hanging="360" w:start="720"/>
        <w:rPr/>
      </w:pPr>
      <w:r>
        <w:rPr>
          <w:rFonts w:eastAsia="Arial" w:cs="Arial"/>
          <w:sz w:val="21"/>
          <w:szCs w:val="21"/>
        </w:rPr>
        <w:t>a. Ensure the licensee and each service provider complete 15 hours of training approved by the licensing agency — related to the health, safety, and welfare of residents, resident rights, and treatment appropriate to residents served — prior to or within six months after starting to provide care, including fire safety and first aid (DHS 88.04(5)(a)).</w:t>
      </w:r>
    </w:p>
    <w:p>
      <w:pPr>
        <w:pStyle w:val="Normal"/>
        <w:tabs>
          <w:tab w:val="left" w:pos="720" w:leader="none"/>
        </w:tabs>
        <w:spacing w:lineRule="exact" w:line="264" w:before="0" w:after="80"/>
        <w:ind w:hanging="360" w:start="720"/>
        <w:rPr/>
      </w:pPr>
      <w:r>
        <w:rPr>
          <w:rFonts w:eastAsia="Arial" w:cs="Arial"/>
          <w:sz w:val="21"/>
          <w:szCs w:val="21"/>
        </w:rPr>
        <w:t>b. Ensure that, regardless of the six-month allowance, each person is competent to provide services and treatment appropriate to residents’ needs before working independently, and provide orientation to the Home’s policies and each person’s responsibilities.</w:t>
      </w:r>
    </w:p>
    <w:p>
      <w:pPr>
        <w:pStyle w:val="Normal"/>
        <w:tabs>
          <w:tab w:val="left" w:pos="720" w:leader="none"/>
        </w:tabs>
        <w:spacing w:lineRule="exact" w:line="264" w:before="0" w:after="80"/>
        <w:ind w:hanging="360" w:start="720"/>
        <w:rPr/>
      </w:pPr>
      <w:r>
        <w:rPr>
          <w:rFonts w:eastAsia="Arial" w:cs="Arial"/>
          <w:sz w:val="21"/>
          <w:szCs w:val="21"/>
        </w:rPr>
        <w:t>c. Ensure the licensee and each service provider complete 8 hours of approved training related to the health, safety, welfare, rights, and treatment of residents each year, beginning the calendar year after the initial training (DHS 88.04(5)(b)).</w:t>
      </w:r>
    </w:p>
    <w:p>
      <w:pPr>
        <w:pStyle w:val="Normal"/>
        <w:tabs>
          <w:tab w:val="left" w:pos="720" w:leader="none"/>
        </w:tabs>
        <w:spacing w:lineRule="exact" w:line="264" w:before="0" w:after="80"/>
        <w:ind w:hanging="360" w:start="720"/>
        <w:rPr/>
      </w:pPr>
      <w:r>
        <w:rPr>
          <w:rFonts w:eastAsia="Arial" w:cs="Arial"/>
          <w:sz w:val="21"/>
          <w:szCs w:val="21"/>
        </w:rPr>
        <w:t>d. Include appropriate topics such as medications and medication administration, standard precautions, first aid and choking, fire safety and emergency procedures, resident rights, abuse/neglect prevention and reporting, personal care, needs of the client group served, and challenging behaviors, and document all training in the personnel record.</w:t>
      </w:r>
    </w:p>
    <w:p>
      <w:pPr>
        <w:pStyle w:val="Normal"/>
        <w:pBdr>
          <w:bottom w:val="single" w:sz="4" w:space="1" w:color="2E5E45"/>
        </w:pBdr>
        <w:spacing w:before="160" w:after="80"/>
        <w:rPr/>
      </w:pPr>
      <w:r>
        <w:rPr>
          <w:rFonts w:eastAsia="Arial" w:cs="Arial"/>
          <w:b/>
          <w:bCs/>
          <w:color w:val="1A4731"/>
          <w:sz w:val="20"/>
          <w:szCs w:val="20"/>
        </w:rPr>
        <w:t>PROCEDURE — BLOODBORNE PATHOGENS &amp; STAFFING</w:t>
      </w:r>
    </w:p>
    <w:p>
      <w:pPr>
        <w:pStyle w:val="Normal"/>
        <w:tabs>
          <w:tab w:val="left" w:pos="720" w:leader="none"/>
        </w:tabs>
        <w:spacing w:lineRule="exact" w:line="264" w:before="0" w:after="80"/>
        <w:ind w:hanging="360" w:start="720"/>
        <w:rPr/>
      </w:pPr>
      <w:r>
        <w:rPr>
          <w:rFonts w:eastAsia="Arial" w:cs="Arial"/>
          <w:sz w:val="21"/>
          <w:szCs w:val="21"/>
        </w:rPr>
        <w:t>e. Comply with the OSHA bloodborne pathogens standard (29 CFR 1910.1030) (DHS 88.04(2)(h)), providing training to staff who may contact blood or other potentially infectious material at assignment and annually.</w:t>
      </w:r>
    </w:p>
    <w:p>
      <w:pPr>
        <w:pStyle w:val="Normal"/>
        <w:tabs>
          <w:tab w:val="left" w:pos="720" w:leader="none"/>
        </w:tabs>
        <w:spacing w:lineRule="exact" w:line="264" w:before="0" w:after="80"/>
        <w:ind w:hanging="360" w:start="720"/>
        <w:rPr/>
      </w:pPr>
      <w:r>
        <w:rPr>
          <w:rFonts w:eastAsia="Arial" w:cs="Arial"/>
          <w:sz w:val="21"/>
          <w:szCs w:val="21"/>
        </w:rPr>
        <w:t>f. Maintain staffing sufficient to provide all services identified in the residents’ service agreements, including assisting residents with unscheduled care needs, and to ensure resident safety and evacuation capability.</w:t>
      </w:r>
    </w:p>
    <w:p>
      <w:pPr>
        <w:pStyle w:val="Normal"/>
        <w:tabs>
          <w:tab w:val="left" w:pos="720" w:leader="none"/>
        </w:tabs>
        <w:spacing w:lineRule="exact" w:line="264" w:before="0" w:after="80"/>
        <w:ind w:hanging="360" w:start="720"/>
        <w:rPr/>
      </w:pPr>
      <w:r>
        <w:rPr>
          <w:rFonts w:eastAsia="Arial" w:cs="Arial"/>
          <w:sz w:val="21"/>
          <w:szCs w:val="21"/>
        </w:rPr>
        <w:t>g. Verify competency for medication assistance and other assigned tasks, and maintain training documentation for each person.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Training Record (15-hour / 6-month)</w:t>
      </w:r>
    </w:p>
    <w:p>
      <w:pPr>
        <w:pStyle w:val="ListParagraph"/>
        <w:numPr>
          <w:ilvl w:val="0"/>
          <w:numId w:val="1"/>
        </w:numPr>
        <w:spacing w:lineRule="exact" w:line="264" w:before="0" w:after="60"/>
        <w:rPr/>
      </w:pPr>
      <w:r>
        <w:rPr>
          <w:rFonts w:eastAsia="Arial" w:cs="Arial"/>
          <w:sz w:val="21"/>
          <w:szCs w:val="21"/>
        </w:rPr>
        <w:t>Annual Training Record (8-hour/year)</w:t>
      </w:r>
    </w:p>
    <w:p>
      <w:pPr>
        <w:pStyle w:val="ListParagraph"/>
        <w:numPr>
          <w:ilvl w:val="0"/>
          <w:numId w:val="1"/>
        </w:numPr>
        <w:spacing w:lineRule="exact" w:line="264" w:before="0" w:after="60"/>
        <w:rPr/>
      </w:pPr>
      <w:r>
        <w:rPr>
          <w:rFonts w:eastAsia="Arial" w:cs="Arial"/>
          <w:sz w:val="21"/>
          <w:szCs w:val="21"/>
        </w:rPr>
        <w:t>Bloodborne Pathogens Training Record</w:t>
      </w:r>
    </w:p>
    <w:p>
      <w:pPr>
        <w:pStyle w:val="ListParagraph"/>
        <w:numPr>
          <w:ilvl w:val="0"/>
          <w:numId w:val="1"/>
        </w:numPr>
        <w:spacing w:lineRule="exact" w:line="264" w:before="0" w:after="60"/>
        <w:rPr/>
      </w:pPr>
      <w:r>
        <w:rPr>
          <w:rFonts w:eastAsia="Arial" w:cs="Arial"/>
          <w:sz w:val="21"/>
          <w:szCs w:val="21"/>
        </w:rPr>
        <w:t>Staffing / Coverage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Home assesses residents and plans their care — the written assessment and individual service plan within 30 days with six-month reviews, the care, maintenance, and program services (including up to seven hours of nursing care per week), and fall management, resident safety, and termination of placement.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Assessment &amp; Individual Service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Care, Maintenance &amp; Program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Resident Safety &amp; Termination of Placement</w:t>
      </w:r>
    </w:p>
    <w:p>
      <w:pPr>
        <w:pStyle w:val="Normal"/>
        <w:rPr/>
      </w:pPr>
      <w:r>
        <w:rPr/>
      </w:r>
      <w:r>
        <w:br w:type="page"/>
      </w:r>
    </w:p>
    <w:p>
      <w:pPr>
        <w:pStyle w:val="Heading2"/>
        <w:spacing w:before="0" w:after="120"/>
        <w:rPr/>
      </w:pPr>
      <w:r>
        <w:rPr>
          <w:rFonts w:eastAsia="Arial" w:cs="Arial" w:ascii="Arial" w:hAnsi="Arial"/>
          <w:b/>
          <w:bCs/>
          <w:color w:val="1A4731"/>
          <w:sz w:val="26"/>
          <w:szCs w:val="26"/>
        </w:rPr>
        <w:t>3.00  Assessment &amp; Individual Service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Assessment &amp; Individual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88.06(3)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written assessment and individual service plan (ISP) that reflects the resident’s needs and abilities and is kept current, consistent with DHS 88.06(3).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complete a written assessment and develop an individual service plan for each resident within 30 days after placement, developed with the resident and the placing agency, service coordinator, guardian, and designated representative as applicable, and shall review the ISP at least once every six months and on change of condition.</w:t>
      </w:r>
    </w:p>
    <w:p>
      <w:pPr>
        <w:pStyle w:val="Normal"/>
        <w:pBdr>
          <w:bottom w:val="single" w:sz="4" w:space="1" w:color="2E5E45"/>
        </w:pBdr>
        <w:spacing w:before="160" w:after="80"/>
        <w:rPr/>
      </w:pPr>
      <w:r>
        <w:rPr>
          <w:rFonts w:eastAsia="Arial" w:cs="Arial"/>
          <w:b/>
          <w:bCs/>
          <w:color w:val="1A4731"/>
          <w:sz w:val="20"/>
          <w:szCs w:val="20"/>
        </w:rPr>
        <w:t>PROCEDURE — ASSESSMENT &amp; PLAN</w:t>
      </w:r>
    </w:p>
    <w:p>
      <w:pPr>
        <w:pStyle w:val="Normal"/>
        <w:tabs>
          <w:tab w:val="left" w:pos="720" w:leader="none"/>
        </w:tabs>
        <w:spacing w:lineRule="exact" w:line="264" w:before="0" w:after="80"/>
        <w:ind w:hanging="360" w:start="720"/>
        <w:rPr/>
      </w:pPr>
      <w:r>
        <w:rPr>
          <w:rFonts w:eastAsia="Arial" w:cs="Arial"/>
          <w:sz w:val="21"/>
          <w:szCs w:val="21"/>
        </w:rPr>
        <w:t>a. Complete a written assessment within 30 days after placement that identifies the resident’s needs and abilities in at least activities of daily living, medications, health, level of supervision required in the home and community, and vocational, recreational, social, and transportation needs.</w:t>
      </w:r>
    </w:p>
    <w:p>
      <w:pPr>
        <w:pStyle w:val="Normal"/>
        <w:tabs>
          <w:tab w:val="left" w:pos="720" w:leader="none"/>
        </w:tabs>
        <w:spacing w:lineRule="exact" w:line="264" w:before="0" w:after="80"/>
        <w:ind w:hanging="360" w:start="720"/>
        <w:rPr/>
      </w:pPr>
      <w:r>
        <w:rPr>
          <w:rFonts w:eastAsia="Arial" w:cs="Arial"/>
          <w:sz w:val="21"/>
          <w:szCs w:val="21"/>
        </w:rPr>
        <w:t>b. Develop the individual service plan with the placing agency (if any), service coordinator (if any), the licensee, the resident, and the resident’s guardian and designated representative (if any), with the resident participating in a manner appropriate to the resident’s understanding and communication.</w:t>
      </w:r>
    </w:p>
    <w:p>
      <w:pPr>
        <w:pStyle w:val="Normal"/>
        <w:tabs>
          <w:tab w:val="left" w:pos="720" w:leader="none"/>
        </w:tabs>
        <w:spacing w:lineRule="exact" w:line="264" w:before="0" w:after="80"/>
        <w:ind w:hanging="360" w:start="720"/>
        <w:rPr/>
      </w:pPr>
      <w:r>
        <w:rPr>
          <w:rFonts w:eastAsia="Arial" w:cs="Arial"/>
          <w:sz w:val="21"/>
          <w:szCs w:val="21"/>
        </w:rPr>
        <w:t>c. Include in the ISP a description of the services the Home will provide to meet assessed needs, the level of supervision required in the home and community, descriptions of services provided by outside agencies, and a dated statement of agreement signed by all persons involved; provide a copy to all persons involved.</w:t>
      </w:r>
    </w:p>
    <w:p>
      <w:pPr>
        <w:pStyle w:val="Normal"/>
        <w:pBdr>
          <w:bottom w:val="single" w:sz="4" w:space="1" w:color="2E5E45"/>
        </w:pBdr>
        <w:spacing w:before="160" w:after="80"/>
        <w:rPr/>
      </w:pPr>
      <w:r>
        <w:rPr>
          <w:rFonts w:eastAsia="Arial" w:cs="Arial"/>
          <w:b/>
          <w:bCs/>
          <w:color w:val="1A4731"/>
          <w:sz w:val="20"/>
          <w:szCs w:val="20"/>
        </w:rPr>
        <w:t>PROCEDURE — REVIEW</w:t>
      </w:r>
    </w:p>
    <w:p>
      <w:pPr>
        <w:pStyle w:val="Normal"/>
        <w:tabs>
          <w:tab w:val="left" w:pos="720" w:leader="none"/>
        </w:tabs>
        <w:spacing w:lineRule="exact" w:line="264" w:before="0" w:after="80"/>
        <w:ind w:hanging="360" w:start="720"/>
        <w:rPr/>
      </w:pPr>
      <w:r>
        <w:rPr>
          <w:rFonts w:eastAsia="Arial" w:cs="Arial"/>
          <w:sz w:val="21"/>
          <w:szCs w:val="21"/>
        </w:rPr>
        <w:t>d. Review the individual service plan at least once every six months with the licensee, the resident or guardian, the service coordinator (if any), the designated representative (if any), and the placing agency (if applicable).</w:t>
      </w:r>
    </w:p>
    <w:p>
      <w:pPr>
        <w:pStyle w:val="Normal"/>
        <w:tabs>
          <w:tab w:val="left" w:pos="720" w:leader="none"/>
        </w:tabs>
        <w:spacing w:lineRule="exact" w:line="264" w:before="0" w:after="80"/>
        <w:ind w:hanging="360" w:start="720"/>
        <w:rPr/>
      </w:pPr>
      <w:r>
        <w:rPr>
          <w:rFonts w:eastAsia="Arial" w:cs="Arial"/>
          <w:sz w:val="21"/>
          <w:szCs w:val="21"/>
        </w:rPr>
        <w:t>e. Review and update the assessment and ISP when there is a change in the resident’s needs, abilities, or condition.</w:t>
      </w:r>
    </w:p>
    <w:p>
      <w:pPr>
        <w:pStyle w:val="Normal"/>
        <w:tabs>
          <w:tab w:val="left" w:pos="720" w:leader="none"/>
        </w:tabs>
        <w:spacing w:lineRule="exact" w:line="264" w:before="0" w:after="80"/>
        <w:ind w:hanging="360" w:start="720"/>
        <w:rPr/>
      </w:pPr>
      <w:r>
        <w:rPr>
          <w:rFonts w:eastAsia="Arial" w:cs="Arial"/>
          <w:sz w:val="21"/>
          <w:szCs w:val="21"/>
        </w:rPr>
        <w:t>f. Submit the resident assessment report to the Department within 2 weeks of completion, as required by DHS 88.09.</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Written Assessment (DHS 88.06(3))</w:t>
      </w:r>
    </w:p>
    <w:p>
      <w:pPr>
        <w:pStyle w:val="ListParagraph"/>
        <w:numPr>
          <w:ilvl w:val="0"/>
          <w:numId w:val="1"/>
        </w:numPr>
        <w:spacing w:lineRule="exact" w:line="264" w:before="0" w:after="60"/>
        <w:rPr/>
      </w:pPr>
      <w:r>
        <w:rPr>
          <w:rFonts w:eastAsia="Arial" w:cs="Arial"/>
          <w:sz w:val="21"/>
          <w:szCs w:val="21"/>
        </w:rPr>
        <w:t>Individual Service Plan (ISP)</w:t>
      </w:r>
    </w:p>
    <w:p>
      <w:pPr>
        <w:pStyle w:val="ListParagraph"/>
        <w:numPr>
          <w:ilvl w:val="0"/>
          <w:numId w:val="1"/>
        </w:numPr>
        <w:spacing w:lineRule="exact" w:line="264" w:before="0" w:after="60"/>
        <w:rPr/>
      </w:pPr>
      <w:r>
        <w:rPr>
          <w:rFonts w:eastAsia="Arial" w:cs="Arial"/>
          <w:sz w:val="21"/>
          <w:szCs w:val="21"/>
        </w:rPr>
        <w:t>ISP 6-Month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Care, Maintenance &amp; Program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Care, Maintenance &amp; Program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 (program services; care and maintenance)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care, maintenance, personal care, supervision, and program services identified in each resident’s ISP, within the AFH scope (including up to 7 hours of nursing care per week), while supporting community participation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provide care and maintenance above the level of room and board — personal care, supervision, and program services — according to each resident’s ISP, may provide up to seven hours of nursing care per resident per week, and shall support each resident’s participation in the community.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personal care and supervision — assistance with activities of daily living and the level of supervision identified in the ISP — in the home and community.</w:t>
      </w:r>
    </w:p>
    <w:p>
      <w:pPr>
        <w:pStyle w:val="Normal"/>
        <w:tabs>
          <w:tab w:val="left" w:pos="720" w:leader="none"/>
        </w:tabs>
        <w:spacing w:lineRule="exact" w:line="264" w:before="0" w:after="80"/>
        <w:ind w:hanging="360" w:start="720"/>
        <w:rPr/>
      </w:pPr>
      <w:r>
        <w:rPr>
          <w:rFonts w:eastAsia="Arial" w:cs="Arial"/>
          <w:sz w:val="21"/>
          <w:szCs w:val="21"/>
        </w:rPr>
        <w:t>b. Provide meals meeting residents’ nutritional needs and any modified diet, and provide or support program, recreational, social, and community activities consistent with the ISP and resident preferences.</w:t>
      </w:r>
    </w:p>
    <w:p>
      <w:pPr>
        <w:pStyle w:val="Normal"/>
        <w:tabs>
          <w:tab w:val="left" w:pos="720" w:leader="none"/>
        </w:tabs>
        <w:spacing w:lineRule="exact" w:line="264" w:before="0" w:after="80"/>
        <w:ind w:hanging="360" w:start="720"/>
        <w:rPr/>
      </w:pPr>
      <w:r>
        <w:rPr>
          <w:rFonts w:eastAsia="Arial" w:cs="Arial"/>
          <w:sz w:val="21"/>
          <w:szCs w:val="21"/>
        </w:rPr>
        <w:t>c. Provide or arrange nursing care within the AFH limit (up to 7 hours per resident per week), coordinate services provided by outside agencies, and arrange access to health care and transportation.</w:t>
      </w:r>
    </w:p>
    <w:p>
      <w:pPr>
        <w:pStyle w:val="Normal"/>
        <w:tabs>
          <w:tab w:val="left" w:pos="720" w:leader="none"/>
        </w:tabs>
        <w:spacing w:lineRule="exact" w:line="264" w:before="0" w:after="80"/>
        <w:ind w:hanging="360" w:start="720"/>
        <w:rPr/>
      </w:pPr>
      <w:r>
        <w:rPr>
          <w:rFonts w:eastAsia="Arial" w:cs="Arial"/>
          <w:sz w:val="21"/>
          <w:szCs w:val="21"/>
        </w:rPr>
        <w:t>d. Report changes in a resident’s condition to the resident’s physician, guardian, designated representative, and service coordinator as appropriate.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Care / Service Record</w:t>
      </w:r>
    </w:p>
    <w:p>
      <w:pPr>
        <w:pStyle w:val="ListParagraph"/>
        <w:numPr>
          <w:ilvl w:val="0"/>
          <w:numId w:val="1"/>
        </w:numPr>
        <w:spacing w:lineRule="exact" w:line="264" w:before="0" w:after="60"/>
        <w:rPr/>
      </w:pPr>
      <w:r>
        <w:rPr>
          <w:rFonts w:eastAsia="Arial" w:cs="Arial"/>
          <w:sz w:val="21"/>
          <w:szCs w:val="21"/>
        </w:rPr>
        <w:t>Nursing Care Log (7-hour/week limit)</w:t>
      </w:r>
    </w:p>
    <w:p>
      <w:pPr>
        <w:pStyle w:val="ListParagraph"/>
        <w:numPr>
          <w:ilvl w:val="0"/>
          <w:numId w:val="1"/>
        </w:numPr>
        <w:spacing w:lineRule="exact" w:line="264" w:before="0" w:after="60"/>
        <w:rPr/>
      </w:pPr>
      <w:r>
        <w:rPr>
          <w:rFonts w:eastAsia="Arial" w:cs="Arial"/>
          <w:sz w:val="21"/>
          <w:szCs w:val="21"/>
        </w:rPr>
        <w:t>Activity &amp; Community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Resident Safety &amp; Termination of Placement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Resident Safety &amp; Termination of Placement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88.08 (termination);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respond safely to safety events, and manage termination of placement consistent with DHS 88.08.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assess safety and fall risk, address it in the ISP, respond to falls in a manner that protects the resident, and terminate a placement only with the required notice except in an emergency.</w:t>
      </w:r>
    </w:p>
    <w:p>
      <w:pPr>
        <w:pStyle w:val="Normal"/>
        <w:pBdr>
          <w:bottom w:val="single" w:sz="4" w:space="1" w:color="2E5E45"/>
        </w:pBdr>
        <w:spacing w:before="160" w:after="80"/>
        <w:rPr/>
      </w:pPr>
      <w:r>
        <w:rPr>
          <w:rFonts w:eastAsia="Arial" w:cs="Arial"/>
          <w:b/>
          <w:bCs/>
          <w:color w:val="1A4731"/>
          <w:sz w:val="20"/>
          <w:szCs w:val="20"/>
        </w:rPr>
        <w:t>PROCEDURE — FALL RISK &amp; RESPONSE</w:t>
      </w:r>
    </w:p>
    <w:p>
      <w:pPr>
        <w:pStyle w:val="Normal"/>
        <w:tabs>
          <w:tab w:val="left" w:pos="720" w:leader="none"/>
        </w:tabs>
        <w:spacing w:lineRule="exact" w:line="264" w:before="0" w:after="80"/>
        <w:ind w:hanging="360" w:start="720"/>
        <w:rPr/>
      </w:pPr>
      <w:r>
        <w:rPr>
          <w:rFonts w:eastAsia="Arial" w:cs="Arial"/>
          <w:sz w:val="21"/>
          <w:szCs w:val="21"/>
        </w:rPr>
        <w:t>a. Assess each resident’s fall and safety risk and address identified risk in the ISP, maintaining a safe home environment with routine safety checks.</w:t>
      </w:r>
    </w:p>
    <w:p>
      <w:pPr>
        <w:pStyle w:val="Normal"/>
        <w:tabs>
          <w:tab w:val="left" w:pos="720" w:leader="none"/>
        </w:tabs>
        <w:spacing w:lineRule="exact" w:line="264" w:before="0" w:after="80"/>
        <w:ind w:hanging="360" w:start="720"/>
        <w:rPr/>
      </w:pPr>
      <w:r>
        <w:rPr>
          <w:rFonts w:eastAsia="Arial" w:cs="Arial"/>
          <w:sz w:val="21"/>
          <w:szCs w:val="21"/>
        </w:rPr>
        <w:t>b. When a resident has fallen or cannot get up independently, trained staff shall evaluate the resident before attempting to assist, and assist only when it is safe (no apparent injury, no change from baseline, resident able to participate); otherwise do not lift and call 911.</w:t>
      </w:r>
    </w:p>
    <w:p>
      <w:pPr>
        <w:pStyle w:val="Normal"/>
        <w:tabs>
          <w:tab w:val="left" w:pos="720" w:leader="none"/>
        </w:tabs>
        <w:spacing w:lineRule="exact" w:line="264" w:before="0" w:after="80"/>
        <w:ind w:hanging="360" w:start="720"/>
        <w:rPr/>
      </w:pPr>
      <w:r>
        <w:rPr>
          <w:rFonts w:eastAsia="Arial" w:cs="Arial"/>
          <w:sz w:val="21"/>
          <w:szCs w:val="21"/>
        </w:rPr>
        <w:t>c. Document each fall and safety event and the response, notify the physician, guardian, and service coordinator as appropriate, and review through the quality process.</w:t>
      </w:r>
    </w:p>
    <w:p>
      <w:pPr>
        <w:pStyle w:val="Normal"/>
        <w:pBdr>
          <w:bottom w:val="single" w:sz="4" w:space="1" w:color="2E5E45"/>
        </w:pBdr>
        <w:spacing w:before="160" w:after="80"/>
        <w:rPr/>
      </w:pPr>
      <w:r>
        <w:rPr>
          <w:rFonts w:eastAsia="Arial" w:cs="Arial"/>
          <w:b/>
          <w:bCs/>
          <w:color w:val="1A4731"/>
          <w:sz w:val="20"/>
          <w:szCs w:val="20"/>
        </w:rPr>
        <w:t>PROCEDURE — TERMINATION OF PLACEMENT</w:t>
      </w:r>
    </w:p>
    <w:p>
      <w:pPr>
        <w:pStyle w:val="Normal"/>
        <w:tabs>
          <w:tab w:val="left" w:pos="720" w:leader="none"/>
        </w:tabs>
        <w:spacing w:lineRule="exact" w:line="264" w:before="0" w:after="80"/>
        <w:ind w:hanging="360" w:start="720"/>
        <w:rPr/>
      </w:pPr>
      <w:r>
        <w:rPr>
          <w:rFonts w:eastAsia="Arial" w:cs="Arial"/>
          <w:sz w:val="21"/>
          <w:szCs w:val="21"/>
        </w:rPr>
        <w:t>d. Terminate a resident’s placement only after giving the resident, guardian (if any), service coordinator, placing agency (if any), and designated representative (if any) 30 days’ written notice, consistent with the service agreement.</w:t>
      </w:r>
    </w:p>
    <w:p>
      <w:pPr>
        <w:pStyle w:val="Normal"/>
        <w:tabs>
          <w:tab w:val="left" w:pos="720" w:leader="none"/>
        </w:tabs>
        <w:spacing w:lineRule="exact" w:line="264" w:before="0" w:after="80"/>
        <w:ind w:hanging="360" w:start="720"/>
        <w:rPr/>
      </w:pPr>
      <w:r>
        <w:rPr>
          <w:rFonts w:eastAsia="Arial" w:cs="Arial"/>
          <w:sz w:val="21"/>
          <w:szCs w:val="21"/>
        </w:rPr>
        <w:t>e. Provide the relocation assistance described in the service agreement, and coordinate a safe transition.</w:t>
      </w:r>
    </w:p>
    <w:p>
      <w:pPr>
        <w:pStyle w:val="Normal"/>
        <w:tabs>
          <w:tab w:val="left" w:pos="720" w:leader="none"/>
        </w:tabs>
        <w:spacing w:lineRule="exact" w:line="264" w:before="0" w:after="80"/>
        <w:ind w:hanging="360" w:start="720"/>
        <w:rPr/>
      </w:pPr>
      <w:r>
        <w:rPr>
          <w:rFonts w:eastAsia="Arial" w:cs="Arial"/>
          <w:sz w:val="21"/>
          <w:szCs w:val="21"/>
        </w:rPr>
        <w:t>f. The 30-day notice is not required for an emergency termination necessary to prevent harm to the resident or other household members; document the basis for any emergency termination.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 &amp; Safety Event Report</w:t>
      </w:r>
    </w:p>
    <w:p>
      <w:pPr>
        <w:pStyle w:val="ListParagraph"/>
        <w:numPr>
          <w:ilvl w:val="0"/>
          <w:numId w:val="1"/>
        </w:numPr>
        <w:spacing w:lineRule="exact" w:line="264" w:before="0" w:after="60"/>
        <w:rPr/>
      </w:pPr>
      <w:r>
        <w:rPr>
          <w:rFonts w:eastAsia="Arial" w:cs="Arial"/>
          <w:sz w:val="21"/>
          <w:szCs w:val="21"/>
        </w:rPr>
        <w:t>Notice of Termination of Placement (30-day)</w:t>
      </w:r>
    </w:p>
    <w:p>
      <w:pPr>
        <w:pStyle w:val="ListParagraph"/>
        <w:numPr>
          <w:ilvl w:val="0"/>
          <w:numId w:val="1"/>
        </w:numPr>
        <w:spacing w:lineRule="exact" w:line="264" w:before="0" w:after="60"/>
        <w:rPr/>
      </w:pPr>
      <w:r>
        <w:rPr>
          <w:rFonts w:eastAsia="Arial" w:cs="Arial"/>
          <w:sz w:val="21"/>
          <w:szCs w:val="21"/>
        </w:rPr>
        <w:t>Relocation Assistance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DHS 88.07 — the resident’s right to refuse, the written physician order specifying who may administer and in what dosage, assistance with secure storage and correct dosing, psychotropic monitoring, and the safe handling of errors, storage,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Medications &amp; Assistance with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Medications &amp; Assistance with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Medications &amp; Assistance with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88.07(3)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safely, that residents’ rights regarding medication are respected, and that assistance and administration follow a physician order, consistent with DHS 88.07(3).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respect each resident’s right to refuse prescription medication (absent a court order), assist residents with secure storage and correct dosing and timing where the Home assists, and obtain a written physician order before dispensing or administering a prescription medication that specifies who may administer, under what circumstances, and in what dosage.</w:t>
      </w:r>
    </w:p>
    <w:p>
      <w:pPr>
        <w:pStyle w:val="Normal"/>
        <w:pBdr>
          <w:bottom w:val="single" w:sz="4" w:space="1" w:color="2E5E45"/>
        </w:pBdr>
        <w:spacing w:before="160" w:after="80"/>
        <w:rPr/>
      </w:pPr>
      <w:r>
        <w:rPr>
          <w:rFonts w:eastAsia="Arial" w:cs="Arial"/>
          <w:b/>
          <w:bCs/>
          <w:color w:val="1A4731"/>
          <w:sz w:val="20"/>
          <w:szCs w:val="20"/>
        </w:rPr>
        <w:t>PROCEDURE — RIGHTS &amp; PHYSICIAN ORDER</w:t>
      </w:r>
    </w:p>
    <w:p>
      <w:pPr>
        <w:pStyle w:val="Normal"/>
        <w:tabs>
          <w:tab w:val="left" w:pos="720" w:leader="none"/>
        </w:tabs>
        <w:spacing w:lineRule="exact" w:line="264" w:before="0" w:after="80"/>
        <w:ind w:hanging="360" w:start="720"/>
        <w:rPr/>
      </w:pPr>
      <w:r>
        <w:rPr>
          <w:rFonts w:eastAsia="Arial" w:cs="Arial"/>
          <w:sz w:val="21"/>
          <w:szCs w:val="21"/>
        </w:rPr>
        <w:t>a. Respect a resident’s right to refuse prescription medication unless a court order requires the resident to take it; when a resident under court order does not take the medication, notify the court and the responsible physician.</w:t>
      </w:r>
    </w:p>
    <w:p>
      <w:pPr>
        <w:pStyle w:val="Normal"/>
        <w:tabs>
          <w:tab w:val="left" w:pos="720" w:leader="none"/>
        </w:tabs>
        <w:spacing w:lineRule="exact" w:line="264" w:before="0" w:after="80"/>
        <w:ind w:hanging="360" w:start="720"/>
        <w:rPr/>
      </w:pPr>
      <w:r>
        <w:rPr>
          <w:rFonts w:eastAsia="Arial" w:cs="Arial"/>
          <w:sz w:val="21"/>
          <w:szCs w:val="21"/>
        </w:rPr>
        <w:t>b. Before the licensee or a service provider dispenses or administers a prescription medication, obtain a written order from the prescribing physician specifying who by name or position is permitted to administer the medication, under what circumstances, and in what dosage.</w:t>
      </w:r>
    </w:p>
    <w:p>
      <w:pPr>
        <w:pStyle w:val="Normal"/>
        <w:tabs>
          <w:tab w:val="left" w:pos="720" w:leader="none"/>
        </w:tabs>
        <w:spacing w:lineRule="exact" w:line="264" w:before="0" w:after="80"/>
        <w:ind w:hanging="360" w:start="720"/>
        <w:rPr/>
      </w:pPr>
      <w:r>
        <w:rPr>
          <w:rFonts w:eastAsia="Arial" w:cs="Arial"/>
          <w:sz w:val="21"/>
          <w:szCs w:val="21"/>
        </w:rPr>
        <w:t>c. Ensure administration is performed only by a person permitted under the physician order and qualified to do so, and record each dose on the resident’s medication record.</w:t>
      </w:r>
    </w:p>
    <w:p>
      <w:pPr>
        <w:pStyle w:val="Normal"/>
        <w:pBdr>
          <w:bottom w:val="single" w:sz="4" w:space="1" w:color="2E5E45"/>
        </w:pBdr>
        <w:spacing w:before="160" w:after="80"/>
        <w:rPr/>
      </w:pPr>
      <w:r>
        <w:rPr>
          <w:rFonts w:eastAsia="Arial" w:cs="Arial"/>
          <w:b/>
          <w:bCs/>
          <w:color w:val="1A4731"/>
          <w:sz w:val="20"/>
          <w:szCs w:val="20"/>
        </w:rPr>
        <w:t>PROCEDURE — ASSISTANCE, STORAGE &amp; MONITORING</w:t>
      </w:r>
    </w:p>
    <w:p>
      <w:pPr>
        <w:pStyle w:val="Normal"/>
        <w:tabs>
          <w:tab w:val="left" w:pos="720" w:leader="none"/>
        </w:tabs>
        <w:spacing w:lineRule="exact" w:line="264" w:before="0" w:after="80"/>
        <w:ind w:hanging="360" w:start="720"/>
        <w:rPr/>
      </w:pPr>
      <w:r>
        <w:rPr>
          <w:rFonts w:eastAsia="Arial" w:cs="Arial"/>
          <w:sz w:val="21"/>
          <w:szCs w:val="21"/>
        </w:rPr>
        <w:t>d. Where the licensee or a service provider assists a resident with prescription medication, help the resident securely store the medication, take the correct dosage at the correct time, and communicate effectively with the resident’s physician.</w:t>
      </w:r>
    </w:p>
    <w:p>
      <w:pPr>
        <w:pStyle w:val="Normal"/>
        <w:tabs>
          <w:tab w:val="left" w:pos="720" w:leader="none"/>
        </w:tabs>
        <w:spacing w:lineRule="exact" w:line="264" w:before="0" w:after="80"/>
        <w:ind w:hanging="360" w:start="720"/>
        <w:rPr/>
      </w:pPr>
      <w:r>
        <w:rPr>
          <w:rFonts w:eastAsia="Arial" w:cs="Arial"/>
          <w:sz w:val="21"/>
          <w:szCs w:val="21"/>
        </w:rPr>
        <w:t>e. Store medications securely, separate from hazardous chemicals, with controlled substances secured and access limited, and keep each resident’s medications in properly labeled containers.</w:t>
      </w:r>
    </w:p>
    <w:p>
      <w:pPr>
        <w:pStyle w:val="Normal"/>
        <w:tabs>
          <w:tab w:val="left" w:pos="720" w:leader="none"/>
        </w:tabs>
        <w:spacing w:lineRule="exact" w:line="264" w:before="0" w:after="80"/>
        <w:ind w:hanging="360" w:start="720"/>
        <w:rPr/>
      </w:pPr>
      <w:r>
        <w:rPr>
          <w:rFonts w:eastAsia="Arial" w:cs="Arial"/>
          <w:sz w:val="21"/>
          <w:szCs w:val="21"/>
        </w:rPr>
        <w:t>f. Observe the resident for effectiveness and adverse effects, monitor psychotropic medications for a documented medical purpose (not for discipline or convenience), and report concerns to the physician and guardian.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Physician Medication Order (who/when/dosage)</w:t>
      </w:r>
    </w:p>
    <w:p>
      <w:pPr>
        <w:pStyle w:val="ListParagraph"/>
        <w:numPr>
          <w:ilvl w:val="0"/>
          <w:numId w:val="1"/>
        </w:numPr>
        <w:spacing w:lineRule="exact" w:line="264" w:before="0" w:after="60"/>
        <w:rPr/>
      </w:pPr>
      <w:r>
        <w:rPr>
          <w:rFonts w:eastAsia="Arial" w:cs="Arial"/>
          <w:sz w:val="21"/>
          <w:szCs w:val="21"/>
        </w:rPr>
        <w:t>Medication Administration / Assistance Record</w:t>
      </w:r>
    </w:p>
    <w:p>
      <w:pPr>
        <w:pStyle w:val="ListParagraph"/>
        <w:numPr>
          <w:ilvl w:val="0"/>
          <w:numId w:val="1"/>
        </w:numPr>
        <w:spacing w:lineRule="exact" w:line="264" w:before="0" w:after="60"/>
        <w:rPr/>
      </w:pPr>
      <w:r>
        <w:rPr>
          <w:rFonts w:eastAsia="Arial" w:cs="Arial"/>
          <w:sz w:val="21"/>
          <w:szCs w:val="21"/>
        </w:rPr>
        <w:t>Psychotropic Medication Monitoring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and that medication storage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document and review medication errors, notify the physician and guardian of errors affecting a resident, and dispose of or destroy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physician and guardian or designated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medication errors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Store medications securely and dispose of or destroy discontinued, expired, or unused medications by a non-retrievable method within the timeframe required by Home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providers safe — fire safety and emergency preparedness with evacuation-capability evaluation, infection prevention and control (including COVID-19 and bloodborne pathogens), hazardous chemicals, SDS and oxygen storage, and the home environment, physical standards, and food service.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Fire Safety, Emergency Preparedness &amp; Resident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Safety Data Sheets (SDS) &amp; Oxygen Storage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Home Environment, Physical Standards &amp; Food Service</w:t>
      </w:r>
    </w:p>
    <w:p>
      <w:pPr>
        <w:pStyle w:val="Normal"/>
        <w:rPr/>
      </w:pPr>
      <w:r>
        <w:rPr/>
      </w:r>
      <w:r>
        <w:br w:type="page"/>
      </w:r>
    </w:p>
    <w:p>
      <w:pPr>
        <w:pStyle w:val="Heading2"/>
        <w:spacing w:before="0" w:after="120"/>
        <w:rPr/>
      </w:pPr>
      <w:r>
        <w:rPr>
          <w:rFonts w:eastAsia="Arial" w:cs="Arial" w:ascii="Arial" w:hAnsi="Arial"/>
          <w:b/>
          <w:bCs/>
          <w:color w:val="1A4731"/>
          <w:sz w:val="26"/>
          <w:szCs w:val="26"/>
        </w:rPr>
        <w:t>5.00  Fire Safety, Emergency Preparedness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Fire Safety, Emergency Preparedness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 (fire safety; resident safety; exits)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Home and its providers to protect residents during and after an emergency, consistent with the fire-safety and resident-safety requirements of DHS 88.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fire-safety and fire-protection systems, evaluate each resident’s evacuation capability consistent with its licensing classification, maintain a written emergency plan, train providers, and conduct drills.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fire-safety and fire-protection systems (including smoke detection and appropriate extinguishing equipment), safe exits and doors, and resident safety requirements consistent with DHS 88 and applicable building and dwelling codes.</w:t>
      </w:r>
    </w:p>
    <w:p>
      <w:pPr>
        <w:pStyle w:val="Normal"/>
        <w:tabs>
          <w:tab w:val="left" w:pos="720" w:leader="none"/>
        </w:tabs>
        <w:spacing w:lineRule="exact" w:line="264" w:before="0" w:after="80"/>
        <w:ind w:hanging="360" w:start="720"/>
        <w:rPr/>
      </w:pPr>
      <w:r>
        <w:rPr>
          <w:rFonts w:eastAsia="Arial" w:cs="Arial"/>
          <w:sz w:val="21"/>
          <w:szCs w:val="21"/>
        </w:rPr>
        <w:t>b. Evaluate each resident’s ability to self-evacuate and respond to a fire alarm consistent with the Home’s licensing classification (Class A, B, or C), and ensure the placement remains appropriate; keep emergency telephone numbers posted near the telephone.</w:t>
      </w:r>
    </w:p>
    <w:p>
      <w:pPr>
        <w:pStyle w:val="Normal"/>
        <w:tabs>
          <w:tab w:val="left" w:pos="720" w:leader="none"/>
        </w:tabs>
        <w:spacing w:lineRule="exact" w:line="264" w:before="0" w:after="80"/>
        <w:ind w:hanging="360" w:start="720"/>
        <w:rPr/>
      </w:pPr>
      <w:r>
        <w:rPr>
          <w:rFonts w:eastAsia="Arial" w:cs="Arial"/>
          <w:sz w:val="21"/>
          <w:szCs w:val="21"/>
        </w:rPr>
        <w:t>c. Maintain a written emergency and disaster plan addressing fire, severe weather, medical emergency, and evacuation and relocation, and maintain records of resident emergency contacts, including the physician to be notified.</w:t>
      </w:r>
    </w:p>
    <w:p>
      <w:pPr>
        <w:pStyle w:val="Normal"/>
        <w:tabs>
          <w:tab w:val="left" w:pos="720" w:leader="none"/>
        </w:tabs>
        <w:spacing w:lineRule="exact" w:line="264" w:before="0" w:after="80"/>
        <w:ind w:hanging="360" w:start="720"/>
        <w:rPr/>
      </w:pPr>
      <w:r>
        <w:rPr>
          <w:rFonts w:eastAsia="Arial" w:cs="Arial"/>
          <w:sz w:val="21"/>
          <w:szCs w:val="21"/>
        </w:rPr>
        <w:t>d. Conduct and document fire and emergency drills, train providers on their emergency roles, and coordinate with local fire, law enforcement, and emergency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Written Emergency &amp; Disaster Plan</w:t>
      </w:r>
    </w:p>
    <w:p>
      <w:pPr>
        <w:pStyle w:val="ListParagraph"/>
        <w:numPr>
          <w:ilvl w:val="0"/>
          <w:numId w:val="1"/>
        </w:numPr>
        <w:spacing w:lineRule="exact" w:line="264" w:before="0" w:after="60"/>
        <w:rPr/>
      </w:pPr>
      <w:r>
        <w:rPr>
          <w:rFonts w:eastAsia="Arial" w:cs="Arial"/>
          <w:sz w:val="21"/>
          <w:szCs w:val="21"/>
        </w:rPr>
        <w:t>Resident Evacuation Capability Evaluation</w:t>
      </w:r>
    </w:p>
    <w:p>
      <w:pPr>
        <w:pStyle w:val="ListParagraph"/>
        <w:numPr>
          <w:ilvl w:val="0"/>
          <w:numId w:val="1"/>
        </w:numPr>
        <w:spacing w:lineRule="exact" w:line="264" w:before="0" w:after="60"/>
        <w:rPr/>
      </w:pPr>
      <w:r>
        <w:rPr>
          <w:rFonts w:eastAsia="Arial" w:cs="Arial"/>
          <w:sz w:val="21"/>
          <w:szCs w:val="21"/>
        </w:rPr>
        <w:t>Fire / Emergency Drill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 (infection prevention &amp; control); OSHA 29 CFR 1910.1030; DHS 145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providers,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an infection prevention and control program based on current recognized standards (such as CDC), including standard precautions, compliance with the OSHA bloodborne pathogens standard (29 CFR 1910.1030), provider training, surveillance, and an outbreak-response protocol for communicable diseases including COVID-19, and shall report communicable diseases as required (including under Wis. Admin. Code ch. DHS 145).</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 consistent with 29 CFR 1910.1030.</w:t>
      </w:r>
    </w:p>
    <w:p>
      <w:pPr>
        <w:pStyle w:val="Normal"/>
        <w:tabs>
          <w:tab w:val="left" w:pos="720" w:leader="none"/>
        </w:tabs>
        <w:spacing w:lineRule="exact" w:line="264" w:before="0" w:after="80"/>
        <w:ind w:hanging="360" w:start="720"/>
        <w:rPr/>
      </w:pPr>
      <w:r>
        <w:rPr>
          <w:rFonts w:eastAsia="Arial" w:cs="Arial"/>
          <w:sz w:val="21"/>
          <w:szCs w:val="21"/>
        </w:rPr>
        <w:t>b. Provide provider training in standard precautions and infection control at assignment and annually, and support resident and provider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for the home and shared equipment,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Watch for signs and symptoms of infection and identify possible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and the home setting, which may include supporting resident isolation, enhanced PPE and cleaning, symptom monitoring, testing consistent with current guidance, and managing shared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to the local health department and the Wisconsin Department of Health Services as required under DHS 145,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Note</w:t>
      </w:r>
    </w:p>
    <w:p>
      <w:pPr>
        <w:pStyle w:val="ListParagraph"/>
        <w:numPr>
          <w:ilvl w:val="0"/>
          <w:numId w:val="1"/>
        </w:numPr>
        <w:spacing w:lineRule="exact" w:line="264" w:before="0" w:after="60"/>
        <w:rPr/>
      </w:pPr>
      <w:r>
        <w:rPr>
          <w:rFonts w:eastAsia="Arial" w:cs="Arial"/>
          <w:sz w:val="21"/>
          <w:szCs w:val="21"/>
        </w:rPr>
        <w:t>Outbreak Response Record</w:t>
      </w:r>
    </w:p>
    <w:p>
      <w:pPr>
        <w:pStyle w:val="ListParagraph"/>
        <w:numPr>
          <w:ilvl w:val="0"/>
          <w:numId w:val="1"/>
        </w:numPr>
        <w:spacing w:lineRule="exact" w:line="264" w:before="0" w:after="60"/>
        <w:rPr/>
      </w:pPr>
      <w:r>
        <w:rPr>
          <w:rFonts w:eastAsia="Arial" w:cs="Arial"/>
          <w:sz w:val="21"/>
          <w:szCs w:val="21"/>
        </w:rPr>
        <w:t>Communicable Disease Reporting Record (DHS 145)</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Safety Data Sheets (SDS) &amp; Oxygen Storage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Safety Data Sheets (SDS) &amp; Oxygen Storage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 DHS 88 (oxygen storage)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providers, and visitors from the hazards of cleaning chemicals, disinfectants, and other hazardous products, and to store oxygen safely, through proper labeling, storage, safe use, accessible Safety Data Sheets, and safe oxygen handling, in compliance with the OSHA Hazard Communication Standard, 29 CFR 1910.1200, and DHS 88. This policy applies in the home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Hazard Communication program — a current chemical inventory, an accessible Safety Data Sheet (SDS) for every hazardous chemical, proper labeling, safe storage and segregation of incompatible chemicals, provider training, and spill/exposure response — and shall store and handle oxygen safely.</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LABELING &amp; STORAGE</w:t>
      </w:r>
    </w:p>
    <w:p>
      <w:pPr>
        <w:pStyle w:val="Normal"/>
        <w:tabs>
          <w:tab w:val="left" w:pos="720" w:leader="none"/>
        </w:tabs>
        <w:spacing w:lineRule="exact" w:line="264" w:before="0" w:after="80"/>
        <w:ind w:hanging="360" w:start="720"/>
        <w:rPr/>
      </w:pPr>
      <w:r>
        <w:rPr>
          <w:rFonts w:eastAsia="Arial" w:cs="Arial"/>
          <w:sz w:val="21"/>
          <w:szCs w:val="21"/>
        </w:rPr>
        <w:t>a. Maintain a chemical inventory of every hazardous product in the home, cross-referenced to an accessible SDS binder, and keep a current SDS on site for every chemical in use, in the current GHS 16-section format.</w:t>
      </w:r>
    </w:p>
    <w:p>
      <w:pPr>
        <w:pStyle w:val="Normal"/>
        <w:tabs>
          <w:tab w:val="left" w:pos="720" w:leader="none"/>
        </w:tabs>
        <w:spacing w:lineRule="exact" w:line="264" w:before="0" w:after="80"/>
        <w:ind w:hanging="360" w:start="720"/>
        <w:rPr/>
      </w:pPr>
      <w:r>
        <w:rPr>
          <w:rFonts w:eastAsia="Arial" w:cs="Arial"/>
          <w:sz w:val="21"/>
          <w:szCs w:val="21"/>
        </w:rPr>
        <w:t>b. Ensure all chemical containers are properly labeled; never store chemicals in unlabeled containers; and segregate incompatible chemicals — for example, never store or mix bleach with ammonia-based products, which can release toxic gas — storing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c. Use chemicals only as directed, at proper dilution, with the personal protective equipment specified by the SDS.</w:t>
      </w:r>
    </w:p>
    <w:p>
      <w:pPr>
        <w:pStyle w:val="Normal"/>
        <w:pBdr>
          <w:bottom w:val="single" w:sz="4" w:space="1" w:color="2E5E45"/>
        </w:pBdr>
        <w:spacing w:before="160" w:after="80"/>
        <w:rPr/>
      </w:pPr>
      <w:r>
        <w:rPr>
          <w:rFonts w:eastAsia="Arial" w:cs="Arial"/>
          <w:b/>
          <w:bCs/>
          <w:color w:val="1A4731"/>
          <w:sz w:val="20"/>
          <w:szCs w:val="20"/>
        </w:rPr>
        <w:t>PROCEDURE — OXYGEN STORAGE, TRAINING &amp; RESPONSE</w:t>
      </w:r>
    </w:p>
    <w:p>
      <w:pPr>
        <w:pStyle w:val="Normal"/>
        <w:tabs>
          <w:tab w:val="left" w:pos="720" w:leader="none"/>
        </w:tabs>
        <w:spacing w:lineRule="exact" w:line="264" w:before="0" w:after="80"/>
        <w:ind w:hanging="360" w:start="720"/>
        <w:rPr/>
      </w:pPr>
      <w:r>
        <w:rPr>
          <w:rFonts w:eastAsia="Arial" w:cs="Arial"/>
          <w:sz w:val="21"/>
          <w:szCs w:val="21"/>
        </w:rPr>
        <w:t>d. Store and secure oxygen safely, away from heat, open flame, and incompatible materials, post “no smoking / oxygen in use” precautions where oxygen is used, and follow safe-handling procedures consistent with DHS 88 (oxygen storage).</w:t>
      </w:r>
    </w:p>
    <w:p>
      <w:pPr>
        <w:pStyle w:val="Normal"/>
        <w:tabs>
          <w:tab w:val="left" w:pos="720" w:leader="none"/>
        </w:tabs>
        <w:spacing w:lineRule="exact" w:line="264" w:before="0" w:after="80"/>
        <w:ind w:hanging="360" w:start="720"/>
        <w:rPr/>
      </w:pPr>
      <w:r>
        <w:rPr>
          <w:rFonts w:eastAsia="Arial" w:cs="Arial"/>
          <w:sz w:val="21"/>
          <w:szCs w:val="21"/>
        </w:rPr>
        <w:t>e. Train each provider, before independent work, on chemical labeling, SDS literacy, PPE, safe storage and segregation, safe oxygen handling,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f. Train providers on spill and exposure response, including containment, flushing/eyewash, and when to seek medical attention or call the poison center or 911, and document exposures or significant spills.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Chemical Inventory &amp; SDS Binder Index</w:t>
      </w:r>
    </w:p>
    <w:p>
      <w:pPr>
        <w:pStyle w:val="ListParagraph"/>
        <w:numPr>
          <w:ilvl w:val="0"/>
          <w:numId w:val="1"/>
        </w:numPr>
        <w:spacing w:lineRule="exact" w:line="264" w:before="0" w:after="60"/>
        <w:rPr/>
      </w:pPr>
      <w:r>
        <w:rPr>
          <w:rFonts w:eastAsia="Arial" w:cs="Arial"/>
          <w:sz w:val="21"/>
          <w:szCs w:val="21"/>
        </w:rPr>
        <w:t>Oxygen Storage &amp; Safety Checklist</w:t>
      </w:r>
    </w:p>
    <w:p>
      <w:pPr>
        <w:pStyle w:val="ListParagraph"/>
        <w:numPr>
          <w:ilvl w:val="0"/>
          <w:numId w:val="1"/>
        </w:numPr>
        <w:spacing w:lineRule="exact" w:line="264" w:before="0" w:after="60"/>
        <w:rPr/>
      </w:pPr>
      <w:r>
        <w:rPr>
          <w:rFonts w:eastAsia="Arial" w:cs="Arial"/>
          <w:sz w:val="21"/>
          <w:szCs w:val="21"/>
        </w:rPr>
        <w:t>Chemical / Oxygen Safety Training Record</w:t>
      </w:r>
    </w:p>
    <w:p>
      <w:pPr>
        <w:pStyle w:val="ListParagraph"/>
        <w:numPr>
          <w:ilvl w:val="0"/>
          <w:numId w:val="1"/>
        </w:numPr>
        <w:spacing w:lineRule="exact" w:line="264" w:before="0" w:after="60"/>
        <w:rPr/>
      </w:pPr>
      <w:r>
        <w:rPr>
          <w:rFonts w:eastAsia="Arial" w:cs="Arial"/>
          <w:sz w:val="21"/>
          <w:szCs w:val="21"/>
        </w:rPr>
        <w:t>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Home Environment, Physical Standards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Home Environment, Physical Standards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 (home environment; food service; housekeeping)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clean, home-like environment and safe food service consistent with the home-based standards of DHS 88.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the residence — resident bedrooms, bath and toilet areas, common areas, storage, and building support systems — in a safe, clean, and sanitary condition, and provide safe food service that meets residents’ nutritional needs.</w:t>
      </w:r>
    </w:p>
    <w:p>
      <w:pPr>
        <w:pStyle w:val="Normal"/>
        <w:pBdr>
          <w:bottom w:val="single" w:sz="4" w:space="1" w:color="2E5E45"/>
        </w:pBdr>
        <w:spacing w:before="160" w:after="80"/>
        <w:rPr/>
      </w:pPr>
      <w:r>
        <w:rPr>
          <w:rFonts w:eastAsia="Arial" w:cs="Arial"/>
          <w:b/>
          <w:bCs/>
          <w:color w:val="1A4731"/>
          <w:sz w:val="20"/>
          <w:szCs w:val="20"/>
        </w:rPr>
        <w:t>PROCEDURE — HOME ENVIRONMENT</w:t>
      </w:r>
    </w:p>
    <w:p>
      <w:pPr>
        <w:pStyle w:val="Normal"/>
        <w:tabs>
          <w:tab w:val="left" w:pos="720" w:leader="none"/>
        </w:tabs>
        <w:spacing w:lineRule="exact" w:line="264" w:before="0" w:after="80"/>
        <w:ind w:hanging="360" w:start="720"/>
        <w:rPr/>
      </w:pPr>
      <w:r>
        <w:rPr>
          <w:rFonts w:eastAsia="Arial" w:cs="Arial"/>
          <w:sz w:val="21"/>
          <w:szCs w:val="21"/>
        </w:rPr>
        <w:t>a. Maintain resident bedrooms, bath and toilet areas, common areas, kitchen, and storage areas in good repair and in a safe, clean, and sanitary condition, with housekeeping and building maintenance consistent with DHS 88, and ensure water temperatures are within safe limits.</w:t>
      </w:r>
    </w:p>
    <w:p>
      <w:pPr>
        <w:pStyle w:val="Normal"/>
        <w:tabs>
          <w:tab w:val="left" w:pos="720" w:leader="none"/>
        </w:tabs>
        <w:spacing w:lineRule="exact" w:line="264" w:before="0" w:after="80"/>
        <w:ind w:hanging="360" w:start="720"/>
        <w:rPr/>
      </w:pPr>
      <w:r>
        <w:rPr>
          <w:rFonts w:eastAsia="Arial" w:cs="Arial"/>
          <w:sz w:val="21"/>
          <w:szCs w:val="21"/>
        </w:rPr>
        <w:t>b. For semi-ambulatory (Class B) or non-ambulatory (Class C) residents, ensure the bedroom, bathroom, and common living areas are on the first floor, and that required modifications for a non-ambulatory resident are installed before placement.</w:t>
      </w:r>
    </w:p>
    <w:p>
      <w:pPr>
        <w:pStyle w:val="Normal"/>
        <w:tabs>
          <w:tab w:val="left" w:pos="720" w:leader="none"/>
        </w:tabs>
        <w:spacing w:lineRule="exact" w:line="264" w:before="0" w:after="80"/>
        <w:ind w:hanging="360" w:start="720"/>
        <w:rPr/>
      </w:pPr>
      <w:r>
        <w:rPr>
          <w:rFonts w:eastAsia="Arial" w:cs="Arial"/>
          <w:sz w:val="21"/>
          <w:szCs w:val="21"/>
        </w:rPr>
        <w:t>c. Maintain building support systems and attached garages safely, and maintain a hazardous-materials and oxygen program consistent with the Hazardous Chemicals, SDS &amp; Oxygen Storage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modified diet, with home-style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following safe food-handling practices.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 and support resident involvement in household routines where the resident chooses.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Home Environment / Safety Inspection Checklist</w:t>
      </w:r>
    </w:p>
    <w:p>
      <w:pPr>
        <w:pStyle w:val="ListParagraph"/>
        <w:numPr>
          <w:ilvl w:val="0"/>
          <w:numId w:val="1"/>
        </w:numPr>
        <w:spacing w:lineRule="exact" w:line="264" w:before="0" w:after="60"/>
        <w:rPr/>
      </w:pPr>
      <w:r>
        <w:rPr>
          <w:rFonts w:eastAsia="Arial" w:cs="Arial"/>
          <w:sz w:val="21"/>
          <w:szCs w:val="21"/>
        </w:rPr>
        <w:t>Water Temperature Log</w:t>
      </w:r>
    </w:p>
    <w:p>
      <w:pPr>
        <w:pStyle w:val="ListParagraph"/>
        <w:numPr>
          <w:ilvl w:val="0"/>
          <w:numId w:val="1"/>
        </w:numPr>
        <w:spacing w:lineRule="exact" w:line="264" w:before="0" w:after="60"/>
        <w:rPr/>
      </w:pPr>
      <w:r>
        <w:rPr>
          <w:rFonts w:eastAsia="Arial" w:cs="Arial"/>
          <w:sz w:val="21"/>
          <w:szCs w:val="21"/>
        </w:rPr>
        <w:t>Menu / Modified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Home records, measures, and improves the care it provides — resident records kept securely in the home under DHS 88.09, a right-sized quality improvement process aligned with Joint Commission Assisted Living Community principles, and — where the Home serves the dementia client group — the additional requirements for dementia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Dementia Care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88.09;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DHS 88.09.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record for each resident in a secure location within the home, keep resident records confidential, and make records available to DQA on request.</w:t>
      </w:r>
    </w:p>
    <w:p>
      <w:pPr>
        <w:pStyle w:val="Normal"/>
        <w:pBdr>
          <w:bottom w:val="single" w:sz="4" w:space="1" w:color="2E5E45"/>
        </w:pBdr>
        <w:spacing w:before="160" w:after="80"/>
        <w:rPr/>
      </w:pPr>
      <w:r>
        <w:rPr>
          <w:rFonts w:eastAsia="Arial" w:cs="Arial"/>
          <w:b/>
          <w:bCs/>
          <w:color w:val="1A4731"/>
          <w:sz w:val="20"/>
          <w:szCs w:val="20"/>
        </w:rPr>
        <w:t>PROCEDURE — RECORD CONTENTS &amp; SECURITY</w:t>
      </w:r>
    </w:p>
    <w:p>
      <w:pPr>
        <w:pStyle w:val="Normal"/>
        <w:tabs>
          <w:tab w:val="left" w:pos="720" w:leader="none"/>
        </w:tabs>
        <w:spacing w:lineRule="exact" w:line="264" w:before="0" w:after="80"/>
        <w:ind w:hanging="360" w:start="720"/>
        <w:rPr/>
      </w:pPr>
      <w:r>
        <w:rPr>
          <w:rFonts w:eastAsia="Arial" w:cs="Arial"/>
          <w:sz w:val="21"/>
          <w:szCs w:val="21"/>
        </w:rPr>
        <w:t>a. Maintain a record for each resident including identifying and emergency-contact information, the admission and service agreements, the assessment and individual service plan, the medication record and physician orders, records of services provided, and incident documentation.</w:t>
      </w:r>
    </w:p>
    <w:p>
      <w:pPr>
        <w:pStyle w:val="Normal"/>
        <w:tabs>
          <w:tab w:val="left" w:pos="720" w:leader="none"/>
        </w:tabs>
        <w:spacing w:lineRule="exact" w:line="264" w:before="0" w:after="80"/>
        <w:ind w:hanging="360" w:start="720"/>
        <w:rPr/>
      </w:pPr>
      <w:r>
        <w:rPr>
          <w:rFonts w:eastAsia="Arial" w:cs="Arial"/>
          <w:sz w:val="21"/>
          <w:szCs w:val="21"/>
        </w:rPr>
        <w:t>b. Maintain resident records in a secure location within the home to prevent unauthorized access, and keep them confidential consistent with HIPAA and Wisconsin law.</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 and retain records for the periods required by rule.</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Release resident information only as permitted by law or with consent, observing the additional protections for behavioral health and substance-use information where applicable.</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with consent, information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 (DHS 88.09)</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right-sized quality improvement process that measures performance, drives improvement, and sustains a culture of safety in the home,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quality improvement process appropriate to its size that reviews meaningful information, implements and sustains improvements, supports honest reporting, and maintains licensee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culture in which providers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ethical standards and licensee accountability for the health, safety, and welfare of residents.</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Review meaningful information aligned with Joint Commission ALC performance domains (for example, resident-safety and provider-stability measures) appropriate to a small home.</w:t>
      </w:r>
    </w:p>
    <w:p>
      <w:pPr>
        <w:pStyle w:val="Normal"/>
        <w:tabs>
          <w:tab w:val="left" w:pos="720" w:leader="none"/>
        </w:tabs>
        <w:spacing w:lineRule="exact" w:line="264" w:before="0" w:after="80"/>
        <w:ind w:hanging="360" w:start="720"/>
        <w:rPr/>
      </w:pPr>
      <w:r>
        <w:rPr>
          <w:rFonts w:eastAsia="Arial" w:cs="Arial"/>
          <w:sz w:val="21"/>
          <w:szCs w:val="21"/>
        </w:rPr>
        <w:t>d. For any serious adverse event, review the root cause and implement an action plan; track falls and safety events, medication errors, infections, grievances, and drills for patterns.</w:t>
      </w:r>
    </w:p>
    <w:p>
      <w:pPr>
        <w:pStyle w:val="Normal"/>
        <w:tabs>
          <w:tab w:val="left" w:pos="720" w:leader="none"/>
        </w:tabs>
        <w:spacing w:lineRule="exact" w:line="264" w:before="0" w:after="80"/>
        <w:ind w:hanging="360" w:start="720"/>
        <w:rPr/>
      </w:pPr>
      <w:r>
        <w:rPr>
          <w:rFonts w:eastAsia="Arial" w:cs="Arial"/>
          <w:sz w:val="21"/>
          <w:szCs w:val="21"/>
        </w:rPr>
        <w:t>e. Use a Plan-Do-Study-Act approach: make an improvement, study the result, act to standardize or adjust, and confirm it is sustained.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Review Log</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Adverse Event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Dementia Care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Dementia Care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88 (program statement; client group;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Licensee: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Home serves residents with irreversible dementia such as Alzheimer’s disease, consistent with DHS 88. This policy applies only where the Home serves that client group.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Home serves residents with irreversible dementia, it shall identify that client group in its program statement, provide dementia-appropriate supervision, training, activities, and safety measures, and address the specific service, medication, and behavioral needs of residents with dementia,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CLIENT GROUP, TRAINING &amp; SUPERVISION</w:t>
      </w:r>
    </w:p>
    <w:p>
      <w:pPr>
        <w:pStyle w:val="Normal"/>
        <w:tabs>
          <w:tab w:val="left" w:pos="720" w:leader="none"/>
        </w:tabs>
        <w:spacing w:lineRule="exact" w:line="264" w:before="0" w:after="80"/>
        <w:ind w:hanging="360" w:start="720"/>
        <w:rPr/>
      </w:pPr>
      <w:r>
        <w:rPr>
          <w:rFonts w:eastAsia="Arial" w:cs="Arial"/>
          <w:sz w:val="21"/>
          <w:szCs w:val="21"/>
        </w:rPr>
        <w:t>a. Identify the irreversible-dementia client group in the program statement, and describe how the Home meets the characteristics and specific service, medication, and behavioral needs of residents with dementia.</w:t>
      </w:r>
    </w:p>
    <w:p>
      <w:pPr>
        <w:pStyle w:val="Normal"/>
        <w:tabs>
          <w:tab w:val="left" w:pos="720" w:leader="none"/>
        </w:tabs>
        <w:spacing w:lineRule="exact" w:line="264" w:before="0" w:after="80"/>
        <w:ind w:hanging="360" w:start="720"/>
        <w:rPr/>
      </w:pPr>
      <w:r>
        <w:rPr>
          <w:rFonts w:eastAsia="Arial" w:cs="Arial"/>
          <w:sz w:val="21"/>
          <w:szCs w:val="21"/>
        </w:rPr>
        <w:t>b. Ensure the licensee and service providers complete training on the needs of the dementia client group and on challenging behaviors as part of the required initial (15-hour) and annual (8-hour) training.</w:t>
      </w:r>
    </w:p>
    <w:p>
      <w:pPr>
        <w:pStyle w:val="Normal"/>
        <w:tabs>
          <w:tab w:val="left" w:pos="720" w:leader="none"/>
        </w:tabs>
        <w:spacing w:lineRule="exact" w:line="264" w:before="0" w:after="80"/>
        <w:ind w:hanging="360" w:start="720"/>
        <w:rPr/>
      </w:pPr>
      <w:r>
        <w:rPr>
          <w:rFonts w:eastAsia="Arial" w:cs="Arial"/>
          <w:sz w:val="21"/>
          <w:szCs w:val="21"/>
        </w:rPr>
        <w:t>c. Provide the level of supervision identified in each resident’s ISP, including appropriate supervision for residents at risk of unsafe wandering or elopement.</w:t>
      </w:r>
    </w:p>
    <w:p>
      <w:pPr>
        <w:pStyle w:val="Normal"/>
        <w:pBdr>
          <w:bottom w:val="single" w:sz="4" w:space="1" w:color="2E5E45"/>
        </w:pBdr>
        <w:spacing w:before="160" w:after="80"/>
        <w:rPr/>
      </w:pPr>
      <w:r>
        <w:rPr>
          <w:rFonts w:eastAsia="Arial" w:cs="Arial"/>
          <w:b/>
          <w:bCs/>
          <w:color w:val="1A4731"/>
          <w:sz w:val="20"/>
          <w:szCs w:val="20"/>
        </w:rPr>
        <w:t>PROCEDURE — ENVIRONMENT, ACTIVITIES &amp; BEHAVIOR SUPPORT</w:t>
      </w:r>
    </w:p>
    <w:p>
      <w:pPr>
        <w:pStyle w:val="Normal"/>
        <w:tabs>
          <w:tab w:val="left" w:pos="720" w:leader="none"/>
        </w:tabs>
        <w:spacing w:lineRule="exact" w:line="264" w:before="0" w:after="80"/>
        <w:ind w:hanging="360" w:start="720"/>
        <w:rPr/>
      </w:pPr>
      <w:r>
        <w:rPr>
          <w:rFonts w:eastAsia="Arial" w:cs="Arial"/>
          <w:sz w:val="21"/>
          <w:szCs w:val="21"/>
        </w:rPr>
        <w:t>d. Maintain a safe home environment for residents with dementia, including measures appropriate to elopement risk and evacuation capability consistent with the Home’s licensing classification.</w:t>
      </w:r>
    </w:p>
    <w:p>
      <w:pPr>
        <w:pStyle w:val="Normal"/>
        <w:tabs>
          <w:tab w:val="left" w:pos="720" w:leader="none"/>
        </w:tabs>
        <w:spacing w:lineRule="exact" w:line="264" w:before="0" w:after="80"/>
        <w:ind w:hanging="360" w:start="720"/>
        <w:rPr/>
      </w:pPr>
      <w:r>
        <w:rPr>
          <w:rFonts w:eastAsia="Arial" w:cs="Arial"/>
          <w:sz w:val="21"/>
          <w:szCs w:val="21"/>
        </w:rPr>
        <w:t>e. Provide dementia-appropriate activities integrated into daily household routines.</w:t>
      </w:r>
    </w:p>
    <w:p>
      <w:pPr>
        <w:pStyle w:val="Normal"/>
        <w:tabs>
          <w:tab w:val="left" w:pos="720" w:leader="none"/>
        </w:tabs>
        <w:spacing w:lineRule="exact" w:line="264" w:before="0" w:after="80"/>
        <w:ind w:hanging="360" w:start="720"/>
        <w:rPr/>
      </w:pPr>
      <w:r>
        <w:rPr>
          <w:rFonts w:eastAsia="Arial" w:cs="Arial"/>
          <w:sz w:val="21"/>
          <w:szCs w:val="21"/>
        </w:rPr>
        <w:t>f. Use dementia-appropriate communication and non-restraint approaches to behavioral expressions of unmet need, do not use psychotropic medication for discipline or convenience, and review dementia-related incidents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Statement — Dementia Client Group</w:t>
      </w:r>
    </w:p>
    <w:p>
      <w:pPr>
        <w:pStyle w:val="ListParagraph"/>
        <w:numPr>
          <w:ilvl w:val="0"/>
          <w:numId w:val="1"/>
        </w:numPr>
        <w:spacing w:lineRule="exact" w:line="264" w:before="0" w:after="60"/>
        <w:rPr/>
      </w:pPr>
      <w:r>
        <w:rPr>
          <w:rFonts w:eastAsia="Arial" w:cs="Arial"/>
          <w:sz w:val="21"/>
          <w:szCs w:val="21"/>
        </w:rPr>
        <w:t>Dementia &amp; Challenging-Behaviors Training Record</w:t>
      </w:r>
    </w:p>
    <w:p>
      <w:pPr>
        <w:pStyle w:val="ListParagraph"/>
        <w:numPr>
          <w:ilvl w:val="0"/>
          <w:numId w:val="1"/>
        </w:numPr>
        <w:spacing w:lineRule="exact" w:line="264" w:before="0" w:after="60"/>
        <w:rPr/>
      </w:pPr>
      <w:r>
        <w:rPr>
          <w:rFonts w:eastAsia="Arial" w:cs="Arial"/>
          <w:sz w:val="21"/>
          <w:szCs w:val="21"/>
        </w:rPr>
        <w:t>Elopement / Wandering Safety Check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Licensee</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Wisconsin agencies and resources, guidance on customizing the manual (including which home this is for, the 1–2 bed note, and licensing classification),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Wisconsin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Home should maintain a current copy of each and customize as needed.</w:t>
      </w:r>
    </w:p>
    <w:p>
      <w:pPr>
        <w:pStyle w:val="ListParagraph"/>
        <w:numPr>
          <w:ilvl w:val="0"/>
          <w:numId w:val="1"/>
        </w:numPr>
        <w:spacing w:lineRule="exact" w:line="264" w:before="0" w:after="60"/>
        <w:rPr/>
      </w:pPr>
      <w:r>
        <w:rPr>
          <w:rFonts w:eastAsia="Arial" w:cs="Arial"/>
          <w:sz w:val="21"/>
          <w:szCs w:val="21"/>
        </w:rPr>
        <w:t>Admission Agreement (DHS 88.06(2))</w:t>
      </w:r>
    </w:p>
    <w:p>
      <w:pPr>
        <w:pStyle w:val="ListParagraph"/>
        <w:numPr>
          <w:ilvl w:val="0"/>
          <w:numId w:val="1"/>
        </w:numPr>
        <w:spacing w:lineRule="exact" w:line="264" w:before="0" w:after="60"/>
        <w:rPr/>
      </w:pPr>
      <w:r>
        <w:rPr>
          <w:rFonts w:eastAsia="Arial" w:cs="Arial"/>
          <w:sz w:val="21"/>
          <w:szCs w:val="21"/>
        </w:rPr>
        <w:t>Service Agreement (DHS 88.06(2)(c))</w:t>
      </w:r>
    </w:p>
    <w:p>
      <w:pPr>
        <w:pStyle w:val="ListParagraph"/>
        <w:numPr>
          <w:ilvl w:val="0"/>
          <w:numId w:val="1"/>
        </w:numPr>
        <w:spacing w:lineRule="exact" w:line="264" w:before="0" w:after="60"/>
        <w:rPr/>
      </w:pPr>
      <w:r>
        <w:rPr>
          <w:rFonts w:eastAsia="Arial" w:cs="Arial"/>
          <w:sz w:val="21"/>
          <w:szCs w:val="21"/>
        </w:rPr>
        <w:t>Program Statement</w:t>
      </w:r>
    </w:p>
    <w:p>
      <w:pPr>
        <w:pStyle w:val="ListParagraph"/>
        <w:numPr>
          <w:ilvl w:val="0"/>
          <w:numId w:val="1"/>
        </w:numPr>
        <w:spacing w:lineRule="exact" w:line="264" w:before="0" w:after="60"/>
        <w:rPr/>
      </w:pPr>
      <w:r>
        <w:rPr>
          <w:rFonts w:eastAsia="Arial" w:cs="Arial"/>
          <w:sz w:val="21"/>
          <w:szCs w:val="21"/>
        </w:rPr>
        <w:t>Licensing Classification (A/B/C) Determination</w:t>
      </w:r>
    </w:p>
    <w:p>
      <w:pPr>
        <w:pStyle w:val="ListParagraph"/>
        <w:numPr>
          <w:ilvl w:val="0"/>
          <w:numId w:val="1"/>
        </w:numPr>
        <w:spacing w:lineRule="exact" w:line="264" w:before="0" w:after="60"/>
        <w:rPr/>
      </w:pPr>
      <w:r>
        <w:rPr>
          <w:rFonts w:eastAsia="Arial" w:cs="Arial"/>
          <w:sz w:val="21"/>
          <w:szCs w:val="21"/>
        </w:rPr>
        <w:t>Written Assessment (DHS 88.06(3))</w:t>
      </w:r>
    </w:p>
    <w:p>
      <w:pPr>
        <w:pStyle w:val="ListParagraph"/>
        <w:numPr>
          <w:ilvl w:val="0"/>
          <w:numId w:val="1"/>
        </w:numPr>
        <w:spacing w:lineRule="exact" w:line="264" w:before="0" w:after="60"/>
        <w:rPr/>
      </w:pPr>
      <w:r>
        <w:rPr>
          <w:rFonts w:eastAsia="Arial" w:cs="Arial"/>
          <w:sz w:val="21"/>
          <w:szCs w:val="21"/>
        </w:rPr>
        <w:t>Individual Service Plan (ISP)</w:t>
      </w:r>
    </w:p>
    <w:p>
      <w:pPr>
        <w:pStyle w:val="ListParagraph"/>
        <w:numPr>
          <w:ilvl w:val="0"/>
          <w:numId w:val="1"/>
        </w:numPr>
        <w:spacing w:lineRule="exact" w:line="264" w:before="0" w:after="60"/>
        <w:rPr/>
      </w:pPr>
      <w:r>
        <w:rPr>
          <w:rFonts w:eastAsia="Arial" w:cs="Arial"/>
          <w:sz w:val="21"/>
          <w:szCs w:val="21"/>
        </w:rPr>
        <w:t>ISP 6-Month Review Record</w:t>
      </w:r>
    </w:p>
    <w:p>
      <w:pPr>
        <w:pStyle w:val="ListParagraph"/>
        <w:numPr>
          <w:ilvl w:val="0"/>
          <w:numId w:val="1"/>
        </w:numPr>
        <w:spacing w:lineRule="exact" w:line="264" w:before="0" w:after="60"/>
        <w:rPr/>
      </w:pPr>
      <w:r>
        <w:rPr>
          <w:rFonts w:eastAsia="Arial" w:cs="Arial"/>
          <w:sz w:val="21"/>
          <w:szCs w:val="21"/>
        </w:rPr>
        <w:t>Resident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Ombudsman Program Information</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Caregiver Misconduct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AFH License &amp; Classification</w:t>
      </w:r>
    </w:p>
    <w:p>
      <w:pPr>
        <w:pStyle w:val="ListParagraph"/>
        <w:numPr>
          <w:ilvl w:val="0"/>
          <w:numId w:val="1"/>
        </w:numPr>
        <w:spacing w:lineRule="exact" w:line="264" w:before="0" w:after="60"/>
        <w:rPr/>
      </w:pPr>
      <w:r>
        <w:rPr>
          <w:rFonts w:eastAsia="Arial" w:cs="Arial"/>
          <w:sz w:val="21"/>
          <w:szCs w:val="21"/>
        </w:rPr>
        <w:t>Biennial Report / Resident Assessment Report</w:t>
      </w:r>
    </w:p>
    <w:p>
      <w:pPr>
        <w:pStyle w:val="ListParagraph"/>
        <w:numPr>
          <w:ilvl w:val="0"/>
          <w:numId w:val="1"/>
        </w:numPr>
        <w:spacing w:lineRule="exact" w:line="264" w:before="0" w:after="60"/>
        <w:rPr/>
      </w:pPr>
      <w:r>
        <w:rPr>
          <w:rFonts w:eastAsia="Arial" w:cs="Arial"/>
          <w:sz w:val="21"/>
          <w:szCs w:val="21"/>
        </w:rPr>
        <w:t>Change of Ownership Notice (60-day / 7-day)</w:t>
      </w:r>
    </w:p>
    <w:p>
      <w:pPr>
        <w:pStyle w:val="ListParagraph"/>
        <w:numPr>
          <w:ilvl w:val="0"/>
          <w:numId w:val="1"/>
        </w:numPr>
        <w:spacing w:lineRule="exact" w:line="264" w:before="0" w:after="60"/>
        <w:rPr/>
      </w:pPr>
      <w:r>
        <w:rPr>
          <w:rFonts w:eastAsia="Arial" w:cs="Arial"/>
          <w:sz w:val="21"/>
          <w:szCs w:val="21"/>
        </w:rPr>
        <w:t>Caregiver Background Check &amp; Background Information Disclosure (§ 50.065)</w:t>
      </w:r>
    </w:p>
    <w:p>
      <w:pPr>
        <w:pStyle w:val="ListParagraph"/>
        <w:numPr>
          <w:ilvl w:val="0"/>
          <w:numId w:val="1"/>
        </w:numPr>
        <w:spacing w:lineRule="exact" w:line="264" w:before="0" w:after="60"/>
        <w:rPr/>
      </w:pPr>
      <w:r>
        <w:rPr>
          <w:rFonts w:eastAsia="Arial" w:cs="Arial"/>
          <w:sz w:val="21"/>
          <w:szCs w:val="21"/>
        </w:rPr>
        <w:t>Licensee / Service Provider Qualification Record</w:t>
      </w:r>
    </w:p>
    <w:p>
      <w:pPr>
        <w:pStyle w:val="ListParagraph"/>
        <w:numPr>
          <w:ilvl w:val="0"/>
          <w:numId w:val="1"/>
        </w:numPr>
        <w:spacing w:lineRule="exact" w:line="264" w:before="0" w:after="60"/>
        <w:rPr/>
      </w:pPr>
      <w:r>
        <w:rPr>
          <w:rFonts w:eastAsia="Arial" w:cs="Arial"/>
          <w:sz w:val="21"/>
          <w:szCs w:val="21"/>
        </w:rPr>
        <w:t>Personnel Record (DHS 88.09(2))</w:t>
      </w:r>
    </w:p>
    <w:p>
      <w:pPr>
        <w:pStyle w:val="ListParagraph"/>
        <w:numPr>
          <w:ilvl w:val="0"/>
          <w:numId w:val="1"/>
        </w:numPr>
        <w:spacing w:lineRule="exact" w:line="264" w:before="0" w:after="60"/>
        <w:rPr/>
      </w:pPr>
      <w:r>
        <w:rPr>
          <w:rFonts w:eastAsia="Arial" w:cs="Arial"/>
          <w:sz w:val="21"/>
          <w:szCs w:val="21"/>
        </w:rPr>
        <w:t>Initial Training Record (15-hour / 6-month)</w:t>
      </w:r>
    </w:p>
    <w:p>
      <w:pPr>
        <w:pStyle w:val="ListParagraph"/>
        <w:numPr>
          <w:ilvl w:val="0"/>
          <w:numId w:val="1"/>
        </w:numPr>
        <w:spacing w:lineRule="exact" w:line="264" w:before="0" w:after="60"/>
        <w:rPr/>
      </w:pPr>
      <w:r>
        <w:rPr>
          <w:rFonts w:eastAsia="Arial" w:cs="Arial"/>
          <w:sz w:val="21"/>
          <w:szCs w:val="21"/>
        </w:rPr>
        <w:t>Annual Training Record (8-hour/year)</w:t>
      </w:r>
    </w:p>
    <w:p>
      <w:pPr>
        <w:pStyle w:val="ListParagraph"/>
        <w:numPr>
          <w:ilvl w:val="0"/>
          <w:numId w:val="1"/>
        </w:numPr>
        <w:spacing w:lineRule="exact" w:line="264" w:before="0" w:after="60"/>
        <w:rPr/>
      </w:pPr>
      <w:r>
        <w:rPr>
          <w:rFonts w:eastAsia="Arial" w:cs="Arial"/>
          <w:sz w:val="21"/>
          <w:szCs w:val="21"/>
        </w:rPr>
        <w:t>Bloodborne Pathogens Training Record</w:t>
      </w:r>
    </w:p>
    <w:p>
      <w:pPr>
        <w:pStyle w:val="ListParagraph"/>
        <w:numPr>
          <w:ilvl w:val="0"/>
          <w:numId w:val="1"/>
        </w:numPr>
        <w:spacing w:lineRule="exact" w:line="264" w:before="0" w:after="60"/>
        <w:rPr/>
      </w:pPr>
      <w:r>
        <w:rPr>
          <w:rFonts w:eastAsia="Arial" w:cs="Arial"/>
          <w:sz w:val="21"/>
          <w:szCs w:val="21"/>
        </w:rPr>
        <w:t>Staffing / Coverage Record</w:t>
      </w:r>
    </w:p>
    <w:p>
      <w:pPr>
        <w:pStyle w:val="ListParagraph"/>
        <w:numPr>
          <w:ilvl w:val="0"/>
          <w:numId w:val="1"/>
        </w:numPr>
        <w:spacing w:lineRule="exact" w:line="264" w:before="0" w:after="60"/>
        <w:rPr/>
      </w:pPr>
      <w:r>
        <w:rPr>
          <w:rFonts w:eastAsia="Arial" w:cs="Arial"/>
          <w:sz w:val="21"/>
          <w:szCs w:val="21"/>
        </w:rPr>
        <w:t>Personal Care / Service Record</w:t>
      </w:r>
    </w:p>
    <w:p>
      <w:pPr>
        <w:pStyle w:val="ListParagraph"/>
        <w:numPr>
          <w:ilvl w:val="0"/>
          <w:numId w:val="1"/>
        </w:numPr>
        <w:spacing w:lineRule="exact" w:line="264" w:before="0" w:after="60"/>
        <w:rPr/>
      </w:pPr>
      <w:r>
        <w:rPr>
          <w:rFonts w:eastAsia="Arial" w:cs="Arial"/>
          <w:sz w:val="21"/>
          <w:szCs w:val="21"/>
        </w:rPr>
        <w:t>Nursing Care Log (7-hour/week limit)</w:t>
      </w:r>
    </w:p>
    <w:p>
      <w:pPr>
        <w:pStyle w:val="ListParagraph"/>
        <w:numPr>
          <w:ilvl w:val="0"/>
          <w:numId w:val="1"/>
        </w:numPr>
        <w:spacing w:lineRule="exact" w:line="264" w:before="0" w:after="60"/>
        <w:rPr/>
      </w:pPr>
      <w:r>
        <w:rPr>
          <w:rFonts w:eastAsia="Arial" w:cs="Arial"/>
          <w:sz w:val="21"/>
          <w:szCs w:val="21"/>
        </w:rPr>
        <w:t>Activity &amp; Community Participation Record</w:t>
      </w:r>
    </w:p>
    <w:p>
      <w:pPr>
        <w:pStyle w:val="ListParagraph"/>
        <w:numPr>
          <w:ilvl w:val="0"/>
          <w:numId w:val="1"/>
        </w:numPr>
        <w:spacing w:lineRule="exact" w:line="264" w:before="0" w:after="60"/>
        <w:rPr/>
      </w:pPr>
      <w:r>
        <w:rPr>
          <w:rFonts w:eastAsia="Arial" w:cs="Arial"/>
          <w:sz w:val="21"/>
          <w:szCs w:val="21"/>
        </w:rPr>
        <w:t>Fall Risk Assessment &amp; Safety Event Report</w:t>
      </w:r>
    </w:p>
    <w:p>
      <w:pPr>
        <w:pStyle w:val="ListParagraph"/>
        <w:numPr>
          <w:ilvl w:val="0"/>
          <w:numId w:val="1"/>
        </w:numPr>
        <w:spacing w:lineRule="exact" w:line="264" w:before="0" w:after="60"/>
        <w:rPr/>
      </w:pPr>
      <w:r>
        <w:rPr>
          <w:rFonts w:eastAsia="Arial" w:cs="Arial"/>
          <w:sz w:val="21"/>
          <w:szCs w:val="21"/>
        </w:rPr>
        <w:t>Notice of Termination of Placement (30-day)</w:t>
      </w:r>
    </w:p>
    <w:p>
      <w:pPr>
        <w:pStyle w:val="ListParagraph"/>
        <w:numPr>
          <w:ilvl w:val="0"/>
          <w:numId w:val="1"/>
        </w:numPr>
        <w:spacing w:lineRule="exact" w:line="264" w:before="0" w:after="60"/>
        <w:rPr/>
      </w:pPr>
      <w:r>
        <w:rPr>
          <w:rFonts w:eastAsia="Arial" w:cs="Arial"/>
          <w:sz w:val="21"/>
          <w:szCs w:val="21"/>
        </w:rPr>
        <w:t>Relocation Assistance Record</w:t>
      </w:r>
    </w:p>
    <w:p>
      <w:pPr>
        <w:pStyle w:val="ListParagraph"/>
        <w:numPr>
          <w:ilvl w:val="0"/>
          <w:numId w:val="1"/>
        </w:numPr>
        <w:spacing w:lineRule="exact" w:line="264" w:before="0" w:after="60"/>
        <w:rPr/>
      </w:pPr>
      <w:r>
        <w:rPr>
          <w:rFonts w:eastAsia="Arial" w:cs="Arial"/>
          <w:sz w:val="21"/>
          <w:szCs w:val="21"/>
        </w:rPr>
        <w:t>Physician Medication Order (who/when/dosage)</w:t>
      </w:r>
    </w:p>
    <w:p>
      <w:pPr>
        <w:pStyle w:val="ListParagraph"/>
        <w:numPr>
          <w:ilvl w:val="0"/>
          <w:numId w:val="1"/>
        </w:numPr>
        <w:spacing w:lineRule="exact" w:line="264" w:before="0" w:after="60"/>
        <w:rPr/>
      </w:pPr>
      <w:r>
        <w:rPr>
          <w:rFonts w:eastAsia="Arial" w:cs="Arial"/>
          <w:sz w:val="21"/>
          <w:szCs w:val="21"/>
        </w:rPr>
        <w:t>Medication Administration / Assistance Record</w:t>
      </w:r>
    </w:p>
    <w:p>
      <w:pPr>
        <w:pStyle w:val="ListParagraph"/>
        <w:numPr>
          <w:ilvl w:val="0"/>
          <w:numId w:val="1"/>
        </w:numPr>
        <w:spacing w:lineRule="exact" w:line="264" w:before="0" w:after="60"/>
        <w:rPr/>
      </w:pPr>
      <w:r>
        <w:rPr>
          <w:rFonts w:eastAsia="Arial" w:cs="Arial"/>
          <w:sz w:val="21"/>
          <w:szCs w:val="21"/>
        </w:rPr>
        <w:t>Psychotropic Medication Monitoring Record</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Written Emergency &amp; Disaster Plan</w:t>
      </w:r>
    </w:p>
    <w:p>
      <w:pPr>
        <w:pStyle w:val="ListParagraph"/>
        <w:numPr>
          <w:ilvl w:val="0"/>
          <w:numId w:val="1"/>
        </w:numPr>
        <w:spacing w:lineRule="exact" w:line="264" w:before="0" w:after="60"/>
        <w:rPr/>
      </w:pPr>
      <w:r>
        <w:rPr>
          <w:rFonts w:eastAsia="Arial" w:cs="Arial"/>
          <w:sz w:val="21"/>
          <w:szCs w:val="21"/>
        </w:rPr>
        <w:t>Resident Evacuation Capability Evaluation</w:t>
      </w:r>
    </w:p>
    <w:p>
      <w:pPr>
        <w:pStyle w:val="ListParagraph"/>
        <w:numPr>
          <w:ilvl w:val="0"/>
          <w:numId w:val="1"/>
        </w:numPr>
        <w:spacing w:lineRule="exact" w:line="264" w:before="0" w:after="60"/>
        <w:rPr/>
      </w:pPr>
      <w:r>
        <w:rPr>
          <w:rFonts w:eastAsia="Arial" w:cs="Arial"/>
          <w:sz w:val="21"/>
          <w:szCs w:val="21"/>
        </w:rPr>
        <w:t>Fire / Emergency Drill Records</w:t>
      </w:r>
    </w:p>
    <w:p>
      <w:pPr>
        <w:pStyle w:val="ListParagraph"/>
        <w:numPr>
          <w:ilvl w:val="0"/>
          <w:numId w:val="1"/>
        </w:numPr>
        <w:spacing w:lineRule="exact" w:line="264" w:before="0" w:after="60"/>
        <w:rPr/>
      </w:pPr>
      <w:r>
        <w:rPr>
          <w:rFonts w:eastAsia="Arial" w:cs="Arial"/>
          <w:sz w:val="21"/>
          <w:szCs w:val="21"/>
        </w:rPr>
        <w:t>Infection Surveillance Note &amp; Outbreak Response Record</w:t>
      </w:r>
    </w:p>
    <w:p>
      <w:pPr>
        <w:pStyle w:val="ListParagraph"/>
        <w:numPr>
          <w:ilvl w:val="0"/>
          <w:numId w:val="1"/>
        </w:numPr>
        <w:spacing w:lineRule="exact" w:line="264" w:before="0" w:after="60"/>
        <w:rPr/>
      </w:pPr>
      <w:r>
        <w:rPr>
          <w:rFonts w:eastAsia="Arial" w:cs="Arial"/>
          <w:sz w:val="21"/>
          <w:szCs w:val="21"/>
        </w:rPr>
        <w:t>Communicable Disease Reporting Record (DHS 145)</w:t>
      </w:r>
    </w:p>
    <w:p>
      <w:pPr>
        <w:pStyle w:val="ListParagraph"/>
        <w:numPr>
          <w:ilvl w:val="0"/>
          <w:numId w:val="1"/>
        </w:numPr>
        <w:spacing w:lineRule="exact" w:line="264" w:before="0" w:after="60"/>
        <w:rPr/>
      </w:pPr>
      <w:r>
        <w:rPr>
          <w:rFonts w:eastAsia="Arial" w:cs="Arial"/>
          <w:sz w:val="21"/>
          <w:szCs w:val="21"/>
        </w:rPr>
        <w:t>Chemical Inventory &amp; SDS Binder Index</w:t>
      </w:r>
    </w:p>
    <w:p>
      <w:pPr>
        <w:pStyle w:val="ListParagraph"/>
        <w:numPr>
          <w:ilvl w:val="0"/>
          <w:numId w:val="1"/>
        </w:numPr>
        <w:spacing w:lineRule="exact" w:line="264" w:before="0" w:after="60"/>
        <w:rPr/>
      </w:pPr>
      <w:r>
        <w:rPr>
          <w:rFonts w:eastAsia="Arial" w:cs="Arial"/>
          <w:sz w:val="21"/>
          <w:szCs w:val="21"/>
        </w:rPr>
        <w:t>Oxygen Storage &amp; Safety Checklist</w:t>
      </w:r>
    </w:p>
    <w:p>
      <w:pPr>
        <w:pStyle w:val="ListParagraph"/>
        <w:numPr>
          <w:ilvl w:val="0"/>
          <w:numId w:val="1"/>
        </w:numPr>
        <w:spacing w:lineRule="exact" w:line="264" w:before="0" w:after="60"/>
        <w:rPr/>
      </w:pPr>
      <w:r>
        <w:rPr>
          <w:rFonts w:eastAsia="Arial" w:cs="Arial"/>
          <w:sz w:val="21"/>
          <w:szCs w:val="21"/>
        </w:rPr>
        <w:t>Chemical / Oxygen Safety Training Record</w:t>
      </w:r>
    </w:p>
    <w:p>
      <w:pPr>
        <w:pStyle w:val="ListParagraph"/>
        <w:numPr>
          <w:ilvl w:val="0"/>
          <w:numId w:val="1"/>
        </w:numPr>
        <w:spacing w:lineRule="exact" w:line="264" w:before="0" w:after="60"/>
        <w:rPr/>
      </w:pPr>
      <w:r>
        <w:rPr>
          <w:rFonts w:eastAsia="Arial" w:cs="Arial"/>
          <w:sz w:val="21"/>
          <w:szCs w:val="21"/>
        </w:rPr>
        <w:t>Spill / Exposure Report</w:t>
      </w:r>
    </w:p>
    <w:p>
      <w:pPr>
        <w:pStyle w:val="ListParagraph"/>
        <w:numPr>
          <w:ilvl w:val="0"/>
          <w:numId w:val="1"/>
        </w:numPr>
        <w:spacing w:lineRule="exact" w:line="264" w:before="0" w:after="60"/>
        <w:rPr/>
      </w:pPr>
      <w:r>
        <w:rPr>
          <w:rFonts w:eastAsia="Arial" w:cs="Arial"/>
          <w:sz w:val="21"/>
          <w:szCs w:val="21"/>
        </w:rPr>
        <w:t>Home Environment / Safety Inspection Checklist</w:t>
      </w:r>
    </w:p>
    <w:p>
      <w:pPr>
        <w:pStyle w:val="ListParagraph"/>
        <w:numPr>
          <w:ilvl w:val="0"/>
          <w:numId w:val="1"/>
        </w:numPr>
        <w:spacing w:lineRule="exact" w:line="264" w:before="0" w:after="60"/>
        <w:rPr/>
      </w:pPr>
      <w:r>
        <w:rPr>
          <w:rFonts w:eastAsia="Arial" w:cs="Arial"/>
          <w:sz w:val="21"/>
          <w:szCs w:val="21"/>
        </w:rPr>
        <w:t>Water Temperature Log</w:t>
      </w:r>
    </w:p>
    <w:p>
      <w:pPr>
        <w:pStyle w:val="ListParagraph"/>
        <w:numPr>
          <w:ilvl w:val="0"/>
          <w:numId w:val="1"/>
        </w:numPr>
        <w:spacing w:lineRule="exact" w:line="264" w:before="0" w:after="60"/>
        <w:rPr/>
      </w:pPr>
      <w:r>
        <w:rPr>
          <w:rFonts w:eastAsia="Arial" w:cs="Arial"/>
          <w:sz w:val="21"/>
          <w:szCs w:val="21"/>
        </w:rPr>
        <w:t>Menu / Modified Diet Record</w:t>
      </w:r>
    </w:p>
    <w:p>
      <w:pPr>
        <w:pStyle w:val="ListParagraph"/>
        <w:numPr>
          <w:ilvl w:val="0"/>
          <w:numId w:val="1"/>
        </w:numPr>
        <w:spacing w:lineRule="exact" w:line="264" w:before="0" w:after="60"/>
        <w:rPr/>
      </w:pPr>
      <w:r>
        <w:rPr>
          <w:rFonts w:eastAsia="Arial" w:cs="Arial"/>
          <w:sz w:val="21"/>
          <w:szCs w:val="21"/>
        </w:rPr>
        <w:t>Resident Record Index (DHS 88.09)</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Program Statement — Dementia Client Group &amp; Training Record (if served)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Wisconsin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Department of Health Services (DHS), Division of Quality Assurance (DQA), Bureau of Assisted Living (BAL)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Admin. Code ch. DHS 88 — Licensed Adult Family Homes (3–4 bed)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Stat. § 50.033 and ch. 50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Provider Applications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DQA Provider Portal (licensure, background checks, biennial/resident reporting)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Caregiver background check, Wis. Stat. § 50.065; Background Information Disclosure (BID), F-82064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Training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DHS-approved training (15-hour initial within 6 months; 8-hour annual); OSHA 29 CFR 1910.1030 bloodborne pathogens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Complaints / BAL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Bureau of Assisted Living, 800-642-6552 (or regional office)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Board on Aging and Long Term Care — Long-Term Care Ombudsman (1-800-815-0015)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department and Wisconsin DHS (Wis. Admin. Code ch. DHS 145)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Note — 1–2 Bed AFH</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 1–2 bed AFH is certified by an MCO/county/IRIS program (not licensed under DHS 88); this manual is for the 3–4 bed licensed AFH.</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Wisconsin’s Licensed Adult Family Home regulations (Wis. Admin. Code ch. DHS 88) and Wis. Stat. § 50.033,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home this is for. This manual is for a LICENSED (3–4 BED) ADULT FAMILY HOME (AFH) — a residential home providing care and maintenance above room and board, including up to 7 hours of nursing care per week, for three or four unrelated adults, regulated by the state DQA under ch. DHS 88. If your setting is a Community-Based Residential Facility (5+ residents; ch. DHS 83) or a Residential Care Apartment Complex (ch. DHS 89), use the corresponding Wisconsin manual instead.</w:t>
      </w:r>
    </w:p>
    <w:p>
      <w:pPr>
        <w:pStyle w:val="Normal"/>
        <w:spacing w:lineRule="exact" w:line="276" w:before="0" w:after="120"/>
        <w:rPr/>
      </w:pPr>
      <w:r>
        <w:rPr>
          <w:rFonts w:eastAsia="Arial" w:cs="Arial"/>
          <w:sz w:val="21"/>
          <w:szCs w:val="21"/>
        </w:rPr>
        <w:t>Note on 1–2 bed AFHs. A 1–2 bed AFH is not licensed under DHS 88; it is certified by a managed care organization, county agency, or the IRIS program under separate Medicaid HCBS standards. This manual is built for the state-licensed 3–4 bed AFH; a 1–2 bed operator should follow their certifying agency’s standards.</w:t>
      </w:r>
    </w:p>
    <w:p>
      <w:pPr>
        <w:pStyle w:val="Normal"/>
        <w:spacing w:lineRule="exact" w:line="276" w:before="0" w:after="120"/>
        <w:rPr/>
      </w:pPr>
      <w:r>
        <w:rPr>
          <w:rFonts w:eastAsia="Arial" w:cs="Arial"/>
          <w:sz w:val="21"/>
          <w:szCs w:val="21"/>
        </w:rPr>
        <w:t>Licensing classification. AFHs are licensed Class A (ambulatory), Class B (semi-ambulatory), or Class C (non-ambulatory). Several policies (admission, fire safety, home environment) depend on your classification — confirm yours and adjust the customizable references. Where you serve residents with irreversible dementia, the Dementia Care policy applies the additional requirements.</w:t>
      </w:r>
    </w:p>
    <w:p>
      <w:pPr>
        <w:pStyle w:val="Normal"/>
        <w:spacing w:lineRule="exact" w:line="276" w:before="0" w:after="120"/>
        <w:rPr/>
      </w:pPr>
      <w:r>
        <w:rPr>
          <w:rFonts w:eastAsia="Arial" w:cs="Arial"/>
          <w:sz w:val="21"/>
          <w:szCs w:val="21"/>
        </w:rPr>
        <w:t>Terminology. This manual uses “licensee” and “service provider” (consistent with ch. DHS 88) and “resident.”</w:t>
      </w:r>
    </w:p>
    <w:p>
      <w:pPr>
        <w:pStyle w:val="Normal"/>
        <w:spacing w:lineRule="exact" w:line="276" w:before="0" w:after="120"/>
        <w:rPr/>
      </w:pPr>
      <w:r>
        <w:rPr>
          <w:rFonts w:eastAsia="Arial" w:cs="Arial"/>
          <w:sz w:val="21"/>
          <w:szCs w:val="21"/>
        </w:rPr>
        <w:t>Before adopting: replace every [bracketed] placeholder (Home name, effective date, licensee) with your own information; review each policy against your current operations and any DQA visit; confirm your classification, program statement, background checks, the 15-hour and 8-hour training, and your assessment/ISP and service-agreement templates; confirm your fire-safety, oxygen, and home-environment requirements;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adult family home under Wis. Admin. Code ch. DHS 88.07, including the Home’s obligations, the grievance procedure, and the contact information for the Long-Term Care Ombudsman and the Division of Quality Assurance.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Guardian / designated representative (if applicable): ______________________________    Date: ______________</w:t>
      </w:r>
    </w:p>
    <w:p>
      <w:pPr>
        <w:pStyle w:val="Normal"/>
        <w:spacing w:before="200" w:after="0"/>
        <w:rPr/>
      </w:pPr>
      <w:r>
        <w:rPr>
          <w:rFonts w:eastAsia="Arial" w:cs="Arial"/>
          <w:sz w:val="21"/>
          <w:szCs w:val="21"/>
        </w:rPr>
        <w:t>Licensee / Service Provider: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Licensed Adult Family Home (AFH, 3–4 Bed)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Licensed Adult Family Home (AFH, 3–4 Bed)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2026-07-01T14:02:39Z</dcterms:created>
  <dc:creator>PolicyReady.org</dc:creator>
  <dc:description/>
  <dc:language>en-US</dc:language>
  <cp:lastModifiedBy>Un-named</cp:lastModifiedBy>
  <dcterms:modified xsi:type="dcterms:W3CDTF">2026-07-01T14:02:39Z</dcterms:modified>
  <cp:revision>1</cp:revision>
  <dc:subject/>
  <dc:title>Wisconsin Licensed Adult Family Home (AFH, 3-4 Bed) Policy &amp; Procedure Manual</dc:title>
</cp:coreProperties>
</file>