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WISCONSIN</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8"/>
          <w:szCs w:val="28"/>
        </w:rPr>
        <w:t>Residential Care Apartment Complex (RCAC)</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[Complex Name]</w:t>
      </w:r>
    </w:p>
    <w:p>
      <w:pPr>
        <w:pStyle w:val="Normal"/>
        <w:spacing w:before="60" w:after="0"/>
        <w:jc w:val="center"/>
        <w:rPr/>
      </w:pPr>
      <w:r>
        <w:rPr>
          <w:rFonts w:eastAsia="Arial" w:cs="Arial"/>
          <w:color w:val="666666"/>
          <w:sz w:val="20"/>
          <w:szCs w:val="20"/>
        </w:rPr>
        <w:t>[Address]   •   [DQA Certification / Registration Number]</w:t>
      </w:r>
    </w:p>
    <w:p>
      <w:pPr>
        <w:pStyle w:val="Normal"/>
        <w:spacing w:before="1600" w:after="0"/>
        <w:jc w:val="center"/>
        <w:rPr/>
      </w:pPr>
      <w:r>
        <w:rPr>
          <w:rFonts w:eastAsia="Arial" w:cs="Arial"/>
          <w:color w:val="666666"/>
          <w:sz w:val="18"/>
          <w:szCs w:val="18"/>
        </w:rPr>
        <w:t>Aligned to Wis. Admin. Code ch. DHS 89 and Wis. Stat. § 50.034</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Complex is governed and how it admits, protects, and resolves concerns for the tenants it serves under its DQA certification or registration. It covers admission and the service agreement, tenant rights and grievances, abuse and exploitation reporting, tenant funds and the schedule of fees, and certification/registration, zoning, and the registered-facility enforcement disclosure.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Retention &amp; Service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Tenant Rights &amp; Grievance Procedure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Abuse, Neglect &amp; Financial Exploitation; Incident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Tenant Funds &amp; Fees for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Certification/Registration, Zoning &amp; Enforcement Disclosure</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Retention &amp; Service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Retention &amp; Service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89.27, 89.29; Wis. Stat. § 50.034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Complex admits, retains, and terminates the tenancy of tenants, consistent with Wisconsin Administrative Code Chapter DHS 89 (Residential Care Apartment Complexes) and Wis. Stat. § 50.034.</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Complex is certified or registered by the Wisconsin Department of Health Services (DHS), Division of Quality Assurance (DQA), Bureau of Assisted Living, as a Residential Care Apartment Complex (RCAC) under Chapter DHS 89 and Wis. Stat. § 50.034. An RCAC provides five (5) or more adult tenants with an independent apartment (each with a lockable entrance, kitchen, and bathroom) and makes available up to twenty-eight (28) hours per week of supportive, personal, and nursing services, in a home-like setting that supports tenant privacy, self-reliance, and autonomy.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admit and retain only tenants whose needs can be appropriately met within the RCAC model and the 28-hour service limit, based on a comprehensive assessment, and shall provide each tenant a written service agreement and risk agreement.</w:t>
      </w:r>
    </w:p>
    <w:p>
      <w:pPr>
        <w:pStyle w:val="Normal"/>
        <w:pBdr>
          <w:bottom w:val="single" w:sz="4" w:space="1" w:color="2E5E45"/>
        </w:pBdr>
        <w:spacing w:before="160" w:after="80"/>
        <w:rPr/>
      </w:pPr>
      <w:r>
        <w:rPr>
          <w:rFonts w:eastAsia="Arial" w:cs="Arial"/>
          <w:b/>
          <w:bCs/>
          <w:color w:val="1A4731"/>
          <w:sz w:val="20"/>
          <w:szCs w:val="20"/>
        </w:rPr>
        <w:t>PROCEDURE — ADMISSION</w:t>
      </w:r>
    </w:p>
    <w:p>
      <w:pPr>
        <w:pStyle w:val="Normal"/>
        <w:tabs>
          <w:tab w:val="left" w:pos="720" w:leader="none"/>
        </w:tabs>
        <w:spacing w:lineRule="exact" w:line="264" w:before="0" w:after="80"/>
        <w:ind w:hanging="360" w:start="720"/>
        <w:rPr/>
      </w:pPr>
      <w:r>
        <w:rPr>
          <w:rFonts w:eastAsia="Arial" w:cs="Arial"/>
          <w:sz w:val="21"/>
          <w:szCs w:val="21"/>
        </w:rPr>
        <w:t>a. Before admission, complete a comprehensive assessment of the person’s needs, abilities, and preferences under DHS 89.26 to determine that the person can appropriately reside in the RCAC within the 28-hour service limit.</w:t>
      </w:r>
    </w:p>
    <w:p>
      <w:pPr>
        <w:pStyle w:val="Normal"/>
        <w:tabs>
          <w:tab w:val="left" w:pos="720" w:leader="none"/>
        </w:tabs>
        <w:spacing w:lineRule="exact" w:line="264" w:before="0" w:after="80"/>
        <w:ind w:hanging="360" w:start="720"/>
        <w:rPr/>
      </w:pPr>
      <w:r>
        <w:rPr>
          <w:rFonts w:eastAsia="Arial" w:cs="Arial"/>
          <w:sz w:val="21"/>
          <w:szCs w:val="21"/>
        </w:rPr>
        <w:t>b. Do not admit a person who has a court determination of incompetence and is subject to guardianship, or who otherwise may not be admitted under DHS 89.29, unless the person shares an apartment with a competent spouse or other person who has legal responsibility for the individual.</w:t>
      </w:r>
    </w:p>
    <w:p>
      <w:pPr>
        <w:pStyle w:val="Normal"/>
        <w:tabs>
          <w:tab w:val="left" w:pos="720" w:leader="none"/>
        </w:tabs>
        <w:spacing w:lineRule="exact" w:line="264" w:before="0" w:after="80"/>
        <w:ind w:hanging="360" w:start="720"/>
        <w:rPr/>
      </w:pPr>
      <w:r>
        <w:rPr>
          <w:rFonts w:eastAsia="Arial" w:cs="Arial"/>
          <w:sz w:val="21"/>
          <w:szCs w:val="21"/>
        </w:rPr>
        <w:t>c. Enter into a written service agreement (DHS 89.27) consistent with the comprehensive assessment, and a signed, jointly negotiated risk agreement (DHS 89.28) with each tenant by the date of occupancy.</w:t>
      </w:r>
    </w:p>
    <w:p>
      <w:pPr>
        <w:pStyle w:val="Normal"/>
        <w:tabs>
          <w:tab w:val="left" w:pos="720" w:leader="none"/>
        </w:tabs>
        <w:spacing w:lineRule="exact" w:line="264" w:before="0" w:after="80"/>
        <w:ind w:hanging="360" w:start="720"/>
        <w:rPr/>
      </w:pPr>
      <w:r>
        <w:rPr>
          <w:rFonts w:eastAsia="Arial" w:cs="Arial"/>
          <w:sz w:val="21"/>
          <w:szCs w:val="21"/>
        </w:rPr>
        <w:t>d. Provide the written schedule of fees for services (DHS 89.25) with separately identified charges for rent, meals, and services, and the written policy on tenant rights, and post tenant rights conspicuously.</w:t>
      </w:r>
    </w:p>
    <w:p>
      <w:pPr>
        <w:pStyle w:val="Normal"/>
        <w:pBdr>
          <w:bottom w:val="single" w:sz="4" w:space="1" w:color="2E5E45"/>
        </w:pBdr>
        <w:spacing w:before="160" w:after="80"/>
        <w:rPr/>
      </w:pPr>
      <w:r>
        <w:rPr>
          <w:rFonts w:eastAsia="Arial" w:cs="Arial"/>
          <w:b/>
          <w:bCs/>
          <w:color w:val="1A4731"/>
          <w:sz w:val="20"/>
          <w:szCs w:val="20"/>
        </w:rPr>
        <w:t>PROCEDURE — RETENTION &amp; TERMINATION</w:t>
      </w:r>
    </w:p>
    <w:p>
      <w:pPr>
        <w:pStyle w:val="Normal"/>
        <w:tabs>
          <w:tab w:val="left" w:pos="720" w:leader="none"/>
        </w:tabs>
        <w:spacing w:lineRule="exact" w:line="264" w:before="0" w:after="80"/>
        <w:ind w:hanging="360" w:start="720"/>
        <w:rPr/>
      </w:pPr>
      <w:r>
        <w:rPr>
          <w:rFonts w:eastAsia="Arial" w:cs="Arial"/>
          <w:sz w:val="21"/>
          <w:szCs w:val="21"/>
        </w:rPr>
        <w:t>e. Review the comprehensive assessment, service agreement, and risk agreement when the tenant’s condition or service needs change, at the request of the tenant or Complex, and update them as mutually agreed.</w:t>
      </w:r>
    </w:p>
    <w:p>
      <w:pPr>
        <w:pStyle w:val="Normal"/>
        <w:tabs>
          <w:tab w:val="left" w:pos="720" w:leader="none"/>
        </w:tabs>
        <w:spacing w:lineRule="exact" w:line="264" w:before="0" w:after="80"/>
        <w:ind w:hanging="360" w:start="720"/>
        <w:rPr/>
      </w:pPr>
      <w:r>
        <w:rPr>
          <w:rFonts w:eastAsia="Arial" w:cs="Arial"/>
          <w:sz w:val="21"/>
          <w:szCs w:val="21"/>
        </w:rPr>
        <w:t>f. Where the tenant’s needs can no longer be appropriately met within the RCAC model and 28-hour limit, follow the retention and termination provisions of DHS 89.29 and the service agreement, and coordinate a safe transition.</w:t>
      </w:r>
    </w:p>
    <w:p>
      <w:pPr>
        <w:pStyle w:val="Normal"/>
        <w:tabs>
          <w:tab w:val="left" w:pos="720" w:leader="none"/>
        </w:tabs>
        <w:spacing w:lineRule="exact" w:line="264" w:before="0" w:after="80"/>
        <w:ind w:hanging="360" w:start="720"/>
        <w:rPr/>
      </w:pPr>
      <w:r>
        <w:rPr>
          <w:rFonts w:eastAsia="Arial" w:cs="Arial"/>
          <w:sz w:val="21"/>
          <w:szCs w:val="21"/>
        </w:rPr>
        <w:t>g. Document the basis for termination or transfer and the coordination of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Comprehensive Assessment (DHS 89.26)</w:t>
      </w:r>
    </w:p>
    <w:p>
      <w:pPr>
        <w:pStyle w:val="ListParagraph"/>
        <w:numPr>
          <w:ilvl w:val="0"/>
          <w:numId w:val="1"/>
        </w:numPr>
        <w:spacing w:lineRule="exact" w:line="264" w:before="0" w:after="60"/>
        <w:rPr/>
      </w:pPr>
      <w:r>
        <w:rPr>
          <w:rFonts w:eastAsia="Arial" w:cs="Arial"/>
          <w:sz w:val="21"/>
          <w:szCs w:val="21"/>
        </w:rPr>
        <w:t>Service Agreement (DHS 89.27)</w:t>
      </w:r>
    </w:p>
    <w:p>
      <w:pPr>
        <w:pStyle w:val="ListParagraph"/>
        <w:numPr>
          <w:ilvl w:val="0"/>
          <w:numId w:val="1"/>
        </w:numPr>
        <w:spacing w:lineRule="exact" w:line="264" w:before="0" w:after="60"/>
        <w:rPr/>
      </w:pPr>
      <w:r>
        <w:rPr>
          <w:rFonts w:eastAsia="Arial" w:cs="Arial"/>
          <w:sz w:val="21"/>
          <w:szCs w:val="21"/>
        </w:rPr>
        <w:t>Risk Agreement (DHS 89.28)</w:t>
      </w:r>
    </w:p>
    <w:p>
      <w:pPr>
        <w:pStyle w:val="ListParagraph"/>
        <w:numPr>
          <w:ilvl w:val="0"/>
          <w:numId w:val="1"/>
        </w:numPr>
        <w:spacing w:lineRule="exact" w:line="264" w:before="0" w:after="60"/>
        <w:rPr/>
      </w:pPr>
      <w:r>
        <w:rPr>
          <w:rFonts w:eastAsia="Arial" w:cs="Arial"/>
          <w:sz w:val="21"/>
          <w:szCs w:val="21"/>
        </w:rPr>
        <w:t>Schedule of Fees for Services (DHS 89.25)</w:t>
      </w:r>
    </w:p>
    <w:p>
      <w:pPr>
        <w:pStyle w:val="ListParagraph"/>
        <w:numPr>
          <w:ilvl w:val="0"/>
          <w:numId w:val="1"/>
        </w:numPr>
        <w:spacing w:lineRule="exact" w:line="264" w:before="0" w:after="60"/>
        <w:rPr/>
      </w:pPr>
      <w:r>
        <w:rPr>
          <w:rFonts w:eastAsia="Arial" w:cs="Arial"/>
          <w:sz w:val="21"/>
          <w:szCs w:val="21"/>
        </w:rPr>
        <w:t>Notice of Termination / Transfer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Tenant Rights &amp; Grievance Procedure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Tenant Rights &amp; Grievance Procedure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89.23, 89.35; Board on Aging &amp; Long Term Care Ombudsman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tenant as required by DHS 89.23, and to provide a written grievance procedure and access to the Long-Term Care Ombudsman as required by DHS 89.35.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observe and protect the rights of each tenant, maintain and post a written policy on tenant rights, provide a written grievance procedure, and support tenant autonomy, privacy, and self-determination.</w:t>
      </w:r>
    </w:p>
    <w:p>
      <w:pPr>
        <w:pStyle w:val="Normal"/>
        <w:pBdr>
          <w:bottom w:val="single" w:sz="4" w:space="1" w:color="2E5E45"/>
        </w:pBdr>
        <w:spacing w:before="160" w:after="80"/>
        <w:rPr/>
      </w:pPr>
      <w:r>
        <w:rPr>
          <w:rFonts w:eastAsia="Arial" w:cs="Arial"/>
          <w:b/>
          <w:bCs/>
          <w:color w:val="1A4731"/>
          <w:sz w:val="20"/>
          <w:szCs w:val="20"/>
        </w:rPr>
        <w:t>PROCEDURE — TENANT RIGHTS</w:t>
      </w:r>
    </w:p>
    <w:p>
      <w:pPr>
        <w:pStyle w:val="Normal"/>
        <w:tabs>
          <w:tab w:val="left" w:pos="720" w:leader="none"/>
        </w:tabs>
        <w:spacing w:lineRule="exact" w:line="264" w:before="0" w:after="80"/>
        <w:ind w:hanging="360" w:start="720"/>
        <w:rPr/>
      </w:pPr>
      <w:r>
        <w:rPr>
          <w:rFonts w:eastAsia="Arial" w:cs="Arial"/>
          <w:sz w:val="21"/>
          <w:szCs w:val="21"/>
        </w:rPr>
        <w:t>a. Ensure each tenant’s rights under DHS 89.23, including the right to be treated with dignity and respect and to be free from abuse, neglect, and financial exploitation by the Complex or its staff.</w:t>
      </w:r>
    </w:p>
    <w:p>
      <w:pPr>
        <w:pStyle w:val="Normal"/>
        <w:tabs>
          <w:tab w:val="left" w:pos="720" w:leader="none"/>
        </w:tabs>
        <w:spacing w:lineRule="exact" w:line="264" w:before="0" w:after="80"/>
        <w:ind w:hanging="360" w:start="720"/>
        <w:rPr/>
      </w:pPr>
      <w:r>
        <w:rPr>
          <w:rFonts w:eastAsia="Arial" w:cs="Arial"/>
          <w:sz w:val="21"/>
          <w:szCs w:val="21"/>
        </w:rPr>
        <w:t>b. Ensure the right to privacy in the tenant’s own apartment, to control who enters, to manage personal finances, to make decisions, and to exercise autonomy and self-reliance.</w:t>
      </w:r>
    </w:p>
    <w:p>
      <w:pPr>
        <w:pStyle w:val="Normal"/>
        <w:tabs>
          <w:tab w:val="left" w:pos="720" w:leader="none"/>
        </w:tabs>
        <w:spacing w:lineRule="exact" w:line="264" w:before="0" w:after="80"/>
        <w:ind w:hanging="360" w:start="720"/>
        <w:rPr/>
      </w:pPr>
      <w:r>
        <w:rPr>
          <w:rFonts w:eastAsia="Arial" w:cs="Arial"/>
          <w:sz w:val="21"/>
          <w:szCs w:val="21"/>
        </w:rPr>
        <w:t>c. Ensure the right to participate in the comprehensive assessment, service agreement, and risk agreement, and to voice grievances without restraint, interference, coercion, discrimination, or reprisal.</w:t>
      </w:r>
    </w:p>
    <w:p>
      <w:pPr>
        <w:pStyle w:val="Normal"/>
        <w:tabs>
          <w:tab w:val="left" w:pos="720" w:leader="none"/>
        </w:tabs>
        <w:spacing w:lineRule="exact" w:line="264" w:before="0" w:after="80"/>
        <w:ind w:hanging="360" w:start="720"/>
        <w:rPr/>
      </w:pPr>
      <w:r>
        <w:rPr>
          <w:rFonts w:eastAsia="Arial" w:cs="Arial"/>
          <w:sz w:val="21"/>
          <w:szCs w:val="21"/>
        </w:rPr>
        <w:t>d. Maintain and visibly post the written policy on tenant rights for tenants, visitors, and staff, and provide each tenant a written copy.</w:t>
      </w:r>
    </w:p>
    <w:p>
      <w:pPr>
        <w:pStyle w:val="Normal"/>
        <w:pBdr>
          <w:bottom w:val="single" w:sz="4" w:space="1" w:color="2E5E45"/>
        </w:pBdr>
        <w:spacing w:before="160" w:after="80"/>
        <w:rPr/>
      </w:pPr>
      <w:r>
        <w:rPr>
          <w:rFonts w:eastAsia="Arial" w:cs="Arial"/>
          <w:b/>
          <w:bCs/>
          <w:color w:val="1A4731"/>
          <w:sz w:val="20"/>
          <w:szCs w:val="20"/>
        </w:rPr>
        <w:t>PROCEDURE — GRIEVANCE &amp; OMBUDSMAN</w:t>
      </w:r>
    </w:p>
    <w:p>
      <w:pPr>
        <w:pStyle w:val="Normal"/>
        <w:tabs>
          <w:tab w:val="left" w:pos="720" w:leader="none"/>
        </w:tabs>
        <w:spacing w:lineRule="exact" w:line="264" w:before="0" w:after="80"/>
        <w:ind w:hanging="360" w:start="720"/>
        <w:rPr/>
      </w:pPr>
      <w:r>
        <w:rPr>
          <w:rFonts w:eastAsia="Arial" w:cs="Arial"/>
          <w:sz w:val="21"/>
          <w:szCs w:val="21"/>
        </w:rPr>
        <w:t>e. Maintain and follow a written grievance procedure under DHS 89.35, document each grievance, the investigation, and the resolution, and communicate the outcome to the tenant.</w:t>
      </w:r>
    </w:p>
    <w:p>
      <w:pPr>
        <w:pStyle w:val="Normal"/>
        <w:tabs>
          <w:tab w:val="left" w:pos="720" w:leader="none"/>
        </w:tabs>
        <w:spacing w:lineRule="exact" w:line="264" w:before="0" w:after="80"/>
        <w:ind w:hanging="360" w:start="720"/>
        <w:rPr/>
      </w:pPr>
      <w:r>
        <w:rPr>
          <w:rFonts w:eastAsia="Arial" w:cs="Arial"/>
          <w:sz w:val="21"/>
          <w:szCs w:val="21"/>
        </w:rPr>
        <w:t>f. Post and provide the Long-Term Care Ombudsman (Board on Aging and Long Term Care) contact information, and support tenant access to the ombudsman.</w:t>
      </w:r>
    </w:p>
    <w:p>
      <w:pPr>
        <w:pStyle w:val="Normal"/>
        <w:tabs>
          <w:tab w:val="left" w:pos="720" w:leader="none"/>
        </w:tabs>
        <w:spacing w:lineRule="exact" w:line="264" w:before="0" w:after="80"/>
        <w:ind w:hanging="360" w:start="720"/>
        <w:rPr/>
      </w:pPr>
      <w:r>
        <w:rPr>
          <w:rFonts w:eastAsia="Arial" w:cs="Arial"/>
          <w:sz w:val="21"/>
          <w:szCs w:val="21"/>
        </w:rPr>
        <w:t>g. Do not retaliate against any tenant who presents a grievance or contacts the ombudsman or DQA.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Tenant Rights Policy &amp; Acknowledgment</w:t>
      </w:r>
    </w:p>
    <w:p>
      <w:pPr>
        <w:pStyle w:val="ListParagraph"/>
        <w:numPr>
          <w:ilvl w:val="0"/>
          <w:numId w:val="1"/>
        </w:numPr>
        <w:spacing w:lineRule="exact" w:line="264" w:before="0" w:after="60"/>
        <w:rPr/>
      </w:pPr>
      <w:r>
        <w:rPr>
          <w:rFonts w:eastAsia="Arial" w:cs="Arial"/>
          <w:sz w:val="21"/>
          <w:szCs w:val="21"/>
        </w:rPr>
        <w:t>Written Grievance Procedure &amp; Log</w:t>
      </w:r>
    </w:p>
    <w:p>
      <w:pPr>
        <w:pStyle w:val="ListParagraph"/>
        <w:numPr>
          <w:ilvl w:val="0"/>
          <w:numId w:val="1"/>
        </w:numPr>
        <w:spacing w:lineRule="exact" w:line="264" w:before="0" w:after="60"/>
        <w:rPr/>
      </w:pPr>
      <w:r>
        <w:rPr>
          <w:rFonts w:eastAsia="Arial" w:cs="Arial"/>
          <w:sz w:val="21"/>
          <w:szCs w:val="21"/>
        </w:rPr>
        <w:t>Ombudsman Program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Abuse, Neglect &amp; Financial Exploitation; Incident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Abuse, Neglect &amp; Financial Exploitation; Incident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89.23(4)(c); Wis. Stat. § 50.065; caregiver misconduct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financial exploitation and other reportable incidents are identified, reported, and investigated as required by Wisconsin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requires immediate reporting of suspected abuse, neglect, and financial exploitation, protects tenants’ immediate safety, and reports and investigates incidents as required by DHS 89 and the caregiver misconduct requirements.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Ensure tenants are free from abuse, neglect, and financial exploitation by the Complex or its staff, and train staff to immediately report suspected abuse, neglect, or exploitation.</w:t>
      </w:r>
    </w:p>
    <w:p>
      <w:pPr>
        <w:pStyle w:val="Normal"/>
        <w:tabs>
          <w:tab w:val="left" w:pos="720" w:leader="none"/>
        </w:tabs>
        <w:spacing w:lineRule="exact" w:line="264" w:before="0" w:after="80"/>
        <w:ind w:hanging="360" w:start="720"/>
        <w:rPr/>
      </w:pPr>
      <w:r>
        <w:rPr>
          <w:rFonts w:eastAsia="Arial" w:cs="Arial"/>
          <w:sz w:val="21"/>
          <w:szCs w:val="21"/>
        </w:rPr>
        <w:t>b. Report suspected abuse, neglect, or misappropriation of property to law enforcement and county adult protective services as applicable, and report through the caregiver program (Wis. Stat. § 50.065) as required.</w:t>
      </w:r>
    </w:p>
    <w:p>
      <w:pPr>
        <w:pStyle w:val="Normal"/>
        <w:tabs>
          <w:tab w:val="left" w:pos="720" w:leader="none"/>
        </w:tabs>
        <w:spacing w:lineRule="exact" w:line="264" w:before="0" w:after="80"/>
        <w:ind w:hanging="360" w:start="720"/>
        <w:rPr/>
      </w:pPr>
      <w:r>
        <w:rPr>
          <w:rFonts w:eastAsia="Arial" w:cs="Arial"/>
          <w:sz w:val="21"/>
          <w:szCs w:val="21"/>
        </w:rPr>
        <w:t>c. Investigate each incident and allegation, documenting facts, dates and times, individuals involved,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Notify the tenant’s physician, legal representative, and case manager of significant incidents and changes in condition as appropriate, and cooperate fully with DQA and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Caregiver Misconduct Report</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Tenant Funds &amp; Fees for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Tenant Funds &amp; Fees for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clear written schedule of fees for services and to safeguard tenant funds where the Complex handles them, consistent with DHS 89.25.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maintain a written schedule of fees for services with separately identified charges for rent, meals, and services, and shall handle any tenant funds only with written authorization and a separate accounting.</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written schedule of fees for services (DHS 89.25) that separately identifies charges for rent, meals, and services, and clearly identifies which services are included in any base service rate and which are optional and their cost.</w:t>
      </w:r>
    </w:p>
    <w:p>
      <w:pPr>
        <w:pStyle w:val="Normal"/>
        <w:tabs>
          <w:tab w:val="left" w:pos="720" w:leader="none"/>
        </w:tabs>
        <w:spacing w:lineRule="exact" w:line="264" w:before="0" w:after="80"/>
        <w:ind w:hanging="360" w:start="720"/>
        <w:rPr/>
      </w:pPr>
      <w:r>
        <w:rPr>
          <w:rFonts w:eastAsia="Arial" w:cs="Arial"/>
          <w:sz w:val="21"/>
          <w:szCs w:val="21"/>
        </w:rPr>
        <w:t>b. Where the Complex handles tenant funds, obtain written authorization, maintain a separate accounting, and provide access to the tenant on request.</w:t>
      </w:r>
    </w:p>
    <w:p>
      <w:pPr>
        <w:pStyle w:val="Normal"/>
        <w:tabs>
          <w:tab w:val="left" w:pos="720" w:leader="none"/>
        </w:tabs>
        <w:spacing w:lineRule="exact" w:line="264" w:before="0" w:after="80"/>
        <w:ind w:hanging="360" w:start="720"/>
        <w:rPr/>
      </w:pPr>
      <w:r>
        <w:rPr>
          <w:rFonts w:eastAsia="Arial" w:cs="Arial"/>
          <w:sz w:val="21"/>
          <w:szCs w:val="21"/>
        </w:rPr>
        <w:t>c. Return any tenant funds and property with a final accounting upon termination of tenancy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Schedule of Fees for Services</w:t>
      </w:r>
    </w:p>
    <w:p>
      <w:pPr>
        <w:pStyle w:val="ListParagraph"/>
        <w:numPr>
          <w:ilvl w:val="0"/>
          <w:numId w:val="1"/>
        </w:numPr>
        <w:spacing w:lineRule="exact" w:line="264" w:before="0" w:after="60"/>
        <w:rPr/>
      </w:pPr>
      <w:r>
        <w:rPr>
          <w:rFonts w:eastAsia="Arial" w:cs="Arial"/>
          <w:sz w:val="21"/>
          <w:szCs w:val="21"/>
        </w:rPr>
        <w:t>Tenant Funds Authorization &amp; Ledger (if applicable)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Certification/Registration, Zoning &amp; Enforcement Disclosure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Certification/Registration, Zoning &amp; Enforcement Disclosure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89.11–89.13, 89.28(2)(c); Wis. Stat. § 50.034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Complex maintains its DQA certification or registration, operates in a permitted location, and provides the required enforcement disclosure for registered facilities.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maintain a current certification or registration, confirm its use is permitted under local zoning as a multifamily dwelling, and, where registered, disclose that the Department does not routinely inspect registered facilities.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current DQA certification (which serves both private-pay and publicly funded tenants and is inspected) or registration (private-pay tenants only), and complete required renewals; a certification or registration is not transferable.</w:t>
      </w:r>
    </w:p>
    <w:p>
      <w:pPr>
        <w:pStyle w:val="Normal"/>
        <w:tabs>
          <w:tab w:val="left" w:pos="720" w:leader="none"/>
        </w:tabs>
        <w:spacing w:lineRule="exact" w:line="264" w:before="0" w:after="80"/>
        <w:ind w:hanging="360" w:start="720"/>
        <w:rPr/>
      </w:pPr>
      <w:r>
        <w:rPr>
          <w:rFonts w:eastAsia="Arial" w:cs="Arial"/>
          <w:sz w:val="21"/>
          <w:szCs w:val="21"/>
        </w:rPr>
        <w:t>b. Confirm the property’s zoning permits an RCAC as a multifamily dwelling and complete required plan review with the Department of Safety and Professional Services (DSPS) for construction, additions, or remodeling.</w:t>
      </w:r>
    </w:p>
    <w:p>
      <w:pPr>
        <w:pStyle w:val="Normal"/>
        <w:tabs>
          <w:tab w:val="left" w:pos="720" w:leader="none"/>
        </w:tabs>
        <w:spacing w:lineRule="exact" w:line="264" w:before="0" w:after="80"/>
        <w:ind w:hanging="360" w:start="720"/>
        <w:rPr/>
      </w:pPr>
      <w:r>
        <w:rPr>
          <w:rFonts w:eastAsia="Arial" w:cs="Arial"/>
          <w:sz w:val="21"/>
          <w:szCs w:val="21"/>
        </w:rPr>
        <w:t>c. For a registered Complex, provide tenants the notice required by DHS 89.28(2)(c) that the Department does not routinely inspect registered facilities or verify their compliance and does not enforce contractual obligations under the service or risk agreements.</w:t>
      </w:r>
    </w:p>
    <w:p>
      <w:pPr>
        <w:pStyle w:val="Normal"/>
        <w:tabs>
          <w:tab w:val="left" w:pos="720" w:leader="none"/>
        </w:tabs>
        <w:spacing w:lineRule="exact" w:line="264" w:before="0" w:after="80"/>
        <w:ind w:hanging="360" w:start="720"/>
        <w:rPr/>
      </w:pPr>
      <w:r>
        <w:rPr>
          <w:rFonts w:eastAsia="Arial" w:cs="Arial"/>
          <w:sz w:val="21"/>
          <w:szCs w:val="21"/>
        </w:rPr>
        <w:t>d. Retain certification/registration, zoning, plan-review, and fire-inspection documentation in the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Current Certification / Registration</w:t>
      </w:r>
    </w:p>
    <w:p>
      <w:pPr>
        <w:pStyle w:val="ListParagraph"/>
        <w:numPr>
          <w:ilvl w:val="0"/>
          <w:numId w:val="1"/>
        </w:numPr>
        <w:spacing w:lineRule="exact" w:line="264" w:before="0" w:after="60"/>
        <w:rPr/>
      </w:pPr>
      <w:r>
        <w:rPr>
          <w:rFonts w:eastAsia="Arial" w:cs="Arial"/>
          <w:sz w:val="21"/>
          <w:szCs w:val="21"/>
        </w:rPr>
        <w:t>Zoning / Plan Review Approvals</w:t>
      </w:r>
    </w:p>
    <w:p>
      <w:pPr>
        <w:pStyle w:val="ListParagraph"/>
        <w:numPr>
          <w:ilvl w:val="0"/>
          <w:numId w:val="1"/>
        </w:numPr>
        <w:spacing w:lineRule="exact" w:line="264" w:before="0" w:after="60"/>
        <w:rPr/>
      </w:pPr>
      <w:r>
        <w:rPr>
          <w:rFonts w:eastAsia="Arial" w:cs="Arial"/>
          <w:sz w:val="21"/>
          <w:szCs w:val="21"/>
        </w:rPr>
        <w:t>Registered-Facility Enforcement Disclosure (if registered)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services and how they are prepared — the service manager and in-charge coverage, staffing sufficient to meet tenant needs and 24-hour emergencies, criminal records and registry background checks, and staff qualifications, training, and supervision.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Staffing, Service Manager &amp;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Qualifications, Training &amp; Supervision</w:t>
      </w:r>
    </w:p>
    <w:p>
      <w:pPr>
        <w:pStyle w:val="Normal"/>
        <w:rPr/>
      </w:pPr>
      <w:r>
        <w:rPr/>
      </w:r>
      <w:r>
        <w:br w:type="page"/>
      </w:r>
    </w:p>
    <w:p>
      <w:pPr>
        <w:pStyle w:val="Heading2"/>
        <w:spacing w:before="0" w:after="120"/>
        <w:rPr/>
      </w:pPr>
      <w:r>
        <w:rPr>
          <w:rFonts w:eastAsia="Arial" w:cs="Arial" w:ascii="Arial" w:hAnsi="Arial"/>
          <w:b/>
          <w:bCs/>
          <w:color w:val="1A4731"/>
          <w:sz w:val="26"/>
          <w:szCs w:val="26"/>
        </w:rPr>
        <w:t>2.00  Staffing, Service Manager &amp;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Staffing, Service Manager &amp;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89.23(4); Wis. Stat. § 50.065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Complex has a qualified service manager, sufficient qualified staff to meet tenant needs, and background-checked personnel, consistent with DHS 89.23.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designate a service manager responsible for day-to-day operation, ensure a competent person is in charge whenever the service manager is absent, maintain staffing sufficient to meet tenant needs and emergencies, and complete required background checks before staff have tenant contact.</w:t>
      </w:r>
    </w:p>
    <w:p>
      <w:pPr>
        <w:pStyle w:val="Normal"/>
        <w:pBdr>
          <w:bottom w:val="single" w:sz="4" w:space="1" w:color="2E5E45"/>
        </w:pBdr>
        <w:spacing w:before="160" w:after="80"/>
        <w:rPr/>
      </w:pPr>
      <w:r>
        <w:rPr>
          <w:rFonts w:eastAsia="Arial" w:cs="Arial"/>
          <w:b/>
          <w:bCs/>
          <w:color w:val="1A4731"/>
          <w:sz w:val="20"/>
          <w:szCs w:val="20"/>
        </w:rPr>
        <w:t>PROCEDURE — SERVICE MANAGER &amp; STAFFING</w:t>
      </w:r>
    </w:p>
    <w:p>
      <w:pPr>
        <w:pStyle w:val="Normal"/>
        <w:tabs>
          <w:tab w:val="left" w:pos="720" w:leader="none"/>
        </w:tabs>
        <w:spacing w:lineRule="exact" w:line="264" w:before="0" w:after="80"/>
        <w:ind w:hanging="360" w:start="720"/>
        <w:rPr/>
      </w:pPr>
      <w:r>
        <w:rPr>
          <w:rFonts w:eastAsia="Arial" w:cs="Arial"/>
          <w:sz w:val="21"/>
          <w:szCs w:val="21"/>
        </w:rPr>
        <w:t>a. Designate a service manager responsible for day-to-day operation, ensuring services are sufficient to meet tenant needs and are provided by qualified persons, that staff are trained and supervised, that policies are followed, and that tenant health, safety, and autonomy are protected.</w:t>
      </w:r>
    </w:p>
    <w:p>
      <w:pPr>
        <w:pStyle w:val="Normal"/>
        <w:tabs>
          <w:tab w:val="left" w:pos="720" w:leader="none"/>
        </w:tabs>
        <w:spacing w:lineRule="exact" w:line="264" w:before="0" w:after="80"/>
        <w:ind w:hanging="360" w:start="720"/>
        <w:rPr/>
      </w:pPr>
      <w:r>
        <w:rPr>
          <w:rFonts w:eastAsia="Arial" w:cs="Arial"/>
          <w:sz w:val="21"/>
          <w:szCs w:val="21"/>
        </w:rPr>
        <w:t>b. Designate a competent person to be in charge whenever the service manager is not present, identified to and easily reachable by tenants and staff.</w:t>
      </w:r>
    </w:p>
    <w:p>
      <w:pPr>
        <w:pStyle w:val="Normal"/>
        <w:tabs>
          <w:tab w:val="left" w:pos="720" w:leader="none"/>
        </w:tabs>
        <w:spacing w:lineRule="exact" w:line="264" w:before="0" w:after="80"/>
        <w:ind w:hanging="360" w:start="720"/>
        <w:rPr/>
      </w:pPr>
      <w:r>
        <w:rPr>
          <w:rFonts w:eastAsia="Arial" w:cs="Arial"/>
          <w:sz w:val="21"/>
          <w:szCs w:val="21"/>
        </w:rPr>
        <w:t>c. Maintain staffing sufficient to provide the services identified in the tenant service agreements, meet unscheduled care needs, and make emergency assistance available 24 hours per day.</w:t>
      </w:r>
    </w:p>
    <w:p>
      <w:pPr>
        <w:pStyle w:val="Normal"/>
        <w:pBdr>
          <w:bottom w:val="single" w:sz="4" w:space="1" w:color="2E5E45"/>
        </w:pBdr>
        <w:spacing w:before="160" w:after="80"/>
        <w:rPr/>
      </w:pPr>
      <w:r>
        <w:rPr>
          <w:rFonts w:eastAsia="Arial" w:cs="Arial"/>
          <w:b/>
          <w:bCs/>
          <w:color w:val="1A4731"/>
          <w:sz w:val="20"/>
          <w:szCs w:val="20"/>
        </w:rPr>
        <w:t>PROCEDURE — BACKGROUND CHECKS &amp; RECORDS</w:t>
      </w:r>
    </w:p>
    <w:p>
      <w:pPr>
        <w:pStyle w:val="Normal"/>
        <w:tabs>
          <w:tab w:val="left" w:pos="720" w:leader="none"/>
        </w:tabs>
        <w:spacing w:lineRule="exact" w:line="264" w:before="0" w:after="80"/>
        <w:ind w:hanging="360" w:start="720"/>
        <w:rPr/>
      </w:pPr>
      <w:r>
        <w:rPr>
          <w:rFonts w:eastAsia="Arial" w:cs="Arial"/>
          <w:sz w:val="21"/>
          <w:szCs w:val="21"/>
        </w:rPr>
        <w:t>d. Conduct a criminal records check with the Wisconsin Department of Justice and check the Department’s registry for nurse aides, home health aides, and hospice aides when hiring a service manager, service providers, and other persons who work in the Complex or have contact with tenants.</w:t>
      </w:r>
    </w:p>
    <w:p>
      <w:pPr>
        <w:pStyle w:val="Normal"/>
        <w:tabs>
          <w:tab w:val="left" w:pos="720" w:leader="none"/>
        </w:tabs>
        <w:spacing w:lineRule="exact" w:line="264" w:before="0" w:after="80"/>
        <w:ind w:hanging="360" w:start="720"/>
        <w:rPr/>
      </w:pPr>
      <w:r>
        <w:rPr>
          <w:rFonts w:eastAsia="Arial" w:cs="Arial"/>
          <w:sz w:val="21"/>
          <w:szCs w:val="21"/>
        </w:rPr>
        <w:t>e. Do not employ an individual who has been convicted of a crime substantially related to the circumstances of the job or who has a substantiated finding of abuse, neglect, or misappropriation of property in the registry, consistent with DHS 89.23(4)(c) and Wis. Stat. § 50.065.</w:t>
      </w:r>
    </w:p>
    <w:p>
      <w:pPr>
        <w:pStyle w:val="Normal"/>
        <w:tabs>
          <w:tab w:val="left" w:pos="720" w:leader="none"/>
        </w:tabs>
        <w:spacing w:lineRule="exact" w:line="264" w:before="0" w:after="80"/>
        <w:ind w:hanging="360" w:start="720"/>
        <w:rPr/>
      </w:pPr>
      <w:r>
        <w:rPr>
          <w:rFonts w:eastAsia="Arial" w:cs="Arial"/>
          <w:sz w:val="21"/>
          <w:szCs w:val="21"/>
        </w:rPr>
        <w:t>f. Maintain personnel records including qualifications, background check results, training, and health documentation (including TB screening as required), available for DHS review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Service Manager / In-Charge Designation</w:t>
      </w:r>
    </w:p>
    <w:p>
      <w:pPr>
        <w:pStyle w:val="ListParagraph"/>
        <w:numPr>
          <w:ilvl w:val="0"/>
          <w:numId w:val="1"/>
        </w:numPr>
        <w:spacing w:lineRule="exact" w:line="264" w:before="0" w:after="60"/>
        <w:rPr/>
      </w:pPr>
      <w:r>
        <w:rPr>
          <w:rFonts w:eastAsia="Arial" w:cs="Arial"/>
          <w:sz w:val="21"/>
          <w:szCs w:val="21"/>
        </w:rPr>
        <w:t>Background Check &amp; Registry Verification</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Qualifications, Training &amp;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Qualifications, Training &amp;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89.23(4)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are qualified, trained, and supervised to provide the services in the tenant service agreements, consistent with DHS 89.23.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ensure services are provided by qualified persons who are appropriately trained and supervised, including training in tenant rights, abuse/neglect reporting, emergencies, infection control, and hazardous chemical safety.</w:t>
      </w:r>
    </w:p>
    <w:p>
      <w:pPr>
        <w:pStyle w:val="Normal"/>
        <w:pBdr>
          <w:bottom w:val="single" w:sz="4" w:space="1" w:color="2E5E45"/>
        </w:pBdr>
        <w:spacing w:before="160" w:after="80"/>
        <w:rPr/>
      </w:pPr>
      <w:r>
        <w:rPr>
          <w:rFonts w:eastAsia="Arial" w:cs="Arial"/>
          <w:b/>
          <w:bCs/>
          <w:color w:val="1A4731"/>
          <w:sz w:val="20"/>
          <w:szCs w:val="20"/>
        </w:rPr>
        <w:t>PROCEDURE — QUALIFICATIONS &amp; TRAINING</w:t>
      </w:r>
    </w:p>
    <w:p>
      <w:pPr>
        <w:pStyle w:val="Normal"/>
        <w:tabs>
          <w:tab w:val="left" w:pos="720" w:leader="none"/>
        </w:tabs>
        <w:spacing w:lineRule="exact" w:line="264" w:before="0" w:after="80"/>
        <w:ind w:hanging="360" w:start="720"/>
        <w:rPr/>
      </w:pPr>
      <w:r>
        <w:rPr>
          <w:rFonts w:eastAsia="Arial" w:cs="Arial"/>
          <w:sz w:val="21"/>
          <w:szCs w:val="21"/>
        </w:rPr>
        <w:t>a. Ensure service providers are qualified to perform the supportive, personal, and nursing services they deliver, and that nursing services are provided or supervised by appropriately licensed personnel.</w:t>
      </w:r>
    </w:p>
    <w:p>
      <w:pPr>
        <w:pStyle w:val="Normal"/>
        <w:tabs>
          <w:tab w:val="left" w:pos="720" w:leader="none"/>
        </w:tabs>
        <w:spacing w:lineRule="exact" w:line="264" w:before="0" w:after="80"/>
        <w:ind w:hanging="360" w:start="720"/>
        <w:rPr/>
      </w:pPr>
      <w:r>
        <w:rPr>
          <w:rFonts w:eastAsia="Arial" w:cs="Arial"/>
          <w:sz w:val="21"/>
          <w:szCs w:val="21"/>
        </w:rPr>
        <w:t>b. Provide staff training on tenant rights, recognizing and reporting abuse, neglect, and exploitation, emergency procedures, infection control and hand hygiene, and hazardous chemical safety and the location of Safety Data Sheets, before independent work.</w:t>
      </w:r>
    </w:p>
    <w:p>
      <w:pPr>
        <w:pStyle w:val="Normal"/>
        <w:tabs>
          <w:tab w:val="left" w:pos="720" w:leader="none"/>
        </w:tabs>
        <w:spacing w:lineRule="exact" w:line="264" w:before="0" w:after="80"/>
        <w:ind w:hanging="360" w:start="720"/>
        <w:rPr/>
      </w:pPr>
      <w:r>
        <w:rPr>
          <w:rFonts w:eastAsia="Arial" w:cs="Arial"/>
          <w:sz w:val="21"/>
          <w:szCs w:val="21"/>
        </w:rPr>
        <w:t>c. Provide training appropriate to the tenant population served, including support for tenants with cognitive impairment where applicable.</w:t>
      </w:r>
    </w:p>
    <w:p>
      <w:pPr>
        <w:pStyle w:val="Normal"/>
        <w:pBdr>
          <w:bottom w:val="single" w:sz="4" w:space="1" w:color="2E5E45"/>
        </w:pBdr>
        <w:spacing w:before="160" w:after="80"/>
        <w:rPr/>
      </w:pPr>
      <w:r>
        <w:rPr>
          <w:rFonts w:eastAsia="Arial" w:cs="Arial"/>
          <w:b/>
          <w:bCs/>
          <w:color w:val="1A4731"/>
          <w:sz w:val="20"/>
          <w:szCs w:val="20"/>
        </w:rPr>
        <w:t>PROCEDURE — SUPERVISION &amp; DOCUMENTATION</w:t>
      </w:r>
    </w:p>
    <w:p>
      <w:pPr>
        <w:pStyle w:val="Normal"/>
        <w:tabs>
          <w:tab w:val="left" w:pos="720" w:leader="none"/>
        </w:tabs>
        <w:spacing w:lineRule="exact" w:line="264" w:before="0" w:after="80"/>
        <w:ind w:hanging="360" w:start="720"/>
        <w:rPr/>
      </w:pPr>
      <w:r>
        <w:rPr>
          <w:rFonts w:eastAsia="Arial" w:cs="Arial"/>
          <w:sz w:val="21"/>
          <w:szCs w:val="21"/>
        </w:rPr>
        <w:t>d. Ensure staff are appropriately supervised by the service manager or the person in charge, and verify competency for assigned tasks.</w:t>
      </w:r>
    </w:p>
    <w:p>
      <w:pPr>
        <w:pStyle w:val="Normal"/>
        <w:tabs>
          <w:tab w:val="left" w:pos="720" w:leader="none"/>
        </w:tabs>
        <w:spacing w:lineRule="exact" w:line="264" w:before="0" w:after="80"/>
        <w:ind w:hanging="360" w:start="720"/>
        <w:rPr/>
      </w:pPr>
      <w:r>
        <w:rPr>
          <w:rFonts w:eastAsia="Arial" w:cs="Arial"/>
          <w:sz w:val="21"/>
          <w:szCs w:val="21"/>
        </w:rPr>
        <w:t>e. Maintain documentation of staff training and qualifications in the personnel record.</w:t>
      </w:r>
    </w:p>
    <w:p>
      <w:pPr>
        <w:pStyle w:val="Normal"/>
        <w:tabs>
          <w:tab w:val="left" w:pos="720" w:leader="none"/>
        </w:tabs>
        <w:spacing w:lineRule="exact" w:line="264" w:before="0" w:after="80"/>
        <w:ind w:hanging="360" w:start="720"/>
        <w:rPr/>
      </w:pPr>
      <w:r>
        <w:rPr>
          <w:rFonts w:eastAsia="Arial" w:cs="Arial"/>
          <w:sz w:val="21"/>
          <w:szCs w:val="21"/>
        </w:rPr>
        <w:t>f. Ensure staff providing services under the 28-hour model are coordinated so that the services in each tenant’s service agreement are reliably delivered.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 Qualification Record</w:t>
      </w:r>
    </w:p>
    <w:p>
      <w:pPr>
        <w:pStyle w:val="ListParagraph"/>
        <w:numPr>
          <w:ilvl w:val="0"/>
          <w:numId w:val="1"/>
        </w:numPr>
        <w:spacing w:lineRule="exact" w:line="264" w:before="0" w:after="60"/>
        <w:rPr/>
      </w:pPr>
      <w:r>
        <w:rPr>
          <w:rFonts w:eastAsia="Arial" w:cs="Arial"/>
          <w:sz w:val="21"/>
          <w:szCs w:val="21"/>
        </w:rPr>
        <w:t>Training Log</w:t>
      </w:r>
    </w:p>
    <w:p>
      <w:pPr>
        <w:pStyle w:val="ListParagraph"/>
        <w:numPr>
          <w:ilvl w:val="0"/>
          <w:numId w:val="1"/>
        </w:numPr>
        <w:spacing w:lineRule="exact" w:line="264" w:before="0" w:after="60"/>
        <w:rPr/>
      </w:pPr>
      <w:r>
        <w:rPr>
          <w:rFonts w:eastAsia="Arial" w:cs="Arial"/>
          <w:sz w:val="21"/>
          <w:szCs w:val="21"/>
        </w:rPr>
        <w:t>Competency &amp; Supervision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Tenant Services</w:t>
      </w:r>
    </w:p>
    <w:p>
      <w:pPr>
        <w:pStyle w:val="Normal"/>
        <w:spacing w:lineRule="exact" w:line="288" w:before="0" w:after="240"/>
        <w:rPr/>
      </w:pPr>
      <w:r>
        <w:rPr>
          <w:rFonts w:eastAsia="Arial" w:cs="Arial"/>
          <w:color w:val="444444"/>
          <w:sz w:val="22"/>
          <w:szCs w:val="22"/>
        </w:rPr>
        <w:t>This section defines how the Complex assesses tenants and delivers services — the comprehensive assessment and service agreement, the supportive, personal, and nursing services within the 28-hour-per-week model (and how those hours are computed), and the jointly negotiated risk agreement that balances autonomy and safety.</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Comprehensive Assessment &amp; Service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Supportive, Personal &amp; Nursing Services (28-Hour Model)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Risk Agreement &amp; Tenant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Comprehensive Assessment &amp; Service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Comprehensive Assessment &amp; Service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Tenant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89.26, 89.27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tenant has a current comprehensive assessment and a written service agreement that reflects the tenant’s needs and preferences and is kept current, consistent with DHS 89.26 and 89.27.</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complete a comprehensive assessment before admission and enter into a written service agreement consistent with the assessment, and shall review and update both when the tenant’s condition or service needs change.</w:t>
      </w:r>
    </w:p>
    <w:p>
      <w:pPr>
        <w:pStyle w:val="Normal"/>
        <w:pBdr>
          <w:bottom w:val="single" w:sz="4" w:space="1" w:color="2E5E45"/>
        </w:pBdr>
        <w:spacing w:before="160" w:after="80"/>
        <w:rPr/>
      </w:pPr>
      <w:r>
        <w:rPr>
          <w:rFonts w:eastAsia="Arial" w:cs="Arial"/>
          <w:b/>
          <w:bCs/>
          <w:color w:val="1A4731"/>
          <w:sz w:val="20"/>
          <w:szCs w:val="20"/>
        </w:rPr>
        <w:t>PROCEDURE — ASSESSMENT &amp; SERVICE AGREEMENT</w:t>
      </w:r>
    </w:p>
    <w:p>
      <w:pPr>
        <w:pStyle w:val="Normal"/>
        <w:tabs>
          <w:tab w:val="left" w:pos="720" w:leader="none"/>
        </w:tabs>
        <w:spacing w:lineRule="exact" w:line="264" w:before="0" w:after="80"/>
        <w:ind w:hanging="360" w:start="720"/>
        <w:rPr/>
      </w:pPr>
      <w:r>
        <w:rPr>
          <w:rFonts w:eastAsia="Arial" w:cs="Arial"/>
          <w:sz w:val="21"/>
          <w:szCs w:val="21"/>
        </w:rPr>
        <w:t>a. Complete a comprehensive assessment (DHS 89.26) of the tenant’s needs, abilities, and preferences before admission, to determine that the tenant can appropriately reside in the RCAC and to inform the service agreement.</w:t>
      </w:r>
    </w:p>
    <w:p>
      <w:pPr>
        <w:pStyle w:val="Normal"/>
        <w:tabs>
          <w:tab w:val="left" w:pos="720" w:leader="none"/>
        </w:tabs>
        <w:spacing w:lineRule="exact" w:line="264" w:before="0" w:after="80"/>
        <w:ind w:hanging="360" w:start="720"/>
        <w:rPr/>
      </w:pPr>
      <w:r>
        <w:rPr>
          <w:rFonts w:eastAsia="Arial" w:cs="Arial"/>
          <w:sz w:val="21"/>
          <w:szCs w:val="21"/>
        </w:rPr>
        <w:t>b. Enter into a written service agreement (DHS 89.27) consistent with the comprehensive assessment, specifying the services provided directly or arranged, the frequency, the fees, optional services and their cost, and the policies on admission, retention, and termination.</w:t>
      </w:r>
    </w:p>
    <w:p>
      <w:pPr>
        <w:pStyle w:val="Normal"/>
        <w:tabs>
          <w:tab w:val="left" w:pos="720" w:leader="none"/>
        </w:tabs>
        <w:spacing w:lineRule="exact" w:line="264" w:before="0" w:after="80"/>
        <w:ind w:hanging="360" w:start="720"/>
        <w:rPr/>
      </w:pPr>
      <w:r>
        <w:rPr>
          <w:rFonts w:eastAsia="Arial" w:cs="Arial"/>
          <w:sz w:val="21"/>
          <w:szCs w:val="21"/>
        </w:rPr>
        <w:t>c. Identify in the service agreement any needs from the assessment that the Complex will not meet (directly or under contract), consistent with the risk agreement.</w:t>
      </w:r>
    </w:p>
    <w:p>
      <w:pPr>
        <w:pStyle w:val="Normal"/>
        <w:pBdr>
          <w:bottom w:val="single" w:sz="4" w:space="1" w:color="2E5E45"/>
        </w:pBdr>
        <w:spacing w:before="160" w:after="80"/>
        <w:rPr/>
      </w:pPr>
      <w:r>
        <w:rPr>
          <w:rFonts w:eastAsia="Arial" w:cs="Arial"/>
          <w:b/>
          <w:bCs/>
          <w:color w:val="1A4731"/>
          <w:sz w:val="20"/>
          <w:szCs w:val="20"/>
        </w:rPr>
        <w:t>PROCEDURE — REVIEW &amp; UPDATE</w:t>
      </w:r>
    </w:p>
    <w:p>
      <w:pPr>
        <w:pStyle w:val="Normal"/>
        <w:tabs>
          <w:tab w:val="left" w:pos="720" w:leader="none"/>
        </w:tabs>
        <w:spacing w:lineRule="exact" w:line="264" w:before="0" w:after="80"/>
        <w:ind w:hanging="360" w:start="720"/>
        <w:rPr/>
      </w:pPr>
      <w:r>
        <w:rPr>
          <w:rFonts w:eastAsia="Arial" w:cs="Arial"/>
          <w:sz w:val="21"/>
          <w:szCs w:val="21"/>
        </w:rPr>
        <w:t>d. Review the service agreement when there is a change in the comprehensive assessment, at the request of the Complex, or at the request of or on behalf of the tenant, and update it as mutually agreed by all parties.</w:t>
      </w:r>
    </w:p>
    <w:p>
      <w:pPr>
        <w:pStyle w:val="Normal"/>
        <w:tabs>
          <w:tab w:val="left" w:pos="720" w:leader="none"/>
        </w:tabs>
        <w:spacing w:lineRule="exact" w:line="264" w:before="0" w:after="80"/>
        <w:ind w:hanging="360" w:start="720"/>
        <w:rPr/>
      </w:pPr>
      <w:r>
        <w:rPr>
          <w:rFonts w:eastAsia="Arial" w:cs="Arial"/>
          <w:sz w:val="21"/>
          <w:szCs w:val="21"/>
        </w:rPr>
        <w:t>e. Update the comprehensive assessment when the tenant’s condition or service needs change.</w:t>
      </w:r>
    </w:p>
    <w:p>
      <w:pPr>
        <w:pStyle w:val="Normal"/>
        <w:tabs>
          <w:tab w:val="left" w:pos="720" w:leader="none"/>
        </w:tabs>
        <w:spacing w:lineRule="exact" w:line="264" w:before="0" w:after="80"/>
        <w:ind w:hanging="360" w:start="720"/>
        <w:rPr/>
      </w:pPr>
      <w:r>
        <w:rPr>
          <w:rFonts w:eastAsia="Arial" w:cs="Arial"/>
          <w:sz w:val="21"/>
          <w:szCs w:val="21"/>
        </w:rPr>
        <w:t>f. Coordinate with home health, hospice, or other outside providers the tenant uses, consistent with the service agreement.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Comprehensive Assessment (DHS 89.26)</w:t>
      </w:r>
    </w:p>
    <w:p>
      <w:pPr>
        <w:pStyle w:val="ListParagraph"/>
        <w:numPr>
          <w:ilvl w:val="0"/>
          <w:numId w:val="1"/>
        </w:numPr>
        <w:spacing w:lineRule="exact" w:line="264" w:before="0" w:after="60"/>
        <w:rPr/>
      </w:pPr>
      <w:r>
        <w:rPr>
          <w:rFonts w:eastAsia="Arial" w:cs="Arial"/>
          <w:sz w:val="21"/>
          <w:szCs w:val="21"/>
        </w:rPr>
        <w:t>Service Agreement (DHS 89.27)</w:t>
      </w:r>
    </w:p>
    <w:p>
      <w:pPr>
        <w:pStyle w:val="ListParagraph"/>
        <w:numPr>
          <w:ilvl w:val="0"/>
          <w:numId w:val="1"/>
        </w:numPr>
        <w:spacing w:lineRule="exact" w:line="264" w:before="0" w:after="60"/>
        <w:rPr/>
      </w:pPr>
      <w:r>
        <w:rPr>
          <w:rFonts w:eastAsia="Arial" w:cs="Arial"/>
          <w:sz w:val="21"/>
          <w:szCs w:val="21"/>
        </w:rPr>
        <w:t>Service Agreement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Supportive, Personal &amp; Nursing Services (28-Hour Model)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Supportive, Personal &amp; Nursing Services (28-Hour Model)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Tenant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89.24 (hours of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the supportive, personal, and nursing services identified in each tenant’s service agreement within the RCAC’s 28-hour-per-week service model, consistent with DHS 89.24.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make available up to twenty-eight (28) hours per week of supportive, personal, and nursing services to each tenant, determined by the tenant’s needs and preferences as documented in the service agreement, and shall not limit the hours it makes available to less than 28 per week.</w:t>
      </w:r>
    </w:p>
    <w:p>
      <w:pPr>
        <w:pStyle w:val="Normal"/>
        <w:pBdr>
          <w:bottom w:val="single" w:sz="4" w:space="1" w:color="2E5E45"/>
        </w:pBdr>
        <w:spacing w:before="160" w:after="80"/>
        <w:rPr/>
      </w:pPr>
      <w:r>
        <w:rPr>
          <w:rFonts w:eastAsia="Arial" w:cs="Arial"/>
          <w:b/>
          <w:bCs/>
          <w:color w:val="1A4731"/>
          <w:sz w:val="20"/>
          <w:szCs w:val="20"/>
        </w:rPr>
        <w:t>PROCEDURE — SERVICES &amp; HOURS</w:t>
      </w:r>
    </w:p>
    <w:p>
      <w:pPr>
        <w:pStyle w:val="Normal"/>
        <w:tabs>
          <w:tab w:val="left" w:pos="720" w:leader="none"/>
        </w:tabs>
        <w:spacing w:lineRule="exact" w:line="264" w:before="0" w:after="80"/>
        <w:ind w:hanging="360" w:start="720"/>
        <w:rPr/>
      </w:pPr>
      <w:r>
        <w:rPr>
          <w:rFonts w:eastAsia="Arial" w:cs="Arial"/>
          <w:sz w:val="21"/>
          <w:szCs w:val="21"/>
        </w:rPr>
        <w:t>a. Provide or arrange supportive, personal, and nursing services (including nursing assessment, documentation and consultation, stand-by assistance with activities of daily living, and other services directly attributable to a tenant) up to 28 hours per week, as documented in the service agreement.</w:t>
      </w:r>
    </w:p>
    <w:p>
      <w:pPr>
        <w:pStyle w:val="Normal"/>
        <w:tabs>
          <w:tab w:val="left" w:pos="720" w:leader="none"/>
        </w:tabs>
        <w:spacing w:lineRule="exact" w:line="264" w:before="0" w:after="80"/>
        <w:ind w:hanging="360" w:start="720"/>
        <w:rPr/>
      </w:pPr>
      <w:r>
        <w:rPr>
          <w:rFonts w:eastAsia="Arial" w:cs="Arial"/>
          <w:sz w:val="21"/>
          <w:szCs w:val="21"/>
        </w:rPr>
        <w:t>b. Compute hours of service, when necessary to determine whether a tenant remains within the 28-hour limit, counting only staff time directly attributable to an individual tenant; do not count congregate services such as meals in a common dining room, housekeeping of common areas, laundry, and social and recreational activities typically available in a hotel.</w:t>
      </w:r>
    </w:p>
    <w:p>
      <w:pPr>
        <w:pStyle w:val="Normal"/>
        <w:tabs>
          <w:tab w:val="left" w:pos="720" w:leader="none"/>
        </w:tabs>
        <w:spacing w:lineRule="exact" w:line="264" w:before="0" w:after="80"/>
        <w:ind w:hanging="360" w:start="720"/>
        <w:rPr/>
      </w:pPr>
      <w:r>
        <w:rPr>
          <w:rFonts w:eastAsia="Arial" w:cs="Arial"/>
          <w:sz w:val="21"/>
          <w:szCs w:val="21"/>
        </w:rPr>
        <w:t>c. Do not limit the amount of hospice care a tenant receives, unpaid services provided by the tenant’s family or friends, or recuperative care (provided recuperative care does not raise the total above 28 hours per week for more than 90 days); a tenant may contract independently with outside providers.</w:t>
      </w:r>
    </w:p>
    <w:p>
      <w:pPr>
        <w:pStyle w:val="Normal"/>
        <w:pBdr>
          <w:bottom w:val="single" w:sz="4" w:space="1" w:color="2E5E45"/>
        </w:pBdr>
        <w:spacing w:before="160" w:after="80"/>
        <w:rPr/>
      </w:pPr>
      <w:r>
        <w:rPr>
          <w:rFonts w:eastAsia="Arial" w:cs="Arial"/>
          <w:b/>
          <w:bCs/>
          <w:color w:val="1A4731"/>
          <w:sz w:val="20"/>
          <w:szCs w:val="20"/>
        </w:rPr>
        <w:t>PROCEDURE — EMERGENCY &amp; UNSCHEDULED NEEDS</w:t>
      </w:r>
    </w:p>
    <w:p>
      <w:pPr>
        <w:pStyle w:val="Normal"/>
        <w:tabs>
          <w:tab w:val="left" w:pos="720" w:leader="none"/>
        </w:tabs>
        <w:spacing w:lineRule="exact" w:line="264" w:before="0" w:after="80"/>
        <w:ind w:hanging="360" w:start="720"/>
        <w:rPr/>
      </w:pPr>
      <w:r>
        <w:rPr>
          <w:rFonts w:eastAsia="Arial" w:cs="Arial"/>
          <w:sz w:val="21"/>
          <w:szCs w:val="21"/>
        </w:rPr>
        <w:t>d. Provide 24-hour emergency assistance and respond to tenants’ unscheduled care needs consistent with the service agreements.</w:t>
      </w:r>
    </w:p>
    <w:p>
      <w:pPr>
        <w:pStyle w:val="Normal"/>
        <w:tabs>
          <w:tab w:val="left" w:pos="720" w:leader="none"/>
        </w:tabs>
        <w:spacing w:lineRule="exact" w:line="264" w:before="0" w:after="80"/>
        <w:ind w:hanging="360" w:start="720"/>
        <w:rPr/>
      </w:pPr>
      <w:r>
        <w:rPr>
          <w:rFonts w:eastAsia="Arial" w:cs="Arial"/>
          <w:sz w:val="21"/>
          <w:szCs w:val="21"/>
        </w:rPr>
        <w:t>e. Report changes in a tenant’s condition to the tenant’s physician, legal representative, and case manager as appropriate, and update the assessment and service agreement.</w:t>
      </w:r>
    </w:p>
    <w:p>
      <w:pPr>
        <w:pStyle w:val="Normal"/>
        <w:tabs>
          <w:tab w:val="left" w:pos="720" w:leader="none"/>
        </w:tabs>
        <w:spacing w:lineRule="exact" w:line="264" w:before="0" w:after="80"/>
        <w:ind w:hanging="360" w:start="720"/>
        <w:rPr/>
      </w:pPr>
      <w:r>
        <w:rPr>
          <w:rFonts w:eastAsia="Arial" w:cs="Arial"/>
          <w:sz w:val="21"/>
          <w:szCs w:val="21"/>
        </w:rPr>
        <w:t>f. Where a tenant’s needs exceed 28 hours per week other than under a permitted exception, review the tenant’s continued appropriateness for the RCAC.</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Service Delivery Record</w:t>
      </w:r>
    </w:p>
    <w:p>
      <w:pPr>
        <w:pStyle w:val="ListParagraph"/>
        <w:numPr>
          <w:ilvl w:val="0"/>
          <w:numId w:val="1"/>
        </w:numPr>
        <w:spacing w:lineRule="exact" w:line="264" w:before="0" w:after="60"/>
        <w:rPr/>
      </w:pPr>
      <w:r>
        <w:rPr>
          <w:rFonts w:eastAsia="Arial" w:cs="Arial"/>
          <w:sz w:val="21"/>
          <w:szCs w:val="21"/>
        </w:rPr>
        <w:t>Hours-of-Service Computation (28-hour limit)</w:t>
      </w:r>
    </w:p>
    <w:p>
      <w:pPr>
        <w:pStyle w:val="ListParagraph"/>
        <w:numPr>
          <w:ilvl w:val="0"/>
          <w:numId w:val="1"/>
        </w:numPr>
        <w:spacing w:lineRule="exact" w:line="264" w:before="0" w:after="60"/>
        <w:rPr/>
      </w:pPr>
      <w:r>
        <w:rPr>
          <w:rFonts w:eastAsia="Arial" w:cs="Arial"/>
          <w:sz w:val="21"/>
          <w:szCs w:val="21"/>
        </w:rPr>
        <w:t>24-Hour Emergency Response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Risk Agreement &amp; Tenant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Risk Agreement &amp; Tenant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Tenant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89.28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use the jointly negotiated risk agreement to balance tenant autonomy with health and safety, and to respond safely to falls and other risks, consistent with DHS 89.28.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enter into a signed, jointly negotiated risk agreement with each tenant by the date of occupancy, update it when the tenant’s condition or service needs change in a way that may affect risk, and negotiate risk in good faith; a risk agreement may not waive any provision of DHS 89 or any tenant right.</w:t>
      </w:r>
    </w:p>
    <w:p>
      <w:pPr>
        <w:pStyle w:val="Normal"/>
        <w:pBdr>
          <w:bottom w:val="single" w:sz="4" w:space="1" w:color="2E5E45"/>
        </w:pBdr>
        <w:spacing w:before="160" w:after="80"/>
        <w:rPr/>
      </w:pPr>
      <w:r>
        <w:rPr>
          <w:rFonts w:eastAsia="Arial" w:cs="Arial"/>
          <w:b/>
          <w:bCs/>
          <w:color w:val="1A4731"/>
          <w:sz w:val="20"/>
          <w:szCs w:val="20"/>
        </w:rPr>
        <w:t>PROCEDURE — RISK AGREEMENT</w:t>
      </w:r>
    </w:p>
    <w:p>
      <w:pPr>
        <w:pStyle w:val="Normal"/>
        <w:tabs>
          <w:tab w:val="left" w:pos="720" w:leader="none"/>
        </w:tabs>
        <w:spacing w:lineRule="exact" w:line="264" w:before="0" w:after="80"/>
        <w:ind w:hanging="360" w:start="720"/>
        <w:rPr/>
      </w:pPr>
      <w:r>
        <w:rPr>
          <w:rFonts w:eastAsia="Arial" w:cs="Arial"/>
          <w:sz w:val="21"/>
          <w:szCs w:val="21"/>
        </w:rPr>
        <w:t>a. Enter into a signed, jointly negotiated risk agreement with each tenant by the date of occupancy that identifies risks to the tenant, the tenant’s decisions that create risk, and any needs identified in the assessment that the Complex will not meet directly or under contract.</w:t>
      </w:r>
    </w:p>
    <w:p>
      <w:pPr>
        <w:pStyle w:val="Normal"/>
        <w:tabs>
          <w:tab w:val="left" w:pos="720" w:leader="none"/>
        </w:tabs>
        <w:spacing w:lineRule="exact" w:line="264" w:before="0" w:after="80"/>
        <w:ind w:hanging="360" w:start="720"/>
        <w:rPr/>
      </w:pPr>
      <w:r>
        <w:rPr>
          <w:rFonts w:eastAsia="Arial" w:cs="Arial"/>
          <w:sz w:val="21"/>
          <w:szCs w:val="21"/>
        </w:rPr>
        <w:t>b. For a registered Complex, include the notice that the Department does not routinely inspect registered facilities or enforce the service or risk agreements.</w:t>
      </w:r>
    </w:p>
    <w:p>
      <w:pPr>
        <w:pStyle w:val="Normal"/>
        <w:tabs>
          <w:tab w:val="left" w:pos="720" w:leader="none"/>
        </w:tabs>
        <w:spacing w:lineRule="exact" w:line="264" w:before="0" w:after="80"/>
        <w:ind w:hanging="360" w:start="720"/>
        <w:rPr/>
      </w:pPr>
      <w:r>
        <w:rPr>
          <w:rFonts w:eastAsia="Arial" w:cs="Arial"/>
          <w:sz w:val="21"/>
          <w:szCs w:val="21"/>
        </w:rPr>
        <w:t>c. Update the risk agreement when the tenant’s condition or service needs change in a way that may affect risk, as indicated by a review of the assessment or a change in the service agreement, or at the request of the tenant or Complex; sign and date it with the tenant or the tenant’s guardian or agent.</w:t>
      </w:r>
    </w:p>
    <w:p>
      <w:pPr>
        <w:pStyle w:val="Normal"/>
        <w:tabs>
          <w:tab w:val="left" w:pos="720" w:leader="none"/>
        </w:tabs>
        <w:spacing w:lineRule="exact" w:line="264" w:before="0" w:after="80"/>
        <w:ind w:hanging="360" w:start="720"/>
        <w:rPr/>
      </w:pPr>
      <w:r>
        <w:rPr>
          <w:rFonts w:eastAsia="Arial" w:cs="Arial"/>
          <w:sz w:val="21"/>
          <w:szCs w:val="21"/>
        </w:rPr>
        <w:t>d. Negotiate risk in good faith; neither party shall refuse reasonable risk or insist the other accept unreasonable risk, and the agreement may not waive any tenant right.</w:t>
      </w:r>
    </w:p>
    <w:p>
      <w:pPr>
        <w:pStyle w:val="Normal"/>
        <w:pBdr>
          <w:bottom w:val="single" w:sz="4" w:space="1" w:color="2E5E45"/>
        </w:pBdr>
        <w:spacing w:before="160" w:after="80"/>
        <w:rPr/>
      </w:pPr>
      <w:r>
        <w:rPr>
          <w:rFonts w:eastAsia="Arial" w:cs="Arial"/>
          <w:b/>
          <w:bCs/>
          <w:color w:val="1A4731"/>
          <w:sz w:val="20"/>
          <w:szCs w:val="20"/>
        </w:rPr>
        <w:t>PROCEDURE — FALLS &amp; SAFETY</w:t>
      </w:r>
    </w:p>
    <w:p>
      <w:pPr>
        <w:pStyle w:val="Normal"/>
        <w:tabs>
          <w:tab w:val="left" w:pos="720" w:leader="none"/>
        </w:tabs>
        <w:spacing w:lineRule="exact" w:line="264" w:before="0" w:after="80"/>
        <w:ind w:hanging="360" w:start="720"/>
        <w:rPr/>
      </w:pPr>
      <w:r>
        <w:rPr>
          <w:rFonts w:eastAsia="Arial" w:cs="Arial"/>
          <w:sz w:val="21"/>
          <w:szCs w:val="21"/>
        </w:rPr>
        <w:t>e. Where the assessment or risk agreement identifies fall or safety risk, address it and maintain a safe apartment and common-area environment with routine safety checks.</w:t>
      </w:r>
    </w:p>
    <w:p>
      <w:pPr>
        <w:pStyle w:val="Normal"/>
        <w:tabs>
          <w:tab w:val="left" w:pos="720" w:leader="none"/>
        </w:tabs>
        <w:spacing w:lineRule="exact" w:line="264" w:before="0" w:after="80"/>
        <w:ind w:hanging="360" w:start="720"/>
        <w:rPr/>
      </w:pPr>
      <w:r>
        <w:rPr>
          <w:rFonts w:eastAsia="Arial" w:cs="Arial"/>
          <w:sz w:val="21"/>
          <w:szCs w:val="21"/>
        </w:rPr>
        <w:t>f. When a tenant has fallen or cannot get up independently, trained staff shall evaluate before assisting; assist only when it is safe (no apparent injury, no change from baseline, tenant able to participate); otherwise do not lift and call 911, respecting the tenant’s autonomy and the risk agreement.</w:t>
      </w:r>
    </w:p>
    <w:p>
      <w:pPr>
        <w:pStyle w:val="Normal"/>
        <w:tabs>
          <w:tab w:val="left" w:pos="720" w:leader="none"/>
        </w:tabs>
        <w:spacing w:lineRule="exact" w:line="264" w:before="0" w:after="80"/>
        <w:ind w:hanging="360" w:start="720"/>
        <w:rPr/>
      </w:pPr>
      <w:r>
        <w:rPr>
          <w:rFonts w:eastAsia="Arial" w:cs="Arial"/>
          <w:sz w:val="21"/>
          <w:szCs w:val="21"/>
        </w:rPr>
        <w:t>g. Document falls and safety events and the response,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Risk Agreement (DHS 89.28)</w:t>
      </w:r>
    </w:p>
    <w:p>
      <w:pPr>
        <w:pStyle w:val="ListParagraph"/>
        <w:numPr>
          <w:ilvl w:val="0"/>
          <w:numId w:val="1"/>
        </w:numPr>
        <w:spacing w:lineRule="exact" w:line="264" w:before="0" w:after="60"/>
        <w:rPr/>
      </w:pPr>
      <w:r>
        <w:rPr>
          <w:rFonts w:eastAsia="Arial" w:cs="Arial"/>
          <w:sz w:val="21"/>
          <w:szCs w:val="21"/>
        </w:rPr>
        <w:t>Risk Agreement Review Record</w:t>
      </w:r>
    </w:p>
    <w:p>
      <w:pPr>
        <w:pStyle w:val="ListParagraph"/>
        <w:numPr>
          <w:ilvl w:val="0"/>
          <w:numId w:val="1"/>
        </w:numPr>
        <w:spacing w:lineRule="exact" w:line="264" w:before="0" w:after="60"/>
        <w:rPr/>
      </w:pPr>
      <w:r>
        <w:rPr>
          <w:rFonts w:eastAsia="Arial" w:cs="Arial"/>
          <w:sz w:val="21"/>
          <w:szCs w:val="21"/>
        </w:rPr>
        <w:t>Fall / Safety Event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where the Complex provides it as a service in the tenant’s service agreement — safe management and assistance by qualified staff that supports tenant self-administration and autonomy, the medication record, secure storage where the Complex controls medications, and the safe handling of errors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Management &amp; Assistance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Storage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Management &amp; Assistance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Management &amp; Assistance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 (medication management within service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management services are provided safely, within the tenant’s service agreement and the 28-hour service model, and documented, consistent with DHS 89.</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Complex provides medication management as a service in a tenant’s service agreement, it shall ensure medications are managed and administered safely by qualified staff, that the tenant’s self-administration and autonomy are supported where appropriate, and that a medication record is maintained.</w:t>
      </w:r>
    </w:p>
    <w:p>
      <w:pPr>
        <w:pStyle w:val="Normal"/>
        <w:pBdr>
          <w:bottom w:val="single" w:sz="4" w:space="1" w:color="2E5E45"/>
        </w:pBdr>
        <w:spacing w:before="160" w:after="80"/>
        <w:rPr/>
      </w:pPr>
      <w:r>
        <w:rPr>
          <w:rFonts w:eastAsia="Arial" w:cs="Arial"/>
          <w:b/>
          <w:bCs/>
          <w:color w:val="1A4731"/>
          <w:sz w:val="20"/>
          <w:szCs w:val="20"/>
        </w:rPr>
        <w:t>PROCEDURE — MEDICATION SERVICES</w:t>
      </w:r>
    </w:p>
    <w:p>
      <w:pPr>
        <w:pStyle w:val="Normal"/>
        <w:tabs>
          <w:tab w:val="left" w:pos="720" w:leader="none"/>
        </w:tabs>
        <w:spacing w:lineRule="exact" w:line="264" w:before="0" w:after="80"/>
        <w:ind w:hanging="360" w:start="720"/>
        <w:rPr/>
      </w:pPr>
      <w:r>
        <w:rPr>
          <w:rFonts w:eastAsia="Arial" w:cs="Arial"/>
          <w:sz w:val="21"/>
          <w:szCs w:val="21"/>
        </w:rPr>
        <w:t>a. Provide medication management (reminding, assistance with self-administration, administration, or nursing oversight) only as specified in the tenant’s service agreement, by qualified staff, supporting the tenant’s autonomy and self-administration where the tenant is able.</w:t>
      </w:r>
    </w:p>
    <w:p>
      <w:pPr>
        <w:pStyle w:val="Normal"/>
        <w:tabs>
          <w:tab w:val="left" w:pos="720" w:leader="none"/>
        </w:tabs>
        <w:spacing w:lineRule="exact" w:line="264" w:before="0" w:after="80"/>
        <w:ind w:hanging="360" w:start="720"/>
        <w:rPr/>
      </w:pPr>
      <w:r>
        <w:rPr>
          <w:rFonts w:eastAsia="Arial" w:cs="Arial"/>
          <w:sz w:val="21"/>
          <w:szCs w:val="21"/>
        </w:rPr>
        <w:t>b. Ensure medications are given as prescribed and documented on a medication record, and that nursing services related to medications are provided or supervised by appropriately licensed personnel.</w:t>
      </w:r>
    </w:p>
    <w:p>
      <w:pPr>
        <w:pStyle w:val="Normal"/>
        <w:tabs>
          <w:tab w:val="left" w:pos="720" w:leader="none"/>
        </w:tabs>
        <w:spacing w:lineRule="exact" w:line="264" w:before="0" w:after="80"/>
        <w:ind w:hanging="360" w:start="720"/>
        <w:rPr/>
      </w:pPr>
      <w:r>
        <w:rPr>
          <w:rFonts w:eastAsia="Arial" w:cs="Arial"/>
          <w:sz w:val="21"/>
          <w:szCs w:val="21"/>
        </w:rPr>
        <w:t>c. Observe the tenant for effectiveness, adverse effects, and contraindications, and report concerns to the prescriber and, with the tenant’s consent, the legal representative.</w:t>
      </w:r>
    </w:p>
    <w:p>
      <w:pPr>
        <w:pStyle w:val="Normal"/>
        <w:pBdr>
          <w:bottom w:val="single" w:sz="4" w:space="1" w:color="2E5E45"/>
        </w:pBdr>
        <w:spacing w:before="160" w:after="80"/>
        <w:rPr/>
      </w:pPr>
      <w:r>
        <w:rPr>
          <w:rFonts w:eastAsia="Arial" w:cs="Arial"/>
          <w:b/>
          <w:bCs/>
          <w:color w:val="1A4731"/>
          <w:sz w:val="20"/>
          <w:szCs w:val="20"/>
        </w:rPr>
        <w:t>PROCEDURE — STORAGE &amp; COORDINATION</w:t>
      </w:r>
    </w:p>
    <w:p>
      <w:pPr>
        <w:pStyle w:val="Normal"/>
        <w:tabs>
          <w:tab w:val="left" w:pos="720" w:leader="none"/>
        </w:tabs>
        <w:spacing w:lineRule="exact" w:line="264" w:before="0" w:after="80"/>
        <w:ind w:hanging="360" w:start="720"/>
        <w:rPr/>
      </w:pPr>
      <w:r>
        <w:rPr>
          <w:rFonts w:eastAsia="Arial" w:cs="Arial"/>
          <w:sz w:val="21"/>
          <w:szCs w:val="21"/>
        </w:rPr>
        <w:t>d. Where the Complex stores or controls medications, store them securely, separate from hazardous chemicals, with controlled substances secured and access limited to authorized staff, and keep each tenant’s medications in properly labeled containers; where the tenant self-administers, the tenant may retain medications in the tenant’s apartment consistent with the service and risk agreements.</w:t>
      </w:r>
    </w:p>
    <w:p>
      <w:pPr>
        <w:pStyle w:val="Normal"/>
        <w:tabs>
          <w:tab w:val="left" w:pos="720" w:leader="none"/>
        </w:tabs>
        <w:spacing w:lineRule="exact" w:line="264" w:before="0" w:after="80"/>
        <w:ind w:hanging="360" w:start="720"/>
        <w:rPr/>
      </w:pPr>
      <w:r>
        <w:rPr>
          <w:rFonts w:eastAsia="Arial" w:cs="Arial"/>
          <w:sz w:val="21"/>
          <w:szCs w:val="21"/>
        </w:rPr>
        <w:t>e. Coordinate medication services with the tenant’s pharmacy, physician, and any home health or hospice provider.</w:t>
      </w:r>
    </w:p>
    <w:p>
      <w:pPr>
        <w:pStyle w:val="Normal"/>
        <w:tabs>
          <w:tab w:val="left" w:pos="720" w:leader="none"/>
        </w:tabs>
        <w:spacing w:lineRule="exact" w:line="264" w:before="0" w:after="80"/>
        <w:ind w:hanging="360" w:start="720"/>
        <w:rPr/>
      </w:pPr>
      <w:r>
        <w:rPr>
          <w:rFonts w:eastAsia="Arial" w:cs="Arial"/>
          <w:sz w:val="21"/>
          <w:szCs w:val="21"/>
        </w:rPr>
        <w:t>f. Reconcile medications when the Complex manages them at a change of setting, and resolve discrepancies with the prescriber.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 Management Record</w:t>
      </w:r>
    </w:p>
    <w:p>
      <w:pPr>
        <w:pStyle w:val="ListParagraph"/>
        <w:numPr>
          <w:ilvl w:val="0"/>
          <w:numId w:val="1"/>
        </w:numPr>
        <w:spacing w:lineRule="exact" w:line="264" w:before="0" w:after="60"/>
        <w:rPr/>
      </w:pPr>
      <w:r>
        <w:rPr>
          <w:rFonts w:eastAsia="Arial" w:cs="Arial"/>
          <w:sz w:val="21"/>
          <w:szCs w:val="21"/>
        </w:rPr>
        <w:t>Self-Administration Support Note</w:t>
      </w:r>
    </w:p>
    <w:p>
      <w:pPr>
        <w:pStyle w:val="ListParagraph"/>
        <w:numPr>
          <w:ilvl w:val="0"/>
          <w:numId w:val="1"/>
        </w:numPr>
        <w:spacing w:lineRule="exact" w:line="264" w:before="0" w:after="60"/>
        <w:rPr/>
      </w:pPr>
      <w:r>
        <w:rPr>
          <w:rFonts w:eastAsia="Arial" w:cs="Arial"/>
          <w:sz w:val="21"/>
          <w:szCs w:val="21"/>
        </w:rPr>
        <w:t>Medication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Storage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Storage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facility-controlled medication storage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Complex manages medications, it shall document and review medication errors, report them as incidents where required, and dispose of or destroy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 facility-managed medications, including the type of error, the effect on the tenant,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tenant’s prescriber and, with consent, the legal representative of any error affecting the tenant,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the medication error record for patterns through the quality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PROCEDURE — STORAGE &amp; DISPOSAL</w:t>
      </w:r>
    </w:p>
    <w:p>
      <w:pPr>
        <w:pStyle w:val="Normal"/>
        <w:tabs>
          <w:tab w:val="left" w:pos="720" w:leader="none"/>
        </w:tabs>
        <w:spacing w:lineRule="exact" w:line="264" w:before="0" w:after="80"/>
        <w:ind w:hanging="360" w:start="720"/>
        <w:rPr/>
      </w:pPr>
      <w:r>
        <w:rPr>
          <w:rFonts w:eastAsia="Arial" w:cs="Arial"/>
          <w:sz w:val="21"/>
          <w:szCs w:val="21"/>
        </w:rPr>
        <w:t>d. For medications the Complex stores or controls, dispose of or destroy discontinued, expired, or unused medications by a non-retrievable method within the timeframe required by Complex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tenants and staff safe — written emergency plans and 24-hour emergency assistance, infection prevention and control (including COVID-19 and communicable-disease reporting), hazardous-chemical safety, and the apartment standards, physical plant, and dining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Plans &amp; 24-Hour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 Outbreaks)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Physical Plant, Apartment Standards &amp; Dining Services</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Plans &amp; 24-Hour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Plans &amp; 24-Hour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 (emergency plans; emergency assistance)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Complex and its staff to protect tenants during and after an emergency, consistent with DHS 89, while respecting tenants’ independence in their own apartments.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maintain written emergency plans for fire, sudden serious illness, accident, severe weather, and other emergencies, provide 24-hour emergency assistance, and maintain fire-safety and life-safety systems appropriate to a multifamily dwelling.</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written emergency plans for fire, sudden serious illness, accident, severe weather, and other emergencies, and make emergency assistance available to tenants 24 hours per day (including a means for tenants to summon assistance).</w:t>
      </w:r>
    </w:p>
    <w:p>
      <w:pPr>
        <w:pStyle w:val="Normal"/>
        <w:tabs>
          <w:tab w:val="left" w:pos="720" w:leader="none"/>
        </w:tabs>
        <w:spacing w:lineRule="exact" w:line="264" w:before="0" w:after="80"/>
        <w:ind w:hanging="360" w:start="720"/>
        <w:rPr/>
      </w:pPr>
      <w:r>
        <w:rPr>
          <w:rFonts w:eastAsia="Arial" w:cs="Arial"/>
          <w:sz w:val="21"/>
          <w:szCs w:val="21"/>
        </w:rPr>
        <w:t>b. Maintain fire-safety and life-safety systems and complete required fire inspections and plan review consistent with the Wisconsin Commercial Building Code and DSPS requirements for multifamily dwellings.</w:t>
      </w:r>
    </w:p>
    <w:p>
      <w:pPr>
        <w:pStyle w:val="Normal"/>
        <w:tabs>
          <w:tab w:val="left" w:pos="720" w:leader="none"/>
        </w:tabs>
        <w:spacing w:lineRule="exact" w:line="264" w:before="0" w:after="80"/>
        <w:ind w:hanging="360" w:start="720"/>
        <w:rPr/>
      </w:pPr>
      <w:r>
        <w:rPr>
          <w:rFonts w:eastAsia="Arial" w:cs="Arial"/>
          <w:sz w:val="21"/>
          <w:szCs w:val="21"/>
        </w:rPr>
        <w:t>c. Train staff on the emergency plans and their roles, and coordinate with local fire, law enforcement, and emergency services.</w:t>
      </w:r>
    </w:p>
    <w:p>
      <w:pPr>
        <w:pStyle w:val="Normal"/>
        <w:tabs>
          <w:tab w:val="left" w:pos="720" w:leader="none"/>
        </w:tabs>
        <w:spacing w:lineRule="exact" w:line="264" w:before="0" w:after="80"/>
        <w:ind w:hanging="360" w:start="720"/>
        <w:rPr/>
      </w:pPr>
      <w:r>
        <w:rPr>
          <w:rFonts w:eastAsia="Arial" w:cs="Arial"/>
          <w:sz w:val="21"/>
          <w:szCs w:val="21"/>
        </w:rPr>
        <w:t>d. Conduct and document emergency preparedness activities appropriate to an apartment-based setting, and review after any actual emergency.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Written Emergency Plans</w:t>
      </w:r>
    </w:p>
    <w:p>
      <w:pPr>
        <w:pStyle w:val="ListParagraph"/>
        <w:numPr>
          <w:ilvl w:val="0"/>
          <w:numId w:val="1"/>
        </w:numPr>
        <w:spacing w:lineRule="exact" w:line="264" w:before="0" w:after="60"/>
        <w:rPr/>
      </w:pPr>
      <w:r>
        <w:rPr>
          <w:rFonts w:eastAsia="Arial" w:cs="Arial"/>
          <w:sz w:val="21"/>
          <w:szCs w:val="21"/>
        </w:rPr>
        <w:t>24-Hour Emergency Assistance / Call System Record</w:t>
      </w:r>
    </w:p>
    <w:p>
      <w:pPr>
        <w:pStyle w:val="ListParagraph"/>
        <w:numPr>
          <w:ilvl w:val="0"/>
          <w:numId w:val="1"/>
        </w:numPr>
        <w:spacing w:lineRule="exact" w:line="264" w:before="0" w:after="60"/>
        <w:rPr/>
      </w:pPr>
      <w:r>
        <w:rPr>
          <w:rFonts w:eastAsia="Arial" w:cs="Arial"/>
          <w:sz w:val="21"/>
          <w:szCs w:val="21"/>
        </w:rPr>
        <w:t>Fire Inspection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 Outbreaks)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 Outbreaks)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 CDC guidance; Wisconsin communicable disease reporting (DHS 145)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tenants, staff, and visitors through standard precautions, surveillance, outbreak response, and required reporting, while respecting tenants’ autonomy in their own apartments.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maintain an infection prevention and control program based on nationally recognized guidelines (such as CDC), including standard precautions, staff training, surveillance, and an outbreak-response protocol for communicable diseases including COVID-19, and shall report communicable diseases to public health authorities as required (including under Wis. Admin. Code ch. DHS 145).</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when providing personal or nursing services,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Provide staff training in standard precautions and infection control, and support tenant and staff access to recommended vaccinations (including seasonal influenza and COVID-19) consistent with current guidance and tenant choice.</w:t>
      </w:r>
    </w:p>
    <w:p>
      <w:pPr>
        <w:pStyle w:val="Normal"/>
        <w:tabs>
          <w:tab w:val="left" w:pos="720" w:leader="none"/>
        </w:tabs>
        <w:spacing w:lineRule="exact" w:line="264" w:before="0" w:after="80"/>
        <w:ind w:hanging="360" w:start="720"/>
        <w:rPr/>
      </w:pPr>
      <w:r>
        <w:rPr>
          <w:rFonts w:eastAsia="Arial" w:cs="Arial"/>
          <w:sz w:val="21"/>
          <w:szCs w:val="21"/>
        </w:rPr>
        <w:t>c. Maintain an environmental hygiene schedule for common areas and shared equipment, and dispose of sharps and contaminated materials safely.</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surveillance appropriate to the setting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and setting, which may include enhanced PPE and cleaning, symptom monitoring, testing consistent with current guidance, supporting tenant isolation where appropriate, and managing congregate activities as needed to protect tenants.</w:t>
      </w:r>
    </w:p>
    <w:p>
      <w:pPr>
        <w:pStyle w:val="Normal"/>
        <w:tabs>
          <w:tab w:val="left" w:pos="720" w:leader="none"/>
        </w:tabs>
        <w:spacing w:lineRule="exact" w:line="264" w:before="0" w:after="80"/>
        <w:ind w:hanging="360" w:start="720"/>
        <w:rPr/>
      </w:pPr>
      <w:r>
        <w:rPr>
          <w:rFonts w:eastAsia="Arial" w:cs="Arial"/>
          <w:sz w:val="21"/>
          <w:szCs w:val="21"/>
        </w:rPr>
        <w:t>f. Report communicable diseases and outbreaks (including COVID-19) to the local health department and the Wisconsin Department of Health Services as required under DHS 145,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Outbreak Response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tenants, staff, and visitors from the hazards of cleaning chemicals, disinfectants, and other hazardous products through proper labeling, storage, safe use, and accessible Safety Data Sheets, in compliance with the OSHA Hazard Communication Standard, 29 CFR 1910.1200. This policy applies to the products the Complex uses and stores,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maintain a Hazard Communication program that includes a current chemical inventory, an accessible Safety Data Sheet (SDS) for every hazardous chemical it stores or uses,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the Complex stores or uses (for example, in housekeeping and maintenance),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accessible to staff for every chemical in use,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chemicals in secured areas away from tenant-accessible common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who uses or stores chemicals, before independent work, on labeling, SDS literacy, PPE use, safe storage and segregation, and proper use and dilution.</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Physical Plant, Apartment Standards &amp; Dining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Physical Plant, Apartment Standards &amp; Dining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 (apartment &amp; physical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safe, sanitary, independent apartments and common areas and safe dining services consistent with DHS 89 and the RCAC apartment model.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ensure each tenant has an independent apartment with a lockable entrance, kitchen, and bathroom, maintain the premises and common areas in a safe and sanitary condition, and provide safe dining services where offered.</w:t>
      </w:r>
    </w:p>
    <w:p>
      <w:pPr>
        <w:pStyle w:val="Normal"/>
        <w:pBdr>
          <w:bottom w:val="single" w:sz="4" w:space="1" w:color="2E5E45"/>
        </w:pBdr>
        <w:spacing w:before="160" w:after="80"/>
        <w:rPr/>
      </w:pPr>
      <w:r>
        <w:rPr>
          <w:rFonts w:eastAsia="Arial" w:cs="Arial"/>
          <w:b/>
          <w:bCs/>
          <w:color w:val="1A4731"/>
          <w:sz w:val="20"/>
          <w:szCs w:val="20"/>
        </w:rPr>
        <w:t>PROCEDURE — APARTMENTS &amp; PHYSICAL PLANT</w:t>
      </w:r>
    </w:p>
    <w:p>
      <w:pPr>
        <w:pStyle w:val="Normal"/>
        <w:tabs>
          <w:tab w:val="left" w:pos="720" w:leader="none"/>
        </w:tabs>
        <w:spacing w:lineRule="exact" w:line="264" w:before="0" w:after="80"/>
        <w:ind w:hanging="360" w:start="720"/>
        <w:rPr/>
      </w:pPr>
      <w:r>
        <w:rPr>
          <w:rFonts w:eastAsia="Arial" w:cs="Arial"/>
          <w:sz w:val="21"/>
          <w:szCs w:val="21"/>
        </w:rPr>
        <w:t>a. Ensure each tenant apartment includes a lockable entrance, an individual kitchen, and a private bathroom, consistent with the RCAC definition, and respect the tenant’s control of the apartment.</w:t>
      </w:r>
    </w:p>
    <w:p>
      <w:pPr>
        <w:pStyle w:val="Normal"/>
        <w:tabs>
          <w:tab w:val="left" w:pos="720" w:leader="none"/>
        </w:tabs>
        <w:spacing w:lineRule="exact" w:line="264" w:before="0" w:after="80"/>
        <w:ind w:hanging="360" w:start="720"/>
        <w:rPr/>
      </w:pPr>
      <w:r>
        <w:rPr>
          <w:rFonts w:eastAsia="Arial" w:cs="Arial"/>
          <w:sz w:val="21"/>
          <w:szCs w:val="21"/>
        </w:rPr>
        <w:t>b. Maintain the building, apartments, and common areas in good repair and in a safe, clean, and sanitary condition, and complete required plan review and inspections for construction, additions, or remodeling.</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DINING SERVICES</w:t>
      </w:r>
    </w:p>
    <w:p>
      <w:pPr>
        <w:pStyle w:val="Normal"/>
        <w:tabs>
          <w:tab w:val="left" w:pos="720" w:leader="none"/>
        </w:tabs>
        <w:spacing w:lineRule="exact" w:line="264" w:before="0" w:after="80"/>
        <w:ind w:hanging="360" w:start="720"/>
        <w:rPr/>
      </w:pPr>
      <w:r>
        <w:rPr>
          <w:rFonts w:eastAsia="Arial" w:cs="Arial"/>
          <w:sz w:val="21"/>
          <w:szCs w:val="21"/>
        </w:rPr>
        <w:t>d. Where the Complex provides meals or dining services, provide food that meets tenants’ nutritional needs and any modified diet, prepared and served under sanitary conditions.</w:t>
      </w:r>
    </w:p>
    <w:p>
      <w:pPr>
        <w:pStyle w:val="Normal"/>
        <w:tabs>
          <w:tab w:val="left" w:pos="720" w:leader="none"/>
        </w:tabs>
        <w:spacing w:lineRule="exact" w:line="264" w:before="0" w:after="80"/>
        <w:ind w:hanging="360" w:start="720"/>
        <w:rPr/>
      </w:pPr>
      <w:r>
        <w:rPr>
          <w:rFonts w:eastAsia="Arial" w:cs="Arial"/>
          <w:sz w:val="21"/>
          <w:szCs w:val="21"/>
        </w:rPr>
        <w:t>e. Support tenants’ independent meal preparation in their own kitchens as part of the RCAC model, where the tenant chooses.</w:t>
      </w:r>
    </w:p>
    <w:p>
      <w:pPr>
        <w:pStyle w:val="Normal"/>
        <w:tabs>
          <w:tab w:val="left" w:pos="720" w:leader="none"/>
        </w:tabs>
        <w:spacing w:lineRule="exact" w:line="264" w:before="0" w:after="80"/>
        <w:ind w:hanging="360" w:start="720"/>
        <w:rPr/>
      </w:pPr>
      <w:r>
        <w:rPr>
          <w:rFonts w:eastAsia="Arial" w:cs="Arial"/>
          <w:sz w:val="21"/>
          <w:szCs w:val="21"/>
        </w:rPr>
        <w:t>f. Accommodate tenant food and dining preferences consistent with tenant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Apartment / Physical Plant Inspection Checklist</w:t>
      </w:r>
    </w:p>
    <w:p>
      <w:pPr>
        <w:pStyle w:val="ListParagraph"/>
        <w:numPr>
          <w:ilvl w:val="0"/>
          <w:numId w:val="1"/>
        </w:numPr>
        <w:spacing w:lineRule="exact" w:line="264" w:before="0" w:after="60"/>
        <w:rPr/>
      </w:pPr>
      <w:r>
        <w:rPr>
          <w:rFonts w:eastAsia="Arial" w:cs="Arial"/>
          <w:sz w:val="21"/>
          <w:szCs w:val="21"/>
        </w:rPr>
        <w:t>Housekeeping &amp; Maintenance Log (common areas)</w:t>
      </w:r>
    </w:p>
    <w:p>
      <w:pPr>
        <w:pStyle w:val="ListParagraph"/>
        <w:numPr>
          <w:ilvl w:val="0"/>
          <w:numId w:val="1"/>
        </w:numPr>
        <w:spacing w:lineRule="exact" w:line="264" w:before="0" w:after="60"/>
        <w:rPr/>
      </w:pPr>
      <w:r>
        <w:rPr>
          <w:rFonts w:eastAsia="Arial" w:cs="Arial"/>
          <w:sz w:val="21"/>
          <w:szCs w:val="21"/>
        </w:rPr>
        <w:t>Menu / Modified Diet Record (if dining provided)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Complex records, measures, and improves the services it provides — tenant records and documentation, and the quality improvement program aligned with Joint Commission Assisted Living Community principles and Wisconsin’s WCCEAL, within the RCAC’s autonomy-focused model.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Tenant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Improvement Program</w:t>
      </w:r>
    </w:p>
    <w:p>
      <w:pPr>
        <w:pStyle w:val="Normal"/>
        <w:rPr/>
      </w:pPr>
      <w:r>
        <w:rPr/>
      </w:r>
      <w:r>
        <w:br w:type="page"/>
      </w:r>
    </w:p>
    <w:p>
      <w:pPr>
        <w:pStyle w:val="Heading2"/>
        <w:spacing w:before="0" w:after="120"/>
        <w:rPr/>
      </w:pPr>
      <w:r>
        <w:rPr>
          <w:rFonts w:eastAsia="Arial" w:cs="Arial" w:ascii="Arial" w:hAnsi="Arial"/>
          <w:b/>
          <w:bCs/>
          <w:color w:val="1A4731"/>
          <w:sz w:val="26"/>
          <w:szCs w:val="26"/>
        </w:rPr>
        <w:t>6.00  Tenant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Tenant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tenant records that support services and demonstrate compliance, consistent with DHS 89.</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maintain a record for each tenant, protect the confidentiality and security of tenant information consistent with HIPAA and Wisconsin law, and make records available to DQA on request (for a certified Complex, and for a registered Complex as applicable).</w:t>
      </w:r>
    </w:p>
    <w:p>
      <w:pPr>
        <w:pStyle w:val="Normal"/>
        <w:pBdr>
          <w:bottom w:val="single" w:sz="4" w:space="1" w:color="2E5E45"/>
        </w:pBdr>
        <w:spacing w:before="160" w:after="80"/>
        <w:rPr/>
      </w:pPr>
      <w:r>
        <w:rPr>
          <w:rFonts w:eastAsia="Arial" w:cs="Arial"/>
          <w:b/>
          <w:bCs/>
          <w:color w:val="1A4731"/>
          <w:sz w:val="20"/>
          <w:szCs w:val="20"/>
        </w:rPr>
        <w:t>PROCEDURE — RECORD CONTENTS</w:t>
      </w:r>
    </w:p>
    <w:p>
      <w:pPr>
        <w:pStyle w:val="Normal"/>
        <w:tabs>
          <w:tab w:val="left" w:pos="720" w:leader="none"/>
        </w:tabs>
        <w:spacing w:lineRule="exact" w:line="264" w:before="0" w:after="80"/>
        <w:ind w:hanging="360" w:start="720"/>
        <w:rPr/>
      </w:pPr>
      <w:r>
        <w:rPr>
          <w:rFonts w:eastAsia="Arial" w:cs="Arial"/>
          <w:sz w:val="21"/>
          <w:szCs w:val="21"/>
        </w:rPr>
        <w:t>a. Maintain for each tenant: identifying information; the comprehensive assessment; the service agreement and risk agreement; the schedule of fees; records of services provided; the medication record where the Complex manages medications; and incident documentation.</w:t>
      </w:r>
    </w:p>
    <w:p>
      <w:pPr>
        <w:pStyle w:val="Normal"/>
        <w:tabs>
          <w:tab w:val="left" w:pos="720" w:leader="none"/>
        </w:tabs>
        <w:spacing w:lineRule="exact" w:line="264" w:before="0" w:after="80"/>
        <w:ind w:hanging="360" w:start="720"/>
        <w:rPr/>
      </w:pPr>
      <w:r>
        <w:rPr>
          <w:rFonts w:eastAsia="Arial" w:cs="Arial"/>
          <w:sz w:val="21"/>
          <w:szCs w:val="21"/>
        </w:rPr>
        <w:t>b. Document services and changes in condition contemporaneously, accurately, and legibly.</w:t>
      </w:r>
    </w:p>
    <w:p>
      <w:pPr>
        <w:pStyle w:val="Normal"/>
        <w:tabs>
          <w:tab w:val="left" w:pos="720" w:leader="none"/>
        </w:tabs>
        <w:spacing w:lineRule="exact" w:line="264" w:before="0" w:after="80"/>
        <w:ind w:hanging="360" w:start="720"/>
        <w:rPr/>
      </w:pPr>
      <w:r>
        <w:rPr>
          <w:rFonts w:eastAsia="Arial" w:cs="Arial"/>
          <w:sz w:val="21"/>
          <w:szCs w:val="21"/>
        </w:rPr>
        <w:t>c. Retain records for the periods required by rule and make them available to DQA on request.</w:t>
      </w:r>
    </w:p>
    <w:p>
      <w:pPr>
        <w:pStyle w:val="Normal"/>
        <w:pBdr>
          <w:bottom w:val="single" w:sz="4" w:space="1" w:color="2E5E45"/>
        </w:pBdr>
        <w:spacing w:before="160" w:after="80"/>
        <w:rPr/>
      </w:pPr>
      <w:r>
        <w:rPr>
          <w:rFonts w:eastAsia="Arial" w:cs="Arial"/>
          <w:b/>
          <w:bCs/>
          <w:color w:val="1A4731"/>
          <w:sz w:val="20"/>
          <w:szCs w:val="20"/>
        </w:rPr>
        <w:t>PROCEDURE — CONFIDENTIALITY &amp; TRANSITIONS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tenant records and release information only as permitted by law or with the tenant’s consent.</w:t>
      </w:r>
    </w:p>
    <w:p>
      <w:pPr>
        <w:pStyle w:val="Normal"/>
        <w:tabs>
          <w:tab w:val="left" w:pos="720" w:leader="none"/>
        </w:tabs>
        <w:spacing w:lineRule="exact" w:line="264" w:before="0" w:after="80"/>
        <w:ind w:hanging="360" w:start="720"/>
        <w:rPr/>
      </w:pPr>
      <w:r>
        <w:rPr>
          <w:rFonts w:eastAsia="Arial" w:cs="Arial"/>
          <w:sz w:val="21"/>
          <w:szCs w:val="21"/>
        </w:rPr>
        <w:t>e. Provide the tenant access to their records as required.</w:t>
      </w:r>
    </w:p>
    <w:p>
      <w:pPr>
        <w:pStyle w:val="Normal"/>
        <w:tabs>
          <w:tab w:val="left" w:pos="720" w:leader="none"/>
        </w:tabs>
        <w:spacing w:lineRule="exact" w:line="264" w:before="0" w:after="80"/>
        <w:ind w:hanging="360" w:start="720"/>
        <w:rPr/>
      </w:pPr>
      <w:r>
        <w:rPr>
          <w:rFonts w:eastAsia="Arial" w:cs="Arial"/>
          <w:sz w:val="21"/>
          <w:szCs w:val="21"/>
        </w:rPr>
        <w:t>f. At a tenant’s move to another provider, provide, with consent, information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Tenant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89; WCCEAL;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Service 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improvement program that measures performance, drives improvement, and sustains a culture of safety, aligned with Joint Commission Assisted Living Community (ALC) accreditation principles and Wisconsin’s collaborative quality initiatives (WCCEAL), while respecting the RCAC’s autonomy-focused model.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Complex shall maintain a quality improvement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service manager and ownership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tenant-safety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and safety events, medication errors, infections and outbreaks, grievances, and emergencies for patterns, and report to the service manager and ownership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Service 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Wisconsin agencies and resources, guidance on customizing the manual (including which setting this manual is for and the certified-vs-registered distinction), and a tenant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Wisconsin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Tenant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Complex should maintain a current copy of each and customize as needed.</w:t>
      </w:r>
    </w:p>
    <w:p>
      <w:pPr>
        <w:pStyle w:val="ListParagraph"/>
        <w:numPr>
          <w:ilvl w:val="0"/>
          <w:numId w:val="1"/>
        </w:numPr>
        <w:spacing w:lineRule="exact" w:line="264" w:before="0" w:after="60"/>
        <w:rPr/>
      </w:pPr>
      <w:r>
        <w:rPr>
          <w:rFonts w:eastAsia="Arial" w:cs="Arial"/>
          <w:sz w:val="21"/>
          <w:szCs w:val="21"/>
        </w:rPr>
        <w:t>Comprehensive Assessment (DHS 89.26)</w:t>
      </w:r>
    </w:p>
    <w:p>
      <w:pPr>
        <w:pStyle w:val="ListParagraph"/>
        <w:numPr>
          <w:ilvl w:val="0"/>
          <w:numId w:val="1"/>
        </w:numPr>
        <w:spacing w:lineRule="exact" w:line="264" w:before="0" w:after="60"/>
        <w:rPr/>
      </w:pPr>
      <w:r>
        <w:rPr>
          <w:rFonts w:eastAsia="Arial" w:cs="Arial"/>
          <w:sz w:val="21"/>
          <w:szCs w:val="21"/>
        </w:rPr>
        <w:t>Service Agreement (DHS 89.27)</w:t>
      </w:r>
    </w:p>
    <w:p>
      <w:pPr>
        <w:pStyle w:val="ListParagraph"/>
        <w:numPr>
          <w:ilvl w:val="0"/>
          <w:numId w:val="1"/>
        </w:numPr>
        <w:spacing w:lineRule="exact" w:line="264" w:before="0" w:after="60"/>
        <w:rPr/>
      </w:pPr>
      <w:r>
        <w:rPr>
          <w:rFonts w:eastAsia="Arial" w:cs="Arial"/>
          <w:sz w:val="21"/>
          <w:szCs w:val="21"/>
        </w:rPr>
        <w:t>Risk Agreement (DHS 89.28)</w:t>
      </w:r>
    </w:p>
    <w:p>
      <w:pPr>
        <w:pStyle w:val="ListParagraph"/>
        <w:numPr>
          <w:ilvl w:val="0"/>
          <w:numId w:val="1"/>
        </w:numPr>
        <w:spacing w:lineRule="exact" w:line="264" w:before="0" w:after="60"/>
        <w:rPr/>
      </w:pPr>
      <w:r>
        <w:rPr>
          <w:rFonts w:eastAsia="Arial" w:cs="Arial"/>
          <w:sz w:val="21"/>
          <w:szCs w:val="21"/>
        </w:rPr>
        <w:t>Schedule of Fees for Services (DHS 89.25)</w:t>
      </w:r>
    </w:p>
    <w:p>
      <w:pPr>
        <w:pStyle w:val="ListParagraph"/>
        <w:numPr>
          <w:ilvl w:val="0"/>
          <w:numId w:val="1"/>
        </w:numPr>
        <w:spacing w:lineRule="exact" w:line="264" w:before="0" w:after="60"/>
        <w:rPr/>
      </w:pPr>
      <w:r>
        <w:rPr>
          <w:rFonts w:eastAsia="Arial" w:cs="Arial"/>
          <w:sz w:val="21"/>
          <w:szCs w:val="21"/>
        </w:rPr>
        <w:t>Notice of Termination / Transfer</w:t>
      </w:r>
    </w:p>
    <w:p>
      <w:pPr>
        <w:pStyle w:val="ListParagraph"/>
        <w:numPr>
          <w:ilvl w:val="0"/>
          <w:numId w:val="1"/>
        </w:numPr>
        <w:spacing w:lineRule="exact" w:line="264" w:before="0" w:after="60"/>
        <w:rPr/>
      </w:pPr>
      <w:r>
        <w:rPr>
          <w:rFonts w:eastAsia="Arial" w:cs="Arial"/>
          <w:sz w:val="21"/>
          <w:szCs w:val="21"/>
        </w:rPr>
        <w:t>Tenant Rights Policy &amp; Acknowledgment</w:t>
      </w:r>
    </w:p>
    <w:p>
      <w:pPr>
        <w:pStyle w:val="ListParagraph"/>
        <w:numPr>
          <w:ilvl w:val="0"/>
          <w:numId w:val="1"/>
        </w:numPr>
        <w:spacing w:lineRule="exact" w:line="264" w:before="0" w:after="60"/>
        <w:rPr/>
      </w:pPr>
      <w:r>
        <w:rPr>
          <w:rFonts w:eastAsia="Arial" w:cs="Arial"/>
          <w:sz w:val="21"/>
          <w:szCs w:val="21"/>
        </w:rPr>
        <w:t>Written Grievance Procedure &amp; Log</w:t>
      </w:r>
    </w:p>
    <w:p>
      <w:pPr>
        <w:pStyle w:val="ListParagraph"/>
        <w:numPr>
          <w:ilvl w:val="0"/>
          <w:numId w:val="1"/>
        </w:numPr>
        <w:spacing w:lineRule="exact" w:line="264" w:before="0" w:after="60"/>
        <w:rPr/>
      </w:pPr>
      <w:r>
        <w:rPr>
          <w:rFonts w:eastAsia="Arial" w:cs="Arial"/>
          <w:sz w:val="21"/>
          <w:szCs w:val="21"/>
        </w:rPr>
        <w:t>Ombudsman Program Information</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Caregiver Misconduct Report</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Tenant Funds Authorization &amp; Ledger (if applicable)</w:t>
      </w:r>
    </w:p>
    <w:p>
      <w:pPr>
        <w:pStyle w:val="ListParagraph"/>
        <w:numPr>
          <w:ilvl w:val="0"/>
          <w:numId w:val="1"/>
        </w:numPr>
        <w:spacing w:lineRule="exact" w:line="264" w:before="0" w:after="60"/>
        <w:rPr/>
      </w:pPr>
      <w:r>
        <w:rPr>
          <w:rFonts w:eastAsia="Arial" w:cs="Arial"/>
          <w:sz w:val="21"/>
          <w:szCs w:val="21"/>
        </w:rPr>
        <w:t>Current Certification / Registration</w:t>
      </w:r>
    </w:p>
    <w:p>
      <w:pPr>
        <w:pStyle w:val="ListParagraph"/>
        <w:numPr>
          <w:ilvl w:val="0"/>
          <w:numId w:val="1"/>
        </w:numPr>
        <w:spacing w:lineRule="exact" w:line="264" w:before="0" w:after="60"/>
        <w:rPr/>
      </w:pPr>
      <w:r>
        <w:rPr>
          <w:rFonts w:eastAsia="Arial" w:cs="Arial"/>
          <w:sz w:val="21"/>
          <w:szCs w:val="21"/>
        </w:rPr>
        <w:t>Zoning / Plan Review Approvals</w:t>
      </w:r>
    </w:p>
    <w:p>
      <w:pPr>
        <w:pStyle w:val="ListParagraph"/>
        <w:numPr>
          <w:ilvl w:val="0"/>
          <w:numId w:val="1"/>
        </w:numPr>
        <w:spacing w:lineRule="exact" w:line="264" w:before="0" w:after="60"/>
        <w:rPr/>
      </w:pPr>
      <w:r>
        <w:rPr>
          <w:rFonts w:eastAsia="Arial" w:cs="Arial"/>
          <w:sz w:val="21"/>
          <w:szCs w:val="21"/>
        </w:rPr>
        <w:t>Registered-Facility Enforcement Disclosure (if registered)</w:t>
      </w:r>
    </w:p>
    <w:p>
      <w:pPr>
        <w:pStyle w:val="ListParagraph"/>
        <w:numPr>
          <w:ilvl w:val="0"/>
          <w:numId w:val="1"/>
        </w:numPr>
        <w:spacing w:lineRule="exact" w:line="264" w:before="0" w:after="60"/>
        <w:rPr/>
      </w:pPr>
      <w:r>
        <w:rPr>
          <w:rFonts w:eastAsia="Arial" w:cs="Arial"/>
          <w:sz w:val="21"/>
          <w:szCs w:val="21"/>
        </w:rPr>
        <w:t>Service Manager / In-Charge Designation</w:t>
      </w:r>
    </w:p>
    <w:p>
      <w:pPr>
        <w:pStyle w:val="ListParagraph"/>
        <w:numPr>
          <w:ilvl w:val="0"/>
          <w:numId w:val="1"/>
        </w:numPr>
        <w:spacing w:lineRule="exact" w:line="264" w:before="0" w:after="60"/>
        <w:rPr/>
      </w:pPr>
      <w:r>
        <w:rPr>
          <w:rFonts w:eastAsia="Arial" w:cs="Arial"/>
          <w:sz w:val="21"/>
          <w:szCs w:val="21"/>
        </w:rPr>
        <w:t>Background Check &amp; Registry Verification</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Staff Qualification Record</w:t>
      </w:r>
    </w:p>
    <w:p>
      <w:pPr>
        <w:pStyle w:val="ListParagraph"/>
        <w:numPr>
          <w:ilvl w:val="0"/>
          <w:numId w:val="1"/>
        </w:numPr>
        <w:spacing w:lineRule="exact" w:line="264" w:before="0" w:after="60"/>
        <w:rPr/>
      </w:pPr>
      <w:r>
        <w:rPr>
          <w:rFonts w:eastAsia="Arial" w:cs="Arial"/>
          <w:sz w:val="21"/>
          <w:szCs w:val="21"/>
        </w:rPr>
        <w:t>Training Log</w:t>
      </w:r>
    </w:p>
    <w:p>
      <w:pPr>
        <w:pStyle w:val="ListParagraph"/>
        <w:numPr>
          <w:ilvl w:val="0"/>
          <w:numId w:val="1"/>
        </w:numPr>
        <w:spacing w:lineRule="exact" w:line="264" w:before="0" w:after="60"/>
        <w:rPr/>
      </w:pPr>
      <w:r>
        <w:rPr>
          <w:rFonts w:eastAsia="Arial" w:cs="Arial"/>
          <w:sz w:val="21"/>
          <w:szCs w:val="21"/>
        </w:rPr>
        <w:t>Competency &amp; Supervision Record</w:t>
      </w:r>
    </w:p>
    <w:p>
      <w:pPr>
        <w:pStyle w:val="ListParagraph"/>
        <w:numPr>
          <w:ilvl w:val="0"/>
          <w:numId w:val="1"/>
        </w:numPr>
        <w:spacing w:lineRule="exact" w:line="264" w:before="0" w:after="60"/>
        <w:rPr/>
      </w:pPr>
      <w:r>
        <w:rPr>
          <w:rFonts w:eastAsia="Arial" w:cs="Arial"/>
          <w:sz w:val="21"/>
          <w:szCs w:val="21"/>
        </w:rPr>
        <w:t>Service Delivery Record</w:t>
      </w:r>
    </w:p>
    <w:p>
      <w:pPr>
        <w:pStyle w:val="ListParagraph"/>
        <w:numPr>
          <w:ilvl w:val="0"/>
          <w:numId w:val="1"/>
        </w:numPr>
        <w:spacing w:lineRule="exact" w:line="264" w:before="0" w:after="60"/>
        <w:rPr/>
      </w:pPr>
      <w:r>
        <w:rPr>
          <w:rFonts w:eastAsia="Arial" w:cs="Arial"/>
          <w:sz w:val="21"/>
          <w:szCs w:val="21"/>
        </w:rPr>
        <w:t>Hours-of-Service Computation (28-hour limit)</w:t>
      </w:r>
    </w:p>
    <w:p>
      <w:pPr>
        <w:pStyle w:val="ListParagraph"/>
        <w:numPr>
          <w:ilvl w:val="0"/>
          <w:numId w:val="1"/>
        </w:numPr>
        <w:spacing w:lineRule="exact" w:line="264" w:before="0" w:after="60"/>
        <w:rPr/>
      </w:pPr>
      <w:r>
        <w:rPr>
          <w:rFonts w:eastAsia="Arial" w:cs="Arial"/>
          <w:sz w:val="21"/>
          <w:szCs w:val="21"/>
        </w:rPr>
        <w:t>24-Hour Emergency Response Log</w:t>
      </w:r>
    </w:p>
    <w:p>
      <w:pPr>
        <w:pStyle w:val="ListParagraph"/>
        <w:numPr>
          <w:ilvl w:val="0"/>
          <w:numId w:val="1"/>
        </w:numPr>
        <w:spacing w:lineRule="exact" w:line="264" w:before="0" w:after="60"/>
        <w:rPr/>
      </w:pPr>
      <w:r>
        <w:rPr>
          <w:rFonts w:eastAsia="Arial" w:cs="Arial"/>
          <w:sz w:val="21"/>
          <w:szCs w:val="21"/>
        </w:rPr>
        <w:t>Service Agreement Review Record</w:t>
      </w:r>
    </w:p>
    <w:p>
      <w:pPr>
        <w:pStyle w:val="ListParagraph"/>
        <w:numPr>
          <w:ilvl w:val="0"/>
          <w:numId w:val="1"/>
        </w:numPr>
        <w:spacing w:lineRule="exact" w:line="264" w:before="0" w:after="60"/>
        <w:rPr/>
      </w:pPr>
      <w:r>
        <w:rPr>
          <w:rFonts w:eastAsia="Arial" w:cs="Arial"/>
          <w:sz w:val="21"/>
          <w:szCs w:val="21"/>
        </w:rPr>
        <w:t>Risk Agreement Review Record</w:t>
      </w:r>
    </w:p>
    <w:p>
      <w:pPr>
        <w:pStyle w:val="ListParagraph"/>
        <w:numPr>
          <w:ilvl w:val="0"/>
          <w:numId w:val="1"/>
        </w:numPr>
        <w:spacing w:lineRule="exact" w:line="264" w:before="0" w:after="60"/>
        <w:rPr/>
      </w:pPr>
      <w:r>
        <w:rPr>
          <w:rFonts w:eastAsia="Arial" w:cs="Arial"/>
          <w:sz w:val="21"/>
          <w:szCs w:val="21"/>
        </w:rPr>
        <w:t>Fall / Safety Event Report</w:t>
      </w:r>
    </w:p>
    <w:p>
      <w:pPr>
        <w:pStyle w:val="ListParagraph"/>
        <w:numPr>
          <w:ilvl w:val="0"/>
          <w:numId w:val="1"/>
        </w:numPr>
        <w:spacing w:lineRule="exact" w:line="264" w:before="0" w:after="60"/>
        <w:rPr/>
      </w:pPr>
      <w:r>
        <w:rPr>
          <w:rFonts w:eastAsia="Arial" w:cs="Arial"/>
          <w:sz w:val="21"/>
          <w:szCs w:val="21"/>
        </w:rPr>
        <w:t>Medication Administration / Management Record</w:t>
      </w:r>
    </w:p>
    <w:p>
      <w:pPr>
        <w:pStyle w:val="ListParagraph"/>
        <w:numPr>
          <w:ilvl w:val="0"/>
          <w:numId w:val="1"/>
        </w:numPr>
        <w:spacing w:lineRule="exact" w:line="264" w:before="0" w:after="60"/>
        <w:rPr/>
      </w:pPr>
      <w:r>
        <w:rPr>
          <w:rFonts w:eastAsia="Arial" w:cs="Arial"/>
          <w:sz w:val="21"/>
          <w:szCs w:val="21"/>
        </w:rPr>
        <w:t>Self-Administration Support Note</w:t>
      </w:r>
    </w:p>
    <w:p>
      <w:pPr>
        <w:pStyle w:val="ListParagraph"/>
        <w:numPr>
          <w:ilvl w:val="0"/>
          <w:numId w:val="1"/>
        </w:numPr>
        <w:spacing w:lineRule="exact" w:line="264" w:before="0" w:after="60"/>
        <w:rPr/>
      </w:pPr>
      <w:r>
        <w:rPr>
          <w:rFonts w:eastAsia="Arial" w:cs="Arial"/>
          <w:sz w:val="21"/>
          <w:szCs w:val="21"/>
        </w:rPr>
        <w:t>Medication Coordination Record</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Written Emergency Plans</w:t>
      </w:r>
    </w:p>
    <w:p>
      <w:pPr>
        <w:pStyle w:val="ListParagraph"/>
        <w:numPr>
          <w:ilvl w:val="0"/>
          <w:numId w:val="1"/>
        </w:numPr>
        <w:spacing w:lineRule="exact" w:line="264" w:before="0" w:after="60"/>
        <w:rPr/>
      </w:pPr>
      <w:r>
        <w:rPr>
          <w:rFonts w:eastAsia="Arial" w:cs="Arial"/>
          <w:sz w:val="21"/>
          <w:szCs w:val="21"/>
        </w:rPr>
        <w:t>24-Hour Emergency Assistance / Call System Record</w:t>
      </w:r>
    </w:p>
    <w:p>
      <w:pPr>
        <w:pStyle w:val="ListParagraph"/>
        <w:numPr>
          <w:ilvl w:val="0"/>
          <w:numId w:val="1"/>
        </w:numPr>
        <w:spacing w:lineRule="exact" w:line="264" w:before="0" w:after="60"/>
        <w:rPr/>
      </w:pPr>
      <w:r>
        <w:rPr>
          <w:rFonts w:eastAsia="Arial" w:cs="Arial"/>
          <w:sz w:val="21"/>
          <w:szCs w:val="21"/>
        </w:rPr>
        <w:t>Fire Inspection Records</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Communicable Disease Reporting Record (DHS 145)</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Apartment / Physical Plant Inspection Checklist</w:t>
      </w:r>
    </w:p>
    <w:p>
      <w:pPr>
        <w:pStyle w:val="ListParagraph"/>
        <w:numPr>
          <w:ilvl w:val="0"/>
          <w:numId w:val="1"/>
        </w:numPr>
        <w:spacing w:lineRule="exact" w:line="264" w:before="0" w:after="60"/>
        <w:rPr/>
      </w:pPr>
      <w:r>
        <w:rPr>
          <w:rFonts w:eastAsia="Arial" w:cs="Arial"/>
          <w:sz w:val="21"/>
          <w:szCs w:val="21"/>
        </w:rPr>
        <w:t>Menu / Modified Diet Record (if dining provided)</w:t>
      </w:r>
    </w:p>
    <w:p>
      <w:pPr>
        <w:pStyle w:val="ListParagraph"/>
        <w:numPr>
          <w:ilvl w:val="0"/>
          <w:numId w:val="1"/>
        </w:numPr>
        <w:spacing w:lineRule="exact" w:line="264" w:before="0" w:after="60"/>
        <w:rPr/>
      </w:pPr>
      <w:r>
        <w:rPr>
          <w:rFonts w:eastAsia="Arial" w:cs="Arial"/>
          <w:sz w:val="21"/>
          <w:szCs w:val="21"/>
        </w:rPr>
        <w:t>Tenant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Wisconsin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Wisconsin Department of Health Services (DHS), Division of Quality Assurance (DQA), Bureau of Assisted Living (BAL)</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 Admin. Code ch. DHS 89 — Residential Care Apartment Complexes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 Stat. § 50.034 (Residential Care Apartment Complexes)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Certification vs Registration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Certified: private-pay + public funding (e.g., Medicaid waiver), inspected. Registered: private-pay only, not routinely inspected.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Provider Applications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DHS DQA Provider Portal (certification/registration, background checks, plan review)</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 Department of Justice criminal records check; nurse aide / home health / hospice aide registry; Wis. Stat. § 50.065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Building / Plan Review</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Department of Safety and Professional Services (DSPS) — multifamily dwelling; Wisconsin Commercial Building Code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Complaints / BAL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DHS Bureau of Assisted Living, 800-642-6552 (or regional office)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Wisconsin Board on Aging and Long Term Care — Long-Term Care Ombudsman (1-800-815-0015)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health department and Wisconsin DHS (Wis. Admin. Code ch. DHS 145)</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Wisconsin’s Residential Care Apartment Complex regulations (Wis. Admin. Code ch. DHS 89) and Wis. Stat. § 50.034, and to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setting this is for. This manual is for a RESIDENTIAL CARE APARTMENT COMPLEX (RCAC) — five or more independent apartments (each with a lockable entrance, kitchen, and bathroom) that makes available up to 28 hours per week of supportive, personal, and nursing services, under ch. DHS 89. If your setting is a Community-Based Residential Facility (ch. DHS 83) or an Adult Family Home (3–4 beds; ch. DHS 88), use the corresponding Wisconsin manual instead.</w:t>
      </w:r>
    </w:p>
    <w:p>
      <w:pPr>
        <w:pStyle w:val="Normal"/>
        <w:spacing w:lineRule="exact" w:line="276" w:before="0" w:after="120"/>
        <w:rPr/>
      </w:pPr>
      <w:r>
        <w:rPr>
          <w:rFonts w:eastAsia="Arial" w:cs="Arial"/>
          <w:sz w:val="21"/>
          <w:szCs w:val="21"/>
        </w:rPr>
        <w:t>Certified or registered. A certified RCAC serves both private-pay and publicly funded tenants and is inspected; a registered RCAC serves only private-pay tenants and is not routinely inspected. A registered Complex must give tenants the DHS 89.28(2)(c) notice that the Department does not routinely inspect it or enforce the service or risk agreements. Set the customizable references in this manual to match your status.</w:t>
      </w:r>
    </w:p>
    <w:p>
      <w:pPr>
        <w:pStyle w:val="Normal"/>
        <w:spacing w:lineRule="exact" w:line="276" w:before="0" w:after="120"/>
        <w:rPr/>
      </w:pPr>
      <w:r>
        <w:rPr>
          <w:rFonts w:eastAsia="Arial" w:cs="Arial"/>
          <w:sz w:val="21"/>
          <w:szCs w:val="21"/>
        </w:rPr>
        <w:t>Tenant and service-manager terminology. This manual uses “tenant” (not “resident”) and “service manager” (not “administrator”), consistent with ch. DHS 89 and the RCAC model, and emphasizes the risk agreement and tenant autonomy.</w:t>
      </w:r>
    </w:p>
    <w:p>
      <w:pPr>
        <w:pStyle w:val="Normal"/>
        <w:spacing w:lineRule="exact" w:line="276" w:before="0" w:after="120"/>
        <w:rPr/>
      </w:pPr>
      <w:r>
        <w:rPr>
          <w:rFonts w:eastAsia="Arial" w:cs="Arial"/>
          <w:sz w:val="21"/>
          <w:szCs w:val="21"/>
        </w:rPr>
        <w:t>Before adopting: replace every [bracketed] placeholder (Complex name, effective date, service manager) with your own information; review each policy against your current operations and any DQA survey; confirm your certification/registration status, background checks and registry checks, the 28-hour service computation, and your service and risk agreement templates; confirm your zoning, plan review, and fire approvals;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Tenant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tenant of this residential care apartment complex under Wis. Admin. Code ch. DHS 89.23, including the Complex’s obligations, the grievance procedure, and the contact information for the Long-Term Care Ombudsman and the Division of Quality Assurance.</w:t>
      </w:r>
    </w:p>
    <w:p>
      <w:pPr>
        <w:pStyle w:val="Normal"/>
        <w:spacing w:before="400" w:after="0"/>
        <w:rPr/>
      </w:pPr>
      <w:r>
        <w:rPr>
          <w:rFonts w:eastAsia="Arial" w:cs="Arial"/>
          <w:sz w:val="21"/>
          <w:szCs w:val="21"/>
        </w:rPr>
        <w:t>Tenant signature: ______________________________    Date: ______________</w:t>
      </w:r>
    </w:p>
    <w:p>
      <w:pPr>
        <w:pStyle w:val="Normal"/>
        <w:spacing w:before="200" w:after="0"/>
        <w:rPr/>
      </w:pPr>
      <w:r>
        <w:rPr>
          <w:rFonts w:eastAsia="Arial" w:cs="Arial"/>
          <w:sz w:val="21"/>
          <w:szCs w:val="21"/>
        </w:rPr>
        <w:t>Guardian / agent (if applicable): ______________________________    Date: ______________</w:t>
      </w:r>
    </w:p>
    <w:p>
      <w:pPr>
        <w:pStyle w:val="Normal"/>
        <w:spacing w:before="200" w:after="0"/>
        <w:rPr/>
      </w:pPr>
      <w:r>
        <w:rPr>
          <w:rFonts w:eastAsia="Arial" w:cs="Arial"/>
          <w:sz w:val="21"/>
          <w:szCs w:val="21"/>
        </w:rPr>
        <w:t>Service Manager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Wisconsin — Residential Care Apartment Complex (RCAC)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41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Wisconsin — Residential Care Apartment Complex (RCAC)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41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2026-07-01T13:55:48Z</dcterms:created>
  <dc:creator>PolicyReady.org</dc:creator>
  <dc:description/>
  <dc:language>en-US</dc:language>
  <cp:lastModifiedBy>Un-named</cp:lastModifiedBy>
  <dcterms:modified xsi:type="dcterms:W3CDTF">2026-07-01T13:55:48Z</dcterms:modified>
  <cp:revision>1</cp:revision>
  <dc:subject/>
  <dc:title>Wisconsin Residential Care Apartment Complex (RCAC) Policy &amp; Procedure Manual</dc:title>
</cp:coreProperties>
</file>