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60" w:before="0" w:line="276"/>
        <w:jc w:val="center"/>
      </w:pPr>
      <w:r>
        <w:rPr>
          <w:rFonts w:ascii="Calibri" w:cs="Calibri" w:eastAsia="Calibri" w:hAnsi="Calibri"/>
          <w:b/>
          <w:bCs/>
          <w:i w:val="false"/>
          <w:iCs w:val="false"/>
          <w:color w:val="3E5871"/>
          <w:sz w:val="26"/>
          <w:szCs w:val="26"/>
        </w:rPr>
        <w:t xml:space="preserve">[FACILITY NAME]</w:t>
      </w:r>
    </w:p>
    <w:p>
      <w:pPr>
        <w:spacing w:after="60" w:before="0" w:line="276"/>
        <w:jc w:val="center"/>
      </w:pPr>
      <w:r>
        <w:rPr>
          <w:rFonts w:ascii="Calibri" w:cs="Calibri" w:eastAsia="Calibri" w:hAnsi="Calibri"/>
          <w:b/>
          <w:bCs/>
          <w:i w:val="false"/>
          <w:iCs w:val="false"/>
          <w:color w:val="1F3A5F"/>
          <w:sz w:val="46"/>
          <w:szCs w:val="46"/>
        </w:rPr>
        <w:t xml:space="preserve">Policy &amp; Procedure Manual</w:t>
      </w:r>
    </w:p>
    <w:p>
      <w:pPr>
        <w:spacing w:after="20" w:before="0" w:line="276"/>
        <w:jc w:val="center"/>
      </w:pPr>
      <w:r>
        <w:rPr>
          <w:rFonts w:ascii="Calibri" w:cs="Calibri" w:eastAsia="Calibri" w:hAnsi="Calibri"/>
          <w:b w:val="false"/>
          <w:bCs w:val="false"/>
          <w:i/>
          <w:iCs/>
          <w:color w:val="3E5871"/>
          <w:sz w:val="24"/>
          <w:szCs w:val="24"/>
        </w:rPr>
        <w:t xml:space="preserve">Personal Care Home — Brain Injury Residential Care (Georgia)</w:t>
      </w:r>
    </w:p>
    <w:p>
      <w:pPr>
        <w:spacing w:after="200" w:before="0" w:line="276"/>
        <w:jc w:val="center"/>
      </w:pPr>
      <w:r>
        <w:rPr>
          <w:rFonts w:ascii="Calibri" w:cs="Calibri" w:eastAsia="Calibri" w:hAnsi="Calibri"/>
          <w:b w:val="false"/>
          <w:bCs w:val="false"/>
          <w:i w:val="false"/>
          <w:iCs w:val="false"/>
          <w:color w:val="555555"/>
          <w:sz w:val="20"/>
          <w:szCs w:val="20"/>
        </w:rPr>
        <w:t xml:space="preserve">Built to Rule Chapter 111-8-62, Ga. Comp. R. &amp; Regs. (Personal Care Homes)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60" w:before="0" w:line="276"/>
        <w:jc w:val="center"/>
      </w:pPr>
      <w:r>
        <w:rPr>
          <w:rFonts w:ascii="Calibri" w:cs="Calibri" w:eastAsia="Calibri" w:hAnsi="Calibri"/>
          <w:b/>
          <w:bCs/>
          <w:i w:val="false"/>
          <w:iCs w:val="false"/>
          <w:color w:val="3E5871"/>
          <w:sz w:val="20"/>
          <w:szCs w:val="20"/>
        </w:rPr>
        <w:t xml:space="preserve">Regulatory basis: </w:t>
      </w:r>
      <w:r>
        <w:rPr>
          <w:rFonts w:ascii="Calibri" w:cs="Calibri" w:eastAsia="Calibri" w:hAnsi="Calibri"/>
          <w:b w:val="false"/>
          <w:bCs w:val="false"/>
          <w:i w:val="false"/>
          <w:iCs w:val="false"/>
          <w:color w:val="555555"/>
          <w:sz w:val="20"/>
          <w:szCs w:val="20"/>
        </w:rPr>
        <w:t xml:space="preserve">Rule Chapter 111-8-62, Ga. Comp. R. &amp; Regs. (Personal Care Homes); Chapter 111-8-25 (General Licensing &amp; Enforcement); Chapter 111-8-12 (Criminal Background Checks); Chapter 111-8-100 (Proxy Caregivers); Chapter 111-8-16 (Disaster Preparedness, 25+ beds); O.C.G.A. Title 31, Chapters 2 and 7. Licensed and surveyed by the Georgia Department of Community Health, Healthcare Facility Regulation Division (HFRD).</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200" w:before="0" w:line="276"/>
        <w:jc w:val="center"/>
      </w:pPr>
      <w:r>
        <w:rPr>
          <w:rFonts w:ascii="Calibri" w:cs="Calibri" w:eastAsia="Calibri" w:hAnsi="Calibri"/>
          <w:b w:val="false"/>
          <w:bCs w:val="false"/>
          <w:i/>
          <w:iCs/>
          <w:color w:val="555555"/>
          <w:sz w:val="19"/>
          <w:szCs w:val="19"/>
        </w:rPr>
        <w:t xml:space="preserve">This manual is a customizable template. Replace every bracketed field with your organization’s details and adapt each policy to your operations before use.</w:t>
      </w:r>
    </w:p>
    <w:p>
      <w:pPr>
        <w:spacing w:after="20" w:before="0" w:line="276"/>
        <w:jc w:val="center"/>
      </w:pPr>
      <w:r>
        <w:rPr>
          <w:rFonts w:ascii="Calibri" w:cs="Calibri" w:eastAsia="Calibri" w:hAnsi="Calibri"/>
          <w:b w:val="false"/>
          <w:bCs w:val="false"/>
          <w:i w:val="false"/>
          <w:iCs w:val="false"/>
          <w:color w:val="1A1A1A"/>
          <w:sz w:val="21"/>
          <w:szCs w:val="21"/>
        </w:rPr>
        <w:t xml:space="preserve">Approved By: [Administrator Name], Administrator</w:t>
      </w:r>
    </w:p>
    <w:p>
      <w:pPr>
        <w:spacing w:after="90" w:before="0" w:line="276"/>
        <w:jc w:val="center"/>
      </w:pPr>
      <w:r>
        <w:rPr>
          <w:rFonts w:ascii="Calibri" w:cs="Calibri" w:eastAsia="Calibri" w:hAnsi="Calibri"/>
          <w:b w:val="false"/>
          <w:bCs w:val="false"/>
          <w:i w:val="false"/>
          <w:iCs w:val="false"/>
          <w:color w:val="555555"/>
          <w:sz w:val="18"/>
          <w:szCs w:val="18"/>
        </w:rPr>
        <w:t xml:space="preserve">Effective Date: [Date]        Version: 1.0        Review: Annual or upon rule change</w:t>
      </w:r>
    </w:p>
    <w:p>
      <w:r>
        <w:br w:type="page"/>
      </w:r>
    </w:p>
    <w:p>
      <w:pPr>
        <w:spacing w:after="120"/>
      </w:pPr>
      <w:r>
        <w:rPr>
          <w:rFonts w:ascii="Calibri" w:cs="Calibri" w:eastAsia="Calibri" w:hAnsi="Calibri"/>
          <w:b/>
          <w:bCs/>
          <w:i w:val="false"/>
          <w:iCs w:val="false"/>
          <w:color w:val="1F3A5F"/>
          <w:sz w:val="30"/>
          <w:szCs w:val="30"/>
        </w:rPr>
        <w:t xml:space="preserve">Front Matter — State Rules, Regulations &amp; Accreditation</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[Facility Name] operates in compliance with the following Georgia authorities and aligns to the following accreditation framework, which form the basis for this manual: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Rule Chapter 111-8-62, Ga. Comp. R. &amp; Regs. — Personal Care Homes (the primary licensing rule; sections .01–.34).</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111-8-25 — General Licensing and Enforcement Requirements.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111-8-12 — Criminal Background Checks (fingerprint records checks for direct-access employees).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111-8-100 — Proxy Caregivers (health-maintenance activities by trained unlicensed staff).</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Chapter 111-8-16 — Disaster Preparedness Plans (homes licensed for 25+ beds).</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O.C.G.A. Title 31, Chapters 2 and 7; and the Long-Term Care Resident Abuse Reporting Act (O.C.G.A. § 31-8-80 et seq.).</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Accreditation alignment (optional): structured to align with nationally recognized rehabilitation accreditation frameworks — aligned to, not reproducing, their proprietary standards — which payers often prefer and which may support deemed status under Rule 111-8-62-.31 (see Section 6).</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Funding context (see the companion How-To Guide): the Independent Care Waiver Program (ICWP), the Brain and Spinal Injury Trust Fund, and private pay.</w:t>
      </w:r>
    </w:p>
    <w:p>
      <w:pPr>
        <w:spacing w:after="120" w:before="100" w:line="276"/>
        <w:jc w:val="left"/>
      </w:pPr>
      <w:r>
        <w:rPr>
          <w:rFonts w:ascii="Calibri" w:cs="Calibri" w:eastAsia="Calibri" w:hAnsi="Calibri"/>
          <w:b w:val="false"/>
          <w:bCs w:val="false"/>
          <w:i/>
          <w:iCs/>
          <w:color w:val="555555"/>
          <w:sz w:val="19"/>
          <w:szCs w:val="19"/>
        </w:rPr>
        <w:t xml:space="preserve">This manual provides general information and is not legal advice; verify current rule and accreditation standards before relying on any provision.</w:t>
      </w:r>
    </w:p>
    <w:p>
      <w:r>
        <w:br w:type="page"/>
      </w:r>
    </w:p>
    <w:p>
      <w:pPr>
        <w:spacing w:after="120"/>
      </w:pPr>
      <w:r>
        <w:rPr>
          <w:rFonts w:ascii="Calibri" w:cs="Calibri" w:eastAsia="Calibri" w:hAnsi="Calibri"/>
          <w:b/>
          <w:bCs/>
          <w:i w:val="false"/>
          <w:iCs w:val="false"/>
          <w:color w:val="1F3A5F"/>
          <w:sz w:val="30"/>
          <w:szCs w:val="30"/>
        </w:rPr>
        <w:t xml:space="preserve">Front Matter — Yearly Policy Review by Administrator</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reviews this manual at least annually and upon any change to an applicable rule or accreditation standard, confirms each section remains current, and records the review below.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400"/>
        <w:gridCol w:w="1700"/>
        <w:gridCol w:w="2060"/>
        <w:gridCol w:w="2200"/>
      </w:tblGrid>
      <w:tr>
        <w:trPr>
          <w:tblHeader/>
        </w:trPr>
        <w:tc>
          <w:tcPr>
            <w:tcW w:type="dxa" w:w="34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Section Reviewed</w:t>
            </w:r>
          </w:p>
        </w:tc>
        <w:tc>
          <w:tcPr>
            <w:tcW w:type="dxa" w:w="17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Current? (Y/N)</w:t>
            </w:r>
          </w:p>
        </w:tc>
        <w:tc>
          <w:tcPr>
            <w:tcW w:type="dxa" w:w="206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Notes / Change</w:t>
            </w:r>
          </w:p>
        </w:tc>
        <w:tc>
          <w:tcPr>
            <w:tcW w:type="dxa" w:w="22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Reviewed By / Date</w:t>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1 — Administration &amp; Personnel</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2 — Resident Rights, Admission &amp; Records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3 — Services &amp; Resident Care</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4 — Medications &amp; Health</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5 — Environment, Nutrition &amp; Safety</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6 — Program Performance &amp; Outcomes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bl>
    <w:p>
      <w:r>
        <w:br w:type="page"/>
      </w:r>
    </w:p>
    <w:p>
      <w:pPr>
        <w:spacing w:after="120"/>
      </w:pPr>
      <w:r>
        <w:rPr>
          <w:rFonts w:ascii="Calibri" w:cs="Calibri" w:eastAsia="Calibri" w:hAnsi="Calibri"/>
          <w:b/>
          <w:bCs/>
          <w:i w:val="false"/>
          <w:iCs w:val="false"/>
          <w:color w:val="1F3A5F"/>
          <w:sz w:val="30"/>
          <w:szCs w:val="30"/>
        </w:rPr>
        <w:t xml:space="preserve">Master Table of Contents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60" w:before="140"/>
      </w:pPr>
      <w:r>
        <w:rPr>
          <w:rFonts w:ascii="Calibri" w:cs="Calibri" w:eastAsia="Calibri" w:hAnsi="Calibri"/>
          <w:b/>
          <w:bCs/>
          <w:i w:val="false"/>
          <w:iCs w:val="false"/>
          <w:color w:val="1F3A5F"/>
          <w:sz w:val="22"/>
          <w:szCs w:val="22"/>
        </w:rPr>
        <w:t xml:space="preserve">Section 1 — Administration &amp; Personnel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Licensure and Permit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Governing Body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Administration and Administrator</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Policies, Procedures, and Required Postings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Workforce Qualifications and Training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Criminal Background Checks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Proxy Caregivers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Staff Health and Communicable Disease Screening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Personnel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Home Accountability, Inspections, and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and Performance Improvement</w:t>
            </w:r>
          </w:p>
        </w:tc>
      </w:tr>
    </w:tbl>
    <w:p>
      <w:pPr>
        <w:spacing w:after="60" w:before="140"/>
      </w:pPr>
      <w:r>
        <w:rPr>
          <w:rFonts w:ascii="Calibri" w:cs="Calibri" w:eastAsia="Calibri" w:hAnsi="Calibri"/>
          <w:b/>
          <w:bCs/>
          <w:i w:val="false"/>
          <w:iCs w:val="false"/>
          <w:color w:val="1F3A5F"/>
          <w:sz w:val="22"/>
          <w:szCs w:val="22"/>
        </w:rPr>
        <w:t xml:space="preserve">Section 2 — Resident Rights, Admission &amp;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Supporting Residents’ Rights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Admission and Retention Criteria</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Admission Agreement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Assessment and Reassessment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Files and Documentation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Abuse, Neglect, and Exploitation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Discharge or Transfer of Residents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Immediate Transfer of Residents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Confidentiality and Privacy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Funds and Property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Grievances and Complaints</w:t>
            </w:r>
          </w:p>
        </w:tc>
      </w:tr>
    </w:tbl>
    <w:p>
      <w:pPr>
        <w:spacing w:after="60" w:before="140"/>
      </w:pPr>
      <w:r>
        <w:rPr>
          <w:rFonts w:ascii="Calibri" w:cs="Calibri" w:eastAsia="Calibri" w:hAnsi="Calibri"/>
          <w:b/>
          <w:bCs/>
          <w:i w:val="false"/>
          <w:iCs w:val="false"/>
          <w:color w:val="1F3A5F"/>
          <w:sz w:val="22"/>
          <w:szCs w:val="22"/>
        </w:rPr>
        <w:t xml:space="preserve">Section 3 — Services &amp; Resident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Services and Individualized Support Planning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Personal Care and Activities of Daily Living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Brain-Injury Care and Independent-Living Support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Coordination with Waiver Services and Case Management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Precautions for Residents at Risk of Elopement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Behavioral Supports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Activities and Community Integration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Procedures for Change in Resident Condition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Resident Supervision and Safety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Death of a Resident</w:t>
            </w:r>
          </w:p>
        </w:tc>
      </w:tr>
    </w:tbl>
    <w:p>
      <w:pPr>
        <w:spacing w:after="60" w:before="140"/>
      </w:pPr>
      <w:r>
        <w:rPr>
          <w:rFonts w:ascii="Calibri" w:cs="Calibri" w:eastAsia="Calibri" w:hAnsi="Calibri"/>
          <w:b/>
          <w:bCs/>
          <w:i w:val="false"/>
          <w:iCs w:val="false"/>
          <w:color w:val="1F3A5F"/>
          <w:sz w:val="22"/>
          <w:szCs w:val="22"/>
        </w:rPr>
        <w:t xml:space="preserve">Section 4 — Medications &amp; Health</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Physician Orders and Medical Oversight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Self-Administration and Assistance with Medications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Administration by Proxy Caregivers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Storage, Records, and Disposal</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Medication Errors and Adverse Reactions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Health Monitoring and Coordination of Care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Advance Directives and End-of-Life Preferences</w:t>
            </w:r>
          </w:p>
        </w:tc>
      </w:tr>
    </w:tbl>
    <w:p>
      <w:pPr>
        <w:spacing w:after="60" w:before="140"/>
      </w:pPr>
      <w:r>
        <w:rPr>
          <w:rFonts w:ascii="Calibri" w:cs="Calibri" w:eastAsia="Calibri" w:hAnsi="Calibri"/>
          <w:b/>
          <w:bCs/>
          <w:i w:val="false"/>
          <w:iCs w:val="false"/>
          <w:color w:val="1F3A5F"/>
          <w:sz w:val="22"/>
          <w:szCs w:val="22"/>
        </w:rPr>
        <w:t xml:space="preserve">Section 5 — Environment, Nutrition &amp;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Home Design Requirements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Physical Plant Health and Safety Standards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Furnishings and Fixtures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Fire Safety and Life Safety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Emergency and Disaster Preparedness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Nutrition and Food Service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Temperature and Water Safety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Infection Control, Sanitation and Supplies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Smoking, Weapons, and Prohibited Items</w:t>
            </w:r>
          </w:p>
        </w:tc>
      </w:tr>
    </w:tbl>
    <w:p>
      <w:pPr>
        <w:spacing w:after="60" w:before="140"/>
      </w:pPr>
      <w:r>
        <w:rPr>
          <w:rFonts w:ascii="Calibri" w:cs="Calibri" w:eastAsia="Calibri" w:hAnsi="Calibri"/>
          <w:b/>
          <w:bCs/>
          <w:i w:val="false"/>
          <w:iCs w:val="false"/>
          <w:color w:val="1F3A5F"/>
          <w:sz w:val="22"/>
          <w:szCs w:val="22"/>
        </w:rPr>
        <w:t xml:space="preserve">Section 6 — Program Performance &amp; Outcomes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Interdisciplinary Team</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Community Re-Entry and Discharge Planning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Outcome Measurement and Program Evaluation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Post-Discharge Follow-Up and Benchmarking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Accreditation Readiness and Deemed Status</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1 — ADMINISTRATION &amp; PERSONNEL</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Rule Chapter 111-8-62, Ga. Comp. R. &amp; Regs. (Personal Care Homes); Chapter 111-8-25 (General Licensing &amp; Enforcement); Chapter 111-8-12 (Criminal Background Checks); Chapter 111-8-100 (Proxy Caregivers); Chapter 111-8-16 (Disaster Preparedness, 25+ beds); O.C.G.A. Title 31, Chapters 2 and 7. Licensed and surveyed by the Georgia Department of Community Health, Healthcare Facility Regulation Division (HFRD).</w:t>
      </w:r>
    </w:p>
    <w:p>
      <w:pPr>
        <w:keepNext/>
        <w:spacing w:after="100" w:before="240"/>
      </w:pPr>
      <w:r>
        <w:rPr>
          <w:rFonts w:ascii="Calibri" w:cs="Calibri" w:eastAsia="Calibri" w:hAnsi="Calibri"/>
          <w:b/>
          <w:bCs/>
          <w:i w:val="false"/>
          <w:iCs w:val="false"/>
          <w:color w:val="1F3A5F"/>
          <w:sz w:val="24"/>
          <w:szCs w:val="24"/>
        </w:rPr>
        <w:t xml:space="preserve">Policy 1.01 — Licensure and Permit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Licensure and Permit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111-8-62-.05, .06; 111-8-25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operate under a current Personal Care Home permit and a clear governing authority, and to keep the permit and required disclosures current.</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Personal Care Home (PCH) — </w:t>
      </w:r>
      <w:r>
        <w:rPr>
          <w:rFonts w:ascii="Calibri" w:cs="Calibri" w:eastAsia="Calibri" w:hAnsi="Calibri"/>
          <w:b w:val="false"/>
          <w:bCs w:val="false"/>
          <w:i w:val="false"/>
          <w:iCs w:val="false"/>
          <w:color w:val="1A1A1A"/>
          <w:sz w:val="21"/>
          <w:szCs w:val="21"/>
        </w:rPr>
        <w:t xml:space="preserve">a dwelling that provides housing, food service, and one or more personal services to two or more adults not related to the owner or administrator (Rule 111-8-62-.03).</w:t>
      </w:r>
    </w:p>
    <w:p>
      <w:pPr>
        <w:spacing w:after="70" w:line="276"/>
      </w:pPr>
      <w:r>
        <w:rPr>
          <w:rFonts w:ascii="Calibri" w:cs="Calibri" w:eastAsia="Calibri" w:hAnsi="Calibri"/>
          <w:b/>
          <w:bCs/>
          <w:i w:val="false"/>
          <w:iCs w:val="false"/>
          <w:color w:val="1A1A1A"/>
          <w:sz w:val="21"/>
          <w:szCs w:val="21"/>
        </w:rPr>
        <w:t xml:space="preserve">Resident — </w:t>
      </w:r>
      <w:r>
        <w:rPr>
          <w:rFonts w:ascii="Calibri" w:cs="Calibri" w:eastAsia="Calibri" w:hAnsi="Calibri"/>
          <w:b w:val="false"/>
          <w:bCs w:val="false"/>
          <w:i w:val="false"/>
          <w:iCs w:val="false"/>
          <w:color w:val="1A1A1A"/>
          <w:sz w:val="21"/>
          <w:szCs w:val="21"/>
        </w:rPr>
        <w:t xml:space="preserve">an adult admitted to the home for residential and personal care services.</w:t>
      </w:r>
    </w:p>
    <w:p>
      <w:pPr>
        <w:spacing w:after="70" w:line="276"/>
      </w:pPr>
      <w:r>
        <w:rPr>
          <w:rFonts w:ascii="Calibri" w:cs="Calibri" w:eastAsia="Calibri" w:hAnsi="Calibri"/>
          <w:b/>
          <w:bCs/>
          <w:i w:val="false"/>
          <w:iCs w:val="false"/>
          <w:color w:val="1A1A1A"/>
          <w:sz w:val="21"/>
          <w:szCs w:val="21"/>
        </w:rPr>
        <w:t xml:space="preserve">Direct-access employee — </w:t>
      </w:r>
      <w:r>
        <w:rPr>
          <w:rFonts w:ascii="Calibri" w:cs="Calibri" w:eastAsia="Calibri" w:hAnsi="Calibri"/>
          <w:b w:val="false"/>
          <w:bCs w:val="false"/>
          <w:i w:val="false"/>
          <w:iCs w:val="false"/>
          <w:color w:val="1A1A1A"/>
          <w:sz w:val="21"/>
          <w:szCs w:val="21"/>
        </w:rPr>
        <w:t xml:space="preserve">a person who, through employment, has direct access to a resident or a resident’s property, records, or funds.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[Facility Name] holds a current PCH permit issued by the Georgia Department of Community Health, Healthcare Facility Regulation Division (HFRD), and operates only within the classification, capacity, and services authorized by that permit, in compliance with Rule Chapter 111-8-62 and the general licensing rules of Chapter 111-8-25.</w:t>
      </w:r>
    </w:p>
    <w:p>
      <w:pPr>
        <w:spacing w:after="120" w:before="0" w:line="276"/>
        <w:jc w:val="left"/>
      </w:pPr>
      <w:r>
        <w:rPr>
          <w:rFonts w:ascii="Calibri" w:cs="Calibri" w:eastAsia="Calibri" w:hAnsi="Calibri"/>
          <w:b w:val="false"/>
          <w:bCs w:val="false"/>
          <w:i w:val="false"/>
          <w:iCs w:val="false"/>
          <w:color w:val="1A1A1A"/>
          <w:sz w:val="21"/>
          <w:szCs w:val="21"/>
        </w:rPr>
        <w:t xml:space="preserve">The home applies for its permit on the Department’s forms, submits the required sketch or plat of the home and grounds, discloses ownership and controlling interests truthfully, and reports any change in ownership, capacity, location, or name to HFRD within the required timeframe. The permit is posted and renewed before expiration.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current PCH permit and post it where required.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the application, ownership disclosures, and the required home sketch/plat current and accurate.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Operate only within the permitted classification, capacity, and services.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changes of ownership, capacity, location, or name to HFRD within required timeframes.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Track the renewal date and renew before expiration.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PCH Permit Record · Ownership Disclosure · Home Sketch/Plat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1.02 — Governing Body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Governing Body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governing body that is legally responsible for the home’s operation, compliance, and quality of care.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governing body is legally responsible for the home’s operation and ensures that residents receive appropriate and sufficient care through necessary oversight. It adopts the home’s policies, appoints a qualified administrator, and provides the resources needed to comply with licensure requirements.</w:t>
      </w:r>
    </w:p>
    <w:p>
      <w:pPr>
        <w:spacing w:after="120" w:before="0" w:line="276"/>
        <w:jc w:val="left"/>
      </w:pPr>
      <w:r>
        <w:rPr>
          <w:rFonts w:ascii="Calibri" w:cs="Calibri" w:eastAsia="Calibri" w:hAnsi="Calibri"/>
          <w:b w:val="false"/>
          <w:bCs w:val="false"/>
          <w:i w:val="false"/>
          <w:iCs w:val="false"/>
          <w:color w:val="1A1A1A"/>
          <w:sz w:val="21"/>
          <w:szCs w:val="21"/>
        </w:rPr>
        <w:t xml:space="preserve">The governing body keeps current contact information on file with the Department, ensures the home accepts certified mail sent by the Department, and does not permit any member of the governing body, administration, or staff to serve in a conflicting role prohibited by rule (111-8-62-.07).</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the governing body’s authority and responsibilities in writing.</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Adopt and review the home’s policies and appoint a qualified administrator.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current contact information on file with HFRD and accept certified mail.</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oversight of care, compliance, and correction of deficiencies.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the home’s performance and quality data at least annually.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Governing Body Authority Statement · Department Contact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1.03 — Administration and Administrator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Administration and Administrator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home is under a qualified administrator who operates it within its permit and meets Georgia’s administrator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is under a qualified administrator (or on-site manager) responsible for day-to-day operation, staff supervision, and resident services, with a competent person designated in writing to act in the administrator’s absence. An administrator of a home licensed for 25 or more beds holds a valid license from the Georgia State Board of Long-Term Care Facility Administrators, with an effective date no later than 60 days from the date of hire.</w:t>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ensures the home admits and retains only residents whose needs it can meet, that services are delivered by qualified staff, and that the home operates within its permit and this manual (111-8-62-.08).</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Designate a qualified administrator and an authorized alternate in writing.</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Verify administrator licensure where required by bed count and maintain proof.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Define administrator duties and the scope of services in writing.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the home operates within its permit and capabilities.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Provide for qualified coverage whenever the administrator is absent.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Administrator Designation · Absence Coverage Designation · Scope of Services Statement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1.04 — Policies, Procedures, and Required Postings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Policies, Procedures, and Required Postings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111-8-62-.08, .25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current written policies and procedures and to post the information required by rule.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written policies and procedures that implement Chapter 111-8-62 and this manual, makes them accessible to all staff, and reviews them at least annually and upon any applicable rule change. Required information — including residents’ rights, the permit, the home’s name visible from the street, and complaint and reporting information — is posted as required (111-8-62-.08, .25).</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a master policy manual accessible to all staff on every shift.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residents’ rights, the permit, and complaint/reporting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Display the home’s name so it is visible from the street.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Record annual review on the Yearly Policy Review form.</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policies promptly after any applicable rule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Yearly Policy Review Log · Required Postings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1.05 — Workforce Qualifications and Training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Workforce Qualifications and Training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staff are qualified and receive the orientation and continuing education required by rule and by the needs of residents with brain injury.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staff member meets the qualifications for the position and completes orientation before providing unsupervised care. Within the first 60 days of employment, all staff complete work-related training including cardiopulmonary resuscitation and first aid, emergency procedures, the medical and social needs and characteristics of the resident population, residents’ rights, the Long-Term Care Resident Abuse Reporting Act, and infection control; and within 90 days, at least five hours of fire-safety training (with a two-hour refresher every three years).</w:t>
      </w:r>
    </w:p>
    <w:p>
      <w:pPr>
        <w:spacing w:after="120" w:before="0" w:line="276"/>
        <w:jc w:val="left"/>
      </w:pPr>
      <w:r>
        <w:rPr>
          <w:rFonts w:ascii="Calibri" w:cs="Calibri" w:eastAsia="Calibri" w:hAnsi="Calibri"/>
          <w:b w:val="false"/>
          <w:bCs w:val="false"/>
          <w:i w:val="false"/>
          <w:iCs w:val="false"/>
          <w:color w:val="1A1A1A"/>
          <w:sz w:val="21"/>
          <w:szCs w:val="21"/>
        </w:rPr>
        <w:t xml:space="preserve">Direct care staff, including the administrator or on-site manager providing hands-on services, complete at least 24 hours of continuing education in the first year and at least 16 hours each year after, including content relevant to brain injury, cognitive impairment, and behavior support. Continuing education is documented and, where required, verified through the state tracking system (111-8-62-.09).</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Verify qualifications and complete orientation before unsupervised care.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Deliver the 60-day and 90-day required training and document completion.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24 hours (year one) and 16 hours (annually) of continuing education for direct care staff.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Include brain-injury, cognitive-care, and behavior-support competencies.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training records with content, hours, instructor, and attendance.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 Training &amp; Continuing-Education Record · Orientation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1.06 — Staffing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sufficient trained staff to meet residents’ needs at all times.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at least the minimum on-site staffing levels required by Rule 111-8-62-.10 and staffs above the minimum whenever needed to meet residents’ health, safety, and care needs, calculating and documenting staffing using the methods and forms specified by the Department.</w:t>
      </w:r>
    </w:p>
    <w:p>
      <w:pPr>
        <w:spacing w:after="120" w:before="0" w:line="276"/>
        <w:jc w:val="left"/>
      </w:pPr>
      <w:r>
        <w:rPr>
          <w:rFonts w:ascii="Calibri" w:cs="Calibri" w:eastAsia="Calibri" w:hAnsi="Calibri"/>
          <w:b w:val="false"/>
          <w:bCs w:val="false"/>
          <w:i w:val="false"/>
          <w:iCs w:val="false"/>
          <w:color w:val="1A1A1A"/>
          <w:sz w:val="21"/>
          <w:szCs w:val="21"/>
        </w:rPr>
        <w:t xml:space="preserve">Staffing reflects the supervision and support needs of residents with brain injury, including awake overnight staff where the residents’ needs or bed count require it. Trained staff are present at all times any resident is in the home.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Schedule staff to meet or exceed minimum ratios and residents’ acuity.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Calculate and document staffing using the Department’s methods and forms.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trained staff are present at all times residents are in the home.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Provide awake overnight coverage where required by residents’ needs or bed count.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staffing as residents’ needs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Staffing Schedule &amp; Monthly Staffing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1.07 — Criminal Background Checks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Criminal Background Checks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111-8-12; 111-8-62-.09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through the fingerprint background checks required before direct-access work.</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serving as a direct-access employee, and for the owner, administrator, and on-site manager, the home obtains a satisfactory fingerprint records-check determination in compliance with the Rules for Criminal Background Checks (Chapter 111-8-12). A person without a satisfactory determination is not placed in a direct-access role, and the home maintains the determinations for review by the Department.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Obtain a satisfactory fingerprint records-check determination before direct-access work.</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Complete required checks for the owner, administrator, and on-site manager.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 not place a person without a satisfactory determination in a direct-access role.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Re-check as required and maintain determinations in the personnel record.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Address any change in a person’s status per rule.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Background Check Log · Records-Check Determination File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1.08 — Proxy Caregivers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Proxy Caregivers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111-8-100; 111-8-62-.20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any health-maintenance activities performed by unlicensed staff are performed only by trained, competent proxy caregivers.</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Proxy caregiver — </w:t>
      </w:r>
      <w:r>
        <w:rPr>
          <w:rFonts w:ascii="Calibri" w:cs="Calibri" w:eastAsia="Calibri" w:hAnsi="Calibri"/>
          <w:b w:val="false"/>
          <w:bCs w:val="false"/>
          <w:i w:val="false"/>
          <w:iCs w:val="false"/>
          <w:color w:val="1A1A1A"/>
          <w:sz w:val="21"/>
          <w:szCs w:val="21"/>
        </w:rPr>
        <w:t xml:space="preserve">an unlicensed person selected by a resident (or a person authorized to act for the resident) and trained to perform documented health-maintenance activities under Chapter 111-8-100.</w:t>
      </w:r>
    </w:p>
    <w:p>
      <w:pPr>
        <w:spacing w:after="70" w:line="276"/>
      </w:pPr>
      <w:r>
        <w:rPr>
          <w:rFonts w:ascii="Calibri" w:cs="Calibri" w:eastAsia="Calibri" w:hAnsi="Calibri"/>
          <w:b/>
          <w:bCs/>
          <w:i w:val="false"/>
          <w:iCs w:val="false"/>
          <w:color w:val="1A1A1A"/>
          <w:sz w:val="21"/>
          <w:szCs w:val="21"/>
        </w:rPr>
        <w:t xml:space="preserve">Health-maintenance activity — </w:t>
      </w:r>
      <w:r>
        <w:rPr>
          <w:rFonts w:ascii="Calibri" w:cs="Calibri" w:eastAsia="Calibri" w:hAnsi="Calibri"/>
          <w:b w:val="false"/>
          <w:bCs w:val="false"/>
          <w:i w:val="false"/>
          <w:iCs w:val="false"/>
          <w:color w:val="1A1A1A"/>
          <w:sz w:val="21"/>
          <w:szCs w:val="21"/>
        </w:rPr>
        <w:t xml:space="preserve">a task that would otherwise require a licensed professional, delegated and performed under the Proxy Caregiver rule.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a resident’s care includes a health-maintenance activity that would otherwise require a licensed professional, that activity is performed only by a proxy caregiver who has been selected as required, trained for the specific activity, and has demonstrated competency, consistent with Chapter 111-8-100 and the resident’s written authorization.</w:t>
      </w:r>
    </w:p>
    <w:p>
      <w:pPr>
        <w:spacing w:after="120" w:before="0" w:line="276"/>
        <w:jc w:val="left"/>
      </w:pPr>
      <w:r>
        <w:rPr>
          <w:rFonts w:ascii="Calibri" w:cs="Calibri" w:eastAsia="Calibri" w:hAnsi="Calibri"/>
          <w:b w:val="false"/>
          <w:bCs w:val="false"/>
          <w:i w:val="false"/>
          <w:iCs w:val="false"/>
          <w:color w:val="1A1A1A"/>
          <w:sz w:val="21"/>
          <w:szCs w:val="21"/>
        </w:rPr>
        <w:t xml:space="preserve">The home documents the selection, training, competency validation, and authorization for each proxy caregiver and each activity, and reassesses competency on the required schedule or after any performance concern.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the specific health-maintenance activity and obtain required authorization.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the proxy caregiver for that specific activity.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Validate competency before the activity is performed and document it.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Reassess competency on schedule or after any concern.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training, competency, and authorization records.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Proxy Caregiver Training &amp; Competency Record · Health-Maintenance Authorization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1.09 — Staff Health and Communicable Disease Screening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Staff Health and Communicable Disease Screening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111-8-62-.09, .23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by ensuring staff are screened for communicable disease as required.</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Staff complete any health screening required by rule and by the home’s infection-control program, including tuberculosis screening consistent with public-health guidance, before or promptly after hire. A staff member with a reportable communicable condition is managed to protect residents and other staff, consistent with public-health requirements (111-8-62-.09, .23).</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required health and tuberculosis screening at hire.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screening documentation in the personnel record.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Manage staff with communicable conditions to protect residents.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public-health reporting and clearance requirements.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Staff Health Screening Record · TB Screening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1.10 — Personnel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Personnel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111-8-62-.08, .09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complete, confidential personnel record for each staff member.</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a confidential personnel record for each employee containing the application and qualifications, job description, licensure or certification where applicable, background-check determination, health/TB screening, and training and continuing-education documentation. Records are retained and made available to the Department on request (111-8-62-.08, .09).</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personnel record for each employee with all required elements.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a signed job description for each position.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File background, health, and training documentation.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Secure records with access limited to authorized staff.</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records for the period required.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Personnel File Checklist · Job Description Templates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1.11 — Home Accountability, Inspections, and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Home Accountability, Inspections, and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111-8-62-.11, .30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cooperate with inspections and investigations and to make the reports required by rule.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cooperates fully with Department inspections and investigations, provides access to the home and records, and makes the reports required by Rule 111-8-62-.30 — including reportable incidents and events — within required timeframes. Cited deficiencies are corrected through a plan of correction that is tracked to completion (111-8-62-.11, .30).</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Make the home and records available for inspection and cooperate with surveyors.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Report reportable incidents and events to HFRD within required timeframes.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Develop and implement a plan of correction for cited deficiencies.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Track corrective actions to closure.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inspection reports and correspondence.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Reportable Incident Log · Plan of Correction Tracker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1.12 — Quality and Performance Improvement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and Performance Improvement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Administration / Human Resources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111-8-62-.08;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and continuously improve the quality and safety of services.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operates a quality and performance improvement process that reviews incidents, grievances, medication events, infection data, and survey findings; tracks program outcomes (Section 6); identifies trends; and implements and monitors corrective action. Findings are reported to the governing body at least annually.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Collect and review quality and outcome data on a defined schedule.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Analyze trends and implement written corrective-action plans.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Track corrective actions to closure and evaluate effectiveness.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quality findings to the governing body at least annually.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Incident/Quality Review Log · Corrective Action Plan · QI Summary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2 — RESIDENT RIGHTS, ADMISSION &amp; RECORDS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Rule Chapter 111-8-62, Ga. Comp. R. &amp; Regs. (Personal Care Homes); Chapter 111-8-25 (General Licensing &amp; Enforcement); Chapter 111-8-12 (Criminal Background Checks); Chapter 111-8-100 (Proxy Caregivers); Chapter 111-8-16 (Disaster Preparedness, 25+ beds); O.C.G.A. Title 31, Chapters 2 and 7. Licensed and surveyed by the Georgia Department of Community Health, Healthcare Facility Regulation Division (HFRD).</w:t>
      </w:r>
    </w:p>
    <w:p>
      <w:pPr>
        <w:keepNext/>
        <w:spacing w:after="100" w:before="240"/>
      </w:pPr>
      <w:r>
        <w:rPr>
          <w:rFonts w:ascii="Calibri" w:cs="Calibri" w:eastAsia="Calibri" w:hAnsi="Calibri"/>
          <w:b/>
          <w:bCs/>
          <w:i w:val="false"/>
          <w:iCs w:val="false"/>
          <w:color w:val="1F3A5F"/>
          <w:sz w:val="24"/>
          <w:szCs w:val="24"/>
        </w:rPr>
        <w:t xml:space="preserve">Policy 2.01 — Supporting Residents’ Rights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Supporting Residents’ Rights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each resident’s dignity, autonomy, privacy, and quality of life.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supports each resident’s rights under Rule 111-8-62-.25, including dignity and respect; privacy in care, communication, and personal affairs; freedom from abuse, neglect, exploitation, and unnecessary restraint; to participate in decisions about care and services; to manage personal funds or delegate that; to voice grievances without retaliation; to receive visitors; and to be informed of the home’s rules and services.</w:t>
      </w:r>
    </w:p>
    <w:p>
      <w:pPr>
        <w:spacing w:after="120" w:before="0" w:line="276"/>
        <w:jc w:val="left"/>
      </w:pPr>
      <w:r>
        <w:rPr>
          <w:rFonts w:ascii="Calibri" w:cs="Calibri" w:eastAsia="Calibri" w:hAnsi="Calibri"/>
          <w:b w:val="false"/>
          <w:bCs w:val="false"/>
          <w:i w:val="false"/>
          <w:iCs w:val="false"/>
          <w:color w:val="1A1A1A"/>
          <w:sz w:val="21"/>
          <w:szCs w:val="21"/>
        </w:rPr>
        <w:t xml:space="preserve">The home provides communication and cognitive accommodations — such as simplified explanations, cueing, and extra time — so that residents with brain injury can understand and exercise their rights.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residents’ rights on admission, with accommodations as needed.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Post residents’ rights and complaint/Ombudsman information.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Support each resident’s participation in decisions about care.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delivery and acknowledgment of rights.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Investigate and correct any violation of rights.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Residents’ Rights Statement · Rights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2.02 — Admission and Retention Criteria</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Admission and Retention Criteria</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admit and retain only residents whose needs the home can appropriately and safely meet.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admits and retains only residents whose needs it can meet within its permit, staffing, and capabilities, based on a pre-admission assessment of the person’s physical, cognitive, behavioral, and support needs, consistent with Rule 111-8-62-.15. It does not admit or retain a resident who requires a level of care beyond what a personal care home may provide.</w:t>
      </w:r>
    </w:p>
    <w:p>
      <w:pPr>
        <w:spacing w:after="120" w:before="0" w:line="276"/>
        <w:jc w:val="left"/>
      </w:pPr>
      <w:r>
        <w:rPr>
          <w:rFonts w:ascii="Calibri" w:cs="Calibri" w:eastAsia="Calibri" w:hAnsi="Calibri"/>
          <w:b w:val="false"/>
          <w:bCs w:val="false"/>
          <w:i w:val="false"/>
          <w:iCs w:val="false"/>
          <w:color w:val="1A1A1A"/>
          <w:sz w:val="21"/>
          <w:szCs w:val="21"/>
        </w:rPr>
        <w:t xml:space="preserve">Admission of adults with brain injury reflects the home’s ability to provide appropriate supervision, cognitive and behavioral support, and coordination with the resident’s providers and any waiver (ICWP) services. Where a resident’s needs exceed the home’s authority, the home arranges an appropriate placement or transfer.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a pre-admission assessment of the prospective resident’s needs.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Confirm the home can meet those needs within its permit and staffing.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funding/authorization (ICWP, trust fund, private pay) as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Complete required admission documentation and the health/medical evaluation.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Re-evaluate retention when a resident’s needs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Pre-Admission Assessment · Medical Evaluation (DCH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2.03 — Admission Agreement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Admission Agreement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establish a clear written admission agreement with each resident.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or the resident’s representative, signs an admission agreement that discloses the services provided, charges and payment terms, refund policy, house rules, bed-hold and discharge provisions, and the rights and responsibilities required by Rule 111-8-62-.16. The resident receives a copy, and the signed agreement is retained in the resident file.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the admission agreement before or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Disclose services, charges, refund terms, and house rules.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Obtain signatures and provide a copy to the resident/representative.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the agreement when terms change.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the signed agreement in the resident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Admission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2.04 — Resident Assessment and Reassessment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Assessment and Reassessment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111-8-62-.15, .17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assess each resident’s needs at admission and on an ongoing basis to guide services.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receives an assessment of physical, cognitive, behavioral, functional, and psychosocial needs at admission and is reassessed on a defined schedule and whenever there is a significant change in condition. The assessment informs the individualized resident support plan and the level of supervision and support provided (111-8-62-.15, .17).</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an admission assessment of the resident’s needs.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the assessment to develop the individualized support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Reassess on a defined schedule and on significant change.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assessed needs, strengths, and risks.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services and supervision based on reassessment.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Assessment / Reassessment Form</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2.05 — Resident Files and Documentation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Files and Documentation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complete, current, confidential file for each resident.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a resident file containing the admission documentation and agreement, the assessment and support plan, the medical evaluation and physician orders, medication records, progress notes, incident documentation, and required forms, kept confidential, current, and available to the Department (111-8-62-.24).</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complete, current file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care, observations, and changes contemporaneously.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files and limit access to authorized staff.</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Retain files for the required period.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Reconcile the file at admission, on change, and at discharge.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File Checklist · Progress Note Template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2.06 — Abuse, Neglect, and Exploitation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Abuse, Neglect, and Exploitation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111-8-62-.30; O.C.G.A. § 31-8-80 et seq.</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and immediately report any abuse, neglect, or exploitation of a resident.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staff are mandatory reporters. Suspected abuse, neglect, or exploitation of a resident is reported immediately as required by the Long-Term Care Resident Abuse Reporting Act (O.C.G.A. § 31-8-80 et seq.) and Rule 111-8-62-.30, and to Adult Protective Services and law enforcement where applicable. The home protects the resident, preserves evidence, cooperates with investigations, and prohibits retaliation against a reporter.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suspected abuse, neglect, or exploitation immediately — do not delay for internal review.</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Protect the resident’s safety and preserve any evidence.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HFRD, Adult Protective Services, and law enforcement as required.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all reports and notifications.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Cooperate with investigations and prohibit retaliation.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ANE Reporting Form · ANE Reporting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2.07 — Discharge or Transfer of Residents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Discharge or Transfer of Residents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manage discharges and transfers with proper notice, planning, and a safe transition.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discharges or transfers a resident only for reasons permitted by Rule 111-8-62-.29, provides the required written notice, completes discharge planning that addresses the resident’s ongoing needs, and arranges a safe transition to an appropriate setting. Medications, records, and belongings are released with signed receipts.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the reason for discharge or transfer and provide required written notice.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Complete discharge planning and coordinate the receiving setting.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Release medications, records, and belongings with signed receipts.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Arrange follow-up services where appropriate.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discharge documentation in the resident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Discharge/Transfer Notice · Belongings &amp; Medication Release Receipt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2.08 — Immediate Transfer of Residents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Immediate Transfer of Residents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act promptly when a resident’s condition requires immediate transfer to a higher level of care.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When a resident’s condition presents an emergency or exceeds what the home may provide, the home arranges immediate transfer to an appropriate level of care, provides or arranges emergency care in the interim, and notifies the physician and representative, consistent with Rule 111-8-62-.28.</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Recognize conditions requiring immediate transfer.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Arrange emergency care or transfer without delay.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Notify the physician and the resident’s representative.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the event, actions, and follow-up.</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the event as required.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Immediate Transfer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2.09 — Confidentiality and Privacy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Confidentiality and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111-8-62-.24, .25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the confidentiality of resident information.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 records and personal information are kept confidential and disclosed only as authorized by the resident or representative or as required by law. Paper and electronic records are secured against unauthorized access, and staff are trained on privacy expectations (111-8-62-.24, .25).</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Limit access to resident records to authorized staff.</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written authorization before releasing information except where required by law.</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physical and electronic records.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staff on confidentiality.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Retain records for the required period.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Authorization for Release of Information · Records Access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2.10 — Resident Funds and Property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Funds and Property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111-8-62-.24, .25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safeguard resident funds and personal property.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 resident may manage personal funds and property or delegate that responsibility. When the home handles resident funds, it keeps them separate from home funds, maintains an accurate accounting, provides receipts and periodic statements, and complies with any representative-payee requirements. A personal property inventory is maintained and reconciled.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the resident’s choice regarding management of funds and property.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any home-held resident funds separate with a written accounting.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receipts and periodic statements.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and reconcile a personal property inventory.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Reconcile funds and property at discharge.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Funds Ledger · Personal Property Inventory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2.11 — Grievances and Complaints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Grievances and Complaints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Services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residents can raise concerns and have them resolved without retaliation.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Residents and representatives may file grievances internally and with HFRD and the State Long-Term Care Ombudsman. The home maintains a written grievance procedure, assists residents in using it, logs and investigates grievances, documents resolution, and prohibits retaliation.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 written grievance procedure and assist residents in using it.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Log grievances, investigate, and document resolution and follow-up.</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Post HFRD complaint and Ombudsman contact information.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for and prohibit retaliation.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grievance trends in quality improvement.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Grievance Form · Grievance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3 — SERVICES &amp; RESIDENT CARE</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Rule Chapter 111-8-62, Ga. Comp. R. &amp; Regs. (Personal Care Homes); Chapter 111-8-25 (General Licensing &amp; Enforcement); Chapter 111-8-12 (Criminal Background Checks); Chapter 111-8-100 (Proxy Caregivers); Chapter 111-8-16 (Disaster Preparedness, 25+ beds); O.C.G.A. Title 31, Chapters 2 and 7. Licensed and surveyed by the Georgia Department of Community Health, Healthcare Facility Regulation Division (HFRD).</w:t>
      </w:r>
    </w:p>
    <w:p>
      <w:pPr>
        <w:keepNext/>
        <w:spacing w:after="100" w:before="240"/>
      </w:pPr>
      <w:r>
        <w:rPr>
          <w:rFonts w:ascii="Calibri" w:cs="Calibri" w:eastAsia="Calibri" w:hAnsi="Calibri"/>
          <w:b/>
          <w:bCs/>
          <w:i w:val="false"/>
          <w:iCs w:val="false"/>
          <w:color w:val="1F3A5F"/>
          <w:sz w:val="24"/>
          <w:szCs w:val="24"/>
        </w:rPr>
        <w:t xml:space="preserve">Policy 3.01 — Services and Individualized Support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Services and Individualized Support Planning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the housing, meals, and personal services each resident needs through an individualized support plan.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provides housing, food service, and the personal services required by Rule 111-8-62-.17 — assistance with activities of daily living, supervision, and support — individualized to each resident and documented in a written resident support plan derived from the assessment.</w:t>
      </w:r>
    </w:p>
    <w:p>
      <w:pPr>
        <w:spacing w:after="120" w:before="0" w:line="276"/>
        <w:jc w:val="left"/>
      </w:pPr>
      <w:r>
        <w:rPr>
          <w:rFonts w:ascii="Calibri" w:cs="Calibri" w:eastAsia="Calibri" w:hAnsi="Calibri"/>
          <w:b w:val="false"/>
          <w:bCs w:val="false"/>
          <w:i w:val="false"/>
          <w:iCs w:val="false"/>
          <w:color w:val="1A1A1A"/>
          <w:sz w:val="21"/>
          <w:szCs w:val="21"/>
        </w:rPr>
        <w:t xml:space="preserve">The support plan identifies each resident’s needs, goals, services, and the staff responsible, and is reviewed and updated on a defined schedule and whenever the resident’s condition changes. For residents receiving ICWP or other waiver services, the support plan is coordinated with the waiver service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a written support plan for each resident from the assessment.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needs, goals, services, and responsible staff.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with any waiver (ICWP) service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and update the plan on schedule and on change.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services delivered against the plan.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Support Plan · Service Delivery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3.02 — Personal Care and Activities of Daily Living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Personal Care and Activities of Daily Living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respectful, individualized assistance with activities of daily living.</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provides assistance with bathing, dressing, grooming, toileting, mobility, eating, and other activities of daily living as needed, promoting each resident’s independence and dignity and using the cueing and compensatory strategies appropriate to residents with brain injury (111-8-62-.17).</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each resident’s ADL needs and document them in the support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assistance that promotes independence and preserves dignity.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cueing and compensatory strategies suited to brain injury.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assistance provided and changes in ability.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assistance as the resident’s abilities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ADL Support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3.03 — Brain-Injury Care and Independent-Living Support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Brain-Injury Care and Independent-Living Support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with brain injury in daily living and toward greater independence.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provides brain-injury-informed support that accounts for the cognitive, behavioral, physical, and communication effects of brain injury — structured routines, environmental cues, memory and organization supports, and independent-living-skills practice — coordinated with each resident’s therapists, providers, and any waiver (ICWP) service plan.</w:t>
      </w:r>
    </w:p>
    <w:p>
      <w:pPr>
        <w:spacing w:after="120" w:before="0" w:line="276"/>
        <w:jc w:val="left"/>
      </w:pPr>
      <w:r>
        <w:rPr>
          <w:rFonts w:ascii="Calibri" w:cs="Calibri" w:eastAsia="Calibri" w:hAnsi="Calibri"/>
          <w:b w:val="false"/>
          <w:bCs w:val="false"/>
          <w:i w:val="false"/>
          <w:iCs w:val="false"/>
          <w:color w:val="1A1A1A"/>
          <w:sz w:val="21"/>
          <w:szCs w:val="21"/>
        </w:rPr>
        <w:t xml:space="preserve">Staff are trained on each resident’s specific strategies so support is consistent across shifts.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brain-injury-related needs and strategies in the support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consistent cueing, structure, and compensatory strategies across shifts.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with the resident’s providers and waiver case manager.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staff on each resident’s strategies.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support and progress toward independence goals.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Brain-Injury Support Plan · Progress Notes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3.04 — Coordination with Waiver Services and Case Management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Coordination with Waiver Services and Case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the home’s services with each resident’s ICWP or other waiver services and case manager.</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For residents receiving ICWP or other waiver services, the home coordinates its personal care and supervision with the waiver service plan and the case manager, avoids duplication, communicates changes in the resident’s condition, and supports the resident’s access to authorized waiver services.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each resident’s waiver services and case manager.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Align the home’s support plan with the waiver service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Communicate condition changes to the case manager.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the resident’s access to authorized services.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coordination.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Waiver Coordination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3.05 — Precautions for Residents at Risk of Elopement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Precautions for Residents at Risk of Elopement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identify and protect residents at risk of unsafe wandering or elopement while supporting appropriate community access.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assesses each resident for elopement risk on admission and after any change, implements the precautions required by Rule 111-8-62-.18 using individualized, least-restrictive measures documented in the support plan, and follows a written response protocol if a resident is missing. The home supports supervised community access consistent with each resident’s goals and support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elopement risk on admission and after changes.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individualized, least-restrictive precautions in the support plan.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Follow a written missing-resident response protocol and review each event.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supervised community access consistent with goals.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precautions as risk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Elopement Risk Assessment · Missing-Resident Response Protocol</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3.06 — Behavioral Supports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Behavioral Supports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111-8-62-.17, .25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whose brain injury affects behavior using positive, least-restrictive approaches.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uses individualized, positive, least-restrictive behavioral supports and trained de-escalation for residents whose brain injury affects behavior, coordinated with behavioral and medical providers. Restraint is not used for discipline or convenience, and any restrictive measure is limited to what is authorized and documented, consistent with residents’ rights.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behavioral supports in the resident support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staff on each resident’s approach and de-escalation.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least-restrictive strategies first and document interventions.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with behavioral and medical providers.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incidents and adjust supports.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Behavioral Support Plan · Behavior Incident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3.07 — Activities and Community Integration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Activities and Community Integration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meaningful activities and supervised community integration suited to residents’ interests and goals.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offers therapeutic, social, and recreational activities and supervised community-integration opportunities suited to residents’ interests, abilities, and goals, supporting engagement and progress toward independence.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residents’ interests and abilities.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Plan activities and graduated, supervised community outings.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Support participation with needed accommodations.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participation and outcomes.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offerings to residents’ progress and preferences.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Activity &amp; Community-Integration Plan · Participation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3.08 — Procedures for Change in Resident Condition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Procedures for Change in Resident Condition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recognize, respond to, and document changes in a resident’s condition.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monitors residents for changes in physical, cognitive, or behavioral condition, takes timely action, notifies the physician and representative of significant changes, and updates the support plan, consistent with Rule 111-8-62-.26.</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Monitor and document condition changes.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Notify the physician and representative of significant changes.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Take timely action, including transfer if needed.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the support plan.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the change and response.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Change-of-Condition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3.09 — Resident Supervision and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Resident Supervision and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111-8-62-.10, .17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protective oversight appropriate to each resident while supporting autonomy.</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provides protective oversight appropriate to each resident’s cognitive and physical status and independence goals, maintains awareness of residents’ whereabouts and safety, and balances safety with each resident’s autonomy and community-access goals.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supervision matched to each resident’s needs.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awareness of residents’ whereabouts and safety.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Support supervised community access consistent with goals.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supervision concerns and responses.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supervision as needs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Supervision &amp; Safety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3.10 — Death of a Resident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Death of a Resident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Resident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appropriately and make required notifications upon a resident’s death.</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On the death of a resident, the home follows Rule 111-8-62-.27 — making required notifications to the representative and authorities, handling belongings and medications appropriately, documenting the event, and reporting as required.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Make required notifications to the representative and authorities.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Handle belongings and medications per policy with documentation.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the event in the resident file.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the death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Provide support to other residents and staff as appropriate.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Resident Death Record &amp; Notification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4 — MEDICATIONS &amp; HEALTH</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Rule Chapter 111-8-62, Ga. Comp. R. &amp; Regs. (Personal Care Homes); Chapter 111-8-25 (General Licensing &amp; Enforcement); Chapter 111-8-12 (Criminal Background Checks); Chapter 111-8-100 (Proxy Caregivers); Chapter 111-8-16 (Disaster Preparedness, 25+ beds); O.C.G.A. Title 31, Chapters 2 and 7. Licensed and surveyed by the Georgia Department of Community Health, Healthcare Facility Regulation Division (HFRD).</w:t>
      </w:r>
    </w:p>
    <w:p>
      <w:pPr>
        <w:keepNext/>
        <w:spacing w:after="100" w:before="240"/>
      </w:pPr>
      <w:r>
        <w:rPr>
          <w:rFonts w:ascii="Calibri" w:cs="Calibri" w:eastAsia="Calibri" w:hAnsi="Calibri"/>
          <w:b/>
          <w:bCs/>
          <w:i w:val="false"/>
          <w:iCs w:val="false"/>
          <w:color w:val="1F3A5F"/>
          <w:sz w:val="24"/>
          <w:szCs w:val="24"/>
        </w:rPr>
        <w:t xml:space="preserve">Policy 4.01 — Physician Orders and Medical Oversight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Physician Orders and Medical Oversight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111-8-62-.20, .26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care and medications are provided under current physician orders and appropriate medical oversight.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resident has a source of medical care, and the home obtains and follows current physician (or authorized practitioner) orders for medications and treatments. The home maintains current orders in the resident file, obtains updates on change, and ensures the required professional oversight of the medication system (111-8-62-.20, .26).</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Confirm each resident’s source of medical care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Obtain and file current physician orders for medications and treatments.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Update orders on change and at required intervals.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professional oversight of the medication system.</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Coordinate appointments and follow-up.</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Physician Order Record · Medical Oversight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4.02 — Medications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manage medications safely, accurately, and in accordance with rule and physician orders.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managed in accordance with Rule 111-8-62-.20 and physician orders. Assistance with self-administration and administration are performed only by persons authorized under the rule, and each medication is recorded on the resident’s Medication Administration Record. The home maintains the professional oversight of the medication system required by rule.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Manage medications per physician orders and 111-8-62-.20.</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Ensure only authorized persons assist with or administer medications.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Record each medication on the MAR, including missed or refused doses.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required professional oversight.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Reconcile medications on admission, change, and return from hospital.</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Administration Record (MAR)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4.03 — Self-Administration and Assistance with Medications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Self-Administration and Assistance with Medications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support residents who self-administer and to define assistance within rule.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Residents who are able may self-administer medications, with the home providing storage and monitoring as appropriate. Where the home assists with self-administration, staff do so only within what is permitted by Rule 111-8-62-.20 and the resident’s abilities, escalating to a proxy caregiver or licensed professional when administration is required.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each resident’s ability to self-administer.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secure storage and monitoring for self-administered medications.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Assist only within the limits permitted by rule.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Escalate to a proxy caregiver or professional when administration is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the resident’s self-administration status and any assistance.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Self-Administration Assessment · Self-Administration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4.04 — Medication Administration by Proxy Caregivers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Administration by Proxy Caregivers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111-8-100; 111-8-62-.20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medication administration by unlicensed staff is performed only by trained proxy caregivers.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medication administration is a health-maintenance activity performed by unlicensed staff, it is performed only by a proxy caregiver trained and validated for that activity under Chapter 111-8-100, with the required authorization and professional oversight, and each dose is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Confirm the person administering is a validated proxy caregiver for the task.</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Administer per physician orders and the MAR.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each dose, including missed or refused doses.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oversight and revalidate competency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and address any deviation.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Proxy Caregiver Medication Validation · MAR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4.05 — Medication Storage, Records, and Disposal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Storage, Records, and Disposal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control, record, and properly dispose of medications.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Medications are stored securely and recorded on each resident’s medication record; controlled substances are stored and counted with additional controls; and discontinued, expired, and post-discharge medications are disposed of as required, with signed receipts when medications are released to a discharged resident.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current medication record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Store medications securely, with added control and counts for controlled substances.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Dispose of medications per requirements and document disposal.</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Obtain signed receipts when releasing medications on discharge.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Audit storage and records periodically.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Storage Audit · Disposal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4.06 — Medication Errors and Adverse Reactions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Medication Errors and Adverse Reactions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111-8-62-.20, .26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to and reduce medication errors and adverse reactions.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Medication errors and suspected adverse reactions are addressed immediately with attention to the resident’s safety, reported to the physician, documented, and reviewed through quality improvement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Attend to the resident’s safety first and contact the physician.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the error or reaction and notify the representative as appropriate.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Report as required.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Review trends and take corrective action.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Error / Adverse Reaction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4.07 — Health Monitoring and Coordination of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Health Monitoring and Coordination of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111-8-62-.17, .26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residents’ health and coordinate care with providers.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monitors residents’ health and functional status, coordinates medical and therapy appointments, communicates with providers, and supports continuity of care, escalating changes in condition per the change-of-condition policy (111-8-62-.17, .26).</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Monitor residents’ health and functional status.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Coordinate and support medical and therapy appointments.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Communicate with providers and the waiver case manager.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Escalate changes in condition per policy.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monitoring and coordination.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Health Monitoring Log · Appointment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4.08 — Advance Directives and End-of-Life Preferences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Advance Directives and End-of-Life Preferences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Health Services / Medication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111-8-62-.25, .27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honor residents’ advance directives and end-of-life preferences.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asks about and documents each resident’s advance directives and end-of-life preferences, keeps them in the resident file, communicates them to relevant staff and providers, and honors them consistent with law and the resident’s rights.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Ask about advance directives at admission and document them.</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directives in the resident file and accessible to staff.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Communicate directives to providers and emergency responders as appropriate.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Honor directives consistent with law.</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and update directives on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Advance Directive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5 — ENVIRONMENT, NUTRITION &amp; SAFETY</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Rule Chapter 111-8-62, Ga. Comp. R. &amp; Regs. (Personal Care Homes); Chapter 111-8-25 (General Licensing &amp; Enforcement); Chapter 111-8-12 (Criminal Background Checks); Chapter 111-8-100 (Proxy Caregivers); Chapter 111-8-16 (Disaster Preparedness, 25+ beds); O.C.G.A. Title 31, Chapters 2 and 7. Licensed and surveyed by the Georgia Department of Community Health, Healthcare Facility Regulation Division (HFRD).</w:t>
      </w:r>
    </w:p>
    <w:p>
      <w:pPr>
        <w:keepNext/>
        <w:spacing w:after="100" w:before="240"/>
      </w:pPr>
      <w:r>
        <w:rPr>
          <w:rFonts w:ascii="Calibri" w:cs="Calibri" w:eastAsia="Calibri" w:hAnsi="Calibri"/>
          <w:b/>
          <w:bCs/>
          <w:i w:val="false"/>
          <w:iCs w:val="false"/>
          <w:color w:val="1F3A5F"/>
          <w:sz w:val="24"/>
          <w:szCs w:val="24"/>
        </w:rPr>
        <w:t xml:space="preserve">Policy 5.01 — Home Design Requirements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Home Design Requirements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home that meets the design requirements for a personal care home.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meets the design requirements of Rule 111-8-62-.12 — including required living, sleeping, bathing, and dining spaces and occupancy limits — and provides a home-like environment accessible to residents who may have mobility, sensory, or cognitive impairments.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home’s design in compliance with 111-8-62-.12.</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sleeping-room occupancy within limits.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accessible, home-like living, dining, and common spaces.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design issues identified on inspection.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the home’s layout and any modifications.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Home Design Compliance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5.02 — Physical Plant Health and Safety Standards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Physical Plant Health and Safety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the building, equipment, and grounds safe, sanitary, and in good repair.</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the building, equipment, and grounds in safe, sanitary, operating condition meeting the physical-plant health and safety standards of Rule 111-8-62-.13, inspects routinely, and corrects hazards promptly, with attention to hazards relevant to residents with mobility or cognitive impairments.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Inspect the physical plant routinely.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Correct hazards promptly and document repairs.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safe walkways, lighting, and exits.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hazards relevant to residents’ impairments.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a maintenance log.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Physical Plant Inspection Checklist · Maintenance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5.03 — Furnishings and Fixtures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Furnishings and Fixtures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safe, clean, and sufficient furnishings and fixtures.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provides the furnishings and fixtures required by Rule 111-8-62-.14 — including appropriate resident beds, storage, and common-area furnishings — kept clean, safe, and in good repair.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required furnishings for each resident and common area.</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furnishings clean, safe, and in good repair.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Replace unsafe or damaged furnishings promptly.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furnishings maintenance.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Furnishings Inventory &amp; Condition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5.04 — Fire Safety and Life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Fire Safety and Life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111-8-62-.09, .13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residents through fire-safety systems, training, and drills.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fire-protection and life-safety systems appropriate to the building, ensures staff complete the required fire-safety training (at least five hours within 90 days and a refresher every three years), posts evacuation routes, and conducts and documents fire drills, with evacuation planning reflecting each resident’s mobility and cognitive needs.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fire-protection systems, alarms, and exits.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Complete required staff fire-safety training and refreshers.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Post evacuation routes and maintain resident-specific evacuation needs.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Conduct and document fire drills.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Correct fire-safety deficiencies promptly.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Fire Drill Log · Life-Safety Inspection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5.05 — Emergency and Disaster Preparedness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Emergency and Disaster Preparedness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111-8-16 (25+ beds); 111-8-62-.13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for and respond to emergencies and disasters.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an emergency preparedness and response plan addressing fire, severe weather, loss of utilities, medical emergencies, and evacuation or shelter, individualized to residents whose brain injury affects mobility or cognition. Homes licensed for 25 or more beds meet the additional requirements of the Rules for Disaster Preparedness Plans (Chapter 111-8-16).</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and update the emergency plan at least annually and after any activation.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Individualize evacuation/shelter for residents’ mobility and cognitive needs.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Meet 25+-bed disaster-preparedness requirements where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staff and conduct documented drills.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emergency supplies and contacts.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Emergency Preparedness Plan · Individualized Evacuation Plan · Drill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5.06 — Nutrition and Food Service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Nutrition and Food Service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residents’ nutritional and therapeutic dietary needs with safe food service.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provides meals and snacks meeting residents’ nutritional needs, including therapeutic and texture-modified diets where indicated, in accordance with Rule 111-8-62-.21, and stores, prepares, and serves food safely and sanitarily. Residents’ preferences and swallowing or feeding needs related to brain injury are accommodated.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Plan menus to meet nutritional and therapeutic needs.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Document special, modified, and preference diets.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Accommodate swallowing/feeding needs related to brain injury.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Store, prepare, and serve food safely and sanitarily.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Monitor residents’ nutritional status.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Menu &amp; Therapeutic Diet Plan · Kitchen Sanitation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5.07 — Temperature and Water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Temperature and Water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111-8-62-.22, .13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safe indoor temperatures and safe water.</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safe, comfortable indoor temperatures as required by Rule 111-8-62-.22, including during weather extremes and utility disruptions, and maintains safe hot-water temperatures to prevent scalding.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required indoor temperature ranges and monitor as needed.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Plan for temperature control during utility disruptions.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Maintain safe hot-water temperatures to prevent scalding.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Correct temperature or water problems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monitoring.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Temperature Monitoring Log · Water-Temperature Check</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5.08 — Infection Control, Sanitation and Supplies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Infection Control, Sanitation and Supplies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111-8-62-.23</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a sanitary environment and prevent transmission of disease.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infection-control and sanitation practices and required supplies under Rule 111-8-62-.23 — standard precautions, hand hygiene, safe handling and disposal of waste, and a stocked first-aid supply (including gloves, bandages, thermometer, tape, gauze, and antiseptic) — and reports reportable diseases as required.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hand-hygiene, cleaning, and standard-precaution practices.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Keep required first-aid and sanitation supplies stocked.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Handle and dispose of waste safely.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reportable diseases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cleaning, sanitation, and supply checks.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Infection Control Plan · Cleaning &amp; Supply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5.09 — Smoking, Weapons, and Prohibited Items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Smoking, Weapons, and Prohibited Items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Environmental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111-8-62-.13, .25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safe environment through clear rules on smoking, weapons, and other hazards.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written rules on smoking, weapons, and other prohibited or hazardous items consistent with residents’ rights and safety, communicates them in the admission agreement and house rules, and enforces them to protect residents and staff.</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written rules on smoking, weapons, and prohibited items.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Communicate the rules in the admission agreement and house rules.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designated areas or accommodations where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Enforce the rules consistently and document violations.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Store hazardous items securely.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House Rules Acknowledgment · Hazard Storage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PROGRAM PERFORMANCE &amp; OUTCOMES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Rule Chapter 111-8-62, Ga. Comp. R. &amp; Regs. (Personal Care Homes); Chapter 111-8-25 (General Licensing &amp; Enforcement); Chapter 111-8-12 (Criminal Background Checks); Chapter 111-8-100 (Proxy Caregivers); Chapter 111-8-16 (Disaster Preparedness, 25+ beds); O.C.G.A. Title 31, Chapters 2 and 7. Licensed and surveyed by the Georgia Department of Community Health, Healthcare Facility Regulation Division (HFRD).</w:t>
      </w:r>
    </w:p>
    <w:p>
      <w:pPr>
        <w:spacing w:after="120" w:before="0" w:line="276"/>
        <w:jc w:val="left"/>
      </w:pPr>
      <w:r>
        <w:rPr>
          <w:rFonts w:ascii="Calibri" w:cs="Calibri" w:eastAsia="Calibri" w:hAnsi="Calibri"/>
          <w:b w:val="false"/>
          <w:bCs w:val="false"/>
          <w:i/>
          <w:iCs/>
          <w:color w:val="555555"/>
          <w:sz w:val="20"/>
          <w:szCs w:val="20"/>
        </w:rPr>
        <w:t xml:space="preserve">Accreditation alignment (optional, but market-relevant in Georgia): this manual is structured to align with nationally recognized rehabilitation accreditation frameworks — the Joint Commission and CARF (Commission on Accreditation of Rehabilitation Facilities) — which payers often require or prefer for brain-injury providers. In Georgia, an accreditation recognized by the Department may also support “deemed status” in lieu of routine inspection (Rule 111-8-62-.31). This manual aligns the facility’s practices to these frameworks and does not reproduce their proprietary standards; obtain current standards directly from the accreditor.</w:t>
      </w:r>
    </w:p>
    <w:p>
      <w:pPr>
        <w:keepNext/>
        <w:spacing w:after="100" w:before="240"/>
      </w:pPr>
      <w:r>
        <w:rPr>
          <w:rFonts w:ascii="Calibri" w:cs="Calibri" w:eastAsia="Calibri" w:hAnsi="Calibri"/>
          <w:b/>
          <w:bCs/>
          <w:i w:val="false"/>
          <w:iCs w:val="false"/>
          <w:color w:val="1F3A5F"/>
          <w:sz w:val="24"/>
          <w:szCs w:val="24"/>
        </w:rPr>
        <w:t xml:space="preserve">Policy 6.01 — Interdisciplinary Team</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Interdisciplinary Team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111-8-62-.17</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brain-injury services through an interdisciplinary team (IDT).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Brain-injury services are coordinated by an interdisciplinary team appropriate to residents’ needs — which may include the resident’s therapists, behavioral and medical providers, nursing, the waiver case manager, and trained direct care staff — working toward each resident’s independence and community-integration goals, with documented team communication.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the team members involved in each resident’s care.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Define coordination and communication in writing.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Hold and document regular team communication on progress.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Ensure contracted providers meet the same standards as staff.</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the plan based on team input.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IDT Roster &amp; Communication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Community Re-Entry and Discharge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Community Re-Entry and Discharge Planning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111-8-62-.29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plan from admission for a safe, supported transition toward greater independence.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From admission, each resident’s record includes a community re-entry / transition plan identifying the anticipated discharge or step-down setting, home and environmental modification needs, community support services, and follow-up plans, with supported community-integration activities and documented outcomes.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Begin community re-entry / transition planning at admission.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Identify discharge setting, modifications, and community supports.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Coordinate community-integration activities and document outcomes.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Arrange follow-up and communicate the plan to the resident and supports.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Update the plan as goals progress.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Community Re-Entry / Transition Plan · Discharge Disposition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Outcome Measurement and Program Evaluation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 Measurement and Program Evaluation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facility quality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program-level outcomes, not only individual results.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collects and analyzes program-level outcome data, which may include aggregate functional-gain data (such as FIM or Disability Rating Scale change scores), length-of-stay tracking, and discharge-disposition tracking, and uses the analysis to improve the program.</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and data-collection methods.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aggregate functional-gain, length-of-stay, and disposition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and set improvement targets.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outcomes to leadership and use them to improve services.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 Measures Dashboard · Program Evaluation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Post-Discharge Follow-Up and Benchmarking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Post-Discharge Follow-Up and Benchmarking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track outcomes after discharge and support sustained community integration.</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conducts post-discharge follow-up at defined intervals (such as 90 days and one year), tracks community-integration outcomes, and, where applicable, participates in a national outcomes/benchmarking database to compare its performance.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Establish a follow-up schedule and method for each resident.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community-integration outcome data at defined intervals.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Benchmark against comparable programs where data are available.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findings to improve discharge and re-entry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Follow-Up Contact Log · Community-Integration Outcome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6.05 — Accreditation Readiness and Deemed Status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 and Deemed Status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[Facility Name] — Program Evaluation / Quality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National rehabilitation accreditation standards; 111-8-62-.31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readiness for HFRD survey and accreditation, and to pursue deemed status where advantageous.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home maintains continuous conformance with licensure requirements and national accreditation standards through periodic self-assessment, mock tracers, evidence organization, and correction of identified gaps. Where advantageous, the home pursues an accreditation recognized by the Department that may support deemed status under Rule 111-8-62-.31.</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periodic self-assessment against licensure and accreditation standards.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organized evidence (policies, records, outcome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Run mock tracers and correct identified gaps.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Evaluate and, where advantageous, pursue Department-recognized accreditation and deemed status.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Self-Assessment Checklist · Mock Tracer Record · Deemed-Status Evaluation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APPENDIX — REFERENCED FORMS</w:t>
      </w:r>
    </w:p>
    <w:p>
      <w:pPr>
        <w:spacing w:after="120" w:before="0" w:line="276"/>
        <w:jc w:val="left"/>
      </w:pPr>
      <w:r>
        <w:rPr>
          <w:rFonts w:ascii="Calibri" w:cs="Calibri" w:eastAsia="Calibri" w:hAnsi="Calibri"/>
          <w:b w:val="false"/>
          <w:bCs w:val="false"/>
          <w:i w:val="false"/>
          <w:iCs w:val="false"/>
          <w:color w:val="1A1A1A"/>
          <w:sz w:val="21"/>
          <w:szCs w:val="21"/>
        </w:rPr>
        <w:t xml:space="preserve">The following forms are referenced across this manual and are provided in the companion Forms Packet, ready to customize: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PCH Permit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Ownership Disclosure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Home Sketch/Plat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Governing Body Authority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Department Contact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Administrator Designation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Absence Coverage Designation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Scope of Services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Yearly Policy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Required Postings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Training &amp; Continuing-Education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Orientation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Staffing Schedule &amp; Monthly Staffing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Background Check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Records-Check Determination File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Proxy Caregiver Training &amp; Competency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Health-Maintenance Authorization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Staff Health Screening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TB Screening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Personnel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Job Description Templates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Reportable Incident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Plan of Correction Tracker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Incident/Quality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QI Summary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Residents’ Rights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Rights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Pre-Admission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Medical Evaluation (DCH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Admission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Assessment / Reassessment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 Template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Discharge/Transfer Notice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Belongings &amp; Medication Release Receipt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Immediate Transfer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Authorization for Release of Information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Access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Funds Ledger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Property Inventory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Grievance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Service Delivery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ADL Support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Brain-Injury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Progress Notes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Waiver Coordination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Elopement Risk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Missing-Resident Response Protocol</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Behavioral Support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Behavior Incident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Activity &amp; Community-Integration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Participation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Change-of-Condition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Supervision &amp; Safety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Resident Death Record &amp; Notification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Physician Order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Medical Oversight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Administration Record (MAR)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Self-Administration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Self-Administration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Proxy Caregiver Medication Validation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Storage Audit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Disposal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Error / Adverse Reaction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Health Monitoring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Appointment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Advance Directive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Home Design Compliance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Physical Plant Inspection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Maintenance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Furnishings Inventory &amp; Condition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Fire 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Life-Safety Inspection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Emergency Preparedness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Evacuation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Drill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Menu &amp; Therapeutic Diet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Kitchen Sanitation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Temperature Monitoring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Water-Temperature Check</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Infection Control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Cleaning &amp; Supply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House Rules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Hazard Storage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IDT Roster &amp; Communication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 Re-Entry / Transition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Discharge Disposition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Outcome Measures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Program Evaluation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Follow-Up Contact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Community-Integration Outcome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Self-Assessment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Mock Tracer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Deemed-Status Evaluation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Built to Rule 111-8-62, Ga. Comp. R. &amp; Regs.  —  Ready to customize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6"/>
        <w:szCs w:val="16"/>
      </w:rPr>
      <w:t xml:space="preserve">[Facility Name]  •  Personal Care Home  •  Georgia Brain Injury Residential 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Georgia Personal Care Home (Brain Injury) — Policy &amp; Procedure Manual</dc:title>
  <dc:creator>PolicyReady.org</dc:creator>
  <cp:lastModifiedBy>Un-named</cp:lastModifiedBy>
  <cp:revision>1</cp:revision>
  <dcterms:created xsi:type="dcterms:W3CDTF">2026-07-09T18:43:40.281Z</dcterms:created>
  <dcterms:modified xsi:type="dcterms:W3CDTF">2026-07-09T18:43:40.299Z</dcterms:modified>
</cp:coreProperties>
</file>

<file path=docProps/custom.xml><?xml version="1.0" encoding="utf-8"?>
<Properties xmlns="http://schemas.openxmlformats.org/officeDocument/2006/custom-properties" xmlns:vt="http://schemas.openxmlformats.org/officeDocument/2006/docPropsVTypes"/>
</file>