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Fonts w:eastAsia="Calibri" w:cs="Calibri"/>
          <w:b/>
          <w:bCs/>
          <w:i w:val="false"/>
          <w:iCs w:val="false"/>
          <w:color w:val="3E5871"/>
          <w:sz w:val="20"/>
          <w:szCs w:val="20"/>
        </w:rPr>
        <w:t>PolicyReady.org</w:t>
      </w:r>
    </w:p>
    <w:p>
      <w:pPr>
        <w:pStyle w:val="Normal"/>
        <w:pBdr>
          <w:bottom w:val="single" w:sz="8" w:space="1" w:color="9DB1C7"/>
        </w:pBdr>
        <w:spacing w:before="80" w:after="120"/>
        <w:rPr/>
      </w:pPr>
      <w:r>
        <w:rPr/>
      </w:r>
    </w:p>
    <w:p>
      <w:pPr>
        <w:pStyle w:val="Normal"/>
        <w:spacing w:before="40" w:after="0"/>
        <w:rPr/>
      </w:pPr>
      <w:r>
        <w:rPr/>
      </w:r>
    </w:p>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Mental Health Referral System</w:t>
            </w:r>
          </w:p>
          <w:p>
            <w:pPr>
              <w:pStyle w:val="Normal"/>
              <w:spacing w:before="0" w:after="0"/>
              <w:jc w:val="center"/>
              <w:rPr/>
            </w:pPr>
            <w:r>
              <w:rPr>
                <w:rFonts w:eastAsia="Calibri" w:cs="Calibri"/>
                <w:b/>
                <w:bCs/>
                <w:i w:val="false"/>
                <w:iCs w:val="false"/>
                <w:color w:val="FFFFFF"/>
                <w:sz w:val="34"/>
                <w:szCs w:val="34"/>
              </w:rPr>
              <w:t>Florida Edition</w:t>
            </w:r>
          </w:p>
        </w:tc>
      </w:tr>
    </w:tbl>
    <w:p>
      <w:pPr>
        <w:pStyle w:val="Normal"/>
        <w:spacing w:lineRule="exact" w:line="268" w:before="0" w:after="60"/>
        <w:jc w:val="center"/>
        <w:rPr/>
      </w:pPr>
      <w:r>
        <w:rPr>
          <w:rFonts w:eastAsia="Calibri" w:cs="Calibri"/>
          <w:b w:val="false"/>
          <w:bCs w:val="false"/>
          <w:i/>
          <w:iCs/>
          <w:color w:val="3E5871"/>
          <w:sz w:val="22"/>
          <w:szCs w:val="22"/>
        </w:rPr>
        <w:t>How a Florida licensed mental health treatment provider builds a steady stream of client referrals — the strategy, a verified directory of Florida referral sources, named-partner target lists for the state's largest metros, and the worksheets to run it week to week</w:t>
      </w:r>
    </w:p>
    <w:p>
      <w:pPr>
        <w:pStyle w:val="Normal"/>
        <w:spacing w:lineRule="exact" w:line="268" w:before="0" w:after="120"/>
        <w:jc w:val="center"/>
        <w:rPr/>
      </w:pPr>
      <w:r>
        <w:rPr>
          <w:rFonts w:eastAsia="Calibri" w:cs="Calibri"/>
          <w:b w:val="false"/>
          <w:bCs w:val="false"/>
          <w:i w:val="false"/>
          <w:iCs w:val="false"/>
          <w:color w:val="555555"/>
          <w:sz w:val="18"/>
          <w:szCs w:val="18"/>
        </w:rPr>
        <w:t>PolicyReady.org  —  Practical Playbooks for Care Entrepreneurs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Why behavioral health referrals are different — read this first</w:t>
            </w:r>
          </w:p>
          <w:p>
            <w:pPr>
              <w:pStyle w:val="Normal"/>
              <w:spacing w:lineRule="exact" w:line="264" w:before="0" w:after="0"/>
              <w:rPr/>
            </w:pPr>
            <w:r>
              <w:rPr>
                <w:rFonts w:eastAsia="Calibri" w:cs="Calibri"/>
                <w:b/>
                <w:bCs/>
                <w:i w:val="false"/>
                <w:iCs w:val="false"/>
                <w:color w:val="1A1A1A"/>
                <w:sz w:val="19"/>
                <w:szCs w:val="19"/>
              </w:rPr>
              <w:t xml:space="preserve">Clients rarely walk in off the street, and most are not private-pay. </w:t>
            </w:r>
            <w:r>
              <w:rPr>
                <w:rFonts w:eastAsia="Calibri" w:cs="Calibri"/>
                <w:b w:val="false"/>
                <w:bCs w:val="false"/>
                <w:i w:val="false"/>
                <w:iCs w:val="false"/>
                <w:color w:val="1A1A1A"/>
                <w:sz w:val="19"/>
                <w:szCs w:val="19"/>
              </w:rPr>
              <w:t>A Florida licensed mental health treatment provider fills its caseload and beds through the systems that pay for and steer behavioral health care: the Statewide Medicaid Managed Care (SMMC) plans that cover Medicaid members, the regional Managing Entity that runs the publicly funded network for the uninsured and underinsured, the Baker Act system and its crisis stabilization units and receiving facilities, hospitals and emergency departments, and the courts (including mental health courts and Baker Act examinations). So your “referral” work is really network and relationship work: get licensed with the right endorsements, get enrolled and in-network so those systems can send you clients, and then become the provider they trust to accept referrals quickly, communicate, and get results. This system shows you exactly who those sources are in Florida, what each of them wants, how to reach them, and how to keep the relationships warm — all within the legal line, which in behavioral health is stricter than most people realize.</w:t>
            </w:r>
          </w:p>
        </w:tc>
      </w:tr>
    </w:tbl>
    <w:p>
      <w:pPr>
        <w:pStyle w:val="Normal"/>
        <w:keepNext w:val="true"/>
        <w:spacing w:before="220" w:after="90"/>
        <w:rPr/>
      </w:pPr>
      <w:r>
        <w:rPr>
          <w:rFonts w:eastAsia="Calibri" w:cs="Calibri"/>
          <w:b/>
          <w:bCs/>
          <w:i w:val="false"/>
          <w:iCs w:val="false"/>
          <w:color w:val="1F3A5F"/>
          <w:sz w:val="26"/>
          <w:szCs w:val="26"/>
        </w:rPr>
        <w:t>Part One — The Playbook: How to Earn Referrals</w:t>
      </w:r>
    </w:p>
    <w:p>
      <w:pPr>
        <w:pStyle w:val="Normal"/>
        <w:keepNext w:val="true"/>
        <w:spacing w:before="140" w:after="60"/>
        <w:rPr/>
      </w:pPr>
      <w:r>
        <w:rPr>
          <w:rFonts w:eastAsia="Calibri" w:cs="Calibri"/>
          <w:b/>
          <w:bCs/>
          <w:i w:val="false"/>
          <w:iCs w:val="false"/>
          <w:color w:val="3E5871"/>
          <w:sz w:val="21"/>
          <w:szCs w:val="21"/>
        </w:rPr>
        <w:t>How to use this playbook</w:t>
      </w:r>
    </w:p>
    <w:p>
      <w:pPr>
        <w:pStyle w:val="Normal"/>
        <w:spacing w:lineRule="exact" w:line="268" w:before="0" w:after="110"/>
        <w:jc w:val="start"/>
        <w:rPr/>
      </w:pPr>
      <w:r>
        <w:rPr>
          <w:rFonts w:eastAsia="Calibri" w:cs="Calibri"/>
          <w:b w:val="false"/>
          <w:bCs w:val="false"/>
          <w:i w:val="false"/>
          <w:iCs w:val="false"/>
          <w:color w:val="1A1A1A"/>
          <w:sz w:val="20"/>
          <w:szCs w:val="20"/>
        </w:rPr>
        <w:t>This playbook teaches you how behavioral health providers actually build a caseload in Florida: by being in-network, being known, and being reliable. Read it once start to finish, then use it as a checklist. Everything here is general educational information for Florida providers — not legal advice; verify programs, contacts, and the anti-kickback and anti-brokering rules before you rely on them.</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whole system in one paragraph</w:t>
            </w:r>
          </w:p>
          <w:p>
            <w:pPr>
              <w:pStyle w:val="Normal"/>
              <w:spacing w:lineRule="exact" w:line="264" w:before="0" w:after="0"/>
              <w:rPr/>
            </w:pPr>
            <w:r>
              <w:rPr>
                <w:rFonts w:eastAsia="Calibri" w:cs="Calibri"/>
                <w:b w:val="false"/>
                <w:bCs w:val="false"/>
                <w:i w:val="false"/>
                <w:iCs w:val="false"/>
                <w:color w:val="1A1A1A"/>
                <w:sz w:val="19"/>
                <w:szCs w:val="19"/>
              </w:rPr>
              <w:t>Get licensed as a licensed mental health provider, enroll as a Florida Medicaid provider, and contract with your SMMC plan and your regional Managing Entity so clients can be sent to you and you can be paid. Identify the sources that put clients in front of you — the SMMC plan and Managing Entity care coordinators, the crisis system, hospitals and emergency departments, detox and withdrawal management, the courts, and other behavioral health providers. Learn what each one needs, reach out and meet them with a clear message about who you serve well, and then deliver so reliably — accept referrals fast, communicate, and report outcomes — that they refer to you again. Get found in the payer directories and online, run a steady weekly rhythm, track where your referrals actually come from, and stay inside the legal line — you earn referrals through reliability and relationships, and in behavioral health you never pay for them.</w:t>
            </w:r>
          </w:p>
        </w:tc>
      </w:tr>
    </w:tbl>
    <w:p>
      <w:pPr>
        <w:pStyle w:val="Normal"/>
        <w:keepNext w:val="true"/>
        <w:spacing w:before="140" w:after="60"/>
        <w:rPr/>
      </w:pPr>
      <w:r>
        <w:rPr>
          <w:rFonts w:eastAsia="Calibri" w:cs="Calibri"/>
          <w:b/>
          <w:bCs/>
          <w:i w:val="false"/>
          <w:iCs w:val="false"/>
          <w:color w:val="3E5871"/>
          <w:sz w:val="21"/>
          <w:szCs w:val="21"/>
        </w:rPr>
        <w:t>The path at a glance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referable. </w:t>
      </w:r>
      <w:r>
        <w:rPr>
          <w:rFonts w:eastAsia="Calibri" w:cs="Calibri"/>
          <w:b w:val="false"/>
          <w:bCs w:val="false"/>
          <w:i w:val="false"/>
          <w:iCs w:val="false"/>
          <w:color w:val="1A1A1A"/>
          <w:sz w:val="20"/>
          <w:szCs w:val="20"/>
        </w:rPr>
        <w:t>Hold your DCF license, enroll as a Florida Medicaid provider, and contract with your SMMC plans and Managing Entity so a care coordinator can send you a client and you get paid.</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Map your sources. </w:t>
      </w:r>
      <w:r>
        <w:rPr>
          <w:rFonts w:eastAsia="Calibri" w:cs="Calibri"/>
          <w:b w:val="false"/>
          <w:bCs w:val="false"/>
          <w:i w:val="false"/>
          <w:iCs w:val="false"/>
          <w:color w:val="1A1A1A"/>
          <w:sz w:val="20"/>
          <w:szCs w:val="20"/>
        </w:rPr>
        <w:t>The SMMC plan and Managing Entity care coordinators, the crisis system, hospitals and EDs, detox and withdrawal management, the courts, and other providers (Part 2 + the directory).</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into the pipeline. </w:t>
      </w:r>
      <w:r>
        <w:rPr>
          <w:rFonts w:eastAsia="Calibri" w:cs="Calibri"/>
          <w:b w:val="false"/>
          <w:bCs w:val="false"/>
          <w:i w:val="false"/>
          <w:iCs w:val="false"/>
          <w:color w:val="1A1A1A"/>
          <w:sz w:val="20"/>
          <w:szCs w:val="20"/>
        </w:rPr>
        <w:t>Get in-network and onto the referral lists of the crisis system, hospitals, and courts (Part 3).</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Learn what each wants. </w:t>
      </w:r>
      <w:r>
        <w:rPr>
          <w:rFonts w:eastAsia="Calibri" w:cs="Calibri"/>
          <w:b w:val="false"/>
          <w:bCs w:val="false"/>
          <w:i w:val="false"/>
          <w:iCs w:val="false"/>
          <w:color w:val="1A1A1A"/>
          <w:sz w:val="20"/>
          <w:szCs w:val="20"/>
        </w:rPr>
        <w:t>Speak to the pressure each source is under (Part 4).</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Reach out and meet them. </w:t>
      </w:r>
      <w:r>
        <w:rPr>
          <w:rFonts w:eastAsia="Calibri" w:cs="Calibri"/>
          <w:b w:val="false"/>
          <w:bCs w:val="false"/>
          <w:i w:val="false"/>
          <w:iCs w:val="false"/>
          <w:color w:val="1A1A1A"/>
          <w:sz w:val="20"/>
          <w:szCs w:val="20"/>
        </w:rPr>
        <w:t>With a short, clear message about who you serve well (Parts 5–6).</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bCs/>
          <w:i w:val="false"/>
          <w:iCs w:val="false"/>
          <w:color w:val="1A1A1A"/>
          <w:sz w:val="20"/>
          <w:szCs w:val="20"/>
        </w:rPr>
        <w:t xml:space="preserve">Deliver and communicate. </w:t>
      </w:r>
      <w:r>
        <w:rPr>
          <w:rFonts w:eastAsia="Calibri" w:cs="Calibri"/>
          <w:b w:val="false"/>
          <w:bCs w:val="false"/>
          <w:i w:val="false"/>
          <w:iCs w:val="false"/>
          <w:color w:val="1A1A1A"/>
          <w:sz w:val="20"/>
          <w:szCs w:val="20"/>
        </w:rPr>
        <w:t>Fast acceptance, updates, and outcome reporting earn the next referral (Part 7).</w:t>
      </w:r>
    </w:p>
    <w:p>
      <w:pPr>
        <w:pStyle w:val="Normal"/>
        <w:spacing w:lineRule="exact" w:line="268" w:before="0" w:after="60"/>
        <w:ind w:hanging="300" w:start="360"/>
        <w:rPr/>
      </w:pPr>
      <w:r>
        <w:rPr>
          <w:rFonts w:eastAsia="Calibri" w:cs="Calibri"/>
          <w:b/>
          <w:bCs/>
          <w:i w:val="false"/>
          <w:iCs w:val="false"/>
          <w:color w:val="3E5871"/>
          <w:sz w:val="20"/>
          <w:szCs w:val="20"/>
        </w:rPr>
        <w:t xml:space="preserve">7.  </w:t>
      </w:r>
      <w:r>
        <w:rPr>
          <w:rFonts w:eastAsia="Calibri" w:cs="Calibri"/>
          <w:b/>
          <w:bCs/>
          <w:i w:val="false"/>
          <w:iCs w:val="false"/>
          <w:color w:val="1A1A1A"/>
          <w:sz w:val="20"/>
          <w:szCs w:val="20"/>
        </w:rPr>
        <w:t xml:space="preserve">Be findable. </w:t>
      </w:r>
      <w:r>
        <w:rPr>
          <w:rFonts w:eastAsia="Calibri" w:cs="Calibri"/>
          <w:b w:val="false"/>
          <w:bCs w:val="false"/>
          <w:i w:val="false"/>
          <w:iCs w:val="false"/>
          <w:color w:val="1A1A1A"/>
          <w:sz w:val="20"/>
          <w:szCs w:val="20"/>
        </w:rPr>
        <w:t>Payer directories, online presence, and crisis referral platforms (Part 8).</w:t>
      </w:r>
    </w:p>
    <w:p>
      <w:pPr>
        <w:pStyle w:val="Normal"/>
        <w:spacing w:lineRule="exact" w:line="268" w:before="0" w:after="60"/>
        <w:ind w:hanging="300" w:start="360"/>
        <w:rPr/>
      </w:pPr>
      <w:r>
        <w:rPr>
          <w:rFonts w:eastAsia="Calibri" w:cs="Calibri"/>
          <w:b/>
          <w:bCs/>
          <w:i w:val="false"/>
          <w:iCs w:val="false"/>
          <w:color w:val="3E5871"/>
          <w:sz w:val="20"/>
          <w:szCs w:val="20"/>
        </w:rPr>
        <w:t xml:space="preserve">8.  </w:t>
      </w:r>
      <w:r>
        <w:rPr>
          <w:rFonts w:eastAsia="Calibri" w:cs="Calibri"/>
          <w:b/>
          <w:bCs/>
          <w:i w:val="false"/>
          <w:iCs w:val="false"/>
          <w:color w:val="1A1A1A"/>
          <w:sz w:val="20"/>
          <w:szCs w:val="20"/>
        </w:rPr>
        <w:t xml:space="preserve">Run the rhythm and measure. </w:t>
      </w:r>
      <w:r>
        <w:rPr>
          <w:rFonts w:eastAsia="Calibri" w:cs="Calibri"/>
          <w:b w:val="false"/>
          <w:bCs w:val="false"/>
          <w:i w:val="false"/>
          <w:iCs w:val="false"/>
          <w:color w:val="1A1A1A"/>
          <w:sz w:val="20"/>
          <w:szCs w:val="20"/>
        </w:rPr>
        <w:t>A weekly cadence and honest tracking (Parts 9–10).</w:t>
      </w:r>
    </w:p>
    <w:p>
      <w:pPr>
        <w:pStyle w:val="Normal"/>
        <w:keepNext w:val="true"/>
        <w:spacing w:before="220" w:after="90"/>
        <w:rPr/>
      </w:pPr>
      <w:r>
        <w:rPr>
          <w:rFonts w:eastAsia="Calibri" w:cs="Calibri"/>
          <w:b/>
          <w:bCs/>
          <w:i w:val="false"/>
          <w:iCs w:val="false"/>
          <w:color w:val="1F3A5F"/>
          <w:sz w:val="26"/>
          <w:szCs w:val="26"/>
        </w:rPr>
        <w:t>Part 1 — Why Referrals Are Your Caseload Engine</w:t>
      </w:r>
    </w:p>
    <w:p>
      <w:pPr>
        <w:pStyle w:val="Normal"/>
        <w:spacing w:lineRule="exact" w:line="268" w:before="0" w:after="110"/>
        <w:jc w:val="start"/>
        <w:rPr/>
      </w:pPr>
      <w:r>
        <w:rPr>
          <w:rFonts w:eastAsia="Calibri" w:cs="Calibri"/>
          <w:b w:val="false"/>
          <w:bCs w:val="false"/>
          <w:i w:val="false"/>
          <w:iCs w:val="false"/>
          <w:color w:val="1A1A1A"/>
          <w:sz w:val="20"/>
          <w:szCs w:val="20"/>
        </w:rPr>
        <w:t>An empty appointment slot or an empty bed earns nothing, and in behavioral health your clients arrive one way: someone with authority over where a person goes — a care coordinator, a discharge planner, a crisis clinician, a probation officer — sends them to you. That makes your relationships with those referrers the single most important driver of your revenue, more than any advertisement.</w:t>
      </w:r>
    </w:p>
    <w:p>
      <w:pPr>
        <w:pStyle w:val="Normal"/>
        <w:spacing w:lineRule="exact" w:line="268" w:before="0" w:after="110"/>
        <w:jc w:val="start"/>
        <w:rPr/>
      </w:pPr>
      <w:r>
        <w:rPr>
          <w:rFonts w:eastAsia="Calibri" w:cs="Calibri"/>
          <w:b w:val="false"/>
          <w:bCs w:val="false"/>
          <w:i w:val="false"/>
          <w:iCs w:val="false"/>
          <w:color w:val="1A1A1A"/>
          <w:sz w:val="20"/>
          <w:szCs w:val="20"/>
        </w:rPr>
        <w:t>There is a second reason relationships matter so much here: the person who refers a client to you is staking their own judgment on you. A SMMC plan care coordinator, a hospital social worker, or a drug-court case manager is trusting you with a vulnerable person in crisis. When you accept the referral quickly, communicate, and get results, they refer to you again. When you are slow, hard to reach, or quiet after intake, they quietly stop. Your reputation among a small circle of referring professionals is your business.</w:t>
      </w:r>
    </w:p>
    <w:p>
      <w:pPr>
        <w:pStyle w:val="Normal"/>
        <w:spacing w:lineRule="exact" w:line="268" w:before="0" w:after="110"/>
        <w:jc w:val="start"/>
        <w:rPr/>
      </w:pPr>
      <w:r>
        <w:rPr>
          <w:rFonts w:eastAsia="Calibri" w:cs="Calibri"/>
          <w:b w:val="false"/>
          <w:bCs w:val="false"/>
          <w:i w:val="false"/>
          <w:iCs w:val="false"/>
          <w:color w:val="1A1A1A"/>
          <w:sz w:val="20"/>
          <w:szCs w:val="20"/>
        </w:rPr>
        <w:t>It also means growth is relationship-limited, not ad-limited. You cannot buy your way to a full caseload; you earn it by being the provider the referring systems trust with their hardest clients. And one strong relationship compounds — a single SMMC plan or hospital that trusts you can send clients for years. Everything else in this playbook serves that one goal.</w:t>
      </w:r>
    </w:p>
    <w:p>
      <w:pPr>
        <w:pStyle w:val="Normal"/>
        <w:spacing w:lineRule="exact" w:line="268" w:before="0" w:after="110"/>
        <w:jc w:val="start"/>
        <w:rPr/>
      </w:pPr>
      <w:r>
        <w:rPr>
          <w:rFonts w:eastAsia="Calibri" w:cs="Calibri"/>
          <w:b w:val="false"/>
          <w:bCs w:val="false"/>
          <w:i w:val="false"/>
          <w:iCs w:val="false"/>
          <w:color w:val="1A1A1A"/>
          <w:sz w:val="20"/>
          <w:szCs w:val="20"/>
        </w:rPr>
        <w:t>Think about the math of a single relationship. One SMMC plan that keeps you in-network and one hospital discharge team that trusts you can together fill a large share of your caseload, month after month, and each engaged client is ongoing revenue. That means the time you spend earning and keeping a handful of referral relationships is worth more than any marketing budget — and it costs you reliability, not money. The providers who thrive in behavioral health are rarely the ones with the flashiest websites; they are the ones the coordinators call first because they have never been let down.</w:t>
      </w:r>
    </w:p>
    <w:p>
      <w:pPr>
        <w:pStyle w:val="Normal"/>
        <w:keepNext w:val="true"/>
        <w:spacing w:before="220" w:after="90"/>
        <w:rPr/>
      </w:pPr>
      <w:r>
        <w:rPr>
          <w:rFonts w:eastAsia="Calibri" w:cs="Calibri"/>
          <w:b/>
          <w:bCs/>
          <w:i w:val="false"/>
          <w:iCs w:val="false"/>
          <w:color w:val="1F3A5F"/>
          <w:sz w:val="26"/>
          <w:szCs w:val="26"/>
        </w:rPr>
        <w:t>Part 2 — The Referral Source Map: Who Sends You Clients</w:t>
      </w:r>
    </w:p>
    <w:p>
      <w:pPr>
        <w:pStyle w:val="Normal"/>
        <w:spacing w:lineRule="exact" w:line="268" w:before="0" w:after="110"/>
        <w:jc w:val="start"/>
        <w:rPr/>
      </w:pPr>
      <w:r>
        <w:rPr>
          <w:rFonts w:eastAsia="Calibri" w:cs="Calibri"/>
          <w:b w:val="false"/>
          <w:bCs w:val="false"/>
          <w:i w:val="false"/>
          <w:iCs w:val="false"/>
          <w:color w:val="1A1A1A"/>
          <w:sz w:val="20"/>
          <w:szCs w:val="20"/>
        </w:rPr>
        <w:t>Here is the Florida landscape of who puts behavioral health clients in front of a provider. Not all carry the same weight — the SMMC plans, the Managing Entity, and the Baker Act and crisis systems matter most — but each has a role:</w:t>
      </w:r>
    </w:p>
    <w:p>
      <w:pPr>
        <w:pStyle w:val="ListParagraph"/>
        <w:numPr>
          <w:ilvl w:val="0"/>
          <w:numId w:val="3"/>
        </w:numPr>
        <w:spacing w:lineRule="exact" w:line="268" w:before="0" w:after="60"/>
        <w:rPr/>
      </w:pPr>
      <w:r>
        <w:rPr>
          <w:rFonts w:eastAsia="Calibri" w:cs="Calibri"/>
          <w:b/>
          <w:bCs/>
          <w:i w:val="false"/>
          <w:iCs w:val="false"/>
          <w:color w:val="1A1A1A"/>
          <w:sz w:val="20"/>
          <w:szCs w:val="20"/>
        </w:rPr>
        <w:t xml:space="preserve">Statewide Medicaid Managed Care (SMMC) plans — the biggest for Medicaid. </w:t>
      </w:r>
      <w:r>
        <w:rPr>
          <w:rFonts w:eastAsia="Calibri" w:cs="Calibri"/>
          <w:b w:val="false"/>
          <w:bCs w:val="false"/>
          <w:i w:val="false"/>
          <w:iCs w:val="false"/>
          <w:color w:val="1A1A1A"/>
          <w:sz w:val="20"/>
          <w:szCs w:val="20"/>
        </w:rPr>
        <w:t>Florida's Medicaid behavioral health benefit is managed by regional SMMC plans; their care coordinators refer members and authorize services. Being enrolled and in-network with your SMMC plan is the highest-value relationship you have.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The Managing Entity — for the uninsured and underinsured. </w:t>
      </w:r>
      <w:r>
        <w:rPr>
          <w:rFonts w:eastAsia="Calibri" w:cs="Calibri"/>
          <w:b w:val="false"/>
          <w:bCs w:val="false"/>
          <w:i w:val="false"/>
          <w:iCs w:val="false"/>
          <w:color w:val="1A1A1A"/>
          <w:sz w:val="20"/>
          <w:szCs w:val="20"/>
        </w:rPr>
        <w:t>Your regional Managing Entity (ME) coordinates the publicly funded network for people without Medicaid and steers them to contracted providers — getting into the ME network is essential.</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The Baker Act, crisis stabilization units &amp; receiving facilities. </w:t>
      </w:r>
      <w:r>
        <w:rPr>
          <w:rFonts w:eastAsia="Calibri" w:cs="Calibri"/>
          <w:b w:val="false"/>
          <w:bCs w:val="false"/>
          <w:i w:val="false"/>
          <w:iCs w:val="false"/>
          <w:color w:val="1A1A1A"/>
          <w:sz w:val="20"/>
          <w:szCs w:val="20"/>
        </w:rPr>
        <w:t>Under the Baker Act (Ch. 394), people in psychiatric crisis are examined and stabilized in crisis stabilization units (CSUs) and receiving facilities and then need somewhere to step down to for ongoing mental health treatment — a major source of referrals. The 988 Florida Lifeline and mobile response teams also refer.</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Hospitals &amp; emergency departments. </w:t>
      </w:r>
      <w:r>
        <w:rPr>
          <w:rFonts w:eastAsia="Calibri" w:cs="Calibri"/>
          <w:b w:val="false"/>
          <w:bCs w:val="false"/>
          <w:i w:val="false"/>
          <w:iCs w:val="false"/>
          <w:color w:val="1A1A1A"/>
          <w:sz w:val="20"/>
          <w:szCs w:val="20"/>
        </w:rPr>
        <w:t>Psychiatric units, med/psych, and EDs discharging or boarding behavioral health patients need fast, reliable outpatient and residential placements.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Inpatient &amp; residential step-downs. </w:t>
      </w:r>
      <w:r>
        <w:rPr>
          <w:rFonts w:eastAsia="Calibri" w:cs="Calibri"/>
          <w:b w:val="false"/>
          <w:bCs w:val="false"/>
          <w:i w:val="false"/>
          <w:iCs w:val="false"/>
          <w:color w:val="1A1A1A"/>
          <w:sz w:val="20"/>
          <w:szCs w:val="20"/>
        </w:rPr>
        <w:t>Psychiatric hospitals, crisis stabilization units, and residential programs step clients down to ongoing outpatient and residential mental health treatment — core referral relationships.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Courts &amp; criminal justice. </w:t>
      </w:r>
      <w:r>
        <w:rPr>
          <w:rFonts w:eastAsia="Calibri" w:cs="Calibri"/>
          <w:b w:val="false"/>
          <w:bCs w:val="false"/>
          <w:i w:val="false"/>
          <w:iCs w:val="false"/>
          <w:color w:val="1A1A1A"/>
          <w:sz w:val="20"/>
          <w:szCs w:val="20"/>
        </w:rPr>
        <w:t>Mental health courts, Baker Act proceedings, competency and forensic diversion, probation and parole, and jail reentry refer large numbers of clients and need reliable communication.</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Safety-net &amp; other behavioral health providers. </w:t>
      </w:r>
      <w:r>
        <w:rPr>
          <w:rFonts w:eastAsia="Calibri" w:cs="Calibri"/>
          <w:b w:val="false"/>
          <w:bCs w:val="false"/>
          <w:i w:val="false"/>
          <w:iCs w:val="false"/>
          <w:color w:val="1A1A1A"/>
          <w:sz w:val="20"/>
          <w:szCs w:val="20"/>
        </w:rPr>
        <w:t>Community mental health centers and other providers refer out what they cannot serve — and you refer back. Two-way relationships.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Primary care, SBIRT &amp; other. </w:t>
      </w:r>
      <w:r>
        <w:rPr>
          <w:rFonts w:eastAsia="Calibri" w:cs="Calibri"/>
          <w:b w:val="false"/>
          <w:bCs w:val="false"/>
          <w:i w:val="false"/>
          <w:iCs w:val="false"/>
          <w:color w:val="1A1A1A"/>
          <w:sz w:val="20"/>
          <w:szCs w:val="20"/>
        </w:rPr>
        <w:t>Primary care screening, schools, child welfare, recovery residences, 211, and families all send clients.</w:t>
      </w:r>
    </w:p>
    <w:p>
      <w:pPr>
        <w:pStyle w:val="Normal"/>
        <w:spacing w:lineRule="exact" w:line="268" w:before="0" w:after="110"/>
        <w:jc w:val="start"/>
        <w:rPr/>
      </w:pPr>
      <w:r>
        <w:rPr>
          <w:rFonts w:eastAsia="Calibri" w:cs="Calibri"/>
          <w:b w:val="false"/>
          <w:bCs w:val="false"/>
          <w:i w:val="false"/>
          <w:iCs w:val="false"/>
          <w:color w:val="1A1A1A"/>
          <w:sz w:val="20"/>
          <w:szCs w:val="20"/>
        </w:rPr>
        <w:t>Do not try to work all of these at once. For a new provider, the order that matters is simple: first, get in-network with your SMMC plans and Managing Entity, because they are who can actually send you paid referrals; second, the crisis and hospital systems where clients in acute need are looking for the next level of care; and third, the detox programs, courts, and other providers. Get deep with the first group before you spread thin across the rest. A few strong payer, crisis, and hospital relationships will fill more of your caseload than a hundred cold introductions.</w:t>
      </w:r>
    </w:p>
    <w:p>
      <w:pPr>
        <w:pStyle w:val="Normal"/>
        <w:keepNext w:val="true"/>
        <w:spacing w:before="220" w:after="90"/>
        <w:rPr/>
      </w:pPr>
      <w:r>
        <w:rPr>
          <w:rFonts w:eastAsia="Calibri" w:cs="Calibri"/>
          <w:b/>
          <w:bCs/>
          <w:i w:val="false"/>
          <w:iCs w:val="false"/>
          <w:color w:val="1F3A5F"/>
          <w:sz w:val="26"/>
          <w:szCs w:val="26"/>
        </w:rPr>
        <w:t>Part 3 — Getting Into the Pipeline (and the Legal Line)</w:t>
      </w:r>
    </w:p>
    <w:p>
      <w:pPr>
        <w:pStyle w:val="Normal"/>
        <w:spacing w:lineRule="exact" w:line="268" w:before="0" w:after="110"/>
        <w:jc w:val="start"/>
        <w:rPr/>
      </w:pPr>
      <w:r>
        <w:rPr>
          <w:rFonts w:eastAsia="Calibri" w:cs="Calibri"/>
          <w:b w:val="false"/>
          <w:bCs w:val="false"/>
          <w:i w:val="false"/>
          <w:iCs w:val="false"/>
          <w:color w:val="1A1A1A"/>
          <w:sz w:val="20"/>
          <w:szCs w:val="20"/>
        </w:rPr>
        <w:t>Most of this playbook is about earning referrals through relationships. This part is about the formal pipeline you must be in first, and the legal line you must never cross — which in behavioral health is unusually strict.</w:t>
      </w:r>
    </w:p>
    <w:p>
      <w:pPr>
        <w:pStyle w:val="Normal"/>
        <w:keepNext w:val="true"/>
        <w:spacing w:before="140" w:after="60"/>
        <w:rPr/>
      </w:pPr>
      <w:r>
        <w:rPr>
          <w:rFonts w:eastAsia="Calibri" w:cs="Calibri"/>
          <w:b/>
          <w:bCs/>
          <w:i w:val="false"/>
          <w:iCs w:val="false"/>
          <w:color w:val="3E5871"/>
          <w:sz w:val="21"/>
          <w:szCs w:val="21"/>
        </w:rPr>
        <w:t>Getting into the pipeline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licensed and endorsed. </w:t>
      </w:r>
      <w:r>
        <w:rPr>
          <w:rFonts w:eastAsia="Calibri" w:cs="Calibri"/>
          <w:b w:val="false"/>
          <w:bCs w:val="false"/>
          <w:i w:val="false"/>
          <w:iCs w:val="false"/>
          <w:color w:val="1A1A1A"/>
          <w:sz w:val="20"/>
          <w:szCs w:val="20"/>
        </w:rPr>
        <w:t>Hold your license for the levels of care you provide (outpatient, residential, crisis stabilization) so you can legally accept the referrals you want.</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Enroll and get in-network. </w:t>
      </w:r>
      <w:r>
        <w:rPr>
          <w:rFonts w:eastAsia="Calibri" w:cs="Calibri"/>
          <w:b w:val="false"/>
          <w:bCs w:val="false"/>
          <w:i w:val="false"/>
          <w:iCs w:val="false"/>
          <w:color w:val="1A1A1A"/>
          <w:sz w:val="20"/>
          <w:szCs w:val="20"/>
        </w:rPr>
        <w:t>Enroll as a Florida Medicaid provider and contract with your SMMC plan, and join your regional Managing Entity network — a care coordinator can only send a client to an enrolled, contracted provider.</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onto the crisis and hospital referral lists. </w:t>
      </w:r>
      <w:r>
        <w:rPr>
          <w:rFonts w:eastAsia="Calibri" w:cs="Calibri"/>
          <w:b w:val="false"/>
          <w:bCs w:val="false"/>
          <w:i w:val="false"/>
          <w:iCs w:val="false"/>
          <w:color w:val="1A1A1A"/>
          <w:sz w:val="20"/>
          <w:szCs w:val="20"/>
        </w:rPr>
        <w:t>Make sure the crisis stabilization units, receiving facilities, hospitals, and EDs know what you accept and how fast you respond, and get into any bed-availability or referral platform they use.</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Build relationships with the courts. </w:t>
      </w:r>
      <w:r>
        <w:rPr>
          <w:rFonts w:eastAsia="Calibri" w:cs="Calibri"/>
          <w:b w:val="false"/>
          <w:bCs w:val="false"/>
          <w:i w:val="false"/>
          <w:iCs w:val="false"/>
          <w:color w:val="1A1A1A"/>
          <w:sz w:val="20"/>
          <w:szCs w:val="20"/>
        </w:rPr>
        <w:t>If you serve justice-involved clients, be known to the drug courts, probation, and diversion programs and clear about your reporting.</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Then work the relationships. </w:t>
      </w:r>
      <w:r>
        <w:rPr>
          <w:rFonts w:eastAsia="Calibri" w:cs="Calibri"/>
          <w:b w:val="false"/>
          <w:bCs w:val="false"/>
          <w:i w:val="false"/>
          <w:iCs w:val="false"/>
          <w:color w:val="1A1A1A"/>
          <w:sz w:val="20"/>
          <w:szCs w:val="20"/>
        </w:rPr>
        <w:t>Once you are in the pipeline, reliability and communication are what earn the referrals.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legal line — behavioral health is stricter (AKS and EKRA)</w:t>
            </w:r>
          </w:p>
          <w:p>
            <w:pPr>
              <w:pStyle w:val="Normal"/>
              <w:spacing w:lineRule="exact" w:line="264" w:before="0" w:after="0"/>
              <w:rPr/>
            </w:pPr>
            <w:r>
              <w:rPr>
                <w:rFonts w:eastAsia="Calibri" w:cs="Calibri"/>
                <w:b w:val="false"/>
                <w:bCs w:val="false"/>
                <w:i w:val="false"/>
                <w:iCs w:val="false"/>
                <w:color w:val="1A1A1A"/>
                <w:sz w:val="19"/>
                <w:szCs w:val="19"/>
              </w:rPr>
              <w:t>Two federal laws sit above all the rest, and substance use treatment is a top enforcement priority. The federal Anti-Kickback Statute prohibits paying or receiving anything of value for referrals of federally funded (including Medicaid) patients. If you also provide substance use or co-occurring treatment, the Eliminating Kickbacks in Recovery Act (EKRA, 18 U.S.C. § 220) applies as well: it bans paying or receiving remuneration to induce referrals to a treatment facility or laboratory for patients with ANY payer, not just Medicaid. Florida’s Patient Brokering Act (Fla. Stat. § 817.505) also prohibits patient brokering — and Florida is the country’s most active enforcement state for sober-home and treatment patient-brokering cases. What this means in practice: you may not pay for referrals, pay per-head for bodies in beds, give kickbacks to “marketers” or interventionists who steer clients, or accept them. What you CAN do: market legitimately (a website, listings, education), employ a genuine business-development person on a bona fide salary that does not vary with referral volume, be a real resource, and pay fair-market value for actual documented services under a written agreement (never for referrals). Patient brokering is prosecuted. When in doubt, get qualified legal advice before you sign anything or pay anyone connected to referrals.</w:t>
            </w:r>
          </w:p>
        </w:tc>
      </w:tr>
    </w:tbl>
    <w:p>
      <w:pPr>
        <w:pStyle w:val="Normal"/>
        <w:keepNext w:val="true"/>
        <w:spacing w:before="220" w:after="90"/>
        <w:rPr/>
      </w:pPr>
      <w:r>
        <w:rPr>
          <w:rFonts w:eastAsia="Calibri" w:cs="Calibri"/>
          <w:b/>
          <w:bCs/>
          <w:i w:val="false"/>
          <w:iCs w:val="false"/>
          <w:color w:val="1F3A5F"/>
          <w:sz w:val="26"/>
          <w:szCs w:val="26"/>
        </w:rPr>
        <w:t>Part 4 — What Each Source Actually Wants</w:t>
      </w:r>
    </w:p>
    <w:p>
      <w:pPr>
        <w:pStyle w:val="Normal"/>
        <w:spacing w:lineRule="exact" w:line="268" w:before="0" w:after="110"/>
        <w:jc w:val="start"/>
        <w:rPr/>
      </w:pPr>
      <w:r>
        <w:rPr>
          <w:rFonts w:eastAsia="Calibri" w:cs="Calibri"/>
          <w:b w:val="false"/>
          <w:bCs w:val="false"/>
          <w:i w:val="false"/>
          <w:iCs w:val="false"/>
          <w:color w:val="1A1A1A"/>
          <w:sz w:val="20"/>
          <w:szCs w:val="20"/>
        </w:rPr>
        <w:t>You win referrals by solving the referrer's problem, not by talking about yourself. Each source is under a different pressure: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SMMC plan &amp; Managing Entity care coordinators want in-network reliability. </w:t>
      </w:r>
      <w:r>
        <w:rPr>
          <w:rFonts w:eastAsia="Calibri" w:cs="Calibri"/>
          <w:b w:val="false"/>
          <w:bCs w:val="false"/>
          <w:i w:val="false"/>
          <w:iCs w:val="false"/>
          <w:color w:val="1A1A1A"/>
          <w:sz w:val="20"/>
          <w:szCs w:val="20"/>
        </w:rPr>
        <w:t>They must place members with contracted providers who accept referrals, keep them engaged, and report outcomes. They want a provider who answers, accepts, and communicates.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Crisis &amp; hospital discharge want fast acceptance and no bounce-back. </w:t>
      </w:r>
      <w:r>
        <w:rPr>
          <w:rFonts w:eastAsia="Calibri" w:cs="Calibri"/>
          <w:b w:val="false"/>
          <w:bCs w:val="false"/>
          <w:i w:val="false"/>
          <w:iCs w:val="false"/>
          <w:color w:val="1A1A1A"/>
          <w:sz w:val="20"/>
          <w:szCs w:val="20"/>
        </w:rPr>
        <w:t>They are under intense time and safety pressure to move someone to the next level of care. A provider who accepts quickly and prevents readmission is gold.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Crisis units &amp; inpatient discharge want a warm handoff. </w:t>
      </w:r>
      <w:r>
        <w:rPr>
          <w:rFonts w:eastAsia="Calibri" w:cs="Calibri"/>
          <w:b w:val="false"/>
          <w:bCs w:val="false"/>
          <w:i w:val="false"/>
          <w:iCs w:val="false"/>
          <w:color w:val="1A1A1A"/>
          <w:sz w:val="20"/>
          <w:szCs w:val="20"/>
        </w:rPr>
        <w:t>They need the next level of care ready so the client does not fall through the gap after a crisis stay.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Courts &amp; probation want compliance and communication. </w:t>
      </w:r>
      <w:r>
        <w:rPr>
          <w:rFonts w:eastAsia="Calibri" w:cs="Calibri"/>
          <w:b w:val="false"/>
          <w:bCs w:val="false"/>
          <w:i w:val="false"/>
          <w:iCs w:val="false"/>
          <w:color w:val="1A1A1A"/>
          <w:sz w:val="20"/>
          <w:szCs w:val="20"/>
        </w:rPr>
        <w:t>They need reliable attendance and progress reporting and a provider who flags problems early.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Other providers &amp; families want trust. </w:t>
      </w:r>
      <w:r>
        <w:rPr>
          <w:rFonts w:eastAsia="Calibri" w:cs="Calibri"/>
          <w:b w:val="false"/>
          <w:bCs w:val="false"/>
          <w:i w:val="false"/>
          <w:iCs w:val="false"/>
          <w:color w:val="1A1A1A"/>
          <w:sz w:val="20"/>
          <w:szCs w:val="20"/>
        </w:rPr>
        <w:t>Competence, responsiveness, and the felt sense that the client will be safe and helped.</w:t>
      </w:r>
    </w:p>
    <w:p>
      <w:pPr>
        <w:pStyle w:val="Normal"/>
        <w:spacing w:lineRule="exact" w:line="268" w:before="0" w:after="110"/>
        <w:jc w:val="start"/>
        <w:rPr/>
      </w:pPr>
      <w:r>
        <w:rPr>
          <w:rFonts w:eastAsia="Calibri" w:cs="Calibri"/>
          <w:b w:val="false"/>
          <w:bCs w:val="false"/>
          <w:i w:val="false"/>
          <w:iCs w:val="false"/>
          <w:color w:val="1A1A1A"/>
          <w:sz w:val="20"/>
          <w:szCs w:val="20"/>
        </w:rPr>
        <w:t>Understand the pressure each source is under and speak to it directly. A crisis clinician who needs a bed tonight does not want a sales pitch — they want to know you will accept the referral and keep the person safe.</w:t>
      </w:r>
    </w:p>
    <w:p>
      <w:pPr>
        <w:pStyle w:val="Normal"/>
        <w:spacing w:lineRule="exact" w:line="268" w:before="0" w:after="110"/>
        <w:jc w:val="start"/>
        <w:rPr/>
      </w:pPr>
      <w:r>
        <w:rPr>
          <w:rFonts w:eastAsia="Calibri" w:cs="Calibri"/>
          <w:b w:val="false"/>
          <w:bCs w:val="false"/>
          <w:i w:val="false"/>
          <w:iCs w:val="false"/>
          <w:color w:val="1A1A1A"/>
          <w:sz w:val="20"/>
          <w:szCs w:val="20"/>
        </w:rPr>
        <w:t>Here is a concrete way to think about it. When a hospital or crisis team has a client ready to step down and nowhere to send them, they are under time pressure, safety pressure, and documentation pressure at once: the client cannot stay, the next setting has to be safe, and the referrer has to justify the decision. If you are the provider who answers, accepts quickly, takes a client with real complexity, and communicates after intake, you remove all three pressures at once. That is why fast, reliable acceptance beats marketing every time in behavioral health — you are not selling a service, you are relieving a professional’s hardest problem.</w:t>
      </w:r>
    </w:p>
    <w:p>
      <w:pPr>
        <w:pStyle w:val="Normal"/>
        <w:keepNext w:val="true"/>
        <w:spacing w:before="220" w:after="90"/>
        <w:rPr/>
      </w:pPr>
      <w:r>
        <w:rPr>
          <w:rFonts w:eastAsia="Calibri" w:cs="Calibri"/>
          <w:b/>
          <w:bCs/>
          <w:i w:val="false"/>
          <w:iCs w:val="false"/>
          <w:color w:val="1F3A5F"/>
          <w:sz w:val="26"/>
          <w:szCs w:val="26"/>
        </w:rPr>
        <w:t>Part 5 — How to Approach Them</w:t>
      </w:r>
    </w:p>
    <w:p>
      <w:pPr>
        <w:pStyle w:val="Normal"/>
        <w:spacing w:lineRule="exact" w:line="268" w:before="0" w:after="110"/>
        <w:jc w:val="start"/>
        <w:rPr/>
      </w:pPr>
      <w:r>
        <w:rPr>
          <w:rFonts w:eastAsia="Calibri" w:cs="Calibri"/>
          <w:b w:val="false"/>
          <w:bCs w:val="false"/>
          <w:i w:val="false"/>
          <w:iCs w:val="false"/>
          <w:color w:val="1A1A1A"/>
          <w:sz w:val="20"/>
          <w:szCs w:val="20"/>
        </w:rPr>
        <w:t>Approach referral sources the way you would want to be approached: professionally, briefly, and with something useful. Start with the sources that matter most — your SMMC plans and Managing Entity, and the crisis and hospital teams near you — and work outward.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Do your homework: know your SMMC plans and Managing Entity, and the hospitals, crisis centers, detox programs, and courts that serve your area.</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Lead with who you serve well, your endorsements, your availability, and how fast you accept a referral — not a sales pitch.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Make it effortless: a clear one-page leave-behind, your intake contact, your current openings, and your response time.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Be a resource, not a solicitor: share useful information and be genuinely helpful even when there is no immediate referral.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Follow up consistently and respect their time — professionals refer to providers who are easy to work with.</w:t>
      </w:r>
    </w:p>
    <w:p>
      <w:pPr>
        <w:pStyle w:val="Normal"/>
        <w:keepNext w:val="true"/>
        <w:spacing w:before="220" w:after="90"/>
        <w:rPr/>
      </w:pPr>
      <w:r>
        <w:rPr>
          <w:rFonts w:eastAsia="Calibri" w:cs="Calibri"/>
          <w:b/>
          <w:bCs/>
          <w:i w:val="false"/>
          <w:iCs w:val="false"/>
          <w:color w:val="1F3A5F"/>
          <w:sz w:val="26"/>
          <w:szCs w:val="26"/>
        </w:rPr>
        <w:t>Part 6 — What to Say: Scripts &amp; Messages</w:t>
      </w:r>
    </w:p>
    <w:p>
      <w:pPr>
        <w:pStyle w:val="Normal"/>
        <w:keepNext w:val="true"/>
        <w:spacing w:before="140" w:after="60"/>
        <w:rPr/>
      </w:pPr>
      <w:r>
        <w:rPr>
          <w:rFonts w:eastAsia="Calibri" w:cs="Calibri"/>
          <w:b/>
          <w:bCs/>
          <w:i w:val="false"/>
          <w:iCs w:val="false"/>
          <w:color w:val="3E5871"/>
          <w:sz w:val="21"/>
          <w:szCs w:val="21"/>
        </w:rPr>
        <w:t>Your 20-second introduction</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I'm [name] with [entity name], a licensed behavioral health entity in [area]. We provide [outpatient / residential / withdrawal management / crisis] services for adults with mental health and substance use needs, we're in-network with [SMMC plan], and we currently have openings. I'd love to be a resource when you have a client who needs [level of care]. What's the best way to reach you when you have a referral?”</w:t>
      </w:r>
    </w:p>
    <w:p>
      <w:pPr>
        <w:pStyle w:val="Normal"/>
        <w:keepNext w:val="true"/>
        <w:spacing w:before="140" w:after="60"/>
        <w:rPr/>
      </w:pPr>
      <w:r>
        <w:rPr>
          <w:rFonts w:eastAsia="Calibri" w:cs="Calibri"/>
          <w:b/>
          <w:bCs/>
          <w:i w:val="false"/>
          <w:iCs w:val="false"/>
          <w:color w:val="3E5871"/>
          <w:sz w:val="21"/>
          <w:szCs w:val="21"/>
        </w:rPr>
        <w:t>Your one-page leave-behind</w:t>
      </w:r>
    </w:p>
    <w:p>
      <w:pPr>
        <w:pStyle w:val="Normal"/>
        <w:spacing w:lineRule="exact" w:line="268" w:before="0" w:after="110"/>
        <w:jc w:val="start"/>
        <w:rPr/>
      </w:pPr>
      <w:r>
        <w:rPr>
          <w:rFonts w:eastAsia="Calibri" w:cs="Calibri"/>
          <w:b w:val="false"/>
          <w:bCs w:val="false"/>
          <w:i w:val="false"/>
          <w:iCs w:val="false"/>
          <w:color w:val="1A1A1A"/>
          <w:sz w:val="20"/>
          <w:szCs w:val="20"/>
        </w:rPr>
        <w:t>A single clear page a care coordinator or discharge planner can keep: your entity name and location; your license and endorsements; the services and levels of care you provide; who you serve well (diagnoses, co-occurring, age ranges, any specialties) and who you are not the right fit for; your payers and networks (SMMC plan, Managing Entity, Medicaid, commercial); your current availability; your intake contact and how fast you respond to a referral; and one line on what makes you reliable. Keep it factual and free of any claim you cannot back up.</w:t>
      </w:r>
    </w:p>
    <w:p>
      <w:pPr>
        <w:pStyle w:val="Normal"/>
        <w:keepNext w:val="true"/>
        <w:spacing w:before="140" w:after="60"/>
        <w:rPr/>
      </w:pPr>
      <w:r>
        <w:rPr>
          <w:rFonts w:eastAsia="Calibri" w:cs="Calibri"/>
          <w:b/>
          <w:bCs/>
          <w:i w:val="false"/>
          <w:iCs w:val="false"/>
          <w:color w:val="3E5871"/>
          <w:sz w:val="21"/>
          <w:szCs w:val="21"/>
        </w:rPr>
        <w:t>A short introduction email you can adapt</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Hello [name], I'm [name] with [entity name], a licensed behavioral health entity in [area], in-network with [SMMC plan] and contracted with [Managing Entity]. We have current openings for [population/level of care]. I know you occasionally need a reliable provider who accepts referrals quickly and communicates — I'd like to be that resource. I've attached a one-page summary of who we serve and how to reach us for a referral. Would a brief call help? Thank you for the work you do.”</w:t>
      </w:r>
    </w:p>
    <w:p>
      <w:pPr>
        <w:pStyle w:val="Normal"/>
        <w:keepNext w:val="true"/>
        <w:spacing w:before="220" w:after="90"/>
        <w:rPr/>
      </w:pPr>
      <w:r>
        <w:rPr>
          <w:rFonts w:eastAsia="Calibri" w:cs="Calibri"/>
          <w:b/>
          <w:bCs/>
          <w:i w:val="false"/>
          <w:iCs w:val="false"/>
          <w:color w:val="1F3A5F"/>
          <w:sz w:val="26"/>
          <w:szCs w:val="26"/>
        </w:rPr>
        <w:t>Part 7 — Becoming a Preferred Provider</w:t>
      </w:r>
    </w:p>
    <w:p>
      <w:pPr>
        <w:pStyle w:val="Normal"/>
        <w:spacing w:lineRule="exact" w:line="268" w:before="0" w:after="110"/>
        <w:jc w:val="start"/>
        <w:rPr/>
      </w:pPr>
      <w:r>
        <w:rPr>
          <w:rFonts w:eastAsia="Calibri" w:cs="Calibri"/>
          <w:b w:val="false"/>
          <w:bCs w:val="false"/>
          <w:i w:val="false"/>
          <w:iCs w:val="false"/>
          <w:color w:val="1A1A1A"/>
          <w:sz w:val="20"/>
          <w:szCs w:val="20"/>
        </w:rPr>
        <w:t>Getting one referral is a start; becoming the provider a coordinator thinks of first is the goal. You earn that by making every referral easy and every professional look good.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Accept referrals promptly and give a clear yes or no fast — speed is the single biggest driver of the next referral in behavioral health.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Give proactive updates on engagement and progress (within the bounds of 42 CFR Part 2 and HIPAA consent), and flag any problem early.</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Prevent bounce-backs: a client who is safely engaged and does not return to crisis makes the referrer look good.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Report outcomes and, for justice referrals, compliance — reliably and on time.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Say thank you appropriately and refer back when you can — the best relationships are two-way.</w:t>
      </w:r>
    </w:p>
    <w:p>
      <w:pPr>
        <w:pStyle w:val="Normal"/>
        <w:spacing w:lineRule="exact" w:line="268" w:before="0" w:after="110"/>
        <w:jc w:val="start"/>
        <w:rPr/>
      </w:pPr>
      <w:r>
        <w:rPr>
          <w:rFonts w:eastAsia="Calibri" w:cs="Calibri"/>
          <w:b w:val="false"/>
          <w:bCs w:val="false"/>
          <w:i w:val="false"/>
          <w:iCs w:val="false"/>
          <w:color w:val="1A1A1A"/>
          <w:sz w:val="20"/>
          <w:szCs w:val="20"/>
        </w:rPr>
        <w:t>The single most powerful thing you can do to become a preferred provider is to make the referring professional look good — when the client they sent you is safely engaged and progressing, and the coordinator hears about it, you have made their judgment look sound. Do that consistently and the referrals come to you because you are the safe choice.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A note on consent: 42 CFR Part 2 and HIPAA</w:t>
            </w:r>
          </w:p>
          <w:p>
            <w:pPr>
              <w:pStyle w:val="Normal"/>
              <w:spacing w:lineRule="exact" w:line="264" w:before="0" w:after="0"/>
              <w:rPr/>
            </w:pPr>
            <w:r>
              <w:rPr>
                <w:rFonts w:eastAsia="Calibri" w:cs="Calibri"/>
                <w:b w:val="false"/>
                <w:bCs w:val="false"/>
                <w:i w:val="false"/>
                <w:iCs w:val="false"/>
                <w:color w:val="1A1A1A"/>
                <w:sz w:val="19"/>
                <w:szCs w:val="19"/>
              </w:rPr>
              <w:t>Behavioral health information is protected, and substance use disorder treatment records carry heightened federal confidentiality under 42 CFR Part 2 — stricter than HIPAA alone. You generally cannot confirm a person is even in SUD treatment, or share progress with a referrer, without the client’s valid written consent. This is not a barrier to good referral relationships; it is part of doing them right. Build proper consent into your intake so that, when a client agrees, you can keep referrers appropriately informed — which is exactly what earns the next referral — while protecting the client’s privacy. When in doubt about what you may disclose, get the consent first or consult counsel.</w:t>
            </w:r>
          </w:p>
        </w:tc>
      </w:tr>
    </w:tbl>
    <w:p>
      <w:pPr>
        <w:pStyle w:val="Normal"/>
        <w:keepNext w:val="true"/>
        <w:spacing w:before="220" w:after="90"/>
        <w:rPr/>
      </w:pPr>
      <w:r>
        <w:rPr>
          <w:rFonts w:eastAsia="Calibri" w:cs="Calibri"/>
          <w:b/>
          <w:bCs/>
          <w:i w:val="false"/>
          <w:iCs w:val="false"/>
          <w:color w:val="1F3A5F"/>
          <w:sz w:val="26"/>
          <w:szCs w:val="26"/>
        </w:rPr>
        <w:t>Part 8 — Get Found: Your Online Presence &amp; the Directories</w:t>
      </w:r>
    </w:p>
    <w:p>
      <w:pPr>
        <w:pStyle w:val="Normal"/>
        <w:spacing w:lineRule="exact" w:line="268" w:before="0" w:after="110"/>
        <w:jc w:val="start"/>
        <w:rPr/>
      </w:pPr>
      <w:r>
        <w:rPr>
          <w:rFonts w:eastAsia="Calibri" w:cs="Calibri"/>
          <w:b w:val="false"/>
          <w:bCs w:val="false"/>
          <w:i w:val="false"/>
          <w:iCs w:val="false"/>
          <w:color w:val="1A1A1A"/>
          <w:sz w:val="20"/>
          <w:szCs w:val="20"/>
        </w:rPr>
        <w:t>When a coordinator, clinician, or family searches for a provider, you want to be found and to look credible.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in the payer directories. </w:t>
      </w:r>
      <w:r>
        <w:rPr>
          <w:rFonts w:eastAsia="Calibri" w:cs="Calibri"/>
          <w:b w:val="false"/>
          <w:bCs w:val="false"/>
          <w:i w:val="false"/>
          <w:iCs w:val="false"/>
          <w:color w:val="1A1A1A"/>
          <w:sz w:val="20"/>
          <w:szCs w:val="20"/>
        </w:rPr>
        <w:t>Make sure your listing in the SMMC plan and Managing Entity provider networks is accurate and shows your services, openings, and intake contact.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in any bed-availability / referral platform. </w:t>
      </w:r>
      <w:r>
        <w:rPr>
          <w:rFonts w:eastAsia="Calibri" w:cs="Calibri"/>
          <w:b w:val="false"/>
          <w:bCs w:val="false"/>
          <w:i w:val="false"/>
          <w:iCs w:val="false"/>
          <w:color w:val="1A1A1A"/>
          <w:sz w:val="20"/>
          <w:szCs w:val="20"/>
        </w:rPr>
        <w:t>If the crisis and hospital systems in your area use a referral or bed-tracking platform, keep your availability current in 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Claim your Google Business Profile. </w:t>
      </w:r>
      <w:r>
        <w:rPr>
          <w:rFonts w:eastAsia="Calibri" w:cs="Calibri"/>
          <w:b w:val="false"/>
          <w:bCs w:val="false"/>
          <w:i w:val="false"/>
          <w:iCs w:val="false"/>
          <w:color w:val="1A1A1A"/>
          <w:sz w:val="20"/>
          <w:szCs w:val="20"/>
        </w:rPr>
        <w:t>Accurate name, location, phone, and hours so you appear in local searches.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Keep a simple, professional website. </w:t>
      </w:r>
      <w:r>
        <w:rPr>
          <w:rFonts w:eastAsia="Calibri" w:cs="Calibri"/>
          <w:b w:val="false"/>
          <w:bCs w:val="false"/>
          <w:i w:val="false"/>
          <w:iCs w:val="false"/>
          <w:color w:val="1A1A1A"/>
          <w:sz w:val="20"/>
          <w:szCs w:val="20"/>
        </w:rPr>
        <w:t>Clear on who you serve, your levels of care, your networks, and how to make a referral — a coordinator should find your intake contact in seconds.</w:t>
      </w:r>
    </w:p>
    <w:p>
      <w:pPr>
        <w:pStyle w:val="Normal"/>
        <w:keepNext w:val="true"/>
        <w:spacing w:before="220" w:after="90"/>
        <w:rPr/>
      </w:pPr>
      <w:r>
        <w:rPr>
          <w:rFonts w:eastAsia="Calibri" w:cs="Calibri"/>
          <w:b/>
          <w:bCs/>
          <w:i w:val="false"/>
          <w:iCs w:val="false"/>
          <w:color w:val="1F3A5F"/>
          <w:sz w:val="26"/>
          <w:szCs w:val="26"/>
        </w:rPr>
        <w:t>Part 9 — The Referral System: Your Weekly Rhythm</w:t>
      </w:r>
    </w:p>
    <w:p>
      <w:pPr>
        <w:pStyle w:val="Normal"/>
        <w:spacing w:lineRule="exact" w:line="268" w:before="0" w:after="110"/>
        <w:jc w:val="start"/>
        <w:rPr/>
      </w:pPr>
      <w:r>
        <w:rPr>
          <w:rFonts w:eastAsia="Calibri" w:cs="Calibri"/>
          <w:b w:val="false"/>
          <w:bCs w:val="false"/>
          <w:i w:val="false"/>
          <w:iCs w:val="false"/>
          <w:color w:val="1A1A1A"/>
          <w:sz w:val="20"/>
          <w:szCs w:val="20"/>
        </w:rPr>
        <w:t>Referrals come from consistency, not bursts. Build a simple weekly rhythm and keep it: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Each week, make a set number of outreach touches — a new crisis, hospital, detox, or court contact, and a check-in with an existing one.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Respond to every referral inquiry the same day, whether or not you have an opening.</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Update your current availability with your SMMC plan, Managing Entity, and referral platforms.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Send one proactive update to a referring coordinator about a shared client (with proper consent).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Log every outreach and every referral so nothing falls through the cracks (Part Three).</w:t>
      </w:r>
    </w:p>
    <w:p>
      <w:pPr>
        <w:pStyle w:val="Normal"/>
        <w:spacing w:lineRule="exact" w:line="268" w:before="0" w:after="110"/>
        <w:jc w:val="start"/>
        <w:rPr/>
      </w:pPr>
      <w:r>
        <w:rPr>
          <w:rFonts w:eastAsia="Calibri" w:cs="Calibri"/>
          <w:b w:val="false"/>
          <w:bCs w:val="false"/>
          <w:i w:val="false"/>
          <w:iCs w:val="false"/>
          <w:color w:val="1A1A1A"/>
          <w:sz w:val="20"/>
          <w:szCs w:val="20"/>
        </w:rPr>
        <w:t>The hard part of a weekly rhythm is that it works slowly at first. You will make outreach touches for weeks before they produce steady referrals, and it is tempting to stop when nothing seems to happen. Do not. Referral relationships compound: the coordinator you checked in with three times this quarter is the one who calls you first when a client needs your level of care. Protect a small, fixed amount of time every week for outreach and follow-up, and treat it as seriously as you treat clinical care, because it is what keeps your caseload full.</w:t>
      </w:r>
    </w:p>
    <w:p>
      <w:pPr>
        <w:pStyle w:val="Normal"/>
        <w:keepNext w:val="true"/>
        <w:spacing w:before="220" w:after="90"/>
        <w:rPr/>
      </w:pPr>
      <w:r>
        <w:rPr>
          <w:rFonts w:eastAsia="Calibri" w:cs="Calibri"/>
          <w:b/>
          <w:bCs/>
          <w:i w:val="false"/>
          <w:iCs w:val="false"/>
          <w:color w:val="1F3A5F"/>
          <w:sz w:val="26"/>
          <w:szCs w:val="26"/>
        </w:rPr>
        <w:t>Part 10 — Measure What Works and Grow</w:t>
      </w:r>
    </w:p>
    <w:p>
      <w:pPr>
        <w:pStyle w:val="Normal"/>
        <w:spacing w:lineRule="exact" w:line="268" w:before="0" w:after="110"/>
        <w:jc w:val="start"/>
        <w:rPr/>
      </w:pPr>
      <w:r>
        <w:rPr>
          <w:rFonts w:eastAsia="Calibri" w:cs="Calibri"/>
          <w:b w:val="false"/>
          <w:bCs w:val="false"/>
          <w:i w:val="false"/>
          <w:iCs w:val="false"/>
          <w:color w:val="1A1A1A"/>
          <w:sz w:val="20"/>
          <w:szCs w:val="20"/>
        </w:rPr>
        <w:t>Track where your referrals actually come from so you invest in the sources that produce them:</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For every admission, record the referral source — which SMMC plan, Managing Entity, hospital, crisis center, detox, or court.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Watch which sources refer repeatedly and which never convert, and shift your time toward what works.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Track your response time to referrals — speed is one of the biggest drivers of the next referral.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Track engagement and no-show rates by source, and review quarterly to set outreach priorities.</w:t>
      </w:r>
    </w:p>
    <w:p>
      <w:pPr>
        <w:pStyle w:val="Normal"/>
        <w:spacing w:lineRule="exact" w:line="268" w:before="0" w:after="110"/>
        <w:jc w:val="start"/>
        <w:rPr/>
      </w:pPr>
      <w:r>
        <w:rPr>
          <w:rFonts w:eastAsia="Calibri" w:cs="Calibri"/>
          <w:b w:val="false"/>
          <w:bCs w:val="false"/>
          <w:i w:val="false"/>
          <w:iCs w:val="false"/>
          <w:color w:val="1A1A1A"/>
          <w:sz w:val="20"/>
          <w:szCs w:val="20"/>
        </w:rPr>
        <w:t>Honest tracking will surprise you. Most providers discover that a small number of sources produce the large majority of their admissions — often one SMMC plan or Managing Entity, one or two hospitals or crisis centers, and a detox or court. Once you know who those are, invest your best time in deepening those relationships rather than spreading thin. Tracking also protects you: if a once-reliable source stops referring, you will notice early and can find out why before it quietly costs you your caseload.</w:t>
      </w:r>
    </w:p>
    <w:p>
      <w:pPr>
        <w:pStyle w:val="Normal"/>
        <w:keepNext w:val="true"/>
        <w:spacing w:before="220" w:after="90"/>
        <w:rPr/>
      </w:pPr>
      <w:r>
        <w:rPr>
          <w:rFonts w:eastAsia="Calibri" w:cs="Calibri"/>
          <w:b/>
          <w:bCs/>
          <w:i w:val="false"/>
          <w:iCs w:val="false"/>
          <w:color w:val="1F3A5F"/>
          <w:sz w:val="26"/>
          <w:szCs w:val="26"/>
        </w:rPr>
        <w:t>Part 11 — Common Mistakes (and the Legal Line)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Waiting for clients to come to you. </w:t>
      </w:r>
      <w:r>
        <w:rPr>
          <w:rFonts w:eastAsia="Calibri" w:cs="Calibri"/>
          <w:b w:val="false"/>
          <w:bCs w:val="false"/>
          <w:i w:val="false"/>
          <w:iCs w:val="false"/>
          <w:color w:val="1A1A1A"/>
          <w:sz w:val="20"/>
          <w:szCs w:val="20"/>
        </w:rPr>
        <w:t>A license does not fill a caseload; relationships with the SMMC plan, Managing Entity, crisis, hospital, detox, and court systems do.</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Being slow or hard to reach. </w:t>
      </w:r>
      <w:r>
        <w:rPr>
          <w:rFonts w:eastAsia="Calibri" w:cs="Calibri"/>
          <w:b w:val="false"/>
          <w:bCs w:val="false"/>
          <w:i w:val="false"/>
          <w:iCs w:val="false"/>
          <w:color w:val="1A1A1A"/>
          <w:sz w:val="20"/>
          <w:szCs w:val="20"/>
        </w:rPr>
        <w:t>A slow or unclear response to a referral sends the next one elsewhere — speed is everything 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Going quiet after intake. </w:t>
      </w:r>
      <w:r>
        <w:rPr>
          <w:rFonts w:eastAsia="Calibri" w:cs="Calibri"/>
          <w:b w:val="false"/>
          <w:bCs w:val="false"/>
          <w:i w:val="false"/>
          <w:iCs w:val="false"/>
          <w:color w:val="1A1A1A"/>
          <w:sz w:val="20"/>
          <w:szCs w:val="20"/>
        </w:rPr>
        <w:t>No updates is how you lose a referrer; proactive, consent-based communication is how you keep one.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Over-promising on who you can serve. </w:t>
      </w:r>
      <w:r>
        <w:rPr>
          <w:rFonts w:eastAsia="Calibri" w:cs="Calibri"/>
          <w:b w:val="false"/>
          <w:bCs w:val="false"/>
          <w:i w:val="false"/>
          <w:iCs w:val="false"/>
          <w:color w:val="1A1A1A"/>
          <w:sz w:val="20"/>
          <w:szCs w:val="20"/>
        </w:rPr>
        <w:t>Accepting a client you cannot safely serve damages the trust you depend on — be honest about fit.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Paying for referrals or accepting patient brokering. </w:t>
      </w:r>
      <w:r>
        <w:rPr>
          <w:rFonts w:eastAsia="Calibri" w:cs="Calibri"/>
          <w:b w:val="false"/>
          <w:bCs w:val="false"/>
          <w:i w:val="false"/>
          <w:iCs w:val="false"/>
          <w:color w:val="1A1A1A"/>
          <w:sz w:val="20"/>
          <w:szCs w:val="20"/>
        </w:rPr>
        <w:t>Never pay or accept anything of value for a referral — the Anti-Kickback Statute and EKRA apply, EKRA even for private-pay clients. Earn referrals; never buy them.</w:t>
      </w:r>
    </w:p>
    <w:p>
      <w:pPr>
        <w:pStyle w:val="Normal"/>
        <w:keepNext w:val="true"/>
        <w:spacing w:before="220" w:after="90"/>
        <w:rPr/>
      </w:pPr>
      <w:r>
        <w:rPr>
          <w:rFonts w:eastAsia="Calibri" w:cs="Calibri"/>
          <w:b/>
          <w:bCs/>
          <w:i w:val="false"/>
          <w:iCs w:val="false"/>
          <w:color w:val="1F3A5F"/>
          <w:sz w:val="26"/>
          <w:szCs w:val="26"/>
        </w:rPr>
        <w:t>Building Your Referral Story: What Makes You the Reliable Choice</w:t>
      </w:r>
    </w:p>
    <w:p>
      <w:pPr>
        <w:pStyle w:val="Normal"/>
        <w:spacing w:lineRule="exact" w:line="268" w:before="0" w:after="110"/>
        <w:jc w:val="start"/>
        <w:rPr/>
      </w:pPr>
      <w:r>
        <w:rPr>
          <w:rFonts w:eastAsia="Calibri" w:cs="Calibri"/>
          <w:b w:val="false"/>
          <w:bCs w:val="false"/>
          <w:i w:val="false"/>
          <w:iCs w:val="false"/>
          <w:color w:val="1A1A1A"/>
          <w:sz w:val="20"/>
          <w:szCs w:val="20"/>
        </w:rPr>
        <w:t>Before you can earn referrals, you need to be clear — in one or two sentences — on why a coordinator or clinician should trust you with a client. This is your referral story, and it is not marketing language; it is a factual, specific account of what you do well. The clearer it is, the easier you are to refer to.</w:t>
      </w:r>
    </w:p>
    <w:p>
      <w:pPr>
        <w:pStyle w:val="Normal"/>
        <w:spacing w:lineRule="exact" w:line="268" w:before="0" w:after="110"/>
        <w:jc w:val="start"/>
        <w:rPr/>
      </w:pPr>
      <w:r>
        <w:rPr>
          <w:rFonts w:eastAsia="Calibri" w:cs="Calibri"/>
          <w:b w:val="false"/>
          <w:bCs w:val="false"/>
          <w:i w:val="false"/>
          <w:iCs w:val="false"/>
          <w:color w:val="1A1A1A"/>
          <w:sz w:val="20"/>
          <w:szCs w:val="20"/>
        </w:rPr>
        <w:t>A strong referral story answers three questions a referrer is silently asking. First, who do you serve well? Be specific about diagnoses, co-occurring mental health and substance use, levels of care, age ranges, and any specialties — and honest about who you are not the right fit for. Second, how do you keep clients safe and engaged? Point to your staffing, your levels of care, your crisis response, and your track record. Third, what is it like to work with you? Fast acceptance, clear communication, and outcome reporting. When you can state your story plainly and back every part of it up, referrers can send clients with confidence — and confidence earns the next referral.</w:t>
      </w:r>
    </w:p>
    <w:p>
      <w:pPr>
        <w:pStyle w:val="Normal"/>
        <w:spacing w:lineRule="exact" w:line="268" w:before="0" w:after="110"/>
        <w:jc w:val="start"/>
        <w:rPr/>
      </w:pPr>
      <w:r>
        <w:rPr>
          <w:rFonts w:eastAsia="Calibri" w:cs="Calibri"/>
          <w:b w:val="false"/>
          <w:bCs w:val="false"/>
          <w:i w:val="false"/>
          <w:iCs w:val="false"/>
          <w:color w:val="1A1A1A"/>
          <w:sz w:val="20"/>
          <w:szCs w:val="20"/>
        </w:rPr>
        <w:t>Write your referral story down, make sure everyone who answers your intake line can express it, and keep it current as your services grow. Then let everything you do prove it true.</w:t>
      </w:r>
    </w:p>
    <w:p>
      <w:pPr>
        <w:pStyle w:val="Normal"/>
        <w:keepNext w:val="true"/>
        <w:spacing w:before="220" w:after="90"/>
        <w:rPr/>
      </w:pPr>
      <w:r>
        <w:rPr>
          <w:rFonts w:eastAsia="Calibri" w:cs="Calibri"/>
          <w:b/>
          <w:bCs/>
          <w:i w:val="false"/>
          <w:iCs w:val="false"/>
          <w:color w:val="1F3A5F"/>
          <w:sz w:val="26"/>
          <w:szCs w:val="26"/>
        </w:rPr>
        <w:t>Your First 90 Days: An Outreach Action Plan</w:t>
      </w:r>
    </w:p>
    <w:p>
      <w:pPr>
        <w:pStyle w:val="Normal"/>
        <w:spacing w:lineRule="exact" w:line="268" w:before="0" w:after="110"/>
        <w:jc w:val="start"/>
        <w:rPr/>
      </w:pPr>
      <w:r>
        <w:rPr>
          <w:rFonts w:eastAsia="Calibri" w:cs="Calibri"/>
          <w:b w:val="false"/>
          <w:bCs w:val="false"/>
          <w:i w:val="false"/>
          <w:iCs w:val="false"/>
          <w:color w:val="1A1A1A"/>
          <w:sz w:val="20"/>
          <w:szCs w:val="20"/>
        </w:rPr>
        <w:t>If you are opening or newly licensed, here is a concrete way to build your referral base in the first ninety days:</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Weeks 1–2: get in-network. </w:t>
      </w:r>
      <w:r>
        <w:rPr>
          <w:rFonts w:eastAsia="Calibri" w:cs="Calibri"/>
          <w:b w:val="false"/>
          <w:bCs w:val="false"/>
          <w:i w:val="false"/>
          <w:iCs w:val="false"/>
          <w:color w:val="1A1A1A"/>
          <w:sz w:val="20"/>
          <w:szCs w:val="20"/>
        </w:rPr>
        <w:t>Confirm your Florida Medicaid enrollment, your SMMC plan contract, and your Managing Entity contract, and make sure your directory listings are accurate.</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Weeks 2–4: map your region. </w:t>
      </w:r>
      <w:r>
        <w:rPr>
          <w:rFonts w:eastAsia="Calibri" w:cs="Calibri"/>
          <w:b w:val="false"/>
          <w:bCs w:val="false"/>
          <w:i w:val="false"/>
          <w:iCs w:val="false"/>
          <w:color w:val="1A1A1A"/>
          <w:sz w:val="20"/>
          <w:szCs w:val="20"/>
        </w:rPr>
        <w:t>Identify the crisis centers, hospitals and EDs, psychiatric units, courts, and other providers near you — use the directory in Part Two.</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Weeks 3–6: introduce yourself to the crisis and hospital teams. </w:t>
      </w:r>
      <w:r>
        <w:rPr>
          <w:rFonts w:eastAsia="Calibri" w:cs="Calibri"/>
          <w:b w:val="false"/>
          <w:bCs w:val="false"/>
          <w:i w:val="false"/>
          <w:iCs w:val="false"/>
          <w:color w:val="1A1A1A"/>
          <w:sz w:val="20"/>
          <w:szCs w:val="20"/>
        </w:rPr>
        <w:t>Reach out with your one-page leave-behind, your openings, and your response time.</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Weeks 5–8: build hospital, crisis &amp; court relationships. </w:t>
      </w:r>
      <w:r>
        <w:rPr>
          <w:rFonts w:eastAsia="Calibri" w:cs="Calibri"/>
          <w:b w:val="false"/>
          <w:bCs w:val="false"/>
          <w:i w:val="false"/>
          <w:iCs w:val="false"/>
          <w:color w:val="1A1A1A"/>
          <w:sz w:val="20"/>
          <w:szCs w:val="20"/>
        </w:rPr>
        <w:t>Meet the psychiatric hospitals and crisis units and, if you serve justice-involved clients, the mental health courts and probation.</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Weeks 8–12: deepen and follow up. </w:t>
      </w:r>
      <w:r>
        <w:rPr>
          <w:rFonts w:eastAsia="Calibri" w:cs="Calibri"/>
          <w:b w:val="false"/>
          <w:bCs w:val="false"/>
          <w:i w:val="false"/>
          <w:iCs w:val="false"/>
          <w:color w:val="1A1A1A"/>
          <w:sz w:val="20"/>
          <w:szCs w:val="20"/>
        </w:rPr>
        <w:t>Check back in with everyone you met, respond instantly to any referral, and start your weekly rhythm and tracking so nothing slips.</w:t>
      </w:r>
    </w:p>
    <w:p>
      <w:pPr>
        <w:pStyle w:val="Normal"/>
        <w:spacing w:lineRule="exact" w:line="268" w:before="0" w:after="110"/>
        <w:jc w:val="start"/>
        <w:rPr/>
      </w:pPr>
      <w:r>
        <w:rPr>
          <w:rFonts w:eastAsia="Calibri" w:cs="Calibri"/>
          <w:b w:val="false"/>
          <w:bCs w:val="false"/>
          <w:i w:val="false"/>
          <w:iCs w:val="false"/>
          <w:color w:val="1A1A1A"/>
          <w:sz w:val="20"/>
          <w:szCs w:val="20"/>
        </w:rPr>
        <w:t>By the end of ninety days you will not have every relationship you need, but you will have introduced yourself to the sources that matter most and started the habits that fill a caseload over the long run. Keep going — in this business, consistency is the whole strategy.</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Two — The Florida Mental Health Referral Directory</w:t>
      </w:r>
    </w:p>
    <w:p>
      <w:pPr>
        <w:pStyle w:val="Normal"/>
        <w:spacing w:lineRule="exact" w:line="268" w:before="0" w:after="110"/>
        <w:jc w:val="start"/>
        <w:rPr/>
      </w:pPr>
      <w:r>
        <w:rPr>
          <w:rFonts w:eastAsia="Calibri" w:cs="Calibri"/>
          <w:b w:val="false"/>
          <w:bCs w:val="false"/>
          <w:i w:val="false"/>
          <w:iCs w:val="false"/>
          <w:color w:val="1A1A1A"/>
          <w:sz w:val="20"/>
          <w:szCs w:val="20"/>
        </w:rPr>
        <w:t>These are the Florida sources a mental health treatment provider builds relationships with, organized statewide and then by metro with verified named partners. Contacts change — confirm each before you rely on it, and treat this as a starting map, not a guarantee.</w:t>
      </w:r>
    </w:p>
    <w:p>
      <w:pPr>
        <w:pStyle w:val="Normal"/>
        <w:keepNext w:val="true"/>
        <w:spacing w:before="150" w:after="60"/>
        <w:rPr/>
      </w:pPr>
      <w:r>
        <w:rPr>
          <w:rFonts w:eastAsia="Calibri" w:cs="Calibri"/>
          <w:b/>
          <w:bCs/>
          <w:i w:val="false"/>
          <w:iCs w:val="false"/>
          <w:color w:val="3E5871"/>
          <w:sz w:val="20"/>
          <w:szCs w:val="20"/>
        </w:rPr>
        <w:t>Statewide — start 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Your SMMC plan — in-network first. </w:t>
      </w:r>
      <w:r>
        <w:rPr>
          <w:rFonts w:eastAsia="Calibri" w:cs="Calibri"/>
          <w:b w:val="false"/>
          <w:bCs w:val="false"/>
          <w:i w:val="false"/>
          <w:iCs w:val="false"/>
          <w:color w:val="1A1A1A"/>
          <w:sz w:val="20"/>
          <w:szCs w:val="20"/>
        </w:rPr>
        <w:t>Most Florida Medicaid members receive behavioral health through Statewide Medicaid Managed Care (SMMC) plans; their care coordinators refer members and authorize services. Enroll as a Florida Medicaid provider and contract with the SMMC plans serving your area.</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Your regional Managing Entity (ME) — the public safety net. </w:t>
      </w:r>
      <w:r>
        <w:rPr>
          <w:rFonts w:eastAsia="Calibri" w:cs="Calibri"/>
          <w:b w:val="false"/>
          <w:bCs w:val="false"/>
          <w:i w:val="false"/>
          <w:iCs w:val="false"/>
          <w:color w:val="1A1A1A"/>
          <w:sz w:val="20"/>
          <w:szCs w:val="20"/>
        </w:rPr>
        <w:t>Seven regional Managing Entities coordinate the DCF-funded network for the uninsured and underinsured. Join the ME network for your region: Central Florida Behavioral Health Network (Suncoast), Central Florida Cares Health System (Central), Lutheran Services Florida Health Systems (Northeast/North Central), Thriving Mind South Florida (Miami-Dade/Monroe), Broward Behavioral Health Coalition, Southeast Florida Behavioral Health Network, and the Northwest/Big Bend network.</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The Baker Act, crisis stabilization units &amp; receiving facilities. </w:t>
      </w:r>
      <w:r>
        <w:rPr>
          <w:rFonts w:eastAsia="Calibri" w:cs="Calibri"/>
          <w:b w:val="false"/>
          <w:bCs w:val="false"/>
          <w:i w:val="false"/>
          <w:iCs w:val="false"/>
          <w:color w:val="1A1A1A"/>
          <w:sz w:val="20"/>
          <w:szCs w:val="20"/>
        </w:rPr>
        <w:t>Crisis stabilization units (CSUs) and public receiving facilities examine and stabilize people under the Baker Act (Ch. 394) and then step them down to ongoing mental health treatment — a major referral source. The 988 Florida Lifeline and mobile response teams also refer.</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Florida AHCA / DCF — licensing. </w:t>
      </w:r>
      <w:r>
        <w:rPr>
          <w:rFonts w:eastAsia="Calibri" w:cs="Calibri"/>
          <w:b w:val="false"/>
          <w:bCs w:val="false"/>
          <w:i w:val="false"/>
          <w:iCs w:val="false"/>
          <w:color w:val="1A1A1A"/>
          <w:sz w:val="20"/>
          <w:szCs w:val="20"/>
        </w:rPr>
        <w:t>Mental health residential treatment is licensed under 65E-4.016, F.A.C.; DCF's Office of Substance Abuse and Mental Health (SAMH) oversees the public system. myflfamilies.com.</w:t>
      </w:r>
    </w:p>
    <w:p>
      <w:pPr>
        <w:pStyle w:val="Normal"/>
        <w:keepNext w:val="true"/>
        <w:spacing w:before="150" w:after="60"/>
        <w:rPr/>
      </w:pPr>
      <w:r>
        <w:rPr>
          <w:rFonts w:eastAsia="Calibri" w:cs="Calibri"/>
          <w:b/>
          <w:bCs/>
          <w:i w:val="false"/>
          <w:iCs w:val="false"/>
          <w:color w:val="3E5871"/>
          <w:sz w:val="20"/>
          <w:szCs w:val="20"/>
        </w:rPr>
        <w:t>Miami / South Florida — verified named partners</w:t>
      </w:r>
    </w:p>
    <w:p>
      <w:pPr>
        <w:pStyle w:val="Normal"/>
        <w:spacing w:before="0" w:after="60"/>
        <w:rPr/>
      </w:pPr>
      <w:r>
        <w:rPr>
          <w:rFonts w:eastAsia="Calibri" w:cs="Calibri"/>
          <w:b/>
          <w:bCs/>
          <w:i w:val="false"/>
          <w:iCs w:val="false"/>
          <w:color w:val="1F3A5F"/>
          <w:sz w:val="19"/>
          <w:szCs w:val="19"/>
        </w:rPr>
        <w:t>Psychiatric hospitals, crisis &amp; community mental health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Jackson Behavioral Health Hospital (psychiatric &amp; receiving)</w:t>
      </w:r>
      <w:r>
        <w:rPr>
          <w:rFonts w:eastAsia="Calibri" w:cs="Calibri"/>
          <w:b w:val="false"/>
          <w:bCs w:val="false"/>
          <w:i w:val="false"/>
          <w:iCs w:val="false"/>
          <w:color w:val="555555"/>
          <w:sz w:val="18"/>
          <w:szCs w:val="18"/>
        </w:rPr>
        <w:t xml:space="preserve">  —  1695 NW 9th Ave, Miami, FL 33136</w:t>
      </w:r>
      <w:r>
        <w:rPr>
          <w:rFonts w:eastAsia="Calibri" w:cs="Calibri"/>
          <w:b w:val="false"/>
          <w:bCs w:val="false"/>
          <w:i w:val="false"/>
          <w:iCs w:val="false"/>
          <w:color w:val="3E5871"/>
          <w:sz w:val="18"/>
          <w:szCs w:val="18"/>
        </w:rPr>
        <w:t xml:space="preserve">  ·  305-355-7000</w:t>
      </w:r>
    </w:p>
    <w:p>
      <w:pPr>
        <w:pStyle w:val="ListParagraph"/>
        <w:numPr>
          <w:ilvl w:val="0"/>
          <w:numId w:val="1"/>
        </w:numPr>
        <w:spacing w:lineRule="exact" w:line="264" w:before="0" w:after="70"/>
        <w:rPr/>
      </w:pPr>
      <w:r>
        <w:rPr>
          <w:rFonts w:eastAsia="Calibri" w:cs="Calibri"/>
          <w:b/>
          <w:bCs/>
          <w:i w:val="false"/>
          <w:iCs w:val="false"/>
          <w:color w:val="1A1A1A"/>
          <w:sz w:val="19"/>
          <w:szCs w:val="19"/>
        </w:rPr>
        <w:t>Miami Behavioral Health Center (crisis / stabilization)</w:t>
      </w:r>
      <w:r>
        <w:rPr>
          <w:rFonts w:eastAsia="Calibri" w:cs="Calibri"/>
          <w:b w:val="false"/>
          <w:bCs w:val="false"/>
          <w:i w:val="false"/>
          <w:iCs w:val="false"/>
          <w:color w:val="555555"/>
          <w:sz w:val="18"/>
          <w:szCs w:val="18"/>
        </w:rPr>
        <w:t xml:space="preserve">  —  3800 W Flagler St, Coral Gables, FL 33134</w:t>
      </w:r>
      <w:r>
        <w:rPr>
          <w:rFonts w:eastAsia="Calibri" w:cs="Calibri"/>
          <w:b w:val="false"/>
          <w:bCs w:val="false"/>
          <w:i w:val="false"/>
          <w:iCs w:val="false"/>
          <w:color w:val="3E5871"/>
          <w:sz w:val="18"/>
          <w:szCs w:val="18"/>
        </w:rPr>
        <w:t xml:space="preserve">  ·  305-774-3616</w:t>
      </w:r>
    </w:p>
    <w:p>
      <w:pPr>
        <w:pStyle w:val="ListParagraph"/>
        <w:numPr>
          <w:ilvl w:val="0"/>
          <w:numId w:val="1"/>
        </w:numPr>
        <w:spacing w:lineRule="exact" w:line="264" w:before="0" w:after="70"/>
        <w:rPr/>
      </w:pPr>
      <w:r>
        <w:rPr>
          <w:rFonts w:eastAsia="Calibri" w:cs="Calibri"/>
          <w:b/>
          <w:bCs/>
          <w:i w:val="false"/>
          <w:iCs w:val="false"/>
          <w:color w:val="1A1A1A"/>
          <w:sz w:val="19"/>
          <w:szCs w:val="19"/>
        </w:rPr>
        <w:t>Jackson Community Mental Health Center</w:t>
      </w:r>
      <w:r>
        <w:rPr>
          <w:rFonts w:eastAsia="Calibri" w:cs="Calibri"/>
          <w:b w:val="false"/>
          <w:bCs w:val="false"/>
          <w:i w:val="false"/>
          <w:iCs w:val="false"/>
          <w:color w:val="555555"/>
          <w:sz w:val="18"/>
          <w:szCs w:val="18"/>
        </w:rPr>
        <w:t xml:space="preserve">  —  15055 NW 27th Ave, Opa-locka, FL 33054</w:t>
      </w:r>
      <w:r>
        <w:rPr>
          <w:rFonts w:eastAsia="Calibri" w:cs="Calibri"/>
          <w:b w:val="false"/>
          <w:bCs w:val="false"/>
          <w:i w:val="false"/>
          <w:iCs w:val="false"/>
          <w:color w:val="3E5871"/>
          <w:sz w:val="18"/>
          <w:szCs w:val="18"/>
        </w:rPr>
        <w:t xml:space="preserve">  ·  786-466-2800</w:t>
      </w:r>
    </w:p>
    <w:p>
      <w:pPr>
        <w:pStyle w:val="Normal"/>
        <w:keepNext w:val="true"/>
        <w:spacing w:before="150" w:after="60"/>
        <w:rPr/>
      </w:pPr>
      <w:r>
        <w:rPr>
          <w:rFonts w:eastAsia="Calibri" w:cs="Calibri"/>
          <w:b/>
          <w:bCs/>
          <w:i w:val="false"/>
          <w:iCs w:val="false"/>
          <w:color w:val="3E5871"/>
          <w:sz w:val="20"/>
          <w:szCs w:val="20"/>
        </w:rPr>
        <w:t>Orlando / Central Florida — verified named partners</w:t>
      </w:r>
    </w:p>
    <w:p>
      <w:pPr>
        <w:pStyle w:val="Normal"/>
        <w:spacing w:before="0" w:after="60"/>
        <w:rPr/>
      </w:pPr>
      <w:r>
        <w:rPr>
          <w:rFonts w:eastAsia="Calibri" w:cs="Calibri"/>
          <w:b/>
          <w:bCs/>
          <w:i w:val="false"/>
          <w:iCs w:val="false"/>
          <w:color w:val="1F3A5F"/>
          <w:sz w:val="19"/>
          <w:szCs w:val="19"/>
        </w:rPr>
        <w:t>Psychiatric hospitals &amp; mental health navigation</w:t>
      </w:r>
    </w:p>
    <w:p>
      <w:pPr>
        <w:pStyle w:val="ListParagraph"/>
        <w:numPr>
          <w:ilvl w:val="0"/>
          <w:numId w:val="1"/>
        </w:numPr>
        <w:spacing w:lineRule="exact" w:line="264" w:before="0" w:after="70"/>
        <w:rPr/>
      </w:pPr>
      <w:r>
        <w:rPr>
          <w:rFonts w:eastAsia="Calibri" w:cs="Calibri"/>
          <w:b/>
          <w:bCs/>
          <w:i w:val="false"/>
          <w:iCs w:val="false"/>
          <w:color w:val="1A1A1A"/>
          <w:sz w:val="19"/>
          <w:szCs w:val="19"/>
        </w:rPr>
        <w:t>Central Florida Behavioral Hospital (Baker Act receiving)</w:t>
      </w:r>
      <w:r>
        <w:rPr>
          <w:rFonts w:eastAsia="Calibri" w:cs="Calibri"/>
          <w:b w:val="false"/>
          <w:bCs w:val="false"/>
          <w:i w:val="false"/>
          <w:iCs w:val="false"/>
          <w:color w:val="555555"/>
          <w:sz w:val="18"/>
          <w:szCs w:val="18"/>
        </w:rPr>
        <w:t xml:space="preserve">  —  6601 Central Florida Pkwy, Orlando, FL 32821</w:t>
      </w:r>
      <w:r>
        <w:rPr>
          <w:rFonts w:eastAsia="Calibri" w:cs="Calibri"/>
          <w:b w:val="false"/>
          <w:bCs w:val="false"/>
          <w:i w:val="false"/>
          <w:iCs w:val="false"/>
          <w:color w:val="3E5871"/>
          <w:sz w:val="18"/>
          <w:szCs w:val="18"/>
        </w:rPr>
        <w:t xml:space="preserve">  ·  407-370-0111</w:t>
      </w:r>
    </w:p>
    <w:p>
      <w:pPr>
        <w:pStyle w:val="ListParagraph"/>
        <w:numPr>
          <w:ilvl w:val="0"/>
          <w:numId w:val="1"/>
        </w:numPr>
        <w:spacing w:lineRule="exact" w:line="264" w:before="0" w:after="70"/>
        <w:rPr/>
      </w:pPr>
      <w:r>
        <w:rPr>
          <w:rFonts w:eastAsia="Calibri" w:cs="Calibri"/>
          <w:b/>
          <w:bCs/>
          <w:i w:val="false"/>
          <w:iCs w:val="false"/>
          <w:color w:val="1A1A1A"/>
          <w:sz w:val="19"/>
          <w:szCs w:val="19"/>
        </w:rPr>
        <w:t>Center for Behavioral Health — Orlando</w:t>
      </w:r>
      <w:r>
        <w:rPr>
          <w:rFonts w:eastAsia="Calibri" w:cs="Calibri"/>
          <w:b w:val="false"/>
          <w:bCs w:val="false"/>
          <w:i w:val="false"/>
          <w:iCs w:val="false"/>
          <w:color w:val="555555"/>
          <w:sz w:val="18"/>
          <w:szCs w:val="18"/>
        </w:rPr>
        <w:t xml:space="preserve">  —  601 E Rollins St, Orlando, FL 32803</w:t>
      </w:r>
      <w:r>
        <w:rPr>
          <w:rFonts w:eastAsia="Calibri" w:cs="Calibri"/>
          <w:b w:val="false"/>
          <w:bCs w:val="false"/>
          <w:i w:val="false"/>
          <w:iCs w:val="false"/>
          <w:color w:val="3E5871"/>
          <w:sz w:val="18"/>
          <w:szCs w:val="18"/>
        </w:rPr>
        <w:t xml:space="preserve">  ·  407-896-8097</w:t>
      </w:r>
    </w:p>
    <w:p>
      <w:pPr>
        <w:pStyle w:val="ListParagraph"/>
        <w:numPr>
          <w:ilvl w:val="0"/>
          <w:numId w:val="1"/>
        </w:numPr>
        <w:spacing w:lineRule="exact" w:line="264" w:before="0" w:after="70"/>
        <w:rPr/>
      </w:pPr>
      <w:r>
        <w:rPr>
          <w:rFonts w:eastAsia="Calibri" w:cs="Calibri"/>
          <w:b/>
          <w:bCs/>
          <w:i w:val="false"/>
          <w:iCs w:val="false"/>
          <w:color w:val="1A1A1A"/>
          <w:sz w:val="19"/>
          <w:szCs w:val="19"/>
        </w:rPr>
        <w:t>Mental Health Association of Central Florida (navigation &amp; referral)</w:t>
      </w:r>
      <w:r>
        <w:rPr>
          <w:rFonts w:eastAsia="Calibri" w:cs="Calibri"/>
          <w:b w:val="false"/>
          <w:bCs w:val="false"/>
          <w:i w:val="false"/>
          <w:iCs w:val="false"/>
          <w:color w:val="555555"/>
          <w:sz w:val="18"/>
          <w:szCs w:val="18"/>
        </w:rPr>
        <w:t xml:space="preserve">  —  605 E Robinson St #450, Orlando, FL 32801</w:t>
      </w:r>
      <w:r>
        <w:rPr>
          <w:rFonts w:eastAsia="Calibri" w:cs="Calibri"/>
          <w:b w:val="false"/>
          <w:bCs w:val="false"/>
          <w:i w:val="false"/>
          <w:iCs w:val="false"/>
          <w:color w:val="3E5871"/>
          <w:sz w:val="18"/>
          <w:szCs w:val="18"/>
        </w:rPr>
        <w:t xml:space="preserve">  ·  407-898-0110</w:t>
      </w:r>
    </w:p>
    <w:p>
      <w:pPr>
        <w:pStyle w:val="Normal"/>
        <w:keepNext w:val="true"/>
        <w:spacing w:before="150" w:after="60"/>
        <w:rPr/>
      </w:pPr>
      <w:r>
        <w:rPr>
          <w:rFonts w:eastAsia="Calibri" w:cs="Calibri"/>
          <w:b/>
          <w:bCs/>
          <w:i w:val="false"/>
          <w:iCs w:val="false"/>
          <w:color w:val="3E5871"/>
          <w:sz w:val="20"/>
          <w:szCs w:val="20"/>
        </w:rPr>
        <w:t>Tampa Bay — verified named partners</w:t>
      </w:r>
    </w:p>
    <w:p>
      <w:pPr>
        <w:pStyle w:val="Normal"/>
        <w:spacing w:before="0" w:after="60"/>
        <w:rPr/>
      </w:pPr>
      <w:r>
        <w:rPr>
          <w:rFonts w:eastAsia="Calibri" w:cs="Calibri"/>
          <w:b/>
          <w:bCs/>
          <w:i w:val="false"/>
          <w:iCs w:val="false"/>
          <w:color w:val="1F3A5F"/>
          <w:sz w:val="19"/>
          <w:szCs w:val="19"/>
        </w:rPr>
        <w:t>Crisis &amp; psychiatric receiving facilities</w:t>
      </w:r>
    </w:p>
    <w:p>
      <w:pPr>
        <w:pStyle w:val="ListParagraph"/>
        <w:numPr>
          <w:ilvl w:val="0"/>
          <w:numId w:val="1"/>
        </w:numPr>
        <w:spacing w:lineRule="exact" w:line="264" w:before="0" w:after="70"/>
        <w:rPr/>
      </w:pPr>
      <w:r>
        <w:rPr>
          <w:rFonts w:eastAsia="Calibri" w:cs="Calibri"/>
          <w:b/>
          <w:bCs/>
          <w:i w:val="false"/>
          <w:iCs w:val="false"/>
          <w:color w:val="1A1A1A"/>
          <w:sz w:val="19"/>
          <w:szCs w:val="19"/>
        </w:rPr>
        <w:t>Crisis Center of Tampa Bay</w:t>
      </w:r>
      <w:r>
        <w:rPr>
          <w:rFonts w:eastAsia="Calibri" w:cs="Calibri"/>
          <w:b w:val="false"/>
          <w:bCs w:val="false"/>
          <w:i w:val="false"/>
          <w:iCs w:val="false"/>
          <w:color w:val="555555"/>
          <w:sz w:val="18"/>
          <w:szCs w:val="18"/>
        </w:rPr>
        <w:t xml:space="preserve">  —  14905 Crisis Center Plaza, Tampa, FL 33613</w:t>
      </w:r>
      <w:r>
        <w:rPr>
          <w:rFonts w:eastAsia="Calibri" w:cs="Calibri"/>
          <w:b w:val="false"/>
          <w:bCs w:val="false"/>
          <w:i w:val="false"/>
          <w:iCs w:val="false"/>
          <w:color w:val="3E5871"/>
          <w:sz w:val="18"/>
          <w:szCs w:val="18"/>
        </w:rPr>
        <w:t xml:space="preserve">  ·  813-964-1964</w:t>
      </w:r>
    </w:p>
    <w:p>
      <w:pPr>
        <w:pStyle w:val="ListParagraph"/>
        <w:numPr>
          <w:ilvl w:val="0"/>
          <w:numId w:val="1"/>
        </w:numPr>
        <w:spacing w:lineRule="exact" w:line="264" w:before="0" w:after="70"/>
        <w:rPr/>
      </w:pPr>
      <w:r>
        <w:rPr>
          <w:rFonts w:eastAsia="Calibri" w:cs="Calibri"/>
          <w:b/>
          <w:bCs/>
          <w:i w:val="false"/>
          <w:iCs w:val="false"/>
          <w:color w:val="1A1A1A"/>
          <w:sz w:val="19"/>
          <w:szCs w:val="19"/>
        </w:rPr>
        <w:t>St. Joseph's Hospital Behavioral Health Center (Baker Act receiving)</w:t>
      </w:r>
      <w:r>
        <w:rPr>
          <w:rFonts w:eastAsia="Calibri" w:cs="Calibri"/>
          <w:b w:val="false"/>
          <w:bCs w:val="false"/>
          <w:i w:val="false"/>
          <w:iCs w:val="false"/>
          <w:color w:val="555555"/>
          <w:sz w:val="18"/>
          <w:szCs w:val="18"/>
        </w:rPr>
        <w:t xml:space="preserve">  —  4918 N Habana Ave, Tampa, FL 33614</w:t>
      </w:r>
      <w:r>
        <w:rPr>
          <w:rFonts w:eastAsia="Calibri" w:cs="Calibri"/>
          <w:b w:val="false"/>
          <w:bCs w:val="false"/>
          <w:i w:val="false"/>
          <w:iCs w:val="false"/>
          <w:color w:val="3E5871"/>
          <w:sz w:val="18"/>
          <w:szCs w:val="18"/>
        </w:rPr>
        <w:t xml:space="preserve">  ·  813-870-4300</w:t>
      </w:r>
    </w:p>
    <w:p>
      <w:pPr>
        <w:pStyle w:val="Normal"/>
        <w:keepNext w:val="true"/>
        <w:spacing w:before="150" w:after="60"/>
        <w:rPr/>
      </w:pPr>
      <w:r>
        <w:rPr>
          <w:rFonts w:eastAsia="Calibri" w:cs="Calibri"/>
          <w:b/>
          <w:bCs/>
          <w:i w:val="false"/>
          <w:iCs w:val="false"/>
          <w:color w:val="3E5871"/>
          <w:sz w:val="20"/>
          <w:szCs w:val="20"/>
        </w:rPr>
        <w:t>Jacksonville / Northeast Florida — verified named partners</w:t>
      </w:r>
    </w:p>
    <w:p>
      <w:pPr>
        <w:pStyle w:val="Normal"/>
        <w:spacing w:before="0" w:after="60"/>
        <w:rPr/>
      </w:pPr>
      <w:r>
        <w:rPr>
          <w:rFonts w:eastAsia="Calibri" w:cs="Calibri"/>
          <w:b/>
          <w:bCs/>
          <w:i w:val="false"/>
          <w:iCs w:val="false"/>
          <w:color w:val="1F3A5F"/>
          <w:sz w:val="19"/>
          <w:szCs w:val="19"/>
        </w:rPr>
        <w:t>Psychiatric hospitals &amp; community mental health</w:t>
      </w:r>
    </w:p>
    <w:p>
      <w:pPr>
        <w:pStyle w:val="ListParagraph"/>
        <w:numPr>
          <w:ilvl w:val="0"/>
          <w:numId w:val="1"/>
        </w:numPr>
        <w:spacing w:lineRule="exact" w:line="264" w:before="0" w:after="70"/>
        <w:rPr/>
      </w:pPr>
      <w:r>
        <w:rPr>
          <w:rFonts w:eastAsia="Calibri" w:cs="Calibri"/>
          <w:b/>
          <w:bCs/>
          <w:i w:val="false"/>
          <w:iCs w:val="false"/>
          <w:color w:val="1A1A1A"/>
          <w:sz w:val="19"/>
          <w:szCs w:val="19"/>
        </w:rPr>
        <w:t>River Point Behavioral Health (psychiatric hospital)</w:t>
      </w:r>
      <w:r>
        <w:rPr>
          <w:rFonts w:eastAsia="Calibri" w:cs="Calibri"/>
          <w:b w:val="false"/>
          <w:bCs w:val="false"/>
          <w:i w:val="false"/>
          <w:iCs w:val="false"/>
          <w:color w:val="555555"/>
          <w:sz w:val="18"/>
          <w:szCs w:val="18"/>
        </w:rPr>
        <w:t xml:space="preserve">  —  6300 Beach Blvd, Jacksonville, FL 32216</w:t>
      </w:r>
      <w:r>
        <w:rPr>
          <w:rFonts w:eastAsia="Calibri" w:cs="Calibri"/>
          <w:b w:val="false"/>
          <w:bCs w:val="false"/>
          <w:i w:val="false"/>
          <w:iCs w:val="false"/>
          <w:color w:val="3E5871"/>
          <w:sz w:val="18"/>
          <w:szCs w:val="18"/>
        </w:rPr>
        <w:t xml:space="preserve">  ·  904-724-9202</w:t>
      </w:r>
    </w:p>
    <w:p>
      <w:pPr>
        <w:pStyle w:val="ListParagraph"/>
        <w:numPr>
          <w:ilvl w:val="0"/>
          <w:numId w:val="1"/>
        </w:numPr>
        <w:spacing w:lineRule="exact" w:line="264" w:before="0" w:after="70"/>
        <w:rPr/>
      </w:pPr>
      <w:r>
        <w:rPr>
          <w:rFonts w:eastAsia="Calibri" w:cs="Calibri"/>
          <w:b/>
          <w:bCs/>
          <w:i w:val="false"/>
          <w:iCs w:val="false"/>
          <w:color w:val="1A1A1A"/>
          <w:sz w:val="19"/>
          <w:szCs w:val="19"/>
        </w:rPr>
        <w:t>Mental Health Resource Center</w:t>
      </w:r>
      <w:r>
        <w:rPr>
          <w:rFonts w:eastAsia="Calibri" w:cs="Calibri"/>
          <w:b w:val="false"/>
          <w:bCs w:val="false"/>
          <w:i w:val="false"/>
          <w:iCs w:val="false"/>
          <w:color w:val="555555"/>
          <w:sz w:val="18"/>
          <w:szCs w:val="18"/>
        </w:rPr>
        <w:t xml:space="preserve">  —  11820 Beach Blvd, Jacksonville, FL 32246</w:t>
      </w:r>
      <w:r>
        <w:rPr>
          <w:rFonts w:eastAsia="Calibri" w:cs="Calibri"/>
          <w:b w:val="false"/>
          <w:bCs w:val="false"/>
          <w:i w:val="false"/>
          <w:iCs w:val="false"/>
          <w:color w:val="3E5871"/>
          <w:sz w:val="18"/>
          <w:szCs w:val="18"/>
        </w:rPr>
        <w:t xml:space="preserve">  ·  904-642-9100</w:t>
      </w:r>
    </w:p>
    <w:p>
      <w:pPr>
        <w:pStyle w:val="Normal"/>
        <w:pBdr>
          <w:top w:val="single" w:sz="4" w:space="6" w:color="9DB1C7"/>
        </w:pBdr>
        <w:spacing w:before="140" w:after="0"/>
        <w:rPr/>
      </w:pPr>
      <w:r>
        <w:rPr>
          <w:rFonts w:eastAsia="Calibri" w:cs="Calibri"/>
          <w:b w:val="false"/>
          <w:bCs w:val="false"/>
          <w:i/>
          <w:iCs/>
          <w:color w:val="555555"/>
          <w:sz w:val="17"/>
          <w:szCs w:val="17"/>
        </w:rPr>
        <w:t>Verify every contact before you rely on it. Named partners are potential referral relationships, not endorsements or guarantees of referrals, and listing is not affiliation.</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Three — The Referral Toolkit</w:t>
      </w:r>
    </w:p>
    <w:p>
      <w:pPr>
        <w:pStyle w:val="Normal"/>
        <w:spacing w:lineRule="exact" w:line="268" w:before="0" w:after="110"/>
        <w:jc w:val="start"/>
        <w:rPr/>
      </w:pPr>
      <w:r>
        <w:rPr>
          <w:rFonts w:eastAsia="Calibri" w:cs="Calibri"/>
          <w:b w:val="false"/>
          <w:bCs w:val="false"/>
          <w:i w:val="false"/>
          <w:iCs w:val="false"/>
          <w:color w:val="1A1A1A"/>
          <w:sz w:val="20"/>
          <w:szCs w:val="20"/>
        </w:rPr>
        <w:t>Use these worksheets to run your referral system week to week. Print them, or copy them into your own tracker.</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Priority Referral Partner Target List  </w:t>
      </w:r>
    </w:p>
    <w:p>
      <w:pPr>
        <w:pStyle w:val="Normal"/>
        <w:spacing w:lineRule="exact" w:line="268" w:before="0" w:after="110"/>
        <w:jc w:val="start"/>
        <w:rPr/>
      </w:pPr>
      <w:r>
        <w:rPr>
          <w:rFonts w:eastAsia="Calibri" w:cs="Calibri"/>
          <w:b w:val="false"/>
          <w:bCs w:val="false"/>
          <w:i w:val="false"/>
          <w:iCs w:val="false"/>
          <w:color w:val="1A1A1A"/>
          <w:sz w:val="20"/>
          <w:szCs w:val="20"/>
        </w:rPr>
        <w:t>List the sources you most want relationships with, by category, and plan your first contact.</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Source (name)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Type (SMMC plan / Managing Entity / crisis / hospital / detox / court)</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First contact &amp; date</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Payer &amp; Network Contracting Map  </w:t>
      </w:r>
    </w:p>
    <w:p>
      <w:pPr>
        <w:pStyle w:val="Normal"/>
        <w:spacing w:lineRule="exact" w:line="268" w:before="0" w:after="110"/>
        <w:jc w:val="start"/>
        <w:rPr/>
      </w:pPr>
      <w:r>
        <w:rPr>
          <w:rFonts w:eastAsia="Calibri" w:cs="Calibri"/>
          <w:b w:val="false"/>
          <w:bCs w:val="false"/>
          <w:i w:val="false"/>
          <w:iCs w:val="false"/>
          <w:color w:val="1A1A1A"/>
          <w:sz w:val="20"/>
          <w:szCs w:val="20"/>
        </w:rPr>
        <w:t>Track your in-network status — being contracted is what lets clients be sent to you.</w:t>
      </w:r>
    </w:p>
    <w:tbl>
      <w:tblPr>
        <w:tblW w:w="9360" w:type="dxa"/>
        <w:jc w:val="start"/>
        <w:tblInd w:w="0" w:type="dxa"/>
        <w:tblLayout w:type="fixed"/>
        <w:tblCellMar>
          <w:top w:w="60" w:type="dxa"/>
          <w:start w:w="100" w:type="dxa"/>
          <w:bottom w:w="60" w:type="dxa"/>
          <w:end w:w="100" w:type="dxa"/>
        </w:tblCellMar>
      </w:tblPr>
      <w:tblGrid>
        <w:gridCol w:w="3759"/>
        <w:gridCol w:w="3201"/>
        <w:gridCol w:w="2400"/>
      </w:tblGrid>
      <w:tr>
        <w:trPr>
          <w:tblHeader w:val="true"/>
        </w:trPr>
        <w:tc>
          <w:tcPr>
            <w:tcW w:w="3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Payer / network (SMMC plan, Managing Entity, Medicaid, commercial)</w:t>
            </w:r>
          </w:p>
        </w:tc>
        <w:tc>
          <w:tcPr>
            <w:tcW w:w="32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Status (enrolled / contracted / pending)</w:t>
            </w:r>
          </w:p>
        </w:tc>
        <w:tc>
          <w:tcPr>
            <w:tcW w:w="24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Next step &amp; date</w:t>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4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Outreach Contact Log  </w:t>
      </w:r>
    </w:p>
    <w:p>
      <w:pPr>
        <w:pStyle w:val="Normal"/>
        <w:spacing w:lineRule="exact" w:line="268" w:before="0" w:after="110"/>
        <w:jc w:val="start"/>
        <w:rPr/>
      </w:pPr>
      <w:r>
        <w:rPr>
          <w:rFonts w:eastAsia="Calibri" w:cs="Calibri"/>
          <w:b w:val="false"/>
          <w:bCs w:val="false"/>
          <w:i w:val="false"/>
          <w:iCs w:val="false"/>
          <w:color w:val="1A1A1A"/>
          <w:sz w:val="20"/>
          <w:szCs w:val="20"/>
        </w:rPr>
        <w:t>Log every outreach so nothing falls through the cracks.</w:t>
      </w:r>
    </w:p>
    <w:tbl>
      <w:tblPr>
        <w:tblW w:w="9360" w:type="dxa"/>
        <w:jc w:val="start"/>
        <w:tblInd w:w="0" w:type="dxa"/>
        <w:tblLayout w:type="fixed"/>
        <w:tblCellMar>
          <w:top w:w="60" w:type="dxa"/>
          <w:start w:w="100" w:type="dxa"/>
          <w:bottom w:w="60" w:type="dxa"/>
          <w:end w:w="100" w:type="dxa"/>
        </w:tblCellMar>
      </w:tblPr>
      <w:tblGrid>
        <w:gridCol w:w="1500"/>
        <w:gridCol w:w="3359"/>
        <w:gridCol w:w="4501"/>
      </w:tblGrid>
      <w:tr>
        <w:trPr>
          <w:tblHeader w:val="true"/>
        </w:trPr>
        <w:tc>
          <w:tcPr>
            <w:tcW w:w="15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Date</w:t>
            </w:r>
          </w:p>
        </w:tc>
        <w:tc>
          <w:tcPr>
            <w:tcW w:w="33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Who / organization</w:t>
            </w:r>
          </w:p>
        </w:tc>
        <w:tc>
          <w:tcPr>
            <w:tcW w:w="45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What was said / next step</w:t>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Referral Source Tracker  </w:t>
      </w:r>
    </w:p>
    <w:p>
      <w:pPr>
        <w:pStyle w:val="Normal"/>
        <w:spacing w:lineRule="exact" w:line="268" w:before="0" w:after="110"/>
        <w:jc w:val="start"/>
        <w:rPr/>
      </w:pPr>
      <w:r>
        <w:rPr>
          <w:rFonts w:eastAsia="Calibri" w:cs="Calibri"/>
          <w:b w:val="false"/>
          <w:bCs w:val="false"/>
          <w:i w:val="false"/>
          <w:iCs w:val="false"/>
          <w:color w:val="1A1A1A"/>
          <w:sz w:val="20"/>
          <w:szCs w:val="20"/>
        </w:rPr>
        <w:t>Track where your admissions actually come from so you invest in what works.</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Client admitted (initials / date)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Referral source</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Level of care / notes</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Weekly Outreach Planner  </w:t>
      </w:r>
    </w:p>
    <w:p>
      <w:pPr>
        <w:pStyle w:val="Normal"/>
        <w:spacing w:lineRule="exact" w:line="268" w:before="0" w:after="110"/>
        <w:jc w:val="start"/>
        <w:rPr/>
      </w:pPr>
      <w:r>
        <w:rPr>
          <w:rFonts w:eastAsia="Calibri" w:cs="Calibri"/>
          <w:b w:val="false"/>
          <w:bCs w:val="false"/>
          <w:i w:val="false"/>
          <w:iCs w:val="false"/>
          <w:color w:val="1A1A1A"/>
          <w:sz w:val="20"/>
          <w:szCs w:val="20"/>
        </w:rPr>
        <w:t>Plan your weekly rhythm: a set number of new contacts and check-ins each week.</w:t>
      </w:r>
    </w:p>
    <w:tbl>
      <w:tblPr>
        <w:tblW w:w="9360" w:type="dxa"/>
        <w:jc w:val="start"/>
        <w:tblInd w:w="0" w:type="dxa"/>
        <w:tblLayout w:type="fixed"/>
        <w:tblCellMar>
          <w:top w:w="60" w:type="dxa"/>
          <w:start w:w="100" w:type="dxa"/>
          <w:bottom w:w="60" w:type="dxa"/>
          <w:end w:w="100" w:type="dxa"/>
        </w:tblCellMar>
      </w:tblPr>
      <w:tblGrid>
        <w:gridCol w:w="2199"/>
        <w:gridCol w:w="3561"/>
        <w:gridCol w:w="3600"/>
      </w:tblGrid>
      <w:tr>
        <w:trPr>
          <w:tblHeader w:val="true"/>
        </w:trPr>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Week of</w:t>
            </w:r>
          </w:p>
        </w:tc>
        <w:tc>
          <w:tcPr>
            <w:tcW w:w="356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New contacts (goal / done)</w:t>
            </w:r>
          </w:p>
        </w:tc>
        <w:tc>
          <w:tcPr>
            <w:tcW w:w="3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Check-ins &amp; availability updates</w:t>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pBdr>
          <w:bottom w:val="single" w:sz="8" w:space="1" w:color="9DB1C7"/>
        </w:pBdr>
        <w:spacing w:before="80" w:after="120"/>
        <w:rPr/>
      </w:pPr>
      <w:r>
        <w:rPr/>
      </w:r>
    </w:p>
    <w:p>
      <w:pPr>
        <w:pStyle w:val="Normal"/>
        <w:spacing w:lineRule="exact" w:line="268" w:before="0" w:after="90"/>
        <w:jc w:val="center"/>
        <w:rPr/>
      </w:pPr>
      <w:r>
        <w:rPr>
          <w:rFonts w:eastAsia="Calibri" w:cs="Calibri"/>
          <w:b w:val="false"/>
          <w:bCs w:val="false"/>
          <w:i/>
          <w:iCs/>
          <w:color w:val="555555"/>
          <w:sz w:val="18"/>
          <w:szCs w:val="18"/>
        </w:rPr>
        <w:t>This resource is general educational information for Florida behavioral health providers, not legal advice. Contacts, programs, and phone numbers change — verify each before you rely on it, and confirm the Anti-Kickback Statute, EKRA, and Florida anti-brokering rules with qualified counsel before entering any arrangement involving referrals. Named partners are potential referral relationships, not endorsements.</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Mental Health Referral System — Florida Edition  —  PolicyReady.org  —  Page </w:t>
    </w:r>
    <w:r>
      <w:rPr/>
      <w:fldChar w:fldCharType="begin"/>
    </w:r>
    <w:r>
      <w:rPr/>
      <w:instrText xml:space="preserve"> PAGE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Mental Health Referral System — Florida Edition  —  PolicyReady.org  —  Page </w:t>
    </w:r>
    <w:r>
      <w:rPr/>
      <w:fldChar w:fldCharType="begin"/>
    </w:r>
    <w:r>
      <w:rPr/>
      <w:instrText xml:space="preserve"> PAGE </w:instrText>
    </w:r>
    <w:r>
      <w:rPr/>
      <w:fldChar w:fldCharType="separate"/>
    </w:r>
    <w:r>
      <w:rPr/>
      <w:t>11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2026-07-15T14:41:09Z</dcterms:created>
  <dc:creator>PolicyReady.org</dc:creator>
  <dc:description/>
  <dc:language>en-US</dc:language>
  <cp:lastModifiedBy>Un-named</cp:lastModifiedBy>
  <dcterms:modified xsi:type="dcterms:W3CDTF">2026-07-15T14:41:09Z</dcterms:modified>
  <cp:revision>1</cp:revision>
  <dc:subject/>
  <dc:title>The Mental Health Referral System — Florida Edition</dc:title>
</cp:coreProperties>
</file>