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220"/>
        <w:jc w:val="center"/>
      </w:pPr>
      <w:r>
        <w:rPr>
          <w:b/>
          <w:bCs/>
          <w:caps/>
          <w:color w:val="6B7870"/>
          <w:sz w:val="24"/>
          <w:szCs w:val="24"/>
        </w:rPr>
        <w:t xml:space="preserve">ARIZONA</w:t>
      </w:r>
    </w:p>
    <w:p>
      <w:pPr>
        <w:spacing w:after="10" w:line="278"/>
        <w:jc w:val="center"/>
      </w:pPr>
      <w:r>
        <w:rPr>
          <w:b/>
          <w:bCs/>
          <w:color w:val="1A4731"/>
          <w:sz w:val="38"/>
          <w:szCs w:val="38"/>
        </w:rPr>
        <w:t xml:space="preserve">Employee Handbook</w:t>
      </w:r>
    </w:p>
    <w:p>
      <w:pPr>
        <w:spacing w:after="160" w:line="278"/>
        <w:jc w:val="center"/>
      </w:pPr>
      <w:r>
        <w:rPr>
          <w:i/>
          <w:iCs/>
          <w:color w:val="6B7870"/>
          <w:sz w:val="22"/>
          <w:szCs w:val="22"/>
        </w:rPr>
        <w:t xml:space="preserve">For Care &amp; Human-Services Providers</w:t>
      </w:r>
    </w:p>
    <w:p>
      <w:pPr>
        <w:spacing w:after="20" w:line="278"/>
        <w:jc w:val="center"/>
      </w:pPr>
      <w:r>
        <w:rPr>
          <w:color w:val="6B7870"/>
          <w:sz w:val="19"/>
          <w:szCs w:val="19"/>
        </w:rPr>
        <w:t xml:space="preserve">Prepared for:</w:t>
      </w:r>
    </w:p>
    <w:p>
      <w:pPr>
        <w:spacing w:after="10" w:line="278"/>
        <w:jc w:val="center"/>
      </w:pPr>
      <w:r>
        <w:rPr>
          <w:b/>
          <w:bCs/>
          <w:color w:val="161C18"/>
          <w:sz w:val="24"/>
          <w:szCs w:val="24"/>
        </w:rPr>
        <w:t xml:space="preserve">[Organization Name]</w:t>
      </w:r>
    </w:p>
    <w:p>
      <w:pPr>
        <w:spacing w:after="120" w:line="278"/>
        <w:jc w:val="center"/>
      </w:pPr>
      <w:r>
        <w:rPr>
          <w:color w:val="6B7870"/>
          <w:sz w:val="19"/>
          <w:szCs w:val="19"/>
        </w:rPr>
        <w:t xml:space="preserve">[Address] • [License / Certification #, if applicable]</w:t>
      </w:r>
    </w:p>
    <w:p>
      <w:pPr>
        <w:spacing w:after="8" w:line="278"/>
        <w:jc w:val="center"/>
      </w:pPr>
      <w:r>
        <w:rPr>
          <w:color w:val="161C18"/>
          <w:sz w:val="19"/>
          <w:szCs w:val="19"/>
        </w:rPr>
        <w:t xml:space="preserve">Aligned to Arizona employment law and the licensing/funder requirements applicable to your care setting</w:t>
      </w:r>
    </w:p>
    <w:p>
      <w:pPr>
        <w:spacing w:after="160" w:line="278"/>
        <w:jc w:val="center"/>
      </w:pPr>
      <w:r>
        <w:rPr>
          <w:color w:val="6B7870"/>
          <w:sz w:val="19"/>
          <w:szCs w:val="19"/>
        </w:rPr>
        <w:t xml:space="preserve">Effective Date: [Effective Date]  •  Figures current for 2026</w:t>
      </w:r>
    </w:p>
    <w:p>
      <w:pPr>
        <w:pBdr>
          <w:top w:val="single" w:color="1A4731" w:sz="6"/>
        </w:pBdr>
        <w:spacing w:after="140"/>
      </w:pPr>
    </w:p>
    <w:p>
      <w:pPr>
        <w:spacing w:after="80" w:line="278"/>
      </w:pPr>
      <w:r>
        <w:rPr>
          <w:b/>
          <w:bCs/>
          <w:color w:val="1A4731"/>
          <w:sz w:val="26"/>
          <w:szCs w:val="26"/>
        </w:rPr>
        <w:t xml:space="preserve">Welcome &amp; About This Handbook</w:t>
      </w:r>
    </w:p>
    <w:p>
      <w:pPr>
        <w:spacing w:after="100" w:line="264"/>
      </w:pPr>
      <w:r>
        <w:rPr>
          <w:b/>
          <w:bCs/>
          <w:i/>
          <w:iCs/>
          <w:color w:val="6B7870"/>
          <w:sz w:val="18"/>
          <w:szCs w:val="18"/>
        </w:rPr>
        <w:t xml:space="preserve">Governing law &amp; standards: </w:t>
      </w:r>
      <w:r>
        <w:rPr>
          <w:i/>
          <w:iCs/>
          <w:color w:val="6B7870"/>
          <w:sz w:val="18"/>
          <w:szCs w:val="18"/>
        </w:rPr>
        <w:t xml:space="preserve">Arizona wage statutes (A.R.S. § 23-350 et seq.); Arizona Civil Rights Act (A.R.S. § 41-1461 et seq.); and the licensing, certification, and funder requirements that apply to your care setting</w:t>
      </w:r>
    </w:p>
    <w:p>
      <w:pPr>
        <w:spacing w:after="40" w:before="120"/>
      </w:pPr>
      <w:r>
        <w:rPr>
          <w:b/>
          <w:bCs/>
          <w:caps/>
          <w:color w:val="1A4731"/>
          <w:sz w:val="19"/>
          <w:szCs w:val="19"/>
        </w:rPr>
        <w:t xml:space="preserve">Welcome</w:t>
      </w:r>
    </w:p>
    <w:p>
      <w:pPr>
        <w:spacing w:after="140" w:line="278"/>
      </w:pPr>
      <w:r>
        <w:rPr>
          <w:color w:val="161C18"/>
          <w:sz w:val="21"/>
          <w:szCs w:val="21"/>
        </w:rPr>
        <w:t xml:space="preserve">Welcome to [Organization Name]. We provide care and support to the people we serve, and the people we employ are the reason those we serve are safe, cared for, and treated with dignity. This handbook explains what you can expect from us as your employer and what we expect from you — including the responsibilities that come specifically with working in a care and human-services setting.</w:t>
      </w:r>
    </w:p>
    <w:p>
      <w:pPr>
        <w:spacing w:after="40" w:before="120"/>
      </w:pPr>
      <w:r>
        <w:rPr>
          <w:b/>
          <w:bCs/>
          <w:caps/>
          <w:color w:val="1A4731"/>
          <w:sz w:val="19"/>
          <w:szCs w:val="19"/>
        </w:rPr>
        <w:t xml:space="preserve">How to use this handbook</w:t>
      </w:r>
    </w:p>
    <w:p>
      <w:pPr>
        <w:spacing w:after="140" w:line="278"/>
      </w:pPr>
      <w:r>
        <w:rPr>
          <w:color w:val="161C18"/>
          <w:sz w:val="21"/>
          <w:szCs w:val="21"/>
        </w:rPr>
        <w:t xml:space="preserve">This handbook applies to all employees. It combines general workplace policies with the care-specific obligations that Arizona law and our license or funder require — credentialing, background and protective-services screening, health screening, mandatory training, mandatory reporting of abuse, and the rights of the people we serve. Read it in full, keep it for reference, and ask [the administrator / your supervisor] if anything is unclear. Where a policy refers to a figure that changes yearly, see the Arizona Quick Reference below and confirm the current figure before relying on it.</w:t>
      </w:r>
    </w:p>
    <w:p>
      <w:pPr>
        <w:spacing w:after="40" w:before="120"/>
      </w:pPr>
      <w:r>
        <w:rPr>
          <w:b/>
          <w:bCs/>
          <w:caps/>
          <w:color w:val="1A4731"/>
          <w:sz w:val="19"/>
          <w:szCs w:val="19"/>
        </w:rPr>
        <w:t xml:space="preserve">At-will employment</w:t>
      </w:r>
    </w:p>
    <w:p>
      <w:pPr>
        <w:spacing w:after="140" w:line="278"/>
      </w:pPr>
      <w:r>
        <w:rPr>
          <w:color w:val="161C18"/>
          <w:sz w:val="21"/>
          <w:szCs w:val="21"/>
        </w:rPr>
        <w:t xml:space="preserve">Unless you have a separate, signed written agreement stating otherwise, employment at [Organization Name] is at-will. This means you may resign at any time, for any reason, and the organization may end the employment relationship at any time, for any reason not prohibited by law, with or without cause or notice. Nothing in this handbook — and no statement by any manager — creates a contract of employment, guarantees continued employment, or alters the at-will relationship.</w:t>
      </w:r>
    </w:p>
    <w:p>
      <w:pPr>
        <w:spacing w:after="140" w:line="278"/>
      </w:pPr>
      <w:r>
        <w:rPr>
          <w:color w:val="161C18"/>
          <w:sz w:val="21"/>
          <w:szCs w:val="21"/>
        </w:rPr>
        <w:t xml:space="preserve">This handbook is not a contract. The organization may add to, change, suspend, or discontinue any policy at any time, with or without notice, except for the at-will nature of employment and any rights guaranteed to you by law, which can only be changed in a signed writing by an authorized representative. Where this handbook and Arizona or federal law differ, the law controls, and the organization will follow the law.</w:t>
      </w:r>
    </w:p>
    <w:p>
      <w:pPr>
        <w:spacing w:after="40" w:line="278"/>
      </w:pPr>
      <w:r>
        <w:rPr>
          <w:b/>
          <w:bCs/>
          <w:color w:val="1A4731"/>
          <w:sz w:val="22"/>
          <w:szCs w:val="22"/>
        </w:rPr>
        <w:t xml:space="preserve">Arizona Quick Reference (verify current figures)</w:t>
      </w:r>
    </w:p>
    <w:p>
      <w:pPr>
        <w:spacing w:after="80" w:line="278"/>
      </w:pPr>
      <w:r>
        <w:rPr>
          <w:color w:val="6B7870"/>
          <w:sz w:val="19"/>
          <w:szCs w:val="19"/>
        </w:rPr>
        <w:t xml:space="preserve">These figures change on a regular schedule. Treat this as a starting point and confirm the current figure with [the administrator] or the cited source before relying on it. Figures shown are for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BF3EE" w:val="clear"/>
            <w:tcMar>
              <w:top w:type="dxa" w:w="60"/>
              <w:left w:type="dxa" w:w="120"/>
              <w:bottom w:type="dxa" w:w="60"/>
              <w:right w:type="dxa" w:w="120"/>
            </w:tcMar>
          </w:tcPr>
          <w:p>
            <w:r>
              <w:rPr>
                <w:b/>
                <w:bCs/>
                <w:color w:val="1A4731"/>
                <w:sz w:val="18"/>
                <w:szCs w:val="18"/>
              </w:rPr>
              <w:t xml:space="preserve">Minimum wage (2026)</w:t>
            </w:r>
          </w:p>
        </w:tc>
        <w:tc>
          <w:tcPr>
            <w:tcW w:type="dxa" w:w="6360"/>
            <w:tcMar>
              <w:top w:type="dxa" w:w="60"/>
              <w:left w:type="dxa" w:w="120"/>
              <w:bottom w:type="dxa" w:w="60"/>
              <w:right w:type="dxa" w:w="120"/>
            </w:tcMar>
          </w:tcPr>
          <w:p>
            <w:r>
              <w:rPr>
                <w:color w:val="161C18"/>
                <w:sz w:val="18"/>
                <w:szCs w:val="18"/>
              </w:rPr>
              <w:t xml:space="preserve">$15.15/hour (2026); higher in some cities (e.g., Flagstaff, Tucson). Verify the current Industrial Commission of Arizona rate.</w:t>
            </w:r>
          </w:p>
        </w:tc>
      </w:tr>
      <w:tr>
        <w:tc>
          <w:tcPr>
            <w:tcW w:type="dxa" w:w="3000"/>
            <w:shd w:fill="EBF3EE" w:val="clear"/>
            <w:tcMar>
              <w:top w:type="dxa" w:w="60"/>
              <w:left w:type="dxa" w:w="120"/>
              <w:bottom w:type="dxa" w:w="60"/>
              <w:right w:type="dxa" w:w="120"/>
            </w:tcMar>
          </w:tcPr>
          <w:p>
            <w:r>
              <w:rPr>
                <w:b/>
                <w:bCs/>
                <w:color w:val="1A4731"/>
                <w:sz w:val="18"/>
                <w:szCs w:val="18"/>
              </w:rPr>
              <w:t xml:space="preserve">Overtime</w:t>
            </w:r>
          </w:p>
        </w:tc>
        <w:tc>
          <w:tcPr>
            <w:tcW w:type="dxa" w:w="6360"/>
            <w:tcMar>
              <w:top w:type="dxa" w:w="60"/>
              <w:left w:type="dxa" w:w="120"/>
              <w:bottom w:type="dxa" w:w="60"/>
              <w:right w:type="dxa" w:w="120"/>
            </w:tcMar>
          </w:tcPr>
          <w:p>
            <w:r>
              <w:rPr>
                <w:color w:val="161C18"/>
                <w:sz w:val="18"/>
                <w:szCs w:val="18"/>
              </w:rPr>
              <w:t xml:space="preserve">1.5× regular rate after 40 hours in a workweek (federal FLSA).</w:t>
            </w:r>
          </w:p>
        </w:tc>
      </w:tr>
      <w:tr>
        <w:tc>
          <w:tcPr>
            <w:tcW w:type="dxa" w:w="3000"/>
            <w:shd w:fill="EBF3EE" w:val="clear"/>
            <w:tcMar>
              <w:top w:type="dxa" w:w="60"/>
              <w:left w:type="dxa" w:w="120"/>
              <w:bottom w:type="dxa" w:w="60"/>
              <w:right w:type="dxa" w:w="120"/>
            </w:tcMar>
          </w:tcPr>
          <w:p>
            <w:r>
              <w:rPr>
                <w:b/>
                <w:bCs/>
                <w:color w:val="1A4731"/>
                <w:sz w:val="18"/>
                <w:szCs w:val="18"/>
              </w:rPr>
              <w:t xml:space="preserve">Rest &amp; meal breaks</w:t>
            </w:r>
          </w:p>
        </w:tc>
        <w:tc>
          <w:tcPr>
            <w:tcW w:type="dxa" w:w="6360"/>
            <w:tcMar>
              <w:top w:type="dxa" w:w="60"/>
              <w:left w:type="dxa" w:w="120"/>
              <w:bottom w:type="dxa" w:w="60"/>
              <w:right w:type="dxa" w:w="120"/>
            </w:tcMar>
          </w:tcPr>
          <w:p>
            <w:r>
              <w:rPr>
                <w:color w:val="161C18"/>
                <w:sz w:val="18"/>
                <w:szCs w:val="18"/>
              </w:rPr>
              <w:t xml:space="preserve">Arizona does not require meal or rest breaks for adult employees. Federal law treats short breaks (5–20 min) as paid when offered; describe your break practice in Section D.</w:t>
            </w:r>
          </w:p>
        </w:tc>
      </w:tr>
      <w:tr>
        <w:tc>
          <w:tcPr>
            <w:tcW w:type="dxa" w:w="3000"/>
            <w:shd w:fill="EBF3EE" w:val="clear"/>
            <w:tcMar>
              <w:top w:type="dxa" w:w="60"/>
              <w:left w:type="dxa" w:w="120"/>
              <w:bottom w:type="dxa" w:w="60"/>
              <w:right w:type="dxa" w:w="120"/>
            </w:tcMar>
          </w:tcPr>
          <w:p>
            <w:r>
              <w:rPr>
                <w:b/>
                <w:bCs/>
                <w:color w:val="1A4731"/>
                <w:sz w:val="18"/>
                <w:szCs w:val="18"/>
              </w:rPr>
              <w:t xml:space="preserve">Paid sick leave</w:t>
            </w:r>
          </w:p>
        </w:tc>
        <w:tc>
          <w:tcPr>
            <w:tcW w:type="dxa" w:w="6360"/>
            <w:tcMar>
              <w:top w:type="dxa" w:w="60"/>
              <w:left w:type="dxa" w:w="120"/>
              <w:bottom w:type="dxa" w:w="60"/>
              <w:right w:type="dxa" w:w="120"/>
            </w:tcMar>
          </w:tcPr>
          <w:p>
            <w:r>
              <w:rPr>
                <w:color w:val="161C18"/>
                <w:sz w:val="18"/>
                <w:szCs w:val="18"/>
              </w:rPr>
              <w:t xml:space="preserve">Yes — under the Arizona Fair Wages and Healthy Families Act (A.R.S. § 23-371 et seq.), employees accrue 1 hour of paid sick time per 30 hours worked — usable up to 40 hours/year (24 hours if the employer has fewer than 15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Paid family &amp; medical leave</w:t>
            </w:r>
          </w:p>
        </w:tc>
        <w:tc>
          <w:tcPr>
            <w:tcW w:type="dxa" w:w="6360"/>
            <w:tcMar>
              <w:top w:type="dxa" w:w="60"/>
              <w:left w:type="dxa" w:w="120"/>
              <w:bottom w:type="dxa" w:w="60"/>
              <w:right w:type="dxa" w:w="120"/>
            </w:tcMar>
          </w:tcPr>
          <w:p>
            <w:r>
              <w:rPr>
                <w:color w:val="161C18"/>
                <w:sz w:val="18"/>
                <w:szCs w:val="18"/>
              </w:rPr>
              <w:t xml:space="preserve">No state paid-family-leave program. FMLA (unpaid, federal) applies if the organization has 50+ employees.</w:t>
            </w:r>
          </w:p>
        </w:tc>
      </w:tr>
      <w:tr>
        <w:tc>
          <w:tcPr>
            <w:tcW w:type="dxa" w:w="3000"/>
            <w:shd w:fill="EBF3EE" w:val="clear"/>
            <w:tcMar>
              <w:top w:type="dxa" w:w="60"/>
              <w:left w:type="dxa" w:w="120"/>
              <w:bottom w:type="dxa" w:w="60"/>
              <w:right w:type="dxa" w:w="120"/>
            </w:tcMar>
          </w:tcPr>
          <w:p>
            <w:r>
              <w:rPr>
                <w:b/>
                <w:bCs/>
                <w:color w:val="1A4731"/>
                <w:sz w:val="18"/>
                <w:szCs w:val="18"/>
              </w:rPr>
              <w:t xml:space="preserve">Pay frequency</w:t>
            </w:r>
          </w:p>
        </w:tc>
        <w:tc>
          <w:tcPr>
            <w:tcW w:type="dxa" w:w="6360"/>
            <w:tcMar>
              <w:top w:type="dxa" w:w="60"/>
              <w:left w:type="dxa" w:w="120"/>
              <w:bottom w:type="dxa" w:w="60"/>
              <w:right w:type="dxa" w:w="120"/>
            </w:tcMar>
          </w:tcPr>
          <w:p>
            <w:r>
              <w:rPr>
                <w:color w:val="161C18"/>
                <w:sz w:val="18"/>
                <w:szCs w:val="18"/>
              </w:rPr>
              <w:t xml:space="preserve">Paid at least semi-monthly, on regular paydays.</w:t>
            </w:r>
          </w:p>
        </w:tc>
      </w:tr>
      <w:tr>
        <w:tc>
          <w:tcPr>
            <w:tcW w:type="dxa" w:w="3000"/>
            <w:shd w:fill="EBF3EE" w:val="clear"/>
            <w:tcMar>
              <w:top w:type="dxa" w:w="60"/>
              <w:left w:type="dxa" w:w="120"/>
              <w:bottom w:type="dxa" w:w="60"/>
              <w:right w:type="dxa" w:w="120"/>
            </w:tcMar>
          </w:tcPr>
          <w:p>
            <w:r>
              <w:rPr>
                <w:b/>
                <w:bCs/>
                <w:color w:val="1A4731"/>
                <w:sz w:val="18"/>
                <w:szCs w:val="18"/>
              </w:rPr>
              <w:t xml:space="preserve">Final paycheck</w:t>
            </w:r>
          </w:p>
        </w:tc>
        <w:tc>
          <w:tcPr>
            <w:tcW w:type="dxa" w:w="6360"/>
            <w:tcMar>
              <w:top w:type="dxa" w:w="60"/>
              <w:left w:type="dxa" w:w="120"/>
              <w:bottom w:type="dxa" w:w="60"/>
              <w:right w:type="dxa" w:w="120"/>
            </w:tcMar>
          </w:tcPr>
          <w:p>
            <w:r>
              <w:rPr>
                <w:color w:val="161C18"/>
                <w:sz w:val="18"/>
                <w:szCs w:val="18"/>
              </w:rPr>
              <w:t xml:space="preserve">If the organization ends employment: within 7 working days or the next regular payday, whichever is sooner. If the employee resigns: the next regular payday. Accrued vacation is paid per the organization's written policy.</w:t>
            </w:r>
          </w:p>
        </w:tc>
      </w:tr>
    </w:tbl>
    <w:p>
      <w:pPr>
        <w:spacing w:after="40" w:before="120"/>
      </w:pPr>
      <w:r>
        <w:rPr>
          <w:b/>
          <w:bCs/>
          <w:caps/>
          <w:color w:val="1A4731"/>
          <w:sz w:val="19"/>
          <w:szCs w:val="19"/>
        </w:rPr>
        <w:t xml:space="preserve">A note on legal review</w:t>
      </w:r>
    </w:p>
    <w:p>
      <w:pPr>
        <w:spacing w:after="60" w:line="278"/>
      </w:pPr>
      <w:r>
        <w:rPr>
          <w:color w:val="161C18"/>
          <w:sz w:val="21"/>
          <w:szCs w:val="21"/>
        </w:rPr>
        <w:t xml:space="preserve">This handbook is a customizable template aligned to current Arizona and federal law. It is not legal advice. Employment law changes frequently and carries real liability, so the organization should have Arizona employment counsel review this handbook before adoption and whenever the law changes, and should confirm the specific licensing/funder rules that apply to its setting.</w:t>
      </w:r>
    </w:p>
    <w:p>
      <w:r>
        <w:br w:type="page"/>
      </w:r>
    </w:p>
    <w:p>
      <w:pPr>
        <w:pStyle w:val="Heading1"/>
        <w:shd w:fill="1A4731" w:val="clear"/>
        <w:spacing w:after="20" w:before="40"/>
      </w:pPr>
      <w:r>
        <w:rPr>
          <w:b/>
          <w:bCs/>
          <w:color w:val="FFFFFF"/>
          <w:sz w:val="22"/>
          <w:szCs w:val="22"/>
        </w:rPr>
        <w:t xml:space="preserve">SECTION A</w:t>
      </w:r>
    </w:p>
    <w:p>
      <w:pPr>
        <w:spacing w:after="60"/>
      </w:pPr>
      <w:r>
        <w:rPr>
          <w:b/>
          <w:bCs/>
          <w:color w:val="1A4731"/>
          <w:sz w:val="26"/>
          <w:szCs w:val="26"/>
        </w:rPr>
        <w:t xml:space="preserve">Employment &amp; Equal Opportunity</w:t>
      </w:r>
    </w:p>
    <w:p>
      <w:pPr>
        <w:spacing w:after="100" w:line="278"/>
      </w:pPr>
      <w:r>
        <w:rPr>
          <w:color w:val="161C18"/>
          <w:sz w:val="20"/>
          <w:szCs w:val="20"/>
        </w:rPr>
        <w:t xml:space="preserve">This section covers the foundation of your employment — equal employment opportunity under Arizona and federal law, anti-harassment and anti-retaliation, disability and pregnancy accommodation, and how employment is classified and verified.</w:t>
      </w:r>
    </w:p>
    <w:p>
      <w:pPr>
        <w:spacing w:after="40"/>
      </w:pPr>
      <w:r>
        <w:rPr>
          <w:b/>
          <w:bCs/>
          <w:i/>
          <w:iCs/>
          <w:color w:val="6B7870"/>
          <w:sz w:val="18"/>
          <w:szCs w:val="18"/>
        </w:rPr>
        <w:t xml:space="preserve">Policies in this section</w:t>
      </w:r>
    </w:p>
    <w:p>
      <w:pPr>
        <w:spacing w:after="30"/>
      </w:pPr>
      <w:r>
        <w:rPr>
          <w:color w:val="161C18"/>
          <w:sz w:val="19"/>
          <w:szCs w:val="19"/>
        </w:rPr>
        <w:t xml:space="preserve">—  A.1 Equal Employment Opportunity</w:t>
      </w:r>
    </w:p>
    <w:p>
      <w:pPr>
        <w:spacing w:after="30"/>
      </w:pPr>
      <w:r>
        <w:rPr>
          <w:color w:val="161C18"/>
          <w:sz w:val="19"/>
          <w:szCs w:val="19"/>
        </w:rPr>
        <w:t xml:space="preserve">—  A.2 Anti-Harassment &amp; Anti-Retaliation</w:t>
      </w:r>
    </w:p>
    <w:p>
      <w:pPr>
        <w:spacing w:after="30"/>
      </w:pPr>
      <w:r>
        <w:rPr>
          <w:color w:val="161C18"/>
          <w:sz w:val="19"/>
          <w:szCs w:val="19"/>
        </w:rPr>
        <w:t xml:space="preserve">—  A.3 Disability &amp; Pregnancy Accommodation</w:t>
      </w:r>
    </w:p>
    <w:p>
      <w:pPr>
        <w:spacing w:after="30"/>
      </w:pPr>
      <w:r>
        <w:rPr>
          <w:color w:val="161C18"/>
          <w:sz w:val="19"/>
          <w:szCs w:val="19"/>
        </w:rPr>
        <w:t xml:space="preserve">—  A.4 Employment Classifications &amp; Work Eligibility</w:t>
      </w:r>
    </w:p>
    <w:p>
      <w:pPr>
        <w:pStyle w:val="Heading2"/>
        <w:spacing w:after="60" w:before="220"/>
      </w:pPr>
      <w:r>
        <w:rPr>
          <w:b/>
          <w:bCs/>
          <w:color w:val="161C18"/>
          <w:sz w:val="22"/>
          <w:szCs w:val="22"/>
        </w:rPr>
        <w:t xml:space="preserve">A.1 Equal Employment Opportunity</w:t>
      </w:r>
    </w:p>
    <w:p>
      <w:pPr>
        <w:spacing w:after="100" w:line="264"/>
      </w:pPr>
      <w:r>
        <w:rPr>
          <w:b/>
          <w:bCs/>
          <w:i/>
          <w:iCs/>
          <w:color w:val="6B7870"/>
          <w:sz w:val="18"/>
          <w:szCs w:val="18"/>
        </w:rPr>
        <w:t xml:space="preserve">Governing law &amp; standards: </w:t>
      </w:r>
      <w:r>
        <w:rPr>
          <w:i/>
          <w:iCs/>
          <w:color w:val="6B7870"/>
          <w:sz w:val="18"/>
          <w:szCs w:val="18"/>
        </w:rPr>
        <w:t xml:space="preserve">Arizona Civil Rights Act (A.R.S. § 41-1461 et seq.); Title VII; ADA; ADEA</w:t>
      </w:r>
    </w:p>
    <w:p>
      <w:pPr>
        <w:spacing w:after="40" w:before="120"/>
      </w:pPr>
      <w:r>
        <w:rPr>
          <w:b/>
          <w:bCs/>
          <w:caps/>
          <w:color w:val="1A4731"/>
          <w:sz w:val="19"/>
          <w:szCs w:val="19"/>
        </w:rPr>
        <w:t xml:space="preserve">Our commitment</w:t>
      </w:r>
    </w:p>
    <w:p>
      <w:pPr>
        <w:spacing w:after="140" w:line="278"/>
      </w:pPr>
      <w:r>
        <w:rPr>
          <w:color w:val="161C18"/>
          <w:sz w:val="21"/>
          <w:szCs w:val="21"/>
        </w:rPr>
        <w:t xml:space="preserve">[Organization Name] is an equal opportunity employer. We do not discriminate in hiring, assignment, training, promotion, compensation, discipline, discharge, or any other term or condition of employment on the basis of any characteristic protected by Arizona Civil Rights Act (A.R.S. § 41-1461 et seq.) or federal law.</w:t>
      </w:r>
    </w:p>
    <w:p>
      <w:pPr>
        <w:spacing w:after="40" w:before="120"/>
      </w:pPr>
      <w:r>
        <w:rPr>
          <w:b/>
          <w:bCs/>
          <w:caps/>
          <w:color w:val="1A4731"/>
          <w:sz w:val="19"/>
          <w:szCs w:val="19"/>
        </w:rPr>
        <w:t xml:space="preserve">Protected characteristics</w:t>
      </w:r>
    </w:p>
    <w:p>
      <w:pPr>
        <w:spacing w:after="140" w:line="278"/>
      </w:pPr>
      <w:r>
        <w:rPr>
          <w:color w:val="161C18"/>
          <w:sz w:val="21"/>
          <w:szCs w:val="21"/>
        </w:rPr>
        <w:t xml:space="preserve">We do not discriminate on the basis of race, color, religion, national origin or ancestry, sex, pregnancy or related conditions, sexual orientation, gender identity or expression, age (40 and older), disability, or any other status protected by Arizona Civil Rights Act (A.R.S. § 41-1461 et seq.), Title VII, the ADA, the ADEA, or other applicable law. Complaints may be filed internally under this handbook and with the Arizona Attorney General's Office, Civil Rights Division and/or the federal EEOC.</w:t>
      </w:r>
    </w:p>
    <w:p>
      <w:pPr>
        <w:pStyle w:val="Heading2"/>
        <w:spacing w:after="60" w:before="220"/>
      </w:pPr>
      <w:r>
        <w:rPr>
          <w:b/>
          <w:bCs/>
          <w:color w:val="161C18"/>
          <w:sz w:val="22"/>
          <w:szCs w:val="22"/>
        </w:rPr>
        <w:t xml:space="preserve">A.2 Anti-Harassment &amp; Anti-Retaliation</w:t>
      </w:r>
    </w:p>
    <w:p>
      <w:pPr>
        <w:spacing w:after="100" w:line="264"/>
      </w:pPr>
      <w:r>
        <w:rPr>
          <w:b/>
          <w:bCs/>
          <w:i/>
          <w:iCs/>
          <w:color w:val="6B7870"/>
          <w:sz w:val="18"/>
          <w:szCs w:val="18"/>
        </w:rPr>
        <w:t xml:space="preserve">Governing law &amp; standards: </w:t>
      </w:r>
      <w:r>
        <w:rPr>
          <w:i/>
          <w:iCs/>
          <w:color w:val="6B7870"/>
          <w:sz w:val="18"/>
          <w:szCs w:val="18"/>
        </w:rPr>
        <w:t xml:space="preserve">Arizona Civil Rights Act (A.R.S. § 41-1461 et seq.); Title VII</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prohibits harassment of or by employees, the people we serve, visitors, contractors, and vendors based on any protected characteristic. Unwelcome conduct — slurs, jokes, comments, images, or physical conduct — based on a protected characteristic, and unwelcome sexual advances or other conduct of a sexual nature, are prohibited when they create an intimidating, hostile, or offensive working environment. This applies among staff and to conduct directed at staff by the people we serve, families, or visitors — report it so we can address it while protecting care.</w:t>
      </w:r>
    </w:p>
    <w:p>
      <w:pPr>
        <w:spacing w:after="40" w:before="120"/>
      </w:pPr>
      <w:r>
        <w:rPr>
          <w:b/>
          <w:bCs/>
          <w:caps/>
          <w:color w:val="1A4731"/>
          <w:sz w:val="19"/>
          <w:szCs w:val="19"/>
        </w:rPr>
        <w:t xml:space="preserve">Reporting &amp; no retaliation</w:t>
      </w:r>
    </w:p>
    <w:p>
      <w:pPr>
        <w:spacing w:after="56" w:line="274"/>
        <w:ind w:left="360" w:hanging="260"/>
      </w:pPr>
      <w:r>
        <w:rPr>
          <w:b/>
          <w:bCs/>
          <w:color w:val="161C18"/>
          <w:sz w:val="21"/>
          <w:szCs w:val="21"/>
        </w:rPr>
        <w:t xml:space="preserve">a.  </w:t>
      </w:r>
      <w:r>
        <w:rPr>
          <w:color w:val="161C18"/>
          <w:sz w:val="21"/>
          <w:szCs w:val="21"/>
        </w:rPr>
        <w:t xml:space="preserve">Report harassment, discrimination, or retaliation promptly to your supervisor, the administrator, or any manager you are comfortable approaching; you do not have to report to the person involved.</w:t>
      </w:r>
    </w:p>
    <w:p>
      <w:pPr>
        <w:spacing w:after="56" w:line="274"/>
        <w:ind w:left="360" w:hanging="260"/>
      </w:pPr>
      <w:r>
        <w:rPr>
          <w:b/>
          <w:bCs/>
          <w:color w:val="161C18"/>
          <w:sz w:val="21"/>
          <w:szCs w:val="21"/>
        </w:rPr>
        <w:t xml:space="preserve">b.  </w:t>
      </w:r>
      <w:r>
        <w:rPr>
          <w:color w:val="161C18"/>
          <w:sz w:val="21"/>
          <w:szCs w:val="21"/>
        </w:rPr>
        <w:t xml:space="preserve">The organization will investigate promptly and as confidentially as practicable and take appropriate corrective action.</w:t>
      </w:r>
    </w:p>
    <w:p>
      <w:pPr>
        <w:spacing w:after="56" w:line="274"/>
        <w:ind w:left="360" w:hanging="260"/>
      </w:pPr>
      <w:r>
        <w:rPr>
          <w:b/>
          <w:bCs/>
          <w:color w:val="161C18"/>
          <w:sz w:val="21"/>
          <w:szCs w:val="21"/>
        </w:rPr>
        <w:t xml:space="preserve">c.  </w:t>
      </w:r>
      <w:r>
        <w:rPr>
          <w:color w:val="161C18"/>
          <w:sz w:val="21"/>
          <w:szCs w:val="21"/>
        </w:rPr>
        <w:t xml:space="preserve">Retaliation against anyone who reports a concern in good faith, or who participates in an investigation, is strictly prohibited and is itself a violation of this handbook and of law.</w:t>
      </w:r>
    </w:p>
    <w:p>
      <w:pPr>
        <w:pStyle w:val="Heading2"/>
        <w:spacing w:after="60" w:before="220"/>
      </w:pPr>
      <w:r>
        <w:rPr>
          <w:b/>
          <w:bCs/>
          <w:color w:val="161C18"/>
          <w:sz w:val="22"/>
          <w:szCs w:val="22"/>
        </w:rPr>
        <w:t xml:space="preserve">A.3 Disability &amp; Pregnancy Accommodation</w:t>
      </w:r>
    </w:p>
    <w:p>
      <w:pPr>
        <w:spacing w:after="100" w:line="264"/>
      </w:pPr>
      <w:r>
        <w:rPr>
          <w:b/>
          <w:bCs/>
          <w:i/>
          <w:iCs/>
          <w:color w:val="6B7870"/>
          <w:sz w:val="18"/>
          <w:szCs w:val="18"/>
        </w:rPr>
        <w:t xml:space="preserve">Governing law &amp; standards: </w:t>
      </w:r>
      <w:r>
        <w:rPr>
          <w:i/>
          <w:iCs/>
          <w:color w:val="6B7870"/>
          <w:sz w:val="18"/>
          <w:szCs w:val="18"/>
        </w:rPr>
        <w:t xml:space="preserve">ADA; Arizona Civil Rights Act (A.R.S. § 41-1461 et seq.); federal Pregnant Workers Fairness Act (PWFA)</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provides reasonable accommodations to qualified employees and applicants with disabilities, and to employees with conditions related to pregnancy, childbirth, or a related medical condition, unless doing so would impose an undue hardship. Because our work is safety-sensitive, accommodations are assessed individually to ensure both the employee's needs and the safety of the people we serve are met.</w:t>
      </w:r>
    </w:p>
    <w:p>
      <w:pPr>
        <w:spacing w:after="40" w:before="120"/>
      </w:pPr>
      <w:r>
        <w:rPr>
          <w:b/>
          <w:bCs/>
          <w:caps/>
          <w:color w:val="1A4731"/>
          <w:sz w:val="19"/>
          <w:szCs w:val="19"/>
        </w:rPr>
        <w:t xml:space="preserve">How to request an accommodation</w:t>
      </w:r>
    </w:p>
    <w:p>
      <w:pPr>
        <w:spacing w:after="56" w:line="274"/>
        <w:ind w:left="360" w:hanging="260"/>
      </w:pPr>
      <w:r>
        <w:rPr>
          <w:b/>
          <w:bCs/>
          <w:color w:val="161C18"/>
          <w:sz w:val="21"/>
          <w:szCs w:val="21"/>
        </w:rPr>
        <w:t xml:space="preserve">a.  </w:t>
      </w:r>
      <w:r>
        <w:rPr>
          <w:color w:val="161C18"/>
          <w:sz w:val="21"/>
          <w:szCs w:val="21"/>
        </w:rPr>
        <w:t xml:space="preserve">Tell your supervisor or the administrator that you need an adjustment for a medical condition, disability, or pregnancy-related condition; no special words are required.</w:t>
      </w:r>
    </w:p>
    <w:p>
      <w:pPr>
        <w:spacing w:after="56" w:line="274"/>
        <w:ind w:left="360" w:hanging="260"/>
      </w:pPr>
      <w:r>
        <w:rPr>
          <w:b/>
          <w:bCs/>
          <w:color w:val="161C18"/>
          <w:sz w:val="21"/>
          <w:szCs w:val="21"/>
        </w:rPr>
        <w:t xml:space="preserve">b.  </w:t>
      </w:r>
      <w:r>
        <w:rPr>
          <w:color w:val="161C18"/>
          <w:sz w:val="21"/>
          <w:szCs w:val="21"/>
        </w:rPr>
        <w:t xml:space="preserve">The organization will engage in a good-faith interactive process, may request reasonable supporting documentation, and will work with you to identify an effective accommodation.</w:t>
      </w:r>
    </w:p>
    <w:p>
      <w:pPr>
        <w:spacing w:after="56" w:line="274"/>
        <w:ind w:left="360" w:hanging="260"/>
      </w:pPr>
      <w:r>
        <w:rPr>
          <w:b/>
          <w:bCs/>
          <w:color w:val="161C18"/>
          <w:sz w:val="21"/>
          <w:szCs w:val="21"/>
        </w:rPr>
        <w:t xml:space="preserve">c.  </w:t>
      </w:r>
      <w:r>
        <w:rPr>
          <w:color w:val="161C18"/>
          <w:sz w:val="21"/>
          <w:szCs w:val="21"/>
        </w:rPr>
        <w:t xml:space="preserve">The organization will keep medical information confidential and separate from your personnel file and will not retaliate against you for requesting an accommodation.</w:t>
      </w:r>
    </w:p>
    <w:p>
      <w:pPr>
        <w:pStyle w:val="Heading2"/>
        <w:spacing w:after="60" w:before="220"/>
      </w:pPr>
      <w:r>
        <w:rPr>
          <w:b/>
          <w:bCs/>
          <w:color w:val="161C18"/>
          <w:sz w:val="22"/>
          <w:szCs w:val="22"/>
        </w:rPr>
        <w:t xml:space="preserve">A.4 Employment Classifications &amp; Work Eligibility</w:t>
      </w:r>
    </w:p>
    <w:p>
      <w:pPr>
        <w:spacing w:after="100" w:line="264"/>
      </w:pPr>
      <w:r>
        <w:rPr>
          <w:b/>
          <w:bCs/>
          <w:i/>
          <w:iCs/>
          <w:color w:val="6B7870"/>
          <w:sz w:val="18"/>
          <w:szCs w:val="18"/>
        </w:rPr>
        <w:t xml:space="preserve">Governing law &amp; standards: </w:t>
      </w:r>
      <w:r>
        <w:rPr>
          <w:i/>
          <w:iCs/>
          <w:color w:val="6B7870"/>
          <w:sz w:val="18"/>
          <w:szCs w:val="18"/>
        </w:rPr>
        <w:t xml:space="preserve">FLSA; Arizona wage statutes (A.R.S. § 23-350 et seq.); Immigration Reform and Control Act (Form I-9)</w:t>
      </w:r>
    </w:p>
    <w:p>
      <w:pPr>
        <w:spacing w:after="40" w:before="120"/>
      </w:pPr>
      <w:r>
        <w:rPr>
          <w:b/>
          <w:bCs/>
          <w:caps/>
          <w:color w:val="1A4731"/>
          <w:sz w:val="19"/>
          <w:szCs w:val="19"/>
        </w:rPr>
        <w:t xml:space="preserve">Classifications</w:t>
      </w:r>
    </w:p>
    <w:p>
      <w:pPr>
        <w:spacing w:after="140" w:line="278"/>
      </w:pPr>
      <w:r>
        <w:rPr>
          <w:color w:val="161C18"/>
          <w:sz w:val="21"/>
          <w:szCs w:val="21"/>
        </w:rPr>
        <w:t xml:space="preserve">Each employee is classified as exempt or non-exempt under the FLSA and Arizona law (non-exempt employees are eligible for overtime; exempt employees meet the salary and duties tests), and as full-time, part-time, or PRN/as-needed for benefits eligibility. Your classification is provided at hire and on request and does not change the at-will nature of employment.</w:t>
      </w:r>
    </w:p>
    <w:p>
      <w:pPr>
        <w:spacing w:after="40" w:before="120"/>
      </w:pPr>
      <w:r>
        <w:rPr>
          <w:b/>
          <w:bCs/>
          <w:caps/>
          <w:color w:val="1A4731"/>
          <w:sz w:val="19"/>
          <w:szCs w:val="19"/>
        </w:rPr>
        <w:t xml:space="preserve">Work eligibility (Form I-9)</w:t>
      </w:r>
    </w:p>
    <w:p>
      <w:pPr>
        <w:spacing w:after="140" w:line="278"/>
      </w:pPr>
      <w:r>
        <w:rPr>
          <w:color w:val="161C18"/>
          <w:sz w:val="21"/>
          <w:szCs w:val="21"/>
        </w:rPr>
        <w:t xml:space="preserve">Federal law requires the organization to verify the identity and employment eligibility of every employee. You must complete Section 1 of Form I-9 by your first day and present acceptable documentation within three business days of your start date. The organization applies this requirement uniformly and does not discriminate on the basis of national origin or citizenship status.</w:t>
      </w:r>
    </w:p>
    <w:p>
      <w:r>
        <w:br w:type="page"/>
      </w:r>
    </w:p>
    <w:p>
      <w:pPr>
        <w:pStyle w:val="Heading1"/>
        <w:shd w:fill="1A4731" w:val="clear"/>
        <w:spacing w:after="20" w:before="40"/>
      </w:pPr>
      <w:r>
        <w:rPr>
          <w:b/>
          <w:bCs/>
          <w:color w:val="FFFFFF"/>
          <w:sz w:val="22"/>
          <w:szCs w:val="22"/>
        </w:rPr>
        <w:t xml:space="preserve">SECTION B</w:t>
      </w:r>
    </w:p>
    <w:p>
      <w:pPr>
        <w:spacing w:after="60"/>
      </w:pPr>
      <w:r>
        <w:rPr>
          <w:b/>
          <w:bCs/>
          <w:color w:val="1A4731"/>
          <w:sz w:val="26"/>
          <w:szCs w:val="26"/>
        </w:rPr>
        <w:t xml:space="preserve">Credentialing, Screening &amp; Training</w:t>
      </w:r>
    </w:p>
    <w:p>
      <w:pPr>
        <w:spacing w:after="100" w:line="278"/>
      </w:pPr>
      <w:r>
        <w:rPr>
          <w:color w:val="161C18"/>
          <w:sz w:val="20"/>
          <w:szCs w:val="20"/>
        </w:rPr>
        <w:t xml:space="preserve">This section covers the requirements that come with working in a care setting — the credentials your role requires and your duty to keep them current, the background and protective-services screening that protects the people we serve, health screening, and mandatory orientation and ongoing training.</w:t>
      </w:r>
    </w:p>
    <w:p>
      <w:pPr>
        <w:spacing w:after="40"/>
      </w:pPr>
      <w:r>
        <w:rPr>
          <w:b/>
          <w:bCs/>
          <w:i/>
          <w:iCs/>
          <w:color w:val="6B7870"/>
          <w:sz w:val="18"/>
          <w:szCs w:val="18"/>
        </w:rPr>
        <w:t xml:space="preserve">Policies in this section</w:t>
      </w:r>
    </w:p>
    <w:p>
      <w:pPr>
        <w:spacing w:after="30"/>
      </w:pPr>
      <w:r>
        <w:rPr>
          <w:color w:val="161C18"/>
          <w:sz w:val="19"/>
          <w:szCs w:val="19"/>
        </w:rPr>
        <w:t xml:space="preserve">—  B.1 Credentialing &amp; Certification as a Condition of Employment</w:t>
      </w:r>
    </w:p>
    <w:p>
      <w:pPr>
        <w:spacing w:after="30"/>
      </w:pPr>
      <w:r>
        <w:rPr>
          <w:color w:val="161C18"/>
          <w:sz w:val="19"/>
          <w:szCs w:val="19"/>
        </w:rPr>
        <w:t xml:space="preserve">—  B.2 Background Checks &amp; Protective-Services Screening</w:t>
      </w:r>
    </w:p>
    <w:p>
      <w:pPr>
        <w:spacing w:after="30"/>
      </w:pPr>
      <w:r>
        <w:rPr>
          <w:color w:val="161C18"/>
          <w:sz w:val="19"/>
          <w:szCs w:val="19"/>
        </w:rPr>
        <w:t xml:space="preserve">—  B.3 Health Screening &amp; Communicable-Disease (TB) Testing</w:t>
      </w:r>
    </w:p>
    <w:p>
      <w:pPr>
        <w:spacing w:after="30"/>
      </w:pPr>
      <w:r>
        <w:rPr>
          <w:color w:val="161C18"/>
          <w:sz w:val="19"/>
          <w:szCs w:val="19"/>
        </w:rPr>
        <w:t xml:space="preserve">—  B.4 Orientation &amp; Ongoing Training</w:t>
      </w:r>
    </w:p>
    <w:p>
      <w:pPr>
        <w:pStyle w:val="Heading2"/>
        <w:spacing w:after="60" w:before="220"/>
      </w:pPr>
      <w:r>
        <w:rPr>
          <w:b/>
          <w:bCs/>
          <w:color w:val="161C18"/>
          <w:sz w:val="22"/>
          <w:szCs w:val="22"/>
        </w:rPr>
        <w:t xml:space="preserve">B.1 Credentialing &amp; Certification as a Condition of Employment</w:t>
      </w:r>
    </w:p>
    <w:p>
      <w:pPr>
        <w:spacing w:after="100" w:line="264"/>
      </w:pPr>
      <w:r>
        <w:rPr>
          <w:b/>
          <w:bCs/>
          <w:i/>
          <w:iCs/>
          <w:color w:val="6B7870"/>
          <w:sz w:val="18"/>
          <w:szCs w:val="18"/>
        </w:rPr>
        <w:t xml:space="preserve">Governing law &amp; standards: </w:t>
      </w:r>
      <w:r>
        <w:rPr>
          <w:i/>
          <w:iCs/>
          <w:color w:val="6B7870"/>
          <w:sz w:val="18"/>
          <w:szCs w:val="18"/>
        </w:rPr>
        <w:t xml:space="preserve">The Arizona Nurse Practice Act; state-approved medication administration certification; your setting's licensing/funder requirements</w:t>
      </w:r>
    </w:p>
    <w:p>
      <w:pPr>
        <w:spacing w:after="40" w:before="120"/>
      </w:pPr>
      <w:r>
        <w:rPr>
          <w:b/>
          <w:bCs/>
          <w:caps/>
          <w:color w:val="1A4731"/>
          <w:sz w:val="19"/>
          <w:szCs w:val="19"/>
        </w:rPr>
        <w:t xml:space="preserve">Why this matters</w:t>
      </w:r>
    </w:p>
    <w:p>
      <w:pPr>
        <w:spacing w:after="140" w:line="278"/>
      </w:pPr>
      <w:r>
        <w:rPr>
          <w:color w:val="161C18"/>
          <w:sz w:val="21"/>
          <w:szCs w:val="21"/>
        </w:rPr>
        <w:t xml:space="preserve">Working in a care setting is different from other jobs: many roles require a specific credential that Arizona law, our license, or our funder mandates.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spacing w:after="40" w:before="120"/>
      </w:pPr>
      <w:r>
        <w:rPr>
          <w:b/>
          <w:bCs/>
          <w:caps/>
          <w:color w:val="1A4731"/>
          <w:sz w:val="19"/>
          <w:szCs w:val="19"/>
        </w:rPr>
        <w:t xml:space="preserve">Credentials by role (as your setting requires)</w:t>
      </w:r>
    </w:p>
    <w:p>
      <w:pPr>
        <w:pStyle w:val="ListParagraph"/>
        <w:numPr>
          <w:ilvl w:val="0"/>
          <w:numId w:val="2"/>
        </w:numPr>
        <w:spacing w:after="56" w:line="274"/>
      </w:pPr>
      <w:r>
        <w:rPr>
          <w:color w:val="161C18"/>
          <w:sz w:val="21"/>
          <w:szCs w:val="21"/>
        </w:rPr>
        <w:t xml:space="preserve">Administrators / managers: meet the qualification, experience, and training requirements of your setting's license or funder.</w:t>
      </w:r>
    </w:p>
    <w:p>
      <w:pPr>
        <w:pStyle w:val="ListParagraph"/>
        <w:numPr>
          <w:ilvl w:val="0"/>
          <w:numId w:val="2"/>
        </w:numPr>
        <w:spacing w:after="56" w:line="274"/>
      </w:pPr>
      <w:r>
        <w:rPr>
          <w:color w:val="161C18"/>
          <w:sz w:val="21"/>
          <w:szCs w:val="21"/>
        </w:rPr>
        <w:t xml:space="preserve">Medication-certified staff: staff who administer medications (other than licensed nurses acting within their license) must hold current state-approved medication administration certification and follow our medication policies.</w:t>
      </w:r>
    </w:p>
    <w:p>
      <w:pPr>
        <w:pStyle w:val="ListParagraph"/>
        <w:numPr>
          <w:ilvl w:val="0"/>
          <w:numId w:val="2"/>
        </w:numPr>
        <w:spacing w:after="56" w:line="274"/>
      </w:pPr>
      <w:r>
        <w:rPr>
          <w:color w:val="161C18"/>
          <w:sz w:val="21"/>
          <w:szCs w:val="21"/>
        </w:rPr>
        <w:t xml:space="preserve">Licensed nurses (RN/LPN): hold a current, unencumbered Arizona license (or valid multistate privilege) under the Nurse Practice Act and practice within their scope.</w:t>
      </w:r>
    </w:p>
    <w:p>
      <w:pPr>
        <w:pStyle w:val="ListParagraph"/>
        <w:numPr>
          <w:ilvl w:val="0"/>
          <w:numId w:val="2"/>
        </w:numPr>
        <w:spacing w:after="56" w:line="274"/>
      </w:pPr>
      <w:r>
        <w:rPr>
          <w:color w:val="161C18"/>
          <w:sz w:val="21"/>
          <w:szCs w:val="21"/>
        </w:rPr>
        <w:t xml:space="preserve">Certified aides, direct-support professionals, and other credentialed staff: hold the current certification, license, or training their role requires and remain in good standing on the applicable registry.</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Provide proof of your required credential(s) at hire and keep copies current in your personnel file.</w:t>
      </w:r>
    </w:p>
    <w:p>
      <w:pPr>
        <w:spacing w:after="56" w:line="274"/>
        <w:ind w:left="360" w:hanging="260"/>
      </w:pPr>
      <w:r>
        <w:rPr>
          <w:b/>
          <w:bCs/>
          <w:color w:val="161C18"/>
          <w:sz w:val="21"/>
          <w:szCs w:val="21"/>
        </w:rPr>
        <w:t xml:space="preserve">b.  </w:t>
      </w:r>
      <w:r>
        <w:rPr>
          <w:color w:val="161C18"/>
          <w:sz w:val="21"/>
          <w:szCs w:val="21"/>
        </w:rPr>
        <w:t xml:space="preserve">Keep your credential current and in good standing, complete required renewals and continuing education on time, and work only within the scope your credential authorizes.</w:t>
      </w:r>
    </w:p>
    <w:p>
      <w:pPr>
        <w:spacing w:after="56" w:line="274"/>
        <w:ind w:left="360" w:hanging="260"/>
      </w:pPr>
      <w:r>
        <w:rPr>
          <w:b/>
          <w:bCs/>
          <w:color w:val="161C18"/>
          <w:sz w:val="21"/>
          <w:szCs w:val="21"/>
        </w:rPr>
        <w:t xml:space="preserve">c.  </w:t>
      </w:r>
      <w:r>
        <w:rPr>
          <w:color w:val="161C18"/>
          <w:sz w:val="21"/>
          <w:szCs w:val="21"/>
        </w:rPr>
        <w:t xml:space="preserve">Immediately notify [the administrator] if your credential lapses, is restricted, suspended, or revoked, or if you are under investigation by a licensing or certifying board — do not continue performing duties that require the credential.</w:t>
      </w:r>
    </w:p>
    <w:p>
      <w:pPr>
        <w:pStyle w:val="Heading2"/>
        <w:spacing w:after="60" w:before="220"/>
      </w:pPr>
      <w:r>
        <w:rPr>
          <w:b/>
          <w:bCs/>
          <w:color w:val="161C18"/>
          <w:sz w:val="22"/>
          <w:szCs w:val="22"/>
        </w:rPr>
        <w:t xml:space="preserve">B.2 Background Checks &amp; Protective-Services Screening</w:t>
      </w:r>
    </w:p>
    <w:p>
      <w:pPr>
        <w:spacing w:after="100" w:line="264"/>
      </w:pPr>
      <w:r>
        <w:rPr>
          <w:b/>
          <w:bCs/>
          <w:i/>
          <w:iCs/>
          <w:color w:val="6B7870"/>
          <w:sz w:val="18"/>
          <w:szCs w:val="18"/>
        </w:rPr>
        <w:t xml:space="preserve">Governing law &amp; standards: </w:t>
      </w:r>
      <w:r>
        <w:rPr>
          <w:i/>
          <w:iCs/>
          <w:color w:val="6B7870"/>
          <w:sz w:val="18"/>
          <w:szCs w:val="18"/>
        </w:rPr>
        <w:t xml:space="preserve">Arizona criminal history background check; abuse/central-registry checks; your setting's screening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To protect the people we serve, the organization screens staff and volunteers before they have direct contact, and follows its screening policy in decisions about hiring and continued service.</w:t>
      </w:r>
    </w:p>
    <w:p>
      <w:pPr>
        <w:spacing w:after="40" w:before="120"/>
      </w:pPr>
      <w:r>
        <w:rPr>
          <w:b/>
          <w:bCs/>
          <w:caps/>
          <w:color w:val="1A4731"/>
          <w:sz w:val="19"/>
          <w:szCs w:val="19"/>
        </w:rPr>
        <w:t xml:space="preserve">What we check</w:t>
      </w:r>
    </w:p>
    <w:p>
      <w:pPr>
        <w:pStyle w:val="ListParagraph"/>
        <w:numPr>
          <w:ilvl w:val="0"/>
          <w:numId w:val="2"/>
        </w:numPr>
        <w:spacing w:after="56" w:line="274"/>
      </w:pPr>
      <w:r>
        <w:rPr>
          <w:color w:val="161C18"/>
          <w:sz w:val="21"/>
          <w:szCs w:val="21"/>
        </w:rPr>
        <w:t xml:space="preserve">A Arizona criminal history record check, plus any multi-state or fingerprint-based check your license or funder requires; the cost is borne by the organization.</w:t>
      </w:r>
    </w:p>
    <w:p>
      <w:pPr>
        <w:pStyle w:val="ListParagraph"/>
        <w:numPr>
          <w:ilvl w:val="0"/>
          <w:numId w:val="2"/>
        </w:numPr>
        <w:spacing w:after="56" w:line="274"/>
      </w:pPr>
      <w:r>
        <w:rPr>
          <w:color w:val="161C18"/>
          <w:sz w:val="21"/>
          <w:szCs w:val="21"/>
        </w:rPr>
        <w:t xml:space="preserve">Any abuse/neglect central-registry, nurse-aide-registry, sex-offender-registry, and Medicaid/OIG exclusion checks your setting requires.</w:t>
      </w:r>
    </w:p>
    <w:p>
      <w:pPr>
        <w:pStyle w:val="ListParagraph"/>
        <w:numPr>
          <w:ilvl w:val="0"/>
          <w:numId w:val="2"/>
        </w:numPr>
        <w:spacing w:after="56" w:line="274"/>
      </w:pPr>
      <w:r>
        <w:rPr>
          <w:color w:val="161C18"/>
          <w:sz w:val="21"/>
          <w:szCs w:val="21"/>
        </w:rPr>
        <w:t xml:space="preserve">Re-checks and updated screening as required by the organization's policy and applicable rules.</w:t>
      </w:r>
    </w:p>
    <w:p>
      <w:pPr>
        <w:spacing w:after="40" w:before="120"/>
      </w:pPr>
      <w:r>
        <w:rPr>
          <w:b/>
          <w:bCs/>
          <w:caps/>
          <w:color w:val="1A4731"/>
          <w:sz w:val="19"/>
          <w:szCs w:val="19"/>
        </w:rPr>
        <w:t xml:space="preserve">Your responsibility</w:t>
      </w:r>
    </w:p>
    <w:p>
      <w:pPr>
        <w:spacing w:after="56" w:line="274"/>
        <w:ind w:left="360" w:hanging="260"/>
      </w:pPr>
      <w:r>
        <w:rPr>
          <w:b/>
          <w:bCs/>
          <w:color w:val="161C18"/>
          <w:sz w:val="21"/>
          <w:szCs w:val="21"/>
        </w:rPr>
        <w:t xml:space="preserve">a.  </w:t>
      </w:r>
      <w:r>
        <w:rPr>
          <w:color w:val="161C18"/>
          <w:sz w:val="21"/>
          <w:szCs w:val="21"/>
        </w:rPr>
        <w:t xml:space="preserve">Complete screening authorizations promptly and provide accurate information and identification.</w:t>
      </w:r>
    </w:p>
    <w:p>
      <w:pPr>
        <w:spacing w:after="56" w:line="274"/>
        <w:ind w:left="360" w:hanging="260"/>
      </w:pPr>
      <w:r>
        <w:rPr>
          <w:b/>
          <w:bCs/>
          <w:color w:val="161C18"/>
          <w:sz w:val="21"/>
          <w:szCs w:val="21"/>
        </w:rPr>
        <w:t xml:space="preserve">b.  </w:t>
      </w:r>
      <w:r>
        <w:rPr>
          <w:color w:val="161C18"/>
          <w:sz w:val="21"/>
          <w:szCs w:val="21"/>
        </w:rPr>
        <w:t xml:space="preserve">Report to [the administrator] any arrest, charge, conviction, or protective-services finding during your employment that may affect your ability to serve the people in our care.</w:t>
      </w:r>
    </w:p>
    <w:p>
      <w:pPr>
        <w:pStyle w:val="Heading2"/>
        <w:spacing w:after="60" w:before="220"/>
      </w:pPr>
      <w:r>
        <w:rPr>
          <w:b/>
          <w:bCs/>
          <w:color w:val="161C18"/>
          <w:sz w:val="22"/>
          <w:szCs w:val="22"/>
        </w:rPr>
        <w:t xml:space="preserve">B.3 Health Screening &amp; Communicable-Disease (TB) Testing</w:t>
      </w:r>
    </w:p>
    <w:p>
      <w:pPr>
        <w:spacing w:after="100" w:line="264"/>
      </w:pPr>
      <w:r>
        <w:rPr>
          <w:b/>
          <w:bCs/>
          <w:i/>
          <w:iCs/>
          <w:color w:val="6B7870"/>
          <w:sz w:val="18"/>
          <w:szCs w:val="18"/>
        </w:rPr>
        <w:t xml:space="preserve">Governing law &amp; standards: </w:t>
      </w:r>
      <w:r>
        <w:rPr>
          <w:i/>
          <w:iCs/>
          <w:color w:val="6B7870"/>
          <w:sz w:val="18"/>
          <w:szCs w:val="18"/>
        </w:rPr>
        <w:t xml:space="preserve">Your setting's employee-health requirements; CDC/state tuberculosis and communicable-disease guidance</w:t>
      </w:r>
    </w:p>
    <w:p>
      <w:pPr>
        <w:spacing w:after="40" w:before="120"/>
      </w:pPr>
      <w:r>
        <w:rPr>
          <w:b/>
          <w:bCs/>
          <w:caps/>
          <w:color w:val="1A4731"/>
          <w:sz w:val="19"/>
          <w:szCs w:val="19"/>
        </w:rPr>
        <w:t xml:space="preserve">Policy</w:t>
      </w:r>
    </w:p>
    <w:p>
      <w:pPr>
        <w:spacing w:after="140" w:line="278"/>
      </w:pPr>
      <w:r>
        <w:rPr>
          <w:color w:val="161C18"/>
          <w:sz w:val="21"/>
          <w:szCs w:val="21"/>
        </w:rPr>
        <w:t xml:space="preserve">The organization maintains written policies on pre-employment health evaluation and employee health, including tuberculosis (TB) screening where required for your setting. These requirements protect both you and the people we serve. Complete required health screening on the schedule the organization sets, and report communicable-disease symptoms before providing direct care.</w:t>
      </w:r>
    </w:p>
    <w:p>
      <w:pPr>
        <w:pStyle w:val="Heading2"/>
        <w:spacing w:after="60" w:before="220"/>
      </w:pPr>
      <w:r>
        <w:rPr>
          <w:b/>
          <w:bCs/>
          <w:color w:val="161C18"/>
          <w:sz w:val="22"/>
          <w:szCs w:val="22"/>
        </w:rPr>
        <w:t xml:space="preserve">B.4 Orientation &amp; Ongoing Training</w:t>
      </w:r>
    </w:p>
    <w:p>
      <w:pPr>
        <w:spacing w:after="100" w:line="264"/>
      </w:pPr>
      <w:r>
        <w:rPr>
          <w:b/>
          <w:bCs/>
          <w:i/>
          <w:iCs/>
          <w:color w:val="6B7870"/>
          <w:sz w:val="18"/>
          <w:szCs w:val="18"/>
        </w:rPr>
        <w:t xml:space="preserve">Governing law &amp; standards: </w:t>
      </w:r>
      <w:r>
        <w:rPr>
          <w:i/>
          <w:iCs/>
          <w:color w:val="6B7870"/>
          <w:sz w:val="18"/>
          <w:szCs w:val="18"/>
        </w:rPr>
        <w:t xml:space="preserve">Your setting's mandatory-training requirements; abuse-prevention and rights training</w:t>
      </w:r>
    </w:p>
    <w:p>
      <w:pPr>
        <w:spacing w:after="40" w:before="120"/>
      </w:pPr>
      <w:r>
        <w:rPr>
          <w:b/>
          <w:bCs/>
          <w:caps/>
          <w:color w:val="1A4731"/>
          <w:sz w:val="19"/>
          <w:szCs w:val="19"/>
        </w:rPr>
        <w:t xml:space="preserve">Orientation &amp; required topics</w:t>
      </w:r>
    </w:p>
    <w:p>
      <w:pPr>
        <w:spacing w:after="140" w:line="278"/>
      </w:pPr>
      <w:r>
        <w:rPr>
          <w:color w:val="161C18"/>
          <w:sz w:val="21"/>
          <w:szCs w:val="21"/>
        </w:rPr>
        <w:t xml:space="preserve">Before you work independently, you must complete orientation covering your job duties, the rights of the people we serve, abuse/neglect prevention and mandatory reporting, confidentiality/HIPAA, safety and emergency procedures, infection control, and any setting-specific topics your license or funder requires. You may also need CPR/First Aid and medication administration training for your role.</w:t>
      </w:r>
    </w:p>
    <w:p>
      <w:pPr>
        <w:spacing w:after="40" w:before="120"/>
      </w:pPr>
      <w:r>
        <w:rPr>
          <w:b/>
          <w:bCs/>
          <w:caps/>
          <w:color w:val="1A4731"/>
          <w:sz w:val="19"/>
          <w:szCs w:val="19"/>
        </w:rPr>
        <w:t xml:space="preserve">Ongoing education</w:t>
      </w:r>
    </w:p>
    <w:p>
      <w:pPr>
        <w:spacing w:after="140" w:line="278"/>
      </w:pPr>
      <w:r>
        <w:rPr>
          <w:color w:val="161C18"/>
          <w:sz w:val="21"/>
          <w:szCs w:val="21"/>
        </w:rPr>
        <w:t xml:space="preserve">Complete all required annual and role-specific training on time and keep your training records current. Training keeps you competent and keeps the people we serve safe; failure to complete required training may affect your ability to work in your role.</w:t>
      </w:r>
    </w:p>
    <w:p>
      <w:r>
        <w:br w:type="page"/>
      </w:r>
    </w:p>
    <w:p>
      <w:pPr>
        <w:pStyle w:val="Heading1"/>
        <w:shd w:fill="1A4731" w:val="clear"/>
        <w:spacing w:after="20" w:before="40"/>
      </w:pPr>
      <w:r>
        <w:rPr>
          <w:b/>
          <w:bCs/>
          <w:color w:val="FFFFFF"/>
          <w:sz w:val="22"/>
          <w:szCs w:val="22"/>
        </w:rPr>
        <w:t xml:space="preserve">SECTION C</w:t>
      </w:r>
    </w:p>
    <w:p>
      <w:pPr>
        <w:spacing w:after="60"/>
      </w:pPr>
      <w:r>
        <w:rPr>
          <w:b/>
          <w:bCs/>
          <w:color w:val="1A4731"/>
          <w:sz w:val="26"/>
          <w:szCs w:val="26"/>
        </w:rPr>
        <w:t xml:space="preserve">Workplace Conduct &amp; Protection of the People We Serve</w:t>
      </w:r>
    </w:p>
    <w:p>
      <w:pPr>
        <w:spacing w:after="100" w:line="278"/>
      </w:pPr>
      <w:r>
        <w:rPr>
          <w:color w:val="161C18"/>
          <w:sz w:val="20"/>
          <w:szCs w:val="20"/>
        </w:rPr>
        <w:t xml:space="preserve">This section covers the conduct required of everyone who works in a care setting — how we treat the people we serve, your personal legal duty to report abuse, prohibited practices such as improper restraint, fitness for duty, and the seriousness of shift coverage and never abandoning care.</w:t>
      </w:r>
    </w:p>
    <w:p>
      <w:pPr>
        <w:spacing w:after="40"/>
      </w:pPr>
      <w:r>
        <w:rPr>
          <w:b/>
          <w:bCs/>
          <w:i/>
          <w:iCs/>
          <w:color w:val="6B7870"/>
          <w:sz w:val="18"/>
          <w:szCs w:val="18"/>
        </w:rPr>
        <w:t xml:space="preserve">Policies in this section</w:t>
      </w:r>
    </w:p>
    <w:p>
      <w:pPr>
        <w:spacing w:after="30"/>
      </w:pPr>
      <w:r>
        <w:rPr>
          <w:color w:val="161C18"/>
          <w:sz w:val="19"/>
          <w:szCs w:val="19"/>
        </w:rPr>
        <w:t xml:space="preserve">—  C.1 Standards of Conduct &amp; Prohibited Conduct</w:t>
      </w:r>
    </w:p>
    <w:p>
      <w:pPr>
        <w:spacing w:after="30"/>
      </w:pPr>
      <w:r>
        <w:rPr>
          <w:color w:val="161C18"/>
          <w:sz w:val="19"/>
          <w:szCs w:val="19"/>
        </w:rPr>
        <w:t xml:space="preserve">—  C.2 Mandatory Reporting of Abuse, Neglect &amp; Exploitation</w:t>
      </w:r>
    </w:p>
    <w:p>
      <w:pPr>
        <w:spacing w:after="30"/>
      </w:pPr>
      <w:r>
        <w:rPr>
          <w:color w:val="161C18"/>
          <w:sz w:val="19"/>
          <w:szCs w:val="19"/>
        </w:rPr>
        <w:t xml:space="preserve">—  C.3 Restraints &amp; Prohibited Practices</w:t>
      </w:r>
    </w:p>
    <w:p>
      <w:pPr>
        <w:spacing w:after="30"/>
      </w:pPr>
      <w:r>
        <w:rPr>
          <w:color w:val="161C18"/>
          <w:sz w:val="19"/>
          <w:szCs w:val="19"/>
        </w:rPr>
        <w:t xml:space="preserve">—  C.4 Drug-Free Workplace &amp; Fitness for Duty</w:t>
      </w:r>
    </w:p>
    <w:p>
      <w:pPr>
        <w:spacing w:after="30"/>
      </w:pPr>
      <w:r>
        <w:rPr>
          <w:color w:val="161C18"/>
          <w:sz w:val="19"/>
          <w:szCs w:val="19"/>
        </w:rPr>
        <w:t xml:space="preserve">—  C.5 Shift Coverage &amp; Abandonment of Care</w:t>
      </w:r>
    </w:p>
    <w:p>
      <w:pPr>
        <w:pStyle w:val="Heading2"/>
        <w:spacing w:after="60" w:before="220"/>
      </w:pPr>
      <w:r>
        <w:rPr>
          <w:b/>
          <w:bCs/>
          <w:color w:val="161C18"/>
          <w:sz w:val="22"/>
          <w:szCs w:val="22"/>
        </w:rPr>
        <w:t xml:space="preserve">C.1 Standards of Conduct &amp; Prohibited Conduct</w:t>
      </w:r>
    </w:p>
    <w:p>
      <w:pPr>
        <w:spacing w:after="100" w:line="264"/>
      </w:pPr>
      <w:r>
        <w:rPr>
          <w:b/>
          <w:bCs/>
          <w:i/>
          <w:iCs/>
          <w:color w:val="6B7870"/>
          <w:sz w:val="18"/>
          <w:szCs w:val="18"/>
        </w:rPr>
        <w:t xml:space="preserve">Governing law &amp; standards: </w:t>
      </w:r>
      <w:r>
        <w:rPr>
          <w:i/>
          <w:iCs/>
          <w:color w:val="6B7870"/>
          <w:sz w:val="18"/>
          <w:szCs w:val="18"/>
        </w:rPr>
        <w:t xml:space="preserve">Your setting's conduct and rights standards; HCBS Settings Rule (42 CFR 441.301)</w:t>
      </w:r>
    </w:p>
    <w:p>
      <w:pPr>
        <w:spacing w:after="40" w:before="120"/>
      </w:pPr>
      <w:r>
        <w:rPr>
          <w:b/>
          <w:bCs/>
          <w:caps/>
          <w:color w:val="1A4731"/>
          <w:sz w:val="19"/>
          <w:szCs w:val="19"/>
        </w:rPr>
        <w:t xml:space="preserve">Our standard</w:t>
      </w:r>
    </w:p>
    <w:p>
      <w:pPr>
        <w:spacing w:after="140" w:line="278"/>
      </w:pPr>
      <w:r>
        <w:rPr>
          <w:color w:val="161C18"/>
          <w:sz w:val="21"/>
          <w:szCs w:val="21"/>
        </w:rPr>
        <w:t xml:space="preserve">Everyone who works here must treat the people we serve, their families, coworkers, and the public with dignity and respect, protect the rights and privacy of the people in our care, and safeguard their health and safety. The people we serve have the right to be treated with respect and to be free from abuse, neglect, and exploitation.</w:t>
      </w:r>
    </w:p>
    <w:p>
      <w:pPr>
        <w:spacing w:after="40" w:before="120"/>
      </w:pPr>
      <w:r>
        <w:rPr>
          <w:b/>
          <w:bCs/>
          <w:caps/>
          <w:color w:val="1A4731"/>
          <w:sz w:val="19"/>
          <w:szCs w:val="19"/>
        </w:rPr>
        <w:t xml:space="preserve">Conduct that will not be tolerated</w:t>
      </w:r>
    </w:p>
    <w:p>
      <w:pPr>
        <w:pStyle w:val="ListParagraph"/>
        <w:numPr>
          <w:ilvl w:val="0"/>
          <w:numId w:val="2"/>
        </w:numPr>
        <w:spacing w:after="56" w:line="274"/>
      </w:pPr>
      <w:r>
        <w:rPr>
          <w:color w:val="161C18"/>
          <w:sz w:val="21"/>
          <w:szCs w:val="21"/>
        </w:rPr>
        <w:t xml:space="preserve">Abuse, neglect, mistreatment, or exploitation of a person we serve — physical, verbal, emotional, sexual, or financial — or failure to report it.</w:t>
      </w:r>
    </w:p>
    <w:p>
      <w:pPr>
        <w:pStyle w:val="ListParagraph"/>
        <w:numPr>
          <w:ilvl w:val="0"/>
          <w:numId w:val="2"/>
        </w:numPr>
        <w:spacing w:after="56" w:line="274"/>
      </w:pPr>
      <w:r>
        <w:rPr>
          <w:color w:val="161C18"/>
          <w:sz w:val="21"/>
          <w:szCs w:val="21"/>
        </w:rPr>
        <w:t xml:space="preserve">Breach of confidentiality or privacy (including HIPAA); theft, dishonesty, or misuse of client or organization funds or property.</w:t>
      </w:r>
    </w:p>
    <w:p>
      <w:pPr>
        <w:pStyle w:val="ListParagraph"/>
        <w:numPr>
          <w:ilvl w:val="0"/>
          <w:numId w:val="2"/>
        </w:numPr>
        <w:spacing w:after="56" w:line="274"/>
      </w:pPr>
      <w:r>
        <w:rPr>
          <w:color w:val="161C18"/>
          <w:sz w:val="21"/>
          <w:szCs w:val="21"/>
        </w:rPr>
        <w:t xml:space="preserve">Falsifying records, documentation, or time; sleeping on duty; or leaving people unsupervised.</w:t>
      </w:r>
    </w:p>
    <w:p>
      <w:pPr>
        <w:pStyle w:val="ListParagraph"/>
        <w:numPr>
          <w:ilvl w:val="0"/>
          <w:numId w:val="2"/>
        </w:numPr>
        <w:spacing w:after="56" w:line="274"/>
      </w:pPr>
      <w:r>
        <w:rPr>
          <w:color w:val="161C18"/>
          <w:sz w:val="21"/>
          <w:szCs w:val="21"/>
        </w:rPr>
        <w:t xml:space="preserve">Violence, threats, or intimidation; possession of weapons; or working while impaired.</w:t>
      </w:r>
    </w:p>
    <w:p>
      <w:pPr>
        <w:pStyle w:val="ListParagraph"/>
        <w:numPr>
          <w:ilvl w:val="0"/>
          <w:numId w:val="2"/>
        </w:numPr>
        <w:spacing w:after="56" w:line="274"/>
      </w:pPr>
      <w:r>
        <w:rPr>
          <w:color w:val="161C18"/>
          <w:sz w:val="21"/>
          <w:szCs w:val="21"/>
        </w:rPr>
        <w:t xml:space="preserve">Insubordination, repeated unexcused absences, or violating safety, medication, or infection-control rules.</w:t>
      </w:r>
    </w:p>
    <w:p>
      <w:pPr>
        <w:spacing w:after="140" w:line="278"/>
      </w:pPr>
      <w:r>
        <w:rPr>
          <w:color w:val="161C18"/>
          <w:sz w:val="21"/>
          <w:szCs w:val="21"/>
        </w:rPr>
        <w:t xml:space="preserve">This list is illustrative, not exhaustive. Because employment is at-will, the organization may address conduct with any level of discipline it considers appropriate, up to and including immediate termination.</w:t>
      </w:r>
    </w:p>
    <w:p>
      <w:pPr>
        <w:pStyle w:val="Heading2"/>
        <w:spacing w:after="60" w:before="220"/>
      </w:pPr>
      <w:r>
        <w:rPr>
          <w:b/>
          <w:bCs/>
          <w:color w:val="161C18"/>
          <w:sz w:val="22"/>
          <w:szCs w:val="22"/>
        </w:rPr>
        <w:t xml:space="preserve">C.2 Mandatory Reporting of Abuse, Neglect &amp; Exploitation</w:t>
      </w:r>
    </w:p>
    <w:p>
      <w:pPr>
        <w:spacing w:after="100" w:line="264"/>
      </w:pPr>
      <w:r>
        <w:rPr>
          <w:b/>
          <w:bCs/>
          <w:i/>
          <w:iCs/>
          <w:color w:val="6B7870"/>
          <w:sz w:val="18"/>
          <w:szCs w:val="18"/>
        </w:rPr>
        <w:t xml:space="preserve">Governing law &amp; standards: </w:t>
      </w:r>
      <w:r>
        <w:rPr>
          <w:i/>
          <w:iCs/>
          <w:color w:val="6B7870"/>
          <w:sz w:val="18"/>
          <w:szCs w:val="18"/>
        </w:rPr>
        <w:t xml:space="preserve">A.R.S. § 46-454 (reporting abuse/neglect/exploitation of vulnerable adults)</w:t>
      </w:r>
    </w:p>
    <w:p>
      <w:pPr>
        <w:spacing w:after="40" w:before="120"/>
      </w:pPr>
      <w:r>
        <w:rPr>
          <w:b/>
          <w:bCs/>
          <w:caps/>
          <w:color w:val="1A4731"/>
          <w:sz w:val="19"/>
          <w:szCs w:val="19"/>
        </w:rPr>
        <w:t xml:space="preserve">This is your personal legal duty</w:t>
      </w:r>
    </w:p>
    <w:p>
      <w:pPr>
        <w:spacing w:after="140" w:line="278"/>
      </w:pPr>
      <w:r>
        <w:rPr>
          <w:color w:val="161C18"/>
          <w:sz w:val="21"/>
          <w:szCs w:val="21"/>
        </w:rPr>
        <w:t xml:space="preserve">Many of our employees are mandatory reporters under Arizona law. If you know of, witness, or reasonably suspect abuse, neglect, exploitation, or mistreatment of a vulnerable or at-risk adult (or, where applicable, a child), you personally must report it — this duty is yours and cannot be delegated to a supervisor.</w:t>
      </w:r>
    </w:p>
    <w:p>
      <w:pPr>
        <w:spacing w:after="40" w:before="120"/>
      </w:pPr>
      <w:r>
        <w:rPr>
          <w:b/>
          <w:bCs/>
          <w:caps/>
          <w:color w:val="1A4731"/>
          <w:sz w:val="19"/>
          <w:szCs w:val="19"/>
        </w:rPr>
        <w:t xml:space="preserve">What and how to report</w:t>
      </w:r>
    </w:p>
    <w:p>
      <w:pPr>
        <w:spacing w:after="56" w:line="274"/>
        <w:ind w:left="360" w:hanging="260"/>
      </w:pPr>
      <w:r>
        <w:rPr>
          <w:b/>
          <w:bCs/>
          <w:color w:val="161C18"/>
          <w:sz w:val="21"/>
          <w:szCs w:val="21"/>
        </w:rPr>
        <w:t xml:space="preserve">a.  </w:t>
      </w:r>
      <w:r>
        <w:rPr>
          <w:color w:val="161C18"/>
          <w:sz w:val="21"/>
          <w:szCs w:val="21"/>
        </w:rPr>
        <w:t xml:space="preserve">Ensure the person's immediate safety first; call 911 for an emergency.</w:t>
      </w:r>
    </w:p>
    <w:p>
      <w:pPr>
        <w:spacing w:after="56" w:line="274"/>
        <w:ind w:left="360" w:hanging="260"/>
      </w:pPr>
      <w:r>
        <w:rPr>
          <w:b/>
          <w:bCs/>
          <w:color w:val="161C18"/>
          <w:sz w:val="21"/>
          <w:szCs w:val="21"/>
        </w:rPr>
        <w:t xml:space="preserve">b.  </w:t>
      </w:r>
      <w:r>
        <w:rPr>
          <w:color w:val="161C18"/>
          <w:sz w:val="21"/>
          <w:szCs w:val="21"/>
        </w:rPr>
        <w:t xml:space="preserve">Report to Adult Protective Services (1-877-767-2385) and/or law enforcement as soon as possible, consistent with A.R.S. § 46-454, and notify [the administrator / your compliance contact].</w:t>
      </w:r>
    </w:p>
    <w:p>
      <w:pPr>
        <w:spacing w:after="56" w:line="274"/>
        <w:ind w:left="360" w:hanging="260"/>
      </w:pPr>
      <w:r>
        <w:rPr>
          <w:b/>
          <w:bCs/>
          <w:color w:val="161C18"/>
          <w:sz w:val="21"/>
          <w:szCs w:val="21"/>
        </w:rPr>
        <w:t xml:space="preserve">c.  </w:t>
      </w:r>
      <w:r>
        <w:rPr>
          <w:color w:val="161C18"/>
          <w:sz w:val="21"/>
          <w:szCs w:val="21"/>
        </w:rPr>
        <w:t xml:space="preserve">Do not wait to “check with someone first,” and do not conduct your own investigation in a way that could interfere with an official one; document the facts objectively.</w:t>
      </w:r>
    </w:p>
    <w:p>
      <w:pPr>
        <w:spacing w:after="40" w:before="120"/>
      </w:pPr>
      <w:r>
        <w:rPr>
          <w:b/>
          <w:bCs/>
          <w:caps/>
          <w:color w:val="1A4731"/>
          <w:sz w:val="19"/>
          <w:szCs w:val="19"/>
        </w:rPr>
        <w:t xml:space="preserve">No retaliation</w:t>
      </w:r>
    </w:p>
    <w:p>
      <w:pPr>
        <w:spacing w:after="140" w:line="278"/>
      </w:pPr>
      <w:r>
        <w:rPr>
          <w:color w:val="161C18"/>
          <w:sz w:val="21"/>
          <w:szCs w:val="21"/>
        </w:rPr>
        <w:t xml:space="preserve">Reporting in good faith is protected by law. The organization will not retaliate against anyone who makes a good-faith report, and retaliation is itself a serious violation.</w:t>
      </w:r>
    </w:p>
    <w:p>
      <w:pPr>
        <w:pStyle w:val="Heading2"/>
        <w:spacing w:after="60" w:before="220"/>
      </w:pPr>
      <w:r>
        <w:rPr>
          <w:b/>
          <w:bCs/>
          <w:color w:val="161C18"/>
          <w:sz w:val="22"/>
          <w:szCs w:val="22"/>
        </w:rPr>
        <w:t xml:space="preserve">C.3 Restraints &amp; Prohibited Practices</w:t>
      </w:r>
    </w:p>
    <w:p>
      <w:pPr>
        <w:spacing w:after="100" w:line="264"/>
      </w:pPr>
      <w:r>
        <w:rPr>
          <w:b/>
          <w:bCs/>
          <w:i/>
          <w:iCs/>
          <w:color w:val="6B7870"/>
          <w:sz w:val="18"/>
          <w:szCs w:val="18"/>
        </w:rPr>
        <w:t xml:space="preserve">Governing law &amp; standards: </w:t>
      </w:r>
      <w:r>
        <w:rPr>
          <w:i/>
          <w:iCs/>
          <w:color w:val="6B7870"/>
          <w:sz w:val="18"/>
          <w:szCs w:val="18"/>
        </w:rPr>
        <w:t xml:space="preserve">Your setting's restraint/rights rules; HCBS Settings Rule; person-centered planning</w:t>
      </w:r>
    </w:p>
    <w:p>
      <w:pPr>
        <w:spacing w:after="40" w:before="120"/>
      </w:pPr>
      <w:r>
        <w:rPr>
          <w:b/>
          <w:bCs/>
          <w:caps/>
          <w:color w:val="1A4731"/>
          <w:sz w:val="19"/>
          <w:szCs w:val="19"/>
        </w:rPr>
        <w:t xml:space="preserve">Rules</w:t>
      </w:r>
    </w:p>
    <w:p>
      <w:pPr>
        <w:spacing w:after="140" w:line="278"/>
      </w:pPr>
      <w:r>
        <w:rPr>
          <w:color w:val="161C18"/>
          <w:sz w:val="21"/>
          <w:szCs w:val="21"/>
        </w:rPr>
        <w:t xml:space="preserve">Restraint and seclusion are dangerous and tightly restricted. You may not use physical, chemical, or mechanical restraint, seclusion, or any aversive or coercive practice except as specifically permitted by law and the person's individual plan, and only by trained staff. Corporal punishment, threats, humiliation, and withholding food, care, or rights as discipline are strictly prohibited. Use positive, person-centered approaches and de-escalation, and report any use of restraint per Section E.</w:t>
      </w:r>
    </w:p>
    <w:p>
      <w:pPr>
        <w:pStyle w:val="Heading2"/>
        <w:spacing w:after="60" w:before="220"/>
      </w:pPr>
      <w:r>
        <w:rPr>
          <w:b/>
          <w:bCs/>
          <w:color w:val="161C18"/>
          <w:sz w:val="22"/>
          <w:szCs w:val="22"/>
        </w:rPr>
        <w:t xml:space="preserve">C.4 Drug-Free Workplace &amp; Fitness for Duty</w:t>
      </w:r>
    </w:p>
    <w:p>
      <w:pPr>
        <w:spacing w:after="100" w:line="264"/>
      </w:pPr>
      <w:r>
        <w:rPr>
          <w:b/>
          <w:bCs/>
          <w:i/>
          <w:iCs/>
          <w:color w:val="6B7870"/>
          <w:sz w:val="18"/>
          <w:szCs w:val="18"/>
        </w:rPr>
        <w:t xml:space="preserve">Governing law &amp; standards: </w:t>
      </w:r>
      <w:r>
        <w:rPr>
          <w:i/>
          <w:iCs/>
          <w:color w:val="6B7870"/>
          <w:sz w:val="18"/>
          <w:szCs w:val="18"/>
        </w:rPr>
        <w:t xml:space="preserve">Drug-free workplace policy; safety-sensitive duties</w:t>
      </w:r>
    </w:p>
    <w:p>
      <w:pPr>
        <w:spacing w:after="40" w:before="120"/>
      </w:pPr>
      <w:r>
        <w:rPr>
          <w:b/>
          <w:bCs/>
          <w:caps/>
          <w:color w:val="1A4731"/>
          <w:sz w:val="19"/>
          <w:szCs w:val="19"/>
        </w:rPr>
        <w:t xml:space="preserve">Fitness for duty</w:t>
      </w:r>
    </w:p>
    <w:p>
      <w:pPr>
        <w:spacing w:after="140" w:line="278"/>
      </w:pPr>
      <w:r>
        <w:rPr>
          <w:color w:val="161C18"/>
          <w:sz w:val="21"/>
          <w:szCs w:val="21"/>
        </w:rPr>
        <w:t xml:space="preserve">You must be fit for duty and unimpaired whenever you are working or responsible for the people we serve. Reporting to work, or being on duty, under the influence of alcohol, marijuana, or any impairing substance is prohibited — even for substances that may be lawful off duty. This protects the people who depend on you.</w:t>
      </w:r>
    </w:p>
    <w:p>
      <w:pPr>
        <w:spacing w:after="40" w:before="120"/>
      </w:pPr>
      <w:r>
        <w:rPr>
          <w:b/>
          <w:bCs/>
          <w:caps/>
          <w:color w:val="1A4731"/>
          <w:sz w:val="19"/>
          <w:szCs w:val="19"/>
        </w:rPr>
        <w:t xml:space="preserve">Testing &amp; reporting</w:t>
      </w:r>
    </w:p>
    <w:p>
      <w:pPr>
        <w:spacing w:after="140" w:line="278"/>
      </w:pPr>
      <w:r>
        <w:rPr>
          <w:color w:val="161C18"/>
          <w:sz w:val="21"/>
          <w:szCs w:val="21"/>
        </w:rPr>
        <w:t xml:space="preserve">[Describe the organization's drug/alcohol testing policy — for example, reasonable-suspicion and post-incident testing, consistent with Arizona law.] If you take a prescription or medication that could affect your ability to work safely, notify [the administrator] so we can address fitness for duty confidentially. Report any impairment you observe in a coworker that could endanger the people we serve.</w:t>
      </w:r>
    </w:p>
    <w:p>
      <w:pPr>
        <w:pStyle w:val="Heading2"/>
        <w:spacing w:after="60" w:before="220"/>
      </w:pPr>
      <w:r>
        <w:rPr>
          <w:b/>
          <w:bCs/>
          <w:color w:val="161C18"/>
          <w:sz w:val="22"/>
          <w:szCs w:val="22"/>
        </w:rPr>
        <w:t xml:space="preserve">C.5 Shift Coverage &amp; Abandonment of Care</w:t>
      </w:r>
    </w:p>
    <w:p>
      <w:pPr>
        <w:spacing w:after="100" w:line="264"/>
      </w:pPr>
      <w:r>
        <w:rPr>
          <w:b/>
          <w:bCs/>
          <w:i/>
          <w:iCs/>
          <w:color w:val="6B7870"/>
          <w:sz w:val="18"/>
          <w:szCs w:val="18"/>
        </w:rPr>
        <w:t xml:space="preserve">Governing law &amp; standards: </w:t>
      </w:r>
      <w:r>
        <w:rPr>
          <w:i/>
          <w:iCs/>
          <w:color w:val="6B7870"/>
          <w:sz w:val="18"/>
          <w:szCs w:val="18"/>
        </w:rPr>
        <w:t xml:space="preserve">Your setting's staffing/supervision requirements; duty of care</w:t>
      </w:r>
    </w:p>
    <w:p>
      <w:pPr>
        <w:spacing w:after="40" w:before="120"/>
      </w:pPr>
      <w:r>
        <w:rPr>
          <w:b/>
          <w:bCs/>
          <w:caps/>
          <w:color w:val="1A4731"/>
          <w:sz w:val="19"/>
          <w:szCs w:val="19"/>
        </w:rPr>
        <w:t xml:space="preserve">Your responsibility</w:t>
      </w:r>
    </w:p>
    <w:p>
      <w:pPr>
        <w:spacing w:after="140" w:line="278"/>
      </w:pPr>
      <w:r>
        <w:rPr>
          <w:color w:val="161C18"/>
          <w:sz w:val="21"/>
          <w:szCs w:val="21"/>
        </w:rPr>
        <w:t xml:space="preserve">The people we serve depend on continuous supervision and support. You may never leave your assigned people unsupervised or leave at the end of a shift until a qualified replacement has arrived and you have handed off. Follow the call-in procedure for absences: [notify your supervisor at least ___ before your shift]. Walking off the job or leaving people unattended is considered abandonment of care, endangers the people we serve, and is grounds for immediate termination and possible reporting to a licensing board.</w:t>
      </w:r>
    </w:p>
    <w:p>
      <w:r>
        <w:br w:type="page"/>
      </w:r>
    </w:p>
    <w:p>
      <w:pPr>
        <w:pStyle w:val="Heading1"/>
        <w:shd w:fill="1A4731" w:val="clear"/>
        <w:spacing w:after="20" w:before="40"/>
      </w:pPr>
      <w:r>
        <w:rPr>
          <w:b/>
          <w:bCs/>
          <w:color w:val="FFFFFF"/>
          <w:sz w:val="22"/>
          <w:szCs w:val="22"/>
        </w:rPr>
        <w:t xml:space="preserve">SECTION D</w:t>
      </w:r>
    </w:p>
    <w:p>
      <w:pPr>
        <w:spacing w:after="60"/>
      </w:pPr>
      <w:r>
        <w:rPr>
          <w:b/>
          <w:bCs/>
          <w:color w:val="1A4731"/>
          <w:sz w:val="26"/>
          <w:szCs w:val="26"/>
        </w:rPr>
        <w:t xml:space="preserve">Compensation, Hours &amp; Leave</w:t>
      </w:r>
    </w:p>
    <w:p>
      <w:pPr>
        <w:spacing w:after="100" w:line="278"/>
      </w:pPr>
      <w:r>
        <w:rPr>
          <w:color w:val="161C18"/>
          <w:sz w:val="20"/>
          <w:szCs w:val="20"/>
        </w:rPr>
        <w:t xml:space="preserve">This section explains how and when you are paid, timekeeping and overtime (which matters especially on long care shifts), rest and meal breaks, paid sick leave, and family, medical, and other protected leaves.</w:t>
      </w:r>
    </w:p>
    <w:p>
      <w:pPr>
        <w:spacing w:after="40"/>
      </w:pPr>
      <w:r>
        <w:rPr>
          <w:b/>
          <w:bCs/>
          <w:i/>
          <w:iCs/>
          <w:color w:val="6B7870"/>
          <w:sz w:val="18"/>
          <w:szCs w:val="18"/>
        </w:rPr>
        <w:t xml:space="preserve">Policies in this section</w:t>
      </w:r>
    </w:p>
    <w:p>
      <w:pPr>
        <w:spacing w:after="30"/>
      </w:pPr>
      <w:r>
        <w:rPr>
          <w:color w:val="161C18"/>
          <w:sz w:val="19"/>
          <w:szCs w:val="19"/>
        </w:rPr>
        <w:t xml:space="preserve">—  D.1 Pay Practices, Timekeeping &amp; Overtime</w:t>
      </w:r>
    </w:p>
    <w:p>
      <w:pPr>
        <w:spacing w:after="30"/>
      </w:pPr>
      <w:r>
        <w:rPr>
          <w:color w:val="161C18"/>
          <w:sz w:val="19"/>
          <w:szCs w:val="19"/>
        </w:rPr>
        <w:t xml:space="preserve">—  D.2 Rest &amp; Meal Breaks</w:t>
      </w:r>
    </w:p>
    <w:p>
      <w:pPr>
        <w:spacing w:after="30"/>
      </w:pPr>
      <w:r>
        <w:rPr>
          <w:color w:val="161C18"/>
          <w:sz w:val="19"/>
          <w:szCs w:val="19"/>
        </w:rPr>
        <w:t xml:space="preserve">—  D.3 Paid Sick Leave</w:t>
      </w:r>
    </w:p>
    <w:p>
      <w:pPr>
        <w:spacing w:after="30"/>
      </w:pPr>
      <w:r>
        <w:rPr>
          <w:color w:val="161C18"/>
          <w:sz w:val="19"/>
          <w:szCs w:val="19"/>
        </w:rPr>
        <w:t xml:space="preserve">—  D.4 Family &amp; Medical Leave &amp; Other Protected Leaves</w:t>
      </w:r>
    </w:p>
    <w:p>
      <w:pPr>
        <w:pStyle w:val="Heading2"/>
        <w:spacing w:after="60" w:before="220"/>
      </w:pPr>
      <w:r>
        <w:rPr>
          <w:b/>
          <w:bCs/>
          <w:color w:val="161C18"/>
          <w:sz w:val="22"/>
          <w:szCs w:val="22"/>
        </w:rPr>
        <w:t xml:space="preserve">D.1 Pay Practices, Timekeeping &amp; Overtime</w:t>
      </w:r>
    </w:p>
    <w:p>
      <w:pPr>
        <w:spacing w:after="100" w:line="264"/>
      </w:pPr>
      <w:r>
        <w:rPr>
          <w:b/>
          <w:bCs/>
          <w:i/>
          <w:iCs/>
          <w:color w:val="6B7870"/>
          <w:sz w:val="18"/>
          <w:szCs w:val="18"/>
        </w:rPr>
        <w:t xml:space="preserve">Governing law &amp; standards: </w:t>
      </w:r>
      <w:r>
        <w:rPr>
          <w:i/>
          <w:iCs/>
          <w:color w:val="6B7870"/>
          <w:sz w:val="18"/>
          <w:szCs w:val="18"/>
        </w:rPr>
        <w:t xml:space="preserve">Arizona wage statutes (A.R.S. § 23-350 et seq.); FLSA</w:t>
      </w:r>
    </w:p>
    <w:p>
      <w:pPr>
        <w:spacing w:after="40" w:before="120"/>
      </w:pPr>
      <w:r>
        <w:rPr>
          <w:b/>
          <w:bCs/>
          <w:caps/>
          <w:color w:val="1A4731"/>
          <w:sz w:val="19"/>
          <w:szCs w:val="19"/>
        </w:rPr>
        <w:t xml:space="preserve">Pay practices</w:t>
      </w:r>
    </w:p>
    <w:p>
      <w:pPr>
        <w:spacing w:after="140" w:line="278"/>
      </w:pPr>
      <w:r>
        <w:rPr>
          <w:color w:val="161C18"/>
          <w:sz w:val="21"/>
          <w:szCs w:val="21"/>
        </w:rPr>
        <w:t xml:space="preserve">Employees are paid at least semi-monthly, on regular paydays, by [method], and at least the applicable minimum wage. We provide equal pay for substantially similar work consistent with Arizona and federal equal-pay law, and we do not retaliate against employees for discussing their own pay.</w:t>
      </w:r>
    </w:p>
    <w:p>
      <w:pPr>
        <w:spacing w:after="40" w:before="120"/>
      </w:pPr>
      <w:r>
        <w:rPr>
          <w:b/>
          <w:bCs/>
          <w:caps/>
          <w:color w:val="1A4731"/>
          <w:sz w:val="19"/>
          <w:szCs w:val="19"/>
        </w:rPr>
        <w:t xml:space="preserve">Timekeeping</w:t>
      </w:r>
    </w:p>
    <w:p>
      <w:pPr>
        <w:spacing w:after="140" w:line="278"/>
      </w:pPr>
      <w:r>
        <w:rPr>
          <w:color w:val="161C18"/>
          <w:sz w:val="21"/>
          <w:szCs w:val="21"/>
        </w:rPr>
        <w:t xml:space="preserve">Non-exempt employees must accurately record all time worked. Never work “off the clock,” never record time for another employee, and never let anyone record time for you. Falsifying time records is grounds for termination.</w:t>
      </w:r>
    </w:p>
    <w:p>
      <w:pPr>
        <w:spacing w:after="40" w:before="120"/>
      </w:pPr>
      <w:r>
        <w:rPr>
          <w:b/>
          <w:bCs/>
          <w:caps/>
          <w:color w:val="1A4731"/>
          <w:sz w:val="19"/>
          <w:szCs w:val="19"/>
        </w:rPr>
        <w:t xml:space="preserve">Overtime</w:t>
      </w:r>
    </w:p>
    <w:p>
      <w:pPr>
        <w:spacing w:after="140" w:line="278"/>
      </w:pPr>
      <w:r>
        <w:rPr>
          <w:color w:val="161C18"/>
          <w:sz w:val="21"/>
          <w:szCs w:val="21"/>
        </w:rPr>
        <w:t xml:space="preserve">Non-exempt employees earn overtime as follows: 1.5× regular rate after 40 hours in a workweek (federal FLSA). Overtime should be approved in advance, but any overtime actually worked will be paid.</w:t>
      </w:r>
    </w:p>
    <w:p>
      <w:pPr>
        <w:pStyle w:val="Heading2"/>
        <w:spacing w:after="60" w:before="220"/>
      </w:pPr>
      <w:r>
        <w:rPr>
          <w:b/>
          <w:bCs/>
          <w:color w:val="161C18"/>
          <w:sz w:val="22"/>
          <w:szCs w:val="22"/>
        </w:rPr>
        <w:t xml:space="preserve">D.2 Rest &amp; Meal Breaks</w:t>
      </w:r>
    </w:p>
    <w:p>
      <w:pPr>
        <w:spacing w:after="100" w:line="264"/>
      </w:pPr>
      <w:r>
        <w:rPr>
          <w:b/>
          <w:bCs/>
          <w:i/>
          <w:iCs/>
          <w:color w:val="6B7870"/>
          <w:sz w:val="18"/>
          <w:szCs w:val="18"/>
        </w:rPr>
        <w:t xml:space="preserve">Governing law &amp; standards: </w:t>
      </w:r>
      <w:r>
        <w:rPr>
          <w:i/>
          <w:iCs/>
          <w:color w:val="6B7870"/>
          <w:sz w:val="18"/>
          <w:szCs w:val="18"/>
        </w:rPr>
        <w:t xml:space="preserve">FLSA (short breaks paid when offered); Arizona law</w:t>
      </w:r>
    </w:p>
    <w:p>
      <w:pPr>
        <w:spacing w:after="40" w:before="120"/>
      </w:pPr>
      <w:r>
        <w:rPr>
          <w:b/>
          <w:bCs/>
          <w:caps/>
          <w:color w:val="1A4731"/>
          <w:sz w:val="19"/>
          <w:szCs w:val="19"/>
        </w:rPr>
        <w:t xml:space="preserve">Breaks</w:t>
      </w:r>
    </w:p>
    <w:p>
      <w:pPr>
        <w:spacing w:after="140" w:line="278"/>
      </w:pPr>
      <w:r>
        <w:rPr>
          <w:color w:val="161C18"/>
          <w:sz w:val="21"/>
          <w:szCs w:val="21"/>
        </w:rPr>
        <w:t xml:space="preserve">Arizona does not require employers to provide meal or rest breaks to adult employees. Under federal law, short breaks (5–20 minutes) are counted as paid time when offered, and a bona fide meal period (usually 30 minutes) may be unpaid when the employee is fully relieved of duties. The organization's break practice is: [describe your rest and meal break practice, including how breaks are covered so the people we serve are never left unsupervised].</w:t>
      </w:r>
    </w:p>
    <w:p>
      <w:pPr>
        <w:pStyle w:val="Heading2"/>
        <w:spacing w:after="60" w:before="220"/>
      </w:pPr>
      <w:r>
        <w:rPr>
          <w:b/>
          <w:bCs/>
          <w:color w:val="161C18"/>
          <w:sz w:val="22"/>
          <w:szCs w:val="22"/>
        </w:rPr>
        <w:t xml:space="preserve">D.3 Paid Sick Leave</w:t>
      </w:r>
    </w:p>
    <w:p>
      <w:pPr>
        <w:spacing w:after="100" w:line="264"/>
      </w:pPr>
      <w:r>
        <w:rPr>
          <w:b/>
          <w:bCs/>
          <w:i/>
          <w:iCs/>
          <w:color w:val="6B7870"/>
          <w:sz w:val="18"/>
          <w:szCs w:val="18"/>
        </w:rPr>
        <w:t xml:space="preserve">Governing law &amp; standards: </w:t>
      </w:r>
      <w:r>
        <w:rPr>
          <w:i/>
          <w:iCs/>
          <w:color w:val="6B7870"/>
          <w:sz w:val="18"/>
          <w:szCs w:val="18"/>
        </w:rPr>
        <w:t xml:space="preserve">Arizona Fair Wages and Healthy Families Act (A.R.S. § 23-371 et seq.)</w:t>
      </w:r>
    </w:p>
    <w:p>
      <w:pPr>
        <w:spacing w:after="40" w:before="120"/>
      </w:pPr>
      <w:r>
        <w:rPr>
          <w:b/>
          <w:bCs/>
          <w:caps/>
          <w:color w:val="1A4731"/>
          <w:sz w:val="19"/>
          <w:szCs w:val="19"/>
        </w:rPr>
        <w:t xml:space="preserve">Accrual &amp; use</w:t>
      </w:r>
    </w:p>
    <w:p>
      <w:pPr>
        <w:spacing w:after="140" w:line="278"/>
      </w:pPr>
      <w:r>
        <w:rPr>
          <w:color w:val="161C18"/>
          <w:sz w:val="21"/>
          <w:szCs w:val="21"/>
        </w:rPr>
        <w:t xml:space="preserve">Under Arizona Fair Wages and Healthy Families Act (A.R.S. § 23-371 et seq.), employees accrue 1 hour of paid sick time per 30 hours worked — usable up to 40 hours/year (24 hours if the employer has fewer than 15 employees). Sick leave is paid at your regular rate.</w:t>
      </w:r>
    </w:p>
    <w:p>
      <w:pPr>
        <w:spacing w:after="40" w:before="120"/>
      </w:pPr>
      <w:r>
        <w:rPr>
          <w:b/>
          <w:bCs/>
          <w:caps/>
          <w:color w:val="1A4731"/>
          <w:sz w:val="19"/>
          <w:szCs w:val="19"/>
        </w:rPr>
        <w:t xml:space="preserve">Permitted reasons &amp; protection</w:t>
      </w:r>
    </w:p>
    <w:p>
      <w:pPr>
        <w:spacing w:after="140" w:line="278"/>
      </w:pPr>
      <w:r>
        <w:rPr>
          <w:color w:val="161C18"/>
          <w:sz w:val="21"/>
          <w:szCs w:val="21"/>
        </w:rPr>
        <w:t xml:space="preserve">You may use sick leave for your own or a family member's illness, injury, or health condition (including mental health) and preventive care, and for needs related to domestic violence, sexual assault, or stalking, as the law provides. Give notice as soon as practicable. We will not retaliate against you for using sick leave. [If you offer combined PTO that meets or exceeds the law, describe it here.]</w:t>
      </w:r>
    </w:p>
    <w:p>
      <w:pPr>
        <w:pStyle w:val="Heading2"/>
        <w:spacing w:after="60" w:before="220"/>
      </w:pPr>
      <w:r>
        <w:rPr>
          <w:b/>
          <w:bCs/>
          <w:color w:val="161C18"/>
          <w:sz w:val="22"/>
          <w:szCs w:val="22"/>
        </w:rPr>
        <w:t xml:space="preserve">D.4 Family &amp; Medical Leave &amp; Other Protected Leaves</w:t>
      </w:r>
    </w:p>
    <w:p>
      <w:pPr>
        <w:spacing w:after="100" w:line="264"/>
      </w:pPr>
      <w:r>
        <w:rPr>
          <w:b/>
          <w:bCs/>
          <w:i/>
          <w:iCs/>
          <w:color w:val="6B7870"/>
          <w:sz w:val="18"/>
          <w:szCs w:val="18"/>
        </w:rPr>
        <w:t xml:space="preserve">Governing law &amp; standards: </w:t>
      </w:r>
      <w:r>
        <w:rPr>
          <w:i/>
          <w:iCs/>
          <w:color w:val="6B7870"/>
          <w:sz w:val="18"/>
          <w:szCs w:val="18"/>
        </w:rPr>
        <w:t xml:space="preserve">FMLA (29 U.S.C. § 2601 et seq.); USERRA; Arizona leave statutes</w:t>
      </w:r>
    </w:p>
    <w:p>
      <w:pPr>
        <w:spacing w:after="40" w:before="120"/>
      </w:pPr>
      <w:r>
        <w:rPr>
          <w:b/>
          <w:bCs/>
          <w:caps/>
          <w:color w:val="1A4731"/>
          <w:sz w:val="19"/>
          <w:szCs w:val="19"/>
        </w:rPr>
        <w:t xml:space="preserve">FMLA (federal job-protected leave)</w:t>
      </w:r>
    </w:p>
    <w:p>
      <w:pPr>
        <w:spacing w:after="140" w:line="278"/>
      </w:pPr>
      <w:r>
        <w:rPr>
          <w:color w:val="161C18"/>
          <w:sz w:val="21"/>
          <w:szCs w:val="21"/>
        </w:rPr>
        <w:t xml:space="preserve">If the organization employs 50 or more employees, eligible employees may take up to 12 weeks of unpaid, job-protected FMLA leave for qualifying reasons. [State whether FMLA currently applies to your organization.]</w:t>
      </w:r>
    </w:p>
    <w:p>
      <w:pPr>
        <w:spacing w:after="40" w:before="120"/>
      </w:pPr>
      <w:r>
        <w:rPr>
          <w:b/>
          <w:bCs/>
          <w:caps/>
          <w:color w:val="1A4731"/>
          <w:sz w:val="19"/>
          <w:szCs w:val="19"/>
        </w:rPr>
        <w:t xml:space="preserve">Other protected leaves</w:t>
      </w:r>
    </w:p>
    <w:p>
      <w:pPr>
        <w:pStyle w:val="ListParagraph"/>
        <w:numPr>
          <w:ilvl w:val="0"/>
          <w:numId w:val="2"/>
        </w:numPr>
        <w:spacing w:after="56" w:line="274"/>
      </w:pPr>
      <w:r>
        <w:rPr>
          <w:color w:val="161C18"/>
          <w:sz w:val="21"/>
          <w:szCs w:val="21"/>
        </w:rPr>
        <w:t xml:space="preserve">Jury duty and witness leave; voting leave as provided by Arizona law.</w:t>
      </w:r>
    </w:p>
    <w:p>
      <w:pPr>
        <w:pStyle w:val="ListParagraph"/>
        <w:numPr>
          <w:ilvl w:val="0"/>
          <w:numId w:val="2"/>
        </w:numPr>
        <w:spacing w:after="56" w:line="274"/>
      </w:pPr>
      <w:r>
        <w:rPr>
          <w:color w:val="161C18"/>
          <w:sz w:val="21"/>
          <w:szCs w:val="21"/>
        </w:rPr>
        <w:t xml:space="preserve">Military leave (USERRA) and military family leave.</w:t>
      </w:r>
    </w:p>
    <w:p>
      <w:pPr>
        <w:pStyle w:val="ListParagraph"/>
        <w:numPr>
          <w:ilvl w:val="0"/>
          <w:numId w:val="2"/>
        </w:numPr>
        <w:spacing w:after="56" w:line="274"/>
      </w:pPr>
      <w:r>
        <w:rPr>
          <w:color w:val="161C18"/>
          <w:sz w:val="21"/>
          <w:szCs w:val="21"/>
        </w:rPr>
        <w:t xml:space="preserve">Leave for domestic violence, sexual assault, or stalking where provided by law; bereavement and other leave the organization offers.</w:t>
      </w:r>
    </w:p>
    <w:p>
      <w:r>
        <w:br w:type="page"/>
      </w:r>
    </w:p>
    <w:p>
      <w:pPr>
        <w:pStyle w:val="Heading1"/>
        <w:shd w:fill="1A4731" w:val="clear"/>
        <w:spacing w:after="20" w:before="40"/>
      </w:pPr>
      <w:r>
        <w:rPr>
          <w:b/>
          <w:bCs/>
          <w:color w:val="FFFFFF"/>
          <w:sz w:val="22"/>
          <w:szCs w:val="22"/>
        </w:rPr>
        <w:t xml:space="preserve">SECTION E</w:t>
      </w:r>
    </w:p>
    <w:p>
      <w:pPr>
        <w:spacing w:after="60"/>
      </w:pPr>
      <w:r>
        <w:rPr>
          <w:b/>
          <w:bCs/>
          <w:color w:val="1A4731"/>
          <w:sz w:val="26"/>
          <w:szCs w:val="26"/>
        </w:rPr>
        <w:t xml:space="preserve">Health, Safety &amp; Workplace Environment</w:t>
      </w:r>
    </w:p>
    <w:p>
      <w:pPr>
        <w:spacing w:after="100" w:line="278"/>
      </w:pPr>
      <w:r>
        <w:rPr>
          <w:color w:val="161C18"/>
          <w:sz w:val="20"/>
          <w:szCs w:val="20"/>
        </w:rPr>
        <w:t xml:space="preserve">This section covers keeping yourself and the people we serve safe — general workplace safety, what to do if you are injured at work, infection control, and emergency preparedness.</w:t>
      </w:r>
    </w:p>
    <w:p>
      <w:pPr>
        <w:spacing w:after="40"/>
      </w:pPr>
      <w:r>
        <w:rPr>
          <w:b/>
          <w:bCs/>
          <w:i/>
          <w:iCs/>
          <w:color w:val="6B7870"/>
          <w:sz w:val="18"/>
          <w:szCs w:val="18"/>
        </w:rPr>
        <w:t xml:space="preserve">Policies in this section</w:t>
      </w:r>
    </w:p>
    <w:p>
      <w:pPr>
        <w:spacing w:after="30"/>
      </w:pPr>
      <w:r>
        <w:rPr>
          <w:color w:val="161C18"/>
          <w:sz w:val="19"/>
          <w:szCs w:val="19"/>
        </w:rPr>
        <w:t xml:space="preserve">—  E.1 Workplace Safety &amp; Injury Reporting</w:t>
      </w:r>
    </w:p>
    <w:p>
      <w:pPr>
        <w:spacing w:after="30"/>
      </w:pPr>
      <w:r>
        <w:rPr>
          <w:color w:val="161C18"/>
          <w:sz w:val="19"/>
          <w:szCs w:val="19"/>
        </w:rPr>
        <w:t xml:space="preserve">—  E.2 Infection Prevention &amp; Control</w:t>
      </w:r>
    </w:p>
    <w:p>
      <w:pPr>
        <w:spacing w:after="30"/>
      </w:pPr>
      <w:r>
        <w:rPr>
          <w:color w:val="161C18"/>
          <w:sz w:val="19"/>
          <w:szCs w:val="19"/>
        </w:rPr>
        <w:t xml:space="preserve">—  E.3 Emergency Preparedness &amp; Workplace Violence Prevention</w:t>
      </w:r>
    </w:p>
    <w:p>
      <w:pPr>
        <w:pStyle w:val="Heading2"/>
        <w:spacing w:after="60" w:before="220"/>
      </w:pPr>
      <w:r>
        <w:rPr>
          <w:b/>
          <w:bCs/>
          <w:color w:val="161C18"/>
          <w:sz w:val="22"/>
          <w:szCs w:val="22"/>
        </w:rPr>
        <w:t xml:space="preserve">E.1 Workplace Safety &amp; Injury Reporting</w:t>
      </w:r>
    </w:p>
    <w:p>
      <w:pPr>
        <w:spacing w:after="100" w:line="264"/>
      </w:pPr>
      <w:r>
        <w:rPr>
          <w:b/>
          <w:bCs/>
          <w:i/>
          <w:iCs/>
          <w:color w:val="6B7870"/>
          <w:sz w:val="18"/>
          <w:szCs w:val="18"/>
        </w:rPr>
        <w:t xml:space="preserve">Governing law &amp; standards: </w:t>
      </w:r>
      <w:r>
        <w:rPr>
          <w:i/>
          <w:iCs/>
          <w:color w:val="6B7870"/>
          <w:sz w:val="18"/>
          <w:szCs w:val="18"/>
        </w:rPr>
        <w:t xml:space="preserve">OSHA; the Arizona Workers' Compensation Act</w:t>
      </w:r>
    </w:p>
    <w:p>
      <w:pPr>
        <w:spacing w:after="40" w:before="120"/>
      </w:pPr>
      <w:r>
        <w:rPr>
          <w:b/>
          <w:bCs/>
          <w:caps/>
          <w:color w:val="1A4731"/>
          <w:sz w:val="19"/>
          <w:szCs w:val="19"/>
        </w:rPr>
        <w:t xml:space="preserve">If you are injured at work</w:t>
      </w:r>
    </w:p>
    <w:p>
      <w:pPr>
        <w:spacing w:after="140" w:line="278"/>
      </w:pPr>
      <w:r>
        <w:rPr>
          <w:color w:val="161C18"/>
          <w:sz w:val="21"/>
          <w:szCs w:val="21"/>
        </w:rPr>
        <w:t xml:space="preserve">Follow all safety procedures, use required protective equipment, and report any injury, unsafe condition, or hazard to [your supervisor] immediately. Work-related injuries and illnesses are covered by the Arizona Workers' Compensation Act; report them promptly so a claim can be filed and you can get care. Failing to report an injury promptly can affect your benefits.</w:t>
      </w:r>
    </w:p>
    <w:p>
      <w:pPr>
        <w:pStyle w:val="Heading2"/>
        <w:spacing w:after="60" w:before="220"/>
      </w:pPr>
      <w:r>
        <w:rPr>
          <w:b/>
          <w:bCs/>
          <w:color w:val="161C18"/>
          <w:sz w:val="22"/>
          <w:szCs w:val="22"/>
        </w:rPr>
        <w:t xml:space="preserve">E.2 Infection Prevention &amp; Control</w:t>
      </w:r>
    </w:p>
    <w:p>
      <w:pPr>
        <w:spacing w:after="100" w:line="264"/>
      </w:pPr>
      <w:r>
        <w:rPr>
          <w:b/>
          <w:bCs/>
          <w:i/>
          <w:iCs/>
          <w:color w:val="6B7870"/>
          <w:sz w:val="18"/>
          <w:szCs w:val="18"/>
        </w:rPr>
        <w:t xml:space="preserve">Governing law &amp; standards: </w:t>
      </w:r>
      <w:r>
        <w:rPr>
          <w:i/>
          <w:iCs/>
          <w:color w:val="6B7870"/>
          <w:sz w:val="18"/>
          <w:szCs w:val="18"/>
        </w:rPr>
        <w:t xml:space="preserve">CDC/state infection-control guidance; your setting's requirements</w:t>
      </w:r>
    </w:p>
    <w:p>
      <w:pPr>
        <w:spacing w:after="40" w:before="120"/>
      </w:pPr>
      <w:r>
        <w:rPr>
          <w:b/>
          <w:bCs/>
          <w:caps/>
          <w:color w:val="1A4731"/>
          <w:sz w:val="19"/>
          <w:szCs w:val="19"/>
        </w:rPr>
        <w:t xml:space="preserve">Policy</w:t>
      </w:r>
    </w:p>
    <w:p>
      <w:pPr>
        <w:spacing w:after="140" w:line="278"/>
      </w:pPr>
      <w:r>
        <w:rPr>
          <w:color w:val="161C18"/>
          <w:sz w:val="21"/>
          <w:szCs w:val="21"/>
        </w:rPr>
        <w:t xml:space="preserve">Follow standard precautions, hand hygiene, safe handling of bodily fluids, cleaning and disinfection, and safe handling of medications and hazardous materials. Do not provide direct care while contagious, and follow the organization's protocols during outbreaks or communicable-disease events.</w:t>
      </w:r>
    </w:p>
    <w:p>
      <w:pPr>
        <w:pStyle w:val="Heading2"/>
        <w:spacing w:after="60" w:before="220"/>
      </w:pPr>
      <w:r>
        <w:rPr>
          <w:b/>
          <w:bCs/>
          <w:color w:val="161C18"/>
          <w:sz w:val="22"/>
          <w:szCs w:val="22"/>
        </w:rPr>
        <w:t xml:space="preserve">E.3 Emergency Preparedness &amp; Workplace Violence Prevention</w:t>
      </w:r>
    </w:p>
    <w:p>
      <w:pPr>
        <w:spacing w:after="100" w:line="264"/>
      </w:pPr>
      <w:r>
        <w:rPr>
          <w:b/>
          <w:bCs/>
          <w:i/>
          <w:iCs/>
          <w:color w:val="6B7870"/>
          <w:sz w:val="18"/>
          <w:szCs w:val="18"/>
        </w:rPr>
        <w:t xml:space="preserve">Governing law &amp; standards: </w:t>
      </w:r>
      <w:r>
        <w:rPr>
          <w:i/>
          <w:iCs/>
          <w:color w:val="6B7870"/>
          <w:sz w:val="18"/>
          <w:szCs w:val="18"/>
        </w:rPr>
        <w:t xml:space="preserve">Your setting's emergency-preparedness requirements; workplace-safety rules</w:t>
      </w:r>
    </w:p>
    <w:p>
      <w:pPr>
        <w:spacing w:after="40" w:before="120"/>
      </w:pPr>
      <w:r>
        <w:rPr>
          <w:b/>
          <w:bCs/>
          <w:caps/>
          <w:color w:val="1A4731"/>
          <w:sz w:val="19"/>
          <w:szCs w:val="19"/>
        </w:rPr>
        <w:t xml:space="preserve">Policy</w:t>
      </w:r>
    </w:p>
    <w:p>
      <w:pPr>
        <w:spacing w:after="140" w:line="278"/>
      </w:pPr>
      <w:r>
        <w:rPr>
          <w:color w:val="161C18"/>
          <w:sz w:val="21"/>
          <w:szCs w:val="21"/>
        </w:rPr>
        <w:t xml:space="preserve">Know the organization's emergency and evacuation procedures for the people we serve, participate in drills, and keep emergency information accessible. Report threats or violence immediately. Never leave the people we serve without a safe plan during an emergency.</w:t>
      </w:r>
    </w:p>
    <w:p>
      <w:r>
        <w:br w:type="page"/>
      </w:r>
    </w:p>
    <w:p>
      <w:pPr>
        <w:pStyle w:val="Heading1"/>
        <w:shd w:fill="1A4731" w:val="clear"/>
        <w:spacing w:after="20" w:before="40"/>
      </w:pPr>
      <w:r>
        <w:rPr>
          <w:b/>
          <w:bCs/>
          <w:color w:val="FFFFFF"/>
          <w:sz w:val="22"/>
          <w:szCs w:val="22"/>
        </w:rPr>
        <w:t xml:space="preserve">SECTION F</w:t>
      </w:r>
    </w:p>
    <w:p>
      <w:pPr>
        <w:spacing w:after="60"/>
      </w:pPr>
      <w:r>
        <w:rPr>
          <w:b/>
          <w:bCs/>
          <w:color w:val="1A4731"/>
          <w:sz w:val="26"/>
          <w:szCs w:val="26"/>
        </w:rPr>
        <w:t xml:space="preserve">Discipline, Separation &amp; Acknowledgment</w:t>
      </w:r>
    </w:p>
    <w:p>
      <w:pPr>
        <w:spacing w:after="100" w:line="278"/>
      </w:pPr>
      <w:r>
        <w:rPr>
          <w:color w:val="161C18"/>
          <w:sz w:val="20"/>
          <w:szCs w:val="20"/>
        </w:rPr>
        <w:t xml:space="preserve">This section explains how the organization addresses performance and conduct, how to raise a concern, what happens at separation, and asks you to acknowledge that you have received and understood this handbook.</w:t>
      </w:r>
    </w:p>
    <w:p>
      <w:pPr>
        <w:spacing w:after="40"/>
      </w:pPr>
      <w:r>
        <w:rPr>
          <w:b/>
          <w:bCs/>
          <w:i/>
          <w:iCs/>
          <w:color w:val="6B7870"/>
          <w:sz w:val="18"/>
          <w:szCs w:val="18"/>
        </w:rPr>
        <w:t xml:space="preserve">Policies in this section</w:t>
      </w:r>
    </w:p>
    <w:p>
      <w:pPr>
        <w:spacing w:after="30"/>
      </w:pPr>
      <w:r>
        <w:rPr>
          <w:color w:val="161C18"/>
          <w:sz w:val="19"/>
          <w:szCs w:val="19"/>
        </w:rPr>
        <w:t xml:space="preserve">—  F.1 Standards of Discipline</w:t>
      </w:r>
    </w:p>
    <w:p>
      <w:pPr>
        <w:spacing w:after="30"/>
      </w:pPr>
      <w:r>
        <w:rPr>
          <w:color w:val="161C18"/>
          <w:sz w:val="19"/>
          <w:szCs w:val="19"/>
        </w:rPr>
        <w:t xml:space="preserve">—  F.2 How to Raise a Concern</w:t>
      </w:r>
    </w:p>
    <w:p>
      <w:pPr>
        <w:spacing w:after="30"/>
      </w:pPr>
      <w:r>
        <w:rPr>
          <w:color w:val="161C18"/>
          <w:sz w:val="19"/>
          <w:szCs w:val="19"/>
        </w:rPr>
        <w:t xml:space="preserve">—  F.3 Resignation, Separation &amp; Final Pay</w:t>
      </w:r>
    </w:p>
    <w:p>
      <w:pPr>
        <w:spacing w:after="30"/>
      </w:pPr>
      <w:r>
        <w:rPr>
          <w:color w:val="161C18"/>
          <w:sz w:val="19"/>
          <w:szCs w:val="19"/>
        </w:rPr>
        <w:t xml:space="preserve">—  F.4 Acknowledgment of Receipt</w:t>
      </w:r>
    </w:p>
    <w:p>
      <w:pPr>
        <w:pStyle w:val="Heading2"/>
        <w:spacing w:after="60" w:before="220"/>
      </w:pPr>
      <w:r>
        <w:rPr>
          <w:b/>
          <w:bCs/>
          <w:color w:val="161C18"/>
          <w:sz w:val="22"/>
          <w:szCs w:val="22"/>
        </w:rPr>
        <w:t xml:space="preserve">F.1 Standards of Discipline</w:t>
      </w:r>
    </w:p>
    <w:p>
      <w:pPr>
        <w:spacing w:after="40" w:before="120"/>
      </w:pPr>
      <w:r>
        <w:rPr>
          <w:b/>
          <w:bCs/>
          <w:caps/>
          <w:color w:val="1A4731"/>
          <w:sz w:val="19"/>
          <w:szCs w:val="19"/>
        </w:rPr>
        <w:t xml:space="preserve">At-will caveat</w:t>
      </w:r>
    </w:p>
    <w:p>
      <w:pPr>
        <w:spacing w:after="140" w:line="278"/>
      </w:pPr>
      <w:r>
        <w:rPr>
          <w:color w:val="161C18"/>
          <w:sz w:val="21"/>
          <w:szCs w:val="21"/>
        </w:rPr>
        <w:t xml:space="preserve">Because employment is at-will, the organization may use any level of discipline — from a conversation to immediate termination — depending on the situation, and is not required to follow progressive steps. Where appropriate, we may use progressive discipline (verbal reminder, written warning, final warning, termination). Some conduct — including abuse or neglect of a person we serve, theft, violence, working impaired, or abandonment of care — may result in immediate termination.</w:t>
      </w:r>
    </w:p>
    <w:p>
      <w:pPr>
        <w:pStyle w:val="Heading2"/>
        <w:spacing w:after="60" w:before="220"/>
      </w:pPr>
      <w:r>
        <w:rPr>
          <w:b/>
          <w:bCs/>
          <w:color w:val="161C18"/>
          <w:sz w:val="22"/>
          <w:szCs w:val="22"/>
        </w:rPr>
        <w:t xml:space="preserve">F.2 How to Raise a Concern</w:t>
      </w:r>
    </w:p>
    <w:p>
      <w:pPr>
        <w:spacing w:after="140" w:line="278"/>
      </w:pPr>
      <w:r>
        <w:rPr>
          <w:color w:val="161C18"/>
          <w:sz w:val="21"/>
          <w:szCs w:val="21"/>
        </w:rPr>
        <w:t xml:space="preserve">If you have a workplace concern, raise it with your supervisor or [the administrator]; if it involves your supervisor, go to any manager you are comfortable approaching. We will listen and respond in good faith, and we prohibit retaliation for raising a concern in good faith or reporting a suspected legal or safety violation.</w:t>
      </w:r>
    </w:p>
    <w:p>
      <w:pPr>
        <w:pStyle w:val="Heading2"/>
        <w:spacing w:after="60" w:before="220"/>
      </w:pPr>
      <w:r>
        <w:rPr>
          <w:b/>
          <w:bCs/>
          <w:color w:val="161C18"/>
          <w:sz w:val="22"/>
          <w:szCs w:val="22"/>
        </w:rPr>
        <w:t xml:space="preserve">F.3 Resignation, Separation &amp; Final Pay</w:t>
      </w:r>
    </w:p>
    <w:p>
      <w:pPr>
        <w:spacing w:after="40" w:before="120"/>
      </w:pPr>
      <w:r>
        <w:rPr>
          <w:b/>
          <w:bCs/>
          <w:caps/>
          <w:color w:val="1A4731"/>
          <w:sz w:val="19"/>
          <w:szCs w:val="19"/>
        </w:rPr>
        <w:t xml:space="preserve">Resignation &amp; return of property</w:t>
      </w:r>
    </w:p>
    <w:p>
      <w:pPr>
        <w:spacing w:after="140" w:line="278"/>
      </w:pPr>
      <w:r>
        <w:rPr>
          <w:color w:val="161C18"/>
          <w:sz w:val="21"/>
          <w:szCs w:val="21"/>
        </w:rPr>
        <w:t xml:space="preserve">If you resign, we ask for [two weeks'] notice when possible so we can protect continuity of care. On separation, return all organization property, keys, and client records, and complete any required handoff.</w:t>
      </w:r>
    </w:p>
    <w:p>
      <w:pPr>
        <w:spacing w:after="40" w:before="120"/>
      </w:pPr>
      <w:r>
        <w:rPr>
          <w:b/>
          <w:bCs/>
          <w:caps/>
          <w:color w:val="1A4731"/>
          <w:sz w:val="19"/>
          <w:szCs w:val="19"/>
        </w:rPr>
        <w:t xml:space="preserve">Final pay</w:t>
      </w:r>
    </w:p>
    <w:p>
      <w:pPr>
        <w:spacing w:after="140" w:line="278"/>
      </w:pPr>
      <w:r>
        <w:rPr>
          <w:color w:val="161C18"/>
          <w:sz w:val="21"/>
          <w:szCs w:val="21"/>
        </w:rPr>
        <w:t xml:space="preserve">If the organization ends your employment, your final wages are due within 7 working days or the next regular payday, whichever is sooner. If you resign, your final wages are due the next regular payday. Accrued, unused vacation is paid per the organization's written policy.</w:t>
      </w:r>
    </w:p>
    <w:p>
      <w:pPr>
        <w:spacing w:after="40" w:before="120"/>
      </w:pPr>
      <w:r>
        <w:rPr>
          <w:b/>
          <w:bCs/>
          <w:caps/>
          <w:color w:val="1A4731"/>
          <w:sz w:val="19"/>
          <w:szCs w:val="19"/>
        </w:rPr>
        <w:t xml:space="preserve">Records</w:t>
      </w:r>
    </w:p>
    <w:p>
      <w:pPr>
        <w:spacing w:after="140" w:line="278"/>
      </w:pPr>
      <w:r>
        <w:rPr>
          <w:color w:val="161C18"/>
          <w:sz w:val="21"/>
          <w:szCs w:val="21"/>
        </w:rPr>
        <w:t xml:space="preserve">We retain personnel and required records for the periods the law and our funder require and protect their confidentiality.</w:t>
      </w:r>
    </w:p>
    <w:p>
      <w:pPr>
        <w:pStyle w:val="Heading2"/>
        <w:spacing w:after="60" w:before="220"/>
      </w:pPr>
      <w:r>
        <w:rPr>
          <w:b/>
          <w:bCs/>
          <w:color w:val="161C18"/>
          <w:sz w:val="22"/>
          <w:szCs w:val="22"/>
        </w:rPr>
        <w:t xml:space="preserve">F.4 Acknowledgment of Receipt</w:t>
      </w:r>
    </w:p>
    <w:p>
      <w:pPr>
        <w:spacing w:after="220" w:line="278"/>
      </w:pPr>
      <w:r>
        <w:rPr>
          <w:color w:val="161C18"/>
          <w:sz w:val="21"/>
          <w:szCs w:val="21"/>
        </w:rPr>
        <w:t xml:space="preserve">I have received and read (or had explained to me) the [Organization Name] Employee Handbook. I understand it is a general guide, not a contract, and that my employment is at-will — either I or the organization may end it at any time, with or without cause or notice, except as prohibited by law. I understand the organization may change its policies at any time, that only an authorized representative can change the at-will relationship and only in a signed writing, and that I am responsible for the duties described here — including my personal duty to report abuse and to never abandon the people in my care. I agree to follow the policies in this handbook.</w:t>
      </w:r>
    </w:p>
    <w:p>
      <w:pPr>
        <w:spacing w:after="180" w:line="278"/>
      </w:pPr>
      <w:r>
        <w:rPr>
          <w:color w:val="161C18"/>
          <w:sz w:val="21"/>
          <w:szCs w:val="21"/>
        </w:rPr>
        <w:t xml:space="preserve">Employee name (print):  ______________________________________</w:t>
      </w:r>
    </w:p>
    <w:p>
      <w:pPr>
        <w:spacing w:after="180" w:line="278"/>
      </w:pPr>
      <w:r>
        <w:rPr>
          <w:color w:val="161C18"/>
          <w:sz w:val="21"/>
          <w:szCs w:val="21"/>
        </w:rPr>
        <w:t xml:space="preserve">Employee signature:  ______________________________     Date:  ____________</w:t>
      </w:r>
    </w:p>
    <w:p>
      <w:pPr>
        <w:spacing w:after="120" w:line="278"/>
      </w:pPr>
      <w:r>
        <w:rPr>
          <w:color w:val="161C18"/>
          <w:sz w:val="21"/>
          <w:szCs w:val="21"/>
        </w:rPr>
        <w:t xml:space="preserve">Supervisor / administrator signature:  __________________________     Date:  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2026-07-03T22:45:25.774Z</dcterms:created>
  <dcterms:modified xsi:type="dcterms:W3CDTF">2026-07-03T22:45:25.774Z</dcterms:modified>
</cp:coreProperties>
</file>

<file path=docProps/custom.xml><?xml version="1.0" encoding="utf-8"?>
<Properties xmlns="http://schemas.openxmlformats.org/officeDocument/2006/custom-properties" xmlns:vt="http://schemas.openxmlformats.org/officeDocument/2006/docPropsVTypes"/>
</file>