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VIRGINIA</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Virginia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the Virginia Wage Payment Act (Va. Code § 40.1-29); the Virginia Human Rights Act (Va. Code § 2.2-3900 et seq., as expanded by the Virginia Values Act);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Virginia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Virginia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Virginia or federal law differ, the law controls, and the organization will follow the law.</w:t>
      </w:r>
    </w:p>
    <w:p>
      <w:pPr>
        <w:spacing w:after="40" w:line="278"/>
      </w:pPr>
      <w:r>
        <w:rPr>
          <w:b/>
          <w:bCs/>
          <w:color w:val="1A4731"/>
          <w:sz w:val="22"/>
          <w:szCs w:val="22"/>
        </w:rPr>
        <w:t xml:space="preserve">Virginia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$12.77/hour (2026, CPI-adjusted under the Virginia Minimum Wage Act).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 / Virginia Overtime Wage Act as applicable).</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Virginia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Virginia does not mandate paid sick leave. Provide your own paid sick leave / PTO policy and describe it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on regular paydays (frequency depends on wage type under the Virginia Wage Payment Act).</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on or before the next regular payday. If the employee resigns: on or before the next regular payday.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Virginia and federal law. It is not legal advice. Employment law changes frequently and carries real liability, so the organization should have Virginia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Virginia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the Virginia Human Rights Act (Va. Code § 2.2-3900 et seq., as expanded by the Virginia Values Act);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the Virginia Human Rights Act (Va. Code § 2.2-3900 et seq., as expanded by the Virginia Values Act)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the Virginia Human Rights Act (Va. Code § 2.2-3900 et seq., as expanded by the Virginia Values Act), Title VII, the ADA, the ADEA, or other applicable law. Complaints may be filed internally under this handbook and with the Virginia Office of the Attorney General, Division of Human Rights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the Virginia Human Rights Act (Va. Code § 2.2-3900 et seq., as expanded by the Virginia Values Act);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the Virginia Human Rights Act (Va. Code § 2.2-3900 et seq., as expanded by the Virginia Values Act);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the Virginia Wage Payment Act (Va. Code § 40.1-29);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Virginia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Virginia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Virginia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Virginia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Virginia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Virginia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Va. Code § 63.2-1606 (reporting abuse/neglect/exploitation of adults)</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Virginia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Adult Protective Services (1-888-832-3858) and/or law enforcement as soon as possible, consistent with Va. Code § 63.2-1606,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Virginia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the Virginia Wage Payment Act (Va. Code § 40.1-29);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on regular paydays (frequency depends on wage type under the Virginia Wage Payment Act), by [method], and at least the applicable minimum wage. We provide equal pay for substantially similar work consistent with Virginia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 Virginia Overtime Wage Act as applicable).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Virginia law</w:t>
      </w:r>
    </w:p>
    <w:p>
      <w:pPr>
        <w:spacing w:after="40" w:before="120"/>
      </w:pPr>
      <w:r>
        <w:rPr>
          <w:b/>
          <w:bCs/>
          <w:caps/>
          <w:color w:val="1A4731"/>
          <w:sz w:val="19"/>
          <w:szCs w:val="19"/>
        </w:rPr>
        <w:t xml:space="preserve">Breaks</w:t>
      </w:r>
    </w:p>
    <w:p>
      <w:pPr>
        <w:spacing w:after="140" w:line="278"/>
      </w:pPr>
      <w:r>
        <w:rPr>
          <w:color w:val="161C18"/>
          <w:sz w:val="21"/>
          <w:szCs w:val="21"/>
        </w:rPr>
        <w:t xml:space="preserve">Virginia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Virginia has no state paid-sick-leave mandate; organization policy governs</w:t>
      </w:r>
    </w:p>
    <w:p>
      <w:pPr>
        <w:spacing w:after="40" w:before="120"/>
      </w:pPr>
      <w:r>
        <w:rPr>
          <w:b/>
          <w:bCs/>
          <w:caps/>
          <w:color w:val="1A4731"/>
          <w:sz w:val="19"/>
          <w:szCs w:val="19"/>
        </w:rPr>
        <w:t xml:space="preserve">Our paid sick leave / PTO</w:t>
      </w:r>
    </w:p>
    <w:p>
      <w:pPr>
        <w:spacing w:after="140" w:line="278"/>
      </w:pPr>
      <w:r>
        <w:rPr>
          <w:color w:val="161C18"/>
          <w:sz w:val="21"/>
          <w:szCs w:val="21"/>
        </w:rPr>
        <w:t xml:space="preserve">Virginia does not currently require employers to provide paid sick leave. [Organization Name] provides paid sick leave / paid time off as follows: [describe accrual rate, annual amount, waiting period, permitted uses, carryover, and how to request]. Where local ordinances or your funder require paid leave, we comply with those requirements. We do not retaliate against employees for using leave the organization provides.</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Virginia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Virginia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Virginia Workers' Compensation Act</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Virginia Workers' Compensation Act;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on or before the next regular payday. If you resign, your final wages are due on or before the next regular payday.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2026-07-03T22:45:26.448Z</dcterms:created>
  <dcterms:modified xsi:type="dcterms:W3CDTF">2026-07-03T22:45:26.448Z</dcterms:modified>
</cp:coreProperties>
</file>

<file path=docProps/custom.xml><?xml version="1.0" encoding="utf-8"?>
<Properties xmlns="http://schemas.openxmlformats.org/officeDocument/2006/custom-properties" xmlns:vt="http://schemas.openxmlformats.org/officeDocument/2006/docPropsVTypes"/>
</file>