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80"/>
        <w:jc w:val="center"/>
        <w:rPr/>
      </w:pPr>
      <w:r>
        <w:rPr>
          <w:rFonts w:eastAsia="Calibri" w:cs="Calibri"/>
          <w:b/>
          <w:bCs/>
          <w:i w:val="false"/>
          <w:iCs w:val="false"/>
          <w:color w:val="3E5871"/>
          <w:sz w:val="30"/>
          <w:szCs w:val="30"/>
        </w:rPr>
        <w:t>[AGENCY NAME]</w:t>
      </w:r>
    </w:p>
    <w:p>
      <w:pPr>
        <w:pStyle w:val="Normal"/>
        <w:spacing w:lineRule="exact" w:line="276" w:before="0" w:after="60"/>
        <w:jc w:val="center"/>
        <w:rPr/>
      </w:pPr>
      <w:r>
        <w:rPr>
          <w:rFonts w:eastAsia="Calibri" w:cs="Calibri"/>
          <w:b/>
          <w:bCs/>
          <w:i w:val="false"/>
          <w:iCs w:val="false"/>
          <w:color w:val="1F3A5F"/>
          <w:sz w:val="52"/>
          <w:szCs w:val="52"/>
        </w:rPr>
        <w:t>Caregiver Handbook</w:t>
      </w:r>
    </w:p>
    <w:p>
      <w:pPr>
        <w:pStyle w:val="Normal"/>
        <w:spacing w:lineRule="exact" w:line="276" w:before="0" w:after="40"/>
        <w:jc w:val="center"/>
        <w:rPr/>
      </w:pPr>
      <w:r>
        <w:rPr>
          <w:rFonts w:eastAsia="Calibri" w:cs="Calibri"/>
          <w:b w:val="false"/>
          <w:bCs w:val="false"/>
          <w:i/>
          <w:iCs/>
          <w:color w:val="3E5871"/>
          <w:sz w:val="28"/>
          <w:szCs w:val="28"/>
        </w:rPr>
        <w:t>For Homemakers &amp; Companions</w:t>
      </w:r>
    </w:p>
    <w:p>
      <w:pPr>
        <w:pStyle w:val="Normal"/>
        <w:spacing w:lineRule="exact" w:line="276" w:before="0" w:after="220"/>
        <w:jc w:val="center"/>
        <w:rPr/>
      </w:pPr>
      <w:r>
        <w:rPr>
          <w:rFonts w:eastAsia="Calibri" w:cs="Calibri"/>
          <w:b w:val="false"/>
          <w:bCs w:val="false"/>
          <w:i w:val="false"/>
          <w:iCs w:val="false"/>
          <w:color w:val="555555"/>
          <w:sz w:val="22"/>
          <w:szCs w:val="22"/>
        </w:rPr>
        <w:t>Homemaker &amp; Companion Services — Non-Medical — Florida</w:t>
      </w:r>
    </w:p>
    <w:p>
      <w:pPr>
        <w:pStyle w:val="Normal"/>
        <w:pBdr>
          <w:bottom w:val="single" w:sz="8" w:space="1" w:color="9DB1C7"/>
        </w:pBdr>
        <w:spacing w:before="60" w:after="120"/>
        <w:rPr/>
      </w:pPr>
      <w:r>
        <w:rPr/>
      </w:r>
    </w:p>
    <w:p>
      <w:pPr>
        <w:pStyle w:val="Normal"/>
        <w:spacing w:lineRule="exact" w:line="276" w:before="0" w:after="120"/>
        <w:jc w:val="center"/>
        <w:rPr/>
      </w:pPr>
      <w:r>
        <w:rPr>
          <w:rFonts w:eastAsia="Calibri" w:cs="Calibri"/>
          <w:b w:val="false"/>
          <w:bCs w:val="false"/>
          <w:i w:val="false"/>
          <w:iCs w:val="false"/>
          <w:color w:val="1A1A1A"/>
          <w:sz w:val="21"/>
          <w:szCs w:val="21"/>
        </w:rPr>
        <w:t>A guide to your role, your responsibilities, and your rights as a homemaker and companion.</w:t>
      </w:r>
    </w:p>
    <w:p>
      <w:pPr>
        <w:pStyle w:val="Normal"/>
        <w:spacing w:lineRule="exact" w:line="276" w:before="0" w:after="90"/>
        <w:jc w:val="center"/>
        <w:rPr/>
      </w:pPr>
      <w:r>
        <w:rPr>
          <w:rFonts w:eastAsia="Calibri" w:cs="Calibri"/>
          <w:b w:val="false"/>
          <w:bCs w:val="false"/>
          <w:i/>
          <w:iCs/>
          <w:color w:val="555555"/>
          <w:sz w:val="18"/>
          <w:szCs w:val="18"/>
        </w:rPr>
        <w:t>This handbook is a template. Replace bracketed items with your agency’s details and adapt it to your operations and current Florida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28"/>
          <w:szCs w:val="28"/>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homemaker and companion, you are the heart of what we do. Every day, you help people who are older or living with a disability stay safe, comfortable, and connected in their own homes — with companionship, a clean and orderly home, good meals, and a kind, reliable presence. That work matters, and we’re glad you’re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explains what your job is, how we expect you to do it, how to keep yourself and your clients safe, and the rights you have as an employee in Florida. Please read it carefully and keep it as a reference. If anything is unclear, ask your supervisor — we would always rather you ask than guess.</w:t>
      </w:r>
    </w:p>
    <w:p>
      <w:pPr>
        <w:pStyle w:val="Normal"/>
        <w:spacing w:lineRule="exact" w:line="276" w:before="0" w:after="120"/>
        <w:jc w:val="start"/>
        <w:rPr/>
      </w:pPr>
      <w:r>
        <w:rPr>
          <w:rFonts w:eastAsia="Calibri" w:cs="Calibri"/>
          <w:b w:val="false"/>
          <w:bCs w:val="false"/>
          <w:i w:val="false"/>
          <w:iCs w:val="false"/>
          <w:color w:val="1A1A1A"/>
          <w:sz w:val="21"/>
          <w:szCs w:val="21"/>
        </w:rPr>
        <w:t xml:space="preserve">A quick but essential note: we are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homemaker and companion service. That shapes everything in this handbook — what you do, and just as importantly, what you must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do. You provide companionship and homemaking; you do not provide hands-on personal care. When you’re unsure whether something is part of your role, stop and ask. That instinct will keep you, and your clients, safe and will keep our agency in good standing with the state.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Homemaker &amp; Companion  </w:t>
      </w:r>
    </w:p>
    <w:p>
      <w:pPr>
        <w:pStyle w:val="Normal"/>
        <w:keepNext w:val="true"/>
        <w:spacing w:before="160" w:after="70"/>
        <w:rPr/>
      </w:pPr>
      <w:r>
        <w:rPr>
          <w:rFonts w:eastAsia="Calibri" w:cs="Calibri"/>
          <w:b/>
          <w:bCs/>
          <w:i w:val="false"/>
          <w:iCs w:val="false"/>
          <w:color w:val="3E5871"/>
          <w:sz w:val="22"/>
          <w:szCs w:val="22"/>
        </w:rPr>
        <w:t>What you do</w:t>
      </w:r>
    </w:p>
    <w:p>
      <w:pPr>
        <w:pStyle w:val="Normal"/>
        <w:spacing w:lineRule="exact" w:line="276" w:before="0" w:after="120"/>
        <w:jc w:val="start"/>
        <w:rPr/>
      </w:pPr>
      <w:r>
        <w:rPr>
          <w:rFonts w:eastAsia="Calibri" w:cs="Calibri"/>
          <w:b w:val="false"/>
          <w:bCs w:val="false"/>
          <w:i w:val="false"/>
          <w:iCs w:val="false"/>
          <w:color w:val="1A1A1A"/>
          <w:sz w:val="21"/>
          <w:szCs w:val="21"/>
        </w:rPr>
        <w:t>As a homemaker and companion, you provide non-medical support — practical help around the home and warm, dependable companionship that lets clients live safely and independently. Depending on each client’s service plan, your work includes:</w:t>
      </w:r>
    </w:p>
    <w:p>
      <w:pPr>
        <w:pStyle w:val="ListParagraph"/>
        <w:numPr>
          <w:ilvl w:val="0"/>
          <w:numId w:val="3"/>
        </w:numPr>
        <w:spacing w:lineRule="exact" w:line="276" w:before="0" w:after="70"/>
        <w:rPr/>
      </w:pPr>
      <w:r>
        <w:rPr>
          <w:rFonts w:eastAsia="Calibri" w:cs="Calibri"/>
          <w:b w:val="false"/>
          <w:bCs w:val="false"/>
          <w:i w:val="false"/>
          <w:iCs w:val="false"/>
          <w:color w:val="1A1A1A"/>
          <w:sz w:val="21"/>
          <w:szCs w:val="21"/>
        </w:rPr>
        <w:t>Companionship &amp; socialization: conversation, reading, games, hobbies, and simply being a friendly, attentive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Supervision &amp; safety monitoring: keeping a general eye on the client’s well-being and summoning help if something is wrong.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Meal preparation: planning and preparing meals to the client’s preferences and any dietary guidance in the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Light housekeeping: tidying, dishes, surface cleaning, trash, and keeping living areas safe and orderly.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Laundry, shopping, and errands: washing clothes and linens, grocery and household shopping, and running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Transportation &amp; accompaniment: driving the client to appointments, activities, and errands, and being with them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Medication reminders: verbally reminding a client it’s time to take medication — prompting only, never handling or giving 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Watching and reporting: noticing changes in how a client is doing and telling the agency right away.</w:t>
      </w:r>
    </w:p>
    <w:p>
      <w:pPr>
        <w:pStyle w:val="Normal"/>
        <w:keepNext w:val="true"/>
        <w:spacing w:before="160" w:after="70"/>
        <w:rPr/>
      </w:pPr>
      <w:r>
        <w:rPr>
          <w:rFonts w:eastAsia="Calibri" w:cs="Calibri"/>
          <w:b/>
          <w:bCs/>
          <w:i w:val="false"/>
          <w:iCs w:val="false"/>
          <w:color w:val="3E5871"/>
          <w:sz w:val="22"/>
          <w:szCs w:val="22"/>
        </w:rPr>
        <w:t>What you do NOT do — the non-medical line</w:t>
      </w:r>
    </w:p>
    <w:p>
      <w:pPr>
        <w:pStyle w:val="Normal"/>
        <w:spacing w:lineRule="exact" w:line="276" w:before="0" w:after="120"/>
        <w:jc w:val="start"/>
        <w:rPr/>
      </w:pPr>
      <w:r>
        <w:rPr>
          <w:rFonts w:eastAsia="Calibri" w:cs="Calibri"/>
          <w:b w:val="false"/>
          <w:bCs w:val="false"/>
          <w:i w:val="false"/>
          <w:iCs w:val="false"/>
          <w:color w:val="1A1A1A"/>
          <w:sz w:val="21"/>
          <w:szCs w:val="21"/>
        </w:rPr>
        <w:t>Because we are a non-medical homemaker and companion service, there are things you are not permitted to do — no matter how much you want to help, and no matter how much a client or family asks. This is not a suggestion; it is state law, and crossing it puts the client, you, and the agency at serious risk.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 hands-on personal care: you do not bathe, shower, dress, groom, toilet, transfer, lift, or feed a client by hand.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 medication assistance: you do not handle, pour, retrieve, or administer medication — verbal reminders only.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 nursing or medical tasks: no injections, wound care, blood pressure or other assessments, treatments, or therapy.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 decisions beyond your role: you do not diagnose, advise on medical matters, or change a client’s plan on your own.</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a client needs more than you can give</w:t>
            </w:r>
          </w:p>
          <w:p>
            <w:pPr>
              <w:pStyle w:val="Normal"/>
              <w:spacing w:lineRule="exact" w:line="270" w:before="0" w:after="0"/>
              <w:rPr/>
            </w:pPr>
            <w:r>
              <w:rPr>
                <w:rFonts w:eastAsia="Calibri" w:cs="Calibri"/>
                <w:b w:val="false"/>
                <w:bCs w:val="false"/>
                <w:i w:val="false"/>
                <w:iCs w:val="false"/>
                <w:color w:val="1A1A1A"/>
                <w:sz w:val="20"/>
                <w:szCs w:val="20"/>
              </w:rPr>
              <w:t xml:space="preserve">If a client needs help with bathing, dressing, toileting, transferring, or medication — or any medical care — that is a sign their needs have changed. </w:t>
            </w:r>
            <w:r>
              <w:rPr>
                <w:rFonts w:eastAsia="Calibri" w:cs="Calibri"/>
                <w:b/>
                <w:bCs/>
                <w:i w:val="false"/>
                <w:iCs w:val="false"/>
                <w:color w:val="1A1A1A"/>
                <w:sz w:val="20"/>
                <w:szCs w:val="20"/>
              </w:rPr>
              <w:t>Do not start doing those tasks.</w:t>
            </w:r>
            <w:r>
              <w:rPr>
                <w:rFonts w:eastAsia="Calibri" w:cs="Calibri"/>
                <w:b w:val="false"/>
                <w:bCs w:val="false"/>
                <w:i w:val="false"/>
                <w:iCs w:val="false"/>
                <w:color w:val="1A1A1A"/>
                <w:sz w:val="20"/>
                <w:szCs w:val="20"/>
              </w:rPr>
              <w:t xml:space="preserve"> Instead, tell your supervisor right away. The agency will reassess and, if needed, help connect the client to a licensed home health provider. Refusing to cross the line isn’t unkind — it’s how we keep everyone safe and legal.</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Getting Hired &amp; Staying Eligible  </w:t>
      </w:r>
    </w:p>
    <w:p>
      <w:pPr>
        <w:pStyle w:val="Normal"/>
        <w:spacing w:lineRule="exact" w:line="276" w:before="0" w:after="120"/>
        <w:jc w:val="start"/>
        <w:rPr/>
      </w:pPr>
      <w:r>
        <w:rPr>
          <w:rFonts w:eastAsia="Calibri" w:cs="Calibri"/>
          <w:b w:val="false"/>
          <w:bCs w:val="false"/>
          <w:i w:val="false"/>
          <w:iCs w:val="false"/>
          <w:color w:val="1A1A1A"/>
          <w:sz w:val="21"/>
          <w:szCs w:val="21"/>
        </w:rPr>
        <w:t>To work in clients’ homes in Florida, you must clear a background screening and complete required training. These aren’t just formalities — they protect vulnerable people, and the agency’s registration depends on them.</w:t>
      </w:r>
    </w:p>
    <w:p>
      <w:pPr>
        <w:pStyle w:val="Normal"/>
        <w:keepNext w:val="true"/>
        <w:spacing w:before="160" w:after="70"/>
        <w:rPr/>
      </w:pPr>
      <w:r>
        <w:rPr>
          <w:rFonts w:eastAsia="Calibri" w:cs="Calibri"/>
          <w:b/>
          <w:bCs/>
          <w:i w:val="false"/>
          <w:iCs w:val="false"/>
          <w:color w:val="3E5871"/>
          <w:sz w:val="22"/>
          <w:szCs w:val="22"/>
        </w:rPr>
        <w:t>Level 2 background screening</w:t>
      </w:r>
    </w:p>
    <w:p>
      <w:pPr>
        <w:pStyle w:val="Normal"/>
        <w:spacing w:lineRule="exact" w:line="276" w:before="0" w:after="120"/>
        <w:jc w:val="start"/>
        <w:rPr/>
      </w:pPr>
      <w:r>
        <w:rPr>
          <w:rFonts w:eastAsia="Calibri" w:cs="Calibri"/>
          <w:b w:val="false"/>
          <w:bCs w:val="false"/>
          <w:i w:val="false"/>
          <w:iCs w:val="false"/>
          <w:color w:val="1A1A1A"/>
          <w:sz w:val="21"/>
          <w:szCs w:val="21"/>
        </w:rPr>
        <w:t>Before you can work with any client, you must pass a Level 2 background screening — fingerprint-based, including state (FDLE) and national (FBI) criminal history checks — through the AHCA Care Provider Background Screening Clearinghouse. You’ll be scheduled for electronic fingerprinting (Livescan) and enrolled in the Clearinghouse so your eligibility can be monitored over time. You may not enter a client’s home until your screening shows you are eligible. If something in your history could be disqualifying, an exemption from the state may be required before you can work — talk with the agency.</w:t>
      </w:r>
    </w:p>
    <w:p>
      <w:pPr>
        <w:pStyle w:val="Normal"/>
        <w:keepNext w:val="true"/>
        <w:spacing w:before="160" w:after="70"/>
        <w:rPr/>
      </w:pPr>
      <w:r>
        <w:rPr>
          <w:rFonts w:eastAsia="Calibri" w:cs="Calibri"/>
          <w:b/>
          <w:bCs/>
          <w:i w:val="false"/>
          <w:iCs w:val="false"/>
          <w:color w:val="3E5871"/>
          <w:sz w:val="22"/>
          <w:szCs w:val="22"/>
        </w:rPr>
        <w:t>Training you must complete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HIV/AIDS in-service (each year): </w:t>
      </w:r>
      <w:r>
        <w:rPr>
          <w:rFonts w:eastAsia="Calibri" w:cs="Calibri"/>
          <w:b w:val="false"/>
          <w:bCs w:val="false"/>
          <w:i w:val="false"/>
          <w:iCs w:val="false"/>
          <w:color w:val="1A1A1A"/>
          <w:sz w:val="21"/>
          <w:szCs w:val="21"/>
        </w:rPr>
        <w:t>basic education on transmission, prevention, and treating clients without discrimination.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Alzheimer’s / dementia (ADRD) training: </w:t>
      </w:r>
      <w:r>
        <w:rPr>
          <w:rFonts w:eastAsia="Calibri" w:cs="Calibri"/>
          <w:b w:val="false"/>
          <w:bCs w:val="false"/>
          <w:i w:val="false"/>
          <w:iCs w:val="false"/>
          <w:color w:val="1A1A1A"/>
          <w:sz w:val="21"/>
          <w:szCs w:val="21"/>
        </w:rPr>
        <w:t>required if you directly serve any client with Alzheimer’s or a related dementia — it teaches communication, routine, and safe support.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Emergency management (each year): </w:t>
      </w:r>
      <w:r>
        <w:rPr>
          <w:rFonts w:eastAsia="Calibri" w:cs="Calibri"/>
          <w:b w:val="false"/>
          <w:bCs w:val="false"/>
          <w:i w:val="false"/>
          <w:iCs w:val="false"/>
          <w:color w:val="1A1A1A"/>
          <w:sz w:val="21"/>
          <w:szCs w:val="21"/>
        </w:rPr>
        <w:t>what to do in hurricanes and other emergencies — evacuation awareness, communication, and checking on clients.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Agency orientation: </w:t>
      </w:r>
      <w:r>
        <w:rPr>
          <w:rFonts w:eastAsia="Calibri" w:cs="Calibri"/>
          <w:b w:val="false"/>
          <w:bCs w:val="false"/>
          <w:i w:val="false"/>
          <w:iCs w:val="false"/>
          <w:color w:val="1A1A1A"/>
          <w:sz w:val="21"/>
          <w:szCs w:val="21"/>
        </w:rPr>
        <w:t>this handbook, the non-medical scope, client rights, confidentiality, abuse reporting, and documentation.</w:t>
      </w:r>
    </w:p>
    <w:p>
      <w:pPr>
        <w:pStyle w:val="Normal"/>
        <w:spacing w:lineRule="exact" w:line="276" w:before="0" w:after="120"/>
        <w:jc w:val="start"/>
        <w:rPr/>
      </w:pPr>
      <w:r>
        <w:rPr>
          <w:rFonts w:eastAsia="Calibri" w:cs="Calibri"/>
          <w:b w:val="false"/>
          <w:bCs w:val="false"/>
          <w:i w:val="false"/>
          <w:iCs w:val="false"/>
          <w:color w:val="1A1A1A"/>
          <w:sz w:val="21"/>
          <w:szCs w:val="21"/>
        </w:rPr>
        <w:t>Keep your training current. We’ll track due dates with you, but staying eligible is part of your job. Also let us know promptly of anything that affects your eligibility — a new address, a name change, or any arrest — so your records stay accurate.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How We Expect You to Work  </w:t>
      </w:r>
    </w:p>
    <w:p>
      <w:pPr>
        <w:pStyle w:val="Normal"/>
        <w:keepNext w:val="true"/>
        <w:spacing w:before="160" w:after="70"/>
        <w:rPr/>
      </w:pPr>
      <w:r>
        <w:rPr>
          <w:rFonts w:eastAsia="Calibri" w:cs="Calibri"/>
          <w:b/>
          <w:bCs/>
          <w:i w:val="false"/>
          <w:iCs w:val="false"/>
          <w:color w:val="3E5871"/>
          <w:sz w:val="22"/>
          <w:szCs w:val="22"/>
        </w:rPr>
        <w:t>Reliability is the whole job</w:t>
      </w:r>
    </w:p>
    <w:p>
      <w:pPr>
        <w:pStyle w:val="Normal"/>
        <w:spacing w:lineRule="exact" w:line="276" w:before="0" w:after="120"/>
        <w:jc w:val="start"/>
        <w:rPr/>
      </w:pPr>
      <w:r>
        <w:rPr>
          <w:rFonts w:eastAsia="Calibri" w:cs="Calibri"/>
          <w:b w:val="false"/>
          <w:bCs w:val="false"/>
          <w:i w:val="false"/>
          <w:iCs w:val="false"/>
          <w:color w:val="1A1A1A"/>
          <w:sz w:val="21"/>
          <w:szCs w:val="21"/>
        </w:rPr>
        <w:t>Clients and families depend on you. The single most important thing you can do is show up, on time, every scheduled visit. If the same trusted person arrives reliably, families relax and clients thrive. If a visit is missed with no warning, a vulnerable person may be left without a meal or check-in — and our reputation, which brings in the work, suffers. If you cannot make a visit, tell your supervisor as early as possible so we can arrange coverage.</w:t>
      </w:r>
    </w:p>
    <w:p>
      <w:pPr>
        <w:pStyle w:val="Normal"/>
        <w:keepNext w:val="true"/>
        <w:spacing w:before="160" w:after="70"/>
        <w:rPr/>
      </w:pPr>
      <w:r>
        <w:rPr>
          <w:rFonts w:eastAsia="Calibri" w:cs="Calibri"/>
          <w:b/>
          <w:bCs/>
          <w:i w:val="false"/>
          <w:iCs w:val="false"/>
          <w:color w:val="3E5871"/>
          <w:sz w:val="22"/>
          <w:szCs w:val="22"/>
        </w:rPr>
        <w:t>Professional conduct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punctual, and follow the schedule and service plan for each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Dress neatly and appropriately, and wear any agency identification provided.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respectful, patient, and kind — especially with clients who are confused, frustrated, or unwell.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Communicate: answer the agency’s calls, respond to messages, and keep us informed.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client’s authorized task list; don’t take on tasks outside it or outside the non-medical scope.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phone for work purposes during visits; give the client your attention.</w:t>
      </w:r>
    </w:p>
    <w:p>
      <w:pPr>
        <w:pStyle w:val="Normal"/>
        <w:keepNext w:val="true"/>
        <w:spacing w:before="160" w:after="70"/>
        <w:rPr/>
      </w:pPr>
      <w:r>
        <w:rPr>
          <w:rFonts w:eastAsia="Calibri" w:cs="Calibri"/>
          <w:b/>
          <w:bCs/>
          <w:i w:val="false"/>
          <w:iCs w:val="false"/>
          <w:color w:val="3E5871"/>
          <w:sz w:val="22"/>
          <w:szCs w:val="22"/>
        </w:rPr>
        <w:t>Getting help and giving feedback</w:t>
      </w:r>
    </w:p>
    <w:p>
      <w:pPr>
        <w:pStyle w:val="Normal"/>
        <w:spacing w:lineRule="exact" w:line="276" w:before="0" w:after="120"/>
        <w:jc w:val="start"/>
        <w:rPr/>
      </w:pPr>
      <w:r>
        <w:rPr>
          <w:rFonts w:eastAsia="Calibri" w:cs="Calibri"/>
          <w:b w:val="false"/>
          <w:bCs w:val="false"/>
          <w:i w:val="false"/>
          <w:iCs w:val="false"/>
          <w:color w:val="1A1A1A"/>
          <w:sz w:val="21"/>
          <w:szCs w:val="21"/>
        </w:rPr>
        <w:t>You are never on your own. If a situation is unclear, unsafe, or beyond your role, call your supervisor. If you have ideas to improve a client’s care or the agency, we want to hear them. Asking questions is a strength, not a weakness — the caregivers we trust most are the ones who check in when they’re unsure.</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In the Client’s Home  </w:t>
      </w:r>
    </w:p>
    <w:p>
      <w:pPr>
        <w:pStyle w:val="Normal"/>
        <w:keepNext w:val="true"/>
        <w:spacing w:before="160" w:after="70"/>
        <w:rPr/>
      </w:pPr>
      <w:r>
        <w:rPr>
          <w:rFonts w:eastAsia="Calibri" w:cs="Calibri"/>
          <w:b/>
          <w:bCs/>
          <w:i w:val="false"/>
          <w:iCs w:val="false"/>
          <w:color w:val="3E5871"/>
          <w:sz w:val="22"/>
          <w:szCs w:val="22"/>
        </w:rPr>
        <w:t>Respect, privacy, and boundaries</w:t>
      </w:r>
    </w:p>
    <w:p>
      <w:pPr>
        <w:pStyle w:val="Normal"/>
        <w:spacing w:lineRule="exact" w:line="276" w:before="0" w:after="120"/>
        <w:jc w:val="start"/>
        <w:rPr/>
      </w:pPr>
      <w:r>
        <w:rPr>
          <w:rFonts w:eastAsia="Calibri" w:cs="Calibri"/>
          <w:b w:val="false"/>
          <w:bCs w:val="false"/>
          <w:i w:val="false"/>
          <w:iCs w:val="false"/>
          <w:color w:val="1A1A1A"/>
          <w:sz w:val="21"/>
          <w:szCs w:val="21"/>
        </w:rPr>
        <w:t>You are a guest in someone’s home and a keeper of their privacy. Treat the client’s home, belongings, and routines with respect. Keep everything you learn about a client — their health, finances, family, and daily life — confidential. This is both our policy and the law (HIPAA). Don’t discuss one client with another, post about clients on social media, or share client information with anyone outside your role.</w:t>
      </w:r>
    </w:p>
    <w:p>
      <w:pPr>
        <w:pStyle w:val="Normal"/>
        <w:keepNext w:val="true"/>
        <w:spacing w:before="160" w:after="70"/>
        <w:rPr/>
      </w:pPr>
      <w:r>
        <w:rPr>
          <w:rFonts w:eastAsia="Calibri" w:cs="Calibri"/>
          <w:b/>
          <w:bCs/>
          <w:i w:val="false"/>
          <w:iCs w:val="false"/>
          <w:color w:val="3E5871"/>
          <w:sz w:val="22"/>
          <w:szCs w:val="22"/>
        </w:rPr>
        <w:t>Money, gifts, and property — protect yourself and the client</w:t>
      </w:r>
    </w:p>
    <w:p>
      <w:pPr>
        <w:pStyle w:val="Normal"/>
        <w:spacing w:lineRule="exact" w:line="276" w:before="0" w:after="120"/>
        <w:jc w:val="start"/>
        <w:rPr/>
      </w:pPr>
      <w:r>
        <w:rPr>
          <w:rFonts w:eastAsia="Calibri" w:cs="Calibri"/>
          <w:b w:val="false"/>
          <w:bCs w:val="false"/>
          <w:i w:val="false"/>
          <w:iCs w:val="false"/>
          <w:color w:val="1A1A1A"/>
          <w:sz w:val="21"/>
          <w:szCs w:val="21"/>
        </w:rPr>
        <w:t>Because you work closely with vulnerable people and sometimes handle their money for errands, we hold a firm line to protect clients from exploitation and to protect honest caregivers from suspicion: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from, lend to, or accept gifts, tips beyond agency policy, loans, or bequests from clients.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let a client name you in a will, as power of attorney, or as a beneficiary.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For errands, use only the money provided for the specific purpose, keep every receipt, return exact change, and record 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a client’s cash, cards, or accounts except as expressly authorized for a specific task.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anything that looks like someone else is financially exploiting the client.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If you’re ever unsure about money</w:t>
            </w:r>
          </w:p>
          <w:p>
            <w:pPr>
              <w:pStyle w:val="Normal"/>
              <w:spacing w:lineRule="exact" w:line="270" w:before="0" w:after="0"/>
              <w:rPr/>
            </w:pPr>
            <w:r>
              <w:rPr>
                <w:rFonts w:eastAsia="Calibri" w:cs="Calibri"/>
                <w:b w:val="false"/>
                <w:bCs w:val="false"/>
                <w:i w:val="false"/>
                <w:iCs w:val="false"/>
                <w:color w:val="1A1A1A"/>
                <w:sz w:val="20"/>
                <w:szCs w:val="20"/>
              </w:rPr>
              <w:t>Stop and call your supervisor before acting. A two-minute call protects you from an accusation you don’t want and protects the client from real harm. Financial exploitation of a client is grounds for immediate termination and is reported to the state.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Your Duties in Detail  </w:t>
      </w:r>
    </w:p>
    <w:p>
      <w:pPr>
        <w:pStyle w:val="Normal"/>
        <w:keepNext w:val="true"/>
        <w:spacing w:before="160" w:after="70"/>
        <w:rPr/>
      </w:pPr>
      <w:r>
        <w:rPr>
          <w:rFonts w:eastAsia="Calibri" w:cs="Calibri"/>
          <w:b/>
          <w:bCs/>
          <w:i w:val="false"/>
          <w:iCs w:val="false"/>
          <w:color w:val="3E5871"/>
          <w:sz w:val="22"/>
          <w:szCs w:val="22"/>
        </w:rPr>
        <w:t>Companionship &amp; supervision</w:t>
      </w:r>
    </w:p>
    <w:p>
      <w:pPr>
        <w:pStyle w:val="Normal"/>
        <w:spacing w:lineRule="exact" w:line="276" w:before="0" w:after="120"/>
        <w:jc w:val="start"/>
        <w:rPr/>
      </w:pPr>
      <w:r>
        <w:rPr>
          <w:rFonts w:eastAsia="Calibri" w:cs="Calibri"/>
          <w:b w:val="false"/>
          <w:bCs w:val="false"/>
          <w:i w:val="false"/>
          <w:iCs w:val="false"/>
          <w:color w:val="1A1A1A"/>
          <w:sz w:val="21"/>
          <w:szCs w:val="21"/>
        </w:rPr>
        <w:t>Much of your value is simply being present, engaged, and watchful. Talk with the client, share activities they enjoy, accompany them on outings, and keep a general eye on their safety and well-being. If you notice the client seems more confused, weaker, sadder, or unwell than usual, that’s important — report it.</w:t>
      </w:r>
    </w:p>
    <w:p>
      <w:pPr>
        <w:pStyle w:val="Normal"/>
        <w:keepNext w:val="true"/>
        <w:spacing w:before="160" w:after="70"/>
        <w:rPr/>
      </w:pPr>
      <w:r>
        <w:rPr>
          <w:rFonts w:eastAsia="Calibri" w:cs="Calibri"/>
          <w:b/>
          <w:bCs/>
          <w:i w:val="false"/>
          <w:iCs w:val="false"/>
          <w:color w:val="3E5871"/>
          <w:sz w:val="22"/>
          <w:szCs w:val="22"/>
        </w:rPr>
        <w:t>Meal preparation &amp; homemaking</w:t>
      </w:r>
    </w:p>
    <w:p>
      <w:pPr>
        <w:pStyle w:val="Normal"/>
        <w:spacing w:lineRule="exact" w:line="276" w:before="0" w:after="120"/>
        <w:jc w:val="start"/>
        <w:rPr/>
      </w:pPr>
      <w:r>
        <w:rPr>
          <w:rFonts w:eastAsia="Calibri" w:cs="Calibri"/>
          <w:b w:val="false"/>
          <w:bCs w:val="false"/>
          <w:i w:val="false"/>
          <w:iCs w:val="false"/>
          <w:color w:val="1A1A1A"/>
          <w:sz w:val="21"/>
          <w:szCs w:val="21"/>
        </w:rPr>
        <w:t>Prepare meals to the client’s preferences and any dietary guidance in the plan (you may cook and serve a meal, but you do not hand-feed a client — that’s personal care). Keep living areas clean, safe, and orderly with light housekeeping, do laundry, and handle grocery and household shopping. Notice home hazards — spills, clutter, spoiled food, a smoke alarm that isn’t working — and report them.</w:t>
      </w:r>
    </w:p>
    <w:p>
      <w:pPr>
        <w:pStyle w:val="Normal"/>
        <w:keepNext w:val="true"/>
        <w:spacing w:before="160" w:after="70"/>
        <w:rPr/>
      </w:pPr>
      <w:r>
        <w:rPr>
          <w:rFonts w:eastAsia="Calibri" w:cs="Calibri"/>
          <w:b/>
          <w:bCs/>
          <w:i w:val="false"/>
          <w:iCs w:val="false"/>
          <w:color w:val="3E5871"/>
          <w:sz w:val="22"/>
          <w:szCs w:val="22"/>
        </w:rPr>
        <w:t>Transportation &amp; errands</w:t>
      </w:r>
    </w:p>
    <w:p>
      <w:pPr>
        <w:pStyle w:val="Normal"/>
        <w:spacing w:lineRule="exact" w:line="276" w:before="0" w:after="120"/>
        <w:jc w:val="start"/>
        <w:rPr/>
      </w:pPr>
      <w:r>
        <w:rPr>
          <w:rFonts w:eastAsia="Calibri" w:cs="Calibri"/>
          <w:b w:val="false"/>
          <w:bCs w:val="false"/>
          <w:i w:val="false"/>
          <w:iCs w:val="false"/>
          <w:color w:val="1A1A1A"/>
          <w:sz w:val="21"/>
          <w:szCs w:val="21"/>
        </w:rPr>
        <w:t>If you drive clients or run errands, you must have a valid Florida driver license, an acceptable driving record, and the insurance the agency requires. Drive safely, help the client in and out of the vehicle only within the non-medical scope (a steadying arm or presence — never lifting or transferring), and never leave a vulnerable client somewhere unsafe. Keep receipts and record mileage where the agency asks.</w:t>
      </w:r>
    </w:p>
    <w:p>
      <w:pPr>
        <w:pStyle w:val="Normal"/>
        <w:keepNext w:val="true"/>
        <w:spacing w:before="160" w:after="70"/>
        <w:rPr/>
      </w:pPr>
      <w:r>
        <w:rPr>
          <w:rFonts w:eastAsia="Calibri" w:cs="Calibri"/>
          <w:b/>
          <w:bCs/>
          <w:i w:val="false"/>
          <w:iCs w:val="false"/>
          <w:color w:val="3E5871"/>
          <w:sz w:val="22"/>
          <w:szCs w:val="22"/>
        </w:rPr>
        <w:t>Medication reminders — remind only</w:t>
      </w:r>
    </w:p>
    <w:p>
      <w:pPr>
        <w:pStyle w:val="Normal"/>
        <w:spacing w:lineRule="exact" w:line="276" w:before="0" w:after="120"/>
        <w:jc w:val="start"/>
        <w:rPr/>
      </w:pPr>
      <w:r>
        <w:rPr>
          <w:rFonts w:eastAsia="Calibri" w:cs="Calibri"/>
          <w:b w:val="false"/>
          <w:bCs w:val="false"/>
          <w:i w:val="false"/>
          <w:iCs w:val="false"/>
          <w:color w:val="1A1A1A"/>
          <w:sz w:val="21"/>
          <w:szCs w:val="21"/>
        </w:rPr>
        <w:t xml:space="preserve">You may remind a client that it’s time to take their medication. You may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open containers, pour, hand, or administer medication, or fill a pill organizer. Reminding is companionship; handling medication is personal care that we are not permitted to provide. If a client can’t manage their own medication, tell your supervisor.</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Keeping Clients — and Yourself — Safe  </w:t>
      </w:r>
    </w:p>
    <w:p>
      <w:pPr>
        <w:pStyle w:val="Normal"/>
        <w:keepNext w:val="true"/>
        <w:spacing w:before="160" w:after="70"/>
        <w:rPr/>
      </w:pPr>
      <w:r>
        <w:rPr>
          <w:rFonts w:eastAsia="Calibri" w:cs="Calibri"/>
          <w:b/>
          <w:bCs/>
          <w:i w:val="false"/>
          <w:iCs w:val="false"/>
          <w:color w:val="3E5871"/>
          <w:sz w:val="22"/>
          <w:szCs w:val="22"/>
        </w:rPr>
        <w:t>Reporting abuse, neglect, or exploitation — your legal duty</w:t>
      </w:r>
    </w:p>
    <w:p>
      <w:pPr>
        <w:pStyle w:val="Normal"/>
        <w:spacing w:lineRule="exact" w:line="276" w:before="0" w:after="120"/>
        <w:jc w:val="start"/>
        <w:rPr/>
      </w:pPr>
      <w:r>
        <w:rPr>
          <w:rFonts w:eastAsia="Calibri" w:cs="Calibri"/>
          <w:b w:val="false"/>
          <w:bCs w:val="false"/>
          <w:i w:val="false"/>
          <w:iCs w:val="false"/>
          <w:color w:val="1A1A1A"/>
          <w:sz w:val="21"/>
          <w:szCs w:val="21"/>
        </w:rPr>
        <w:t xml:space="preserve">If you ever suspect that a client is being abused, neglected, or financially exploited — by anyone — you are required by Florida law to report it immediately to the </w:t>
      </w:r>
      <w:r>
        <w:rPr>
          <w:rFonts w:eastAsia="Calibri" w:cs="Calibri"/>
          <w:b/>
          <w:bCs/>
          <w:i w:val="false"/>
          <w:iCs w:val="false"/>
          <w:color w:val="1A1A1A"/>
          <w:sz w:val="21"/>
          <w:szCs w:val="21"/>
        </w:rPr>
        <w:t>Florida Abuse Hotline at 1-800-96-ABUSE (1-800-962-2873)</w:t>
      </w:r>
      <w:r>
        <w:rPr>
          <w:rFonts w:eastAsia="Calibri" w:cs="Calibri"/>
          <w:b w:val="false"/>
          <w:bCs w:val="false"/>
          <w:i w:val="false"/>
          <w:iCs w:val="false"/>
          <w:color w:val="1A1A1A"/>
          <w:sz w:val="21"/>
          <w:szCs w:val="21"/>
        </w:rPr>
        <w:t>. This is your personal legal duty as a mandatory reporter; you don’t need anyone’s permission first. Report, then tell your supervisor. We will never retaliate against you for making a good-faith report.</w:t>
      </w:r>
    </w:p>
    <w:p>
      <w:pPr>
        <w:pStyle w:val="Normal"/>
        <w:keepNext w:val="true"/>
        <w:spacing w:before="160" w:after="70"/>
        <w:rPr/>
      </w:pPr>
      <w:r>
        <w:rPr>
          <w:rFonts w:eastAsia="Calibri" w:cs="Calibri"/>
          <w:b/>
          <w:bCs/>
          <w:i w:val="false"/>
          <w:iCs w:val="false"/>
          <w:color w:val="3E5871"/>
          <w:sz w:val="22"/>
          <w:szCs w:val="22"/>
        </w:rPr>
        <w:t>Incidents and changes</w:t>
      </w:r>
    </w:p>
    <w:p>
      <w:pPr>
        <w:pStyle w:val="Normal"/>
        <w:spacing w:lineRule="exact" w:line="276" w:before="0" w:after="120"/>
        <w:jc w:val="start"/>
        <w:rPr/>
      </w:pPr>
      <w:r>
        <w:rPr>
          <w:rFonts w:eastAsia="Calibri" w:cs="Calibri"/>
          <w:b w:val="false"/>
          <w:bCs w:val="false"/>
          <w:i w:val="false"/>
          <w:iCs w:val="false"/>
          <w:color w:val="1A1A1A"/>
          <w:sz w:val="21"/>
          <w:szCs w:val="21"/>
        </w:rPr>
        <w:t>If something happens during a visit — a fall, an injury, property damage, or a client who seems suddenly unwell — make sure the client is safe (call 911 for an emergency), then report it to the agency and complete an incident report. Report any change in the client’s condition promptly so we can reassess.</w:t>
      </w:r>
    </w:p>
    <w:p>
      <w:pPr>
        <w:pStyle w:val="Normal"/>
        <w:keepNext w:val="true"/>
        <w:spacing w:before="160" w:after="70"/>
        <w:rPr/>
      </w:pPr>
      <w:r>
        <w:rPr>
          <w:rFonts w:eastAsia="Calibri" w:cs="Calibri"/>
          <w:b/>
          <w:bCs/>
          <w:i w:val="false"/>
          <w:iCs w:val="false"/>
          <w:color w:val="3E5871"/>
          <w:sz w:val="22"/>
          <w:szCs w:val="22"/>
        </w:rPr>
        <w:t>Infection prevention</w:t>
      </w:r>
    </w:p>
    <w:p>
      <w:pPr>
        <w:pStyle w:val="Normal"/>
        <w:spacing w:lineRule="exact" w:line="276" w:before="0" w:after="120"/>
        <w:jc w:val="start"/>
        <w:rPr/>
      </w:pPr>
      <w:r>
        <w:rPr>
          <w:rFonts w:eastAsia="Calibri" w:cs="Calibri"/>
          <w:b w:val="false"/>
          <w:bCs w:val="false"/>
          <w:i w:val="false"/>
          <w:iCs w:val="false"/>
          <w:color w:val="1A1A1A"/>
          <w:sz w:val="21"/>
          <w:szCs w:val="21"/>
        </w:rPr>
        <w:t>Wash your hands, keep clean work practices, and don’t go into a client’s home when you’re contagious — vulnerable clients can get seriously ill from ordinary bugs. Follow agency and public-health guidance during outbreaks.</w:t>
      </w:r>
    </w:p>
    <w:p>
      <w:pPr>
        <w:pStyle w:val="Normal"/>
        <w:keepNext w:val="true"/>
        <w:spacing w:before="160" w:after="70"/>
        <w:rPr/>
      </w:pPr>
      <w:r>
        <w:rPr>
          <w:rFonts w:eastAsia="Calibri" w:cs="Calibri"/>
          <w:b/>
          <w:bCs/>
          <w:i w:val="false"/>
          <w:iCs w:val="false"/>
          <w:color w:val="3E5871"/>
          <w:sz w:val="22"/>
          <w:szCs w:val="22"/>
        </w:rPr>
        <w:t>Emergencies and hurricanes</w:t>
      </w:r>
    </w:p>
    <w:p>
      <w:pPr>
        <w:pStyle w:val="Normal"/>
        <w:spacing w:lineRule="exact" w:line="276" w:before="0" w:after="120"/>
        <w:jc w:val="start"/>
        <w:rPr/>
      </w:pPr>
      <w:r>
        <w:rPr>
          <w:rFonts w:eastAsia="Calibri" w:cs="Calibri"/>
          <w:b w:val="false"/>
          <w:bCs w:val="false"/>
          <w:i w:val="false"/>
          <w:iCs w:val="false"/>
          <w:color w:val="1A1A1A"/>
          <w:sz w:val="21"/>
          <w:szCs w:val="21"/>
        </w:rPr>
        <w:t>Florida’s weather is real. Follow the agency’s emergency plan: know how we’ll communicate, help make sure your most vulnerable clients are accounted for, and never put yourself in danger. Complete your annual emergency-management training so you know what to do before a storm hits.</w:t>
      </w:r>
    </w:p>
    <w:p>
      <w:pPr>
        <w:pStyle w:val="Normal"/>
        <w:keepNext w:val="true"/>
        <w:spacing w:before="160" w:after="70"/>
        <w:rPr/>
      </w:pPr>
      <w:r>
        <w:rPr>
          <w:rFonts w:eastAsia="Calibri" w:cs="Calibri"/>
          <w:b/>
          <w:bCs/>
          <w:i w:val="false"/>
          <w:iCs w:val="false"/>
          <w:color w:val="3E5871"/>
          <w:sz w:val="22"/>
          <w:szCs w:val="22"/>
        </w:rPr>
        <w:t>Your own safety</w:t>
      </w:r>
    </w:p>
    <w:p>
      <w:pPr>
        <w:pStyle w:val="Normal"/>
        <w:spacing w:lineRule="exact" w:line="276" w:before="0" w:after="120"/>
        <w:jc w:val="start"/>
        <w:rPr/>
      </w:pPr>
      <w:r>
        <w:rPr>
          <w:rFonts w:eastAsia="Calibri" w:cs="Calibri"/>
          <w:b w:val="false"/>
          <w:bCs w:val="false"/>
          <w:i w:val="false"/>
          <w:iCs w:val="false"/>
          <w:color w:val="1A1A1A"/>
          <w:sz w:val="21"/>
          <w:szCs w:val="21"/>
        </w:rPr>
        <w:t>Your safety matters too. Use safe body mechanics for household and shopping tasks — and remember you never lift or transfer clients. If a home ever feels unsafe or a situation turns threatening, you are authorized to leave and call your supervisor. Check in as the agency asks so we always know you’re okay.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Documentation  </w:t>
      </w:r>
    </w:p>
    <w:p>
      <w:pPr>
        <w:pStyle w:val="Normal"/>
        <w:spacing w:lineRule="exact" w:line="276" w:before="0" w:after="120"/>
        <w:jc w:val="start"/>
        <w:rPr/>
      </w:pPr>
      <w:r>
        <w:rPr>
          <w:rFonts w:eastAsia="Calibri" w:cs="Calibri"/>
          <w:b w:val="false"/>
          <w:bCs w:val="false"/>
          <w:i w:val="false"/>
          <w:iCs w:val="false"/>
          <w:color w:val="1A1A1A"/>
          <w:sz w:val="21"/>
          <w:szCs w:val="21"/>
        </w:rPr>
        <w:t>If it isn’t written down, it didn’t happen — at least as far as the client’s record, the agency, and the state are concerned. For every visit, complete your visit note: the time you arrived and left, what you did, and anything you noticed or reported. Good notes prove you provided the service, support billing, and protect you if there’s ever a question.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Complete your visit note for every visit,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Write down changes in the client’s condition and anything you reported.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document a visit you didn’t make or a task you didn’t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client information confidential — notes are private records.</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If the agency bills Medicaid: Electronic Visit Verification (EVV)</w:t>
            </w:r>
          </w:p>
          <w:p>
            <w:pPr>
              <w:pStyle w:val="Normal"/>
              <w:spacing w:lineRule="exact" w:line="270" w:before="0" w:after="0"/>
              <w:rPr/>
            </w:pPr>
            <w:r>
              <w:rPr>
                <w:rFonts w:eastAsia="Calibri" w:cs="Calibri"/>
                <w:b w:val="false"/>
                <w:bCs w:val="false"/>
                <w:i w:val="false"/>
                <w:iCs w:val="false"/>
                <w:color w:val="1A1A1A"/>
                <w:sz w:val="20"/>
                <w:szCs w:val="20"/>
              </w:rPr>
              <w:t>For Medicaid clients, you’ll check in and out of each visit using an electronic system (EVV) that records the time and location. Follow the check-in/check-out steps exactly — if a visit isn’t verified, the agency may not get paid for the care you gave. For private-pay clients, EVV doesn’t apply, but you still complete your visit note.</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Your Rights &amp; Pay (Florida)  </w:t>
      </w:r>
    </w:p>
    <w:p>
      <w:pPr>
        <w:pStyle w:val="Normal"/>
        <w:spacing w:lineRule="exact" w:line="276" w:before="0" w:after="120"/>
        <w:jc w:val="start"/>
        <w:rPr/>
      </w:pPr>
      <w:r>
        <w:rPr>
          <w:rFonts w:eastAsia="Calibri" w:cs="Calibri"/>
          <w:b w:val="false"/>
          <w:bCs w:val="false"/>
          <w:i w:val="false"/>
          <w:iCs w:val="false"/>
          <w:color w:val="1A1A1A"/>
          <w:sz w:val="21"/>
          <w:szCs w:val="21"/>
        </w:rPr>
        <w:t>You work hard, and you have rights. Here’s how pay and protections work in Florida. If anything about your pay looks wrong, tell us — we’ll make it right.</w:t>
      </w:r>
    </w:p>
    <w:p>
      <w:pPr>
        <w:pStyle w:val="Normal"/>
        <w:keepNext w:val="true"/>
        <w:spacing w:before="160" w:after="70"/>
        <w:rPr/>
      </w:pPr>
      <w:r>
        <w:rPr>
          <w:rFonts w:eastAsia="Calibri" w:cs="Calibri"/>
          <w:b/>
          <w:bCs/>
          <w:i w:val="false"/>
          <w:iCs w:val="false"/>
          <w:color w:val="3E5871"/>
          <w:sz w:val="22"/>
          <w:szCs w:val="22"/>
        </w:rPr>
        <w:t>Wages and overtime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Minimum wage: </w:t>
      </w:r>
      <w:r>
        <w:rPr>
          <w:rFonts w:eastAsia="Calibri" w:cs="Calibri"/>
          <w:b w:val="false"/>
          <w:bCs w:val="false"/>
          <w:i w:val="false"/>
          <w:iCs w:val="false"/>
          <w:color w:val="1A1A1A"/>
          <w:sz w:val="21"/>
          <w:szCs w:val="21"/>
        </w:rPr>
        <w:t>you’re paid at least the Florida minimum wage, which is higher than the federal minimum and rises each September 30 on its way to $15.00 per hour. We pay the current required rate.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Overtime: </w:t>
      </w:r>
      <w:r>
        <w:rPr>
          <w:rFonts w:eastAsia="Calibri" w:cs="Calibri"/>
          <w:b w:val="false"/>
          <w:bCs w:val="false"/>
          <w:i w:val="false"/>
          <w:iCs w:val="false"/>
          <w:color w:val="1A1A1A"/>
          <w:sz w:val="21"/>
          <w:szCs w:val="21"/>
        </w:rPr>
        <w:t>under federal law you earn overtime at one-and-a-half times your regular rate for hours worked over 40 in a workweek. Florida has no separate daily-overtime rule.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Getting paid: </w:t>
      </w:r>
      <w:r>
        <w:rPr>
          <w:rFonts w:eastAsia="Calibri" w:cs="Calibri"/>
          <w:b w:val="false"/>
          <w:bCs w:val="false"/>
          <w:i w:val="false"/>
          <w:iCs w:val="false"/>
          <w:color w:val="1A1A1A"/>
          <w:sz w:val="21"/>
          <w:szCs w:val="21"/>
        </w:rPr>
        <w:t>you’re paid on the agency’s regular schedule for all hours worked. Record your time accurately — including travel time where it counts as work — and report any error promptly.</w:t>
      </w:r>
    </w:p>
    <w:p>
      <w:pPr>
        <w:pStyle w:val="Normal"/>
        <w:keepNext w:val="true"/>
        <w:spacing w:before="160" w:after="70"/>
        <w:rPr/>
      </w:pPr>
      <w:r>
        <w:rPr>
          <w:rFonts w:eastAsia="Calibri" w:cs="Calibri"/>
          <w:b/>
          <w:bCs/>
          <w:i w:val="false"/>
          <w:iCs w:val="false"/>
          <w:color w:val="3E5871"/>
          <w:sz w:val="22"/>
          <w:szCs w:val="22"/>
        </w:rPr>
        <w:t>Other protections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the right to a workplace free from discrimination and harassment.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the right to report unsafe conditions and to leave a home that becomes unsafe.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you’re injured on the job, tell us right away — workers’ compensation may cover work-related injuries where required.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the right to ask questions about your pay, schedule, and rights without fear of retaliation.</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A note on classification</w:t>
            </w:r>
          </w:p>
          <w:p>
            <w:pPr>
              <w:pStyle w:val="Normal"/>
              <w:spacing w:lineRule="exact" w:line="270" w:before="0" w:after="0"/>
              <w:rPr/>
            </w:pPr>
            <w:r>
              <w:rPr>
                <w:rFonts w:eastAsia="Calibri" w:cs="Calibri"/>
                <w:b w:val="false"/>
                <w:bCs w:val="false"/>
                <w:i w:val="false"/>
                <w:iCs w:val="false"/>
                <w:color w:val="1A1A1A"/>
                <w:sz w:val="20"/>
                <w:szCs w:val="20"/>
              </w:rPr>
              <w:t>You’ll be told clearly whether you are an employee or an independent contractor, and that status follows the law — it’s never used to shortchange your pay or protections. Ask us if you’re ever unsure how you’re classified or paid.</w:t>
            </w:r>
          </w:p>
        </w:tc>
      </w:tr>
    </w:tbl>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Conduct &amp; What Ends Employment  </w:t>
      </w:r>
    </w:p>
    <w:p>
      <w:pPr>
        <w:pStyle w:val="Normal"/>
        <w:spacing w:lineRule="exact" w:line="276" w:before="0" w:after="120"/>
        <w:jc w:val="start"/>
        <w:rPr/>
      </w:pPr>
      <w:r>
        <w:rPr>
          <w:rFonts w:eastAsia="Calibri" w:cs="Calibri"/>
          <w:b w:val="false"/>
          <w:bCs w:val="false"/>
          <w:i w:val="false"/>
          <w:iCs w:val="false"/>
          <w:color w:val="1A1A1A"/>
          <w:sz w:val="21"/>
          <w:szCs w:val="21"/>
        </w:rPr>
        <w:t>Most of this handbook is about doing good work. This part is about the lines that, if crossed, end employment — because they put clients at risk or break the law. We’re direct about them so there’s no confusion.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Abusing, neglecting, or exploiting a client — physically, emotionally, or financially. This is reported to the state.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Providing hands-on personal care, medication assistance, or any medical task outside our non-medical scope.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Stealing from a client, misusing client funds, or accepting money, gifts, or bequests against policy.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Working with a client while your background screening is not eligible, or letting your required training lapse.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Falsifying documentation — charting a visit or task that didn’t happen, or altering records.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Breaching client confidentiality, including posting about clients on social media.</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Coming to work impaired by alcohol or drugs, or working while contagious.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Abandoning a client — leaving mid-visit or missing visits without notice — putting a vulnerable person at risk.</w:t>
      </w:r>
    </w:p>
    <w:p>
      <w:pPr>
        <w:pStyle w:val="Normal"/>
        <w:spacing w:lineRule="exact" w:line="276" w:before="0" w:after="120"/>
        <w:jc w:val="start"/>
        <w:rPr/>
      </w:pPr>
      <w:r>
        <w:rPr>
          <w:rFonts w:eastAsia="Calibri" w:cs="Calibri"/>
          <w:b w:val="false"/>
          <w:bCs w:val="false"/>
          <w:i w:val="false"/>
          <w:iCs w:val="false"/>
          <w:color w:val="1A1A1A"/>
          <w:sz w:val="21"/>
          <w:szCs w:val="21"/>
        </w:rPr>
        <w:t>If you’re ever unsure whether something crosses a line, ask first. We would much rather answer a question than deal with a preventable harm. Everything here exists for one reason: to keep the people who depend on us safe, and to keep you and the agency protected while you do meaningful work.</w:t>
      </w:r>
    </w:p>
    <w:p>
      <w:pPr>
        <w:pStyle w:val="Normal"/>
        <w:rPr/>
      </w:pPr>
      <w:r>
        <w:rPr/>
      </w:r>
      <w:r>
        <w:br w:type="page"/>
      </w:r>
    </w:p>
    <w:p>
      <w:pPr>
        <w:pStyle w:val="Normal"/>
        <w:spacing w:before="0" w:after="140"/>
        <w:rPr/>
      </w:pPr>
      <w:r>
        <w:rPr>
          <w:rFonts w:eastAsia="Calibri" w:cs="Calibri"/>
          <w:b/>
          <w:bCs/>
          <w:i w:val="false"/>
          <w:iCs w:val="false"/>
          <w:color w:val="1F3A5F"/>
          <w:sz w:val="28"/>
          <w:szCs w:val="28"/>
        </w:rPr>
        <w:t>Acknowledgment of Receipt</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I have received, read, and understand the [Agency Name] Caregiver Handbook. I understand that [Agency Name] provides non-medical homemaker and companion services only, and that I may not provide hands-on personal care, medication assistance, or any medical task. I understand my duty to keep client information confidential, to report suspected abuse, neglect, or exploitation to the Florida Abuse Hotline, and to follow the policies in this handbook. I understand this handbook is not an employment contract and may be updated.</w:t>
      </w:r>
    </w:p>
    <w:p>
      <w:pPr>
        <w:pStyle w:val="Normal"/>
        <w:spacing w:before="220" w:after="40"/>
        <w:rPr/>
      </w:pPr>
      <w:r>
        <w:rPr>
          <w:rFonts w:eastAsia="Calibri" w:cs="Calibri"/>
          <w:b w:val="false"/>
          <w:bCs w:val="false"/>
          <w:i w:val="false"/>
          <w:iCs w:val="false"/>
          <w:color w:val="1A1A1A"/>
          <w:sz w:val="21"/>
          <w:szCs w:val="21"/>
        </w:rPr>
        <w:t>____________________________________</w:t>
      </w:r>
    </w:p>
    <w:p>
      <w:pPr>
        <w:pStyle w:val="Normal"/>
        <w:spacing w:lineRule="exact" w:line="276" w:before="0" w:after="160"/>
        <w:jc w:val="start"/>
        <w:rPr/>
      </w:pPr>
      <w:r>
        <w:rPr>
          <w:rFonts w:eastAsia="Calibri" w:cs="Calibri"/>
          <w:b w:val="false"/>
          <w:bCs w:val="false"/>
          <w:i w:val="false"/>
          <w:iCs w:val="false"/>
          <w:color w:val="555555"/>
          <w:sz w:val="19"/>
          <w:szCs w:val="19"/>
        </w:rPr>
        <w:t>Employee name (print)</w:t>
      </w:r>
    </w:p>
    <w:p>
      <w:pPr>
        <w:pStyle w:val="Normal"/>
        <w:spacing w:before="60" w:after="40"/>
        <w:rPr/>
      </w:pPr>
      <w:r>
        <w:rPr>
          <w:rFonts w:eastAsia="Calibri" w:cs="Calibri"/>
          <w:b w:val="false"/>
          <w:bCs w:val="false"/>
          <w:i w:val="false"/>
          <w:iCs w:val="false"/>
          <w:color w:val="1A1A1A"/>
          <w:sz w:val="21"/>
          <w:szCs w:val="21"/>
        </w:rPr>
        <w:t>____________________________________      ______________</w:t>
      </w:r>
    </w:p>
    <w:p>
      <w:pPr>
        <w:pStyle w:val="Normal"/>
        <w:spacing w:lineRule="exact" w:line="276" w:before="0" w:after="160"/>
        <w:jc w:val="start"/>
        <w:rPr/>
      </w:pPr>
      <w:r>
        <w:rPr>
          <w:rFonts w:eastAsia="Calibri" w:cs="Calibri"/>
          <w:b w:val="false"/>
          <w:bCs w:val="false"/>
          <w:i w:val="false"/>
          <w:iCs w:val="false"/>
          <w:color w:val="555555"/>
          <w:sz w:val="19"/>
          <w:szCs w:val="19"/>
        </w:rPr>
        <w:t>Employee signature                                        Date</w:t>
      </w:r>
    </w:p>
    <w:p>
      <w:pPr>
        <w:pStyle w:val="Normal"/>
        <w:spacing w:before="60" w:after="40"/>
        <w:rPr/>
      </w:pPr>
      <w:r>
        <w:rPr>
          <w:rFonts w:eastAsia="Calibri" w:cs="Calibri"/>
          <w:b w:val="false"/>
          <w:bCs w:val="false"/>
          <w:i w:val="false"/>
          <w:iCs w:val="false"/>
          <w:color w:val="1A1A1A"/>
          <w:sz w:val="21"/>
          <w:szCs w:val="21"/>
        </w:rPr>
        <w:t>____________________________________      ______________</w:t>
      </w:r>
    </w:p>
    <w:p>
      <w:pPr>
        <w:pStyle w:val="Normal"/>
        <w:spacing w:lineRule="exact" w:line="276" w:before="0" w:after="0"/>
        <w:jc w:val="start"/>
        <w:rPr/>
      </w:pPr>
      <w:r>
        <w:rPr>
          <w:rFonts w:eastAsia="Calibri" w:cs="Calibri"/>
          <w:b w:val="false"/>
          <w:bCs w:val="false"/>
          <w:i w:val="false"/>
          <w:iCs w:val="false"/>
          <w:color w:val="555555"/>
          <w:sz w:val="19"/>
          <w:szCs w:val="19"/>
        </w:rPr>
        <w:t>Supervisor signature                                     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 Companion &amp; Homemaker only  —  Ready to customize  —  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Non-Medical — Companion &amp; Homemaker only  —  Ready to customize  —  Page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Homemaker &amp; Companion Services (Florida)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Caregiver Handbook  •  Homemaker &amp; Companion Services (Florida)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2026-07-10T21:33:02Z</dcterms:created>
  <dc:creator>PolicyReady.org</dc:creator>
  <dc:description/>
  <dc:language>en-US</dc:language>
  <cp:lastModifiedBy>Un-named</cp:lastModifiedBy>
  <dcterms:modified xsi:type="dcterms:W3CDTF">2026-07-10T21:33:02Z</dcterms:modified>
  <cp:revision>1</cp:revision>
  <dc:subject/>
  <dc:title>Florida Homemaker &amp; Companion Services (Non-Medical) — Caregiver Handbook</dc:title>
</cp:coreProperties>
</file>