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60"/>
        <w:jc w:val="center"/>
        <w:rPr/>
      </w:pPr>
      <w:r>
        <w:rPr>
          <w:rFonts w:eastAsia="Calibri" w:cs="Calibri"/>
          <w:b/>
          <w:bCs/>
          <w:i w:val="false"/>
          <w:iCs w:val="false"/>
          <w:color w:val="3E5871"/>
          <w:sz w:val="26"/>
          <w:szCs w:val="26"/>
        </w:rPr>
        <w:t>[FACILITY NAME]</w:t>
      </w:r>
    </w:p>
    <w:p>
      <w:pPr>
        <w:pStyle w:val="Normal"/>
        <w:spacing w:lineRule="exact" w:line="276" w:before="0" w:after="60"/>
        <w:jc w:val="center"/>
        <w:rPr/>
      </w:pPr>
      <w:r>
        <w:rPr>
          <w:rFonts w:eastAsia="Calibri" w:cs="Calibri"/>
          <w:b/>
          <w:bCs/>
          <w:i w:val="false"/>
          <w:iCs w:val="false"/>
          <w:color w:val="1F3A5F"/>
          <w:sz w:val="46"/>
          <w:szCs w:val="46"/>
        </w:rPr>
        <w:t>Policy &amp; Procedure Manual</w:t>
      </w:r>
    </w:p>
    <w:p>
      <w:pPr>
        <w:pStyle w:val="Normal"/>
        <w:spacing w:lineRule="exact" w:line="276" w:before="0" w:after="20"/>
        <w:jc w:val="center"/>
        <w:rPr/>
      </w:pPr>
      <w:r>
        <w:rPr>
          <w:rFonts w:eastAsia="Calibri" w:cs="Calibri"/>
          <w:b w:val="false"/>
          <w:bCs w:val="false"/>
          <w:i/>
          <w:iCs/>
          <w:color w:val="3E5871"/>
          <w:sz w:val="24"/>
          <w:szCs w:val="24"/>
        </w:rPr>
        <w:t>Homemaker &amp; Companion Services — Non-Medical (Florida)</w:t>
      </w:r>
    </w:p>
    <w:p>
      <w:pPr>
        <w:pStyle w:val="Normal"/>
        <w:spacing w:lineRule="exact" w:line="276" w:before="0" w:after="200"/>
        <w:jc w:val="center"/>
        <w:rPr/>
      </w:pPr>
      <w:r>
        <w:rPr>
          <w:rFonts w:eastAsia="Calibri" w:cs="Calibri"/>
          <w:b w:val="false"/>
          <w:bCs w:val="false"/>
          <w:i w:val="false"/>
          <w:iCs w:val="false"/>
          <w:color w:val="555555"/>
          <w:sz w:val="20"/>
          <w:szCs w:val="20"/>
        </w:rPr>
        <w:t>Built to § 400.509, Fla. Stat. &amp; Rule 59A-8.025, F.A.C. (AHCA Homemaker &amp; Companion Services registration)</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pBdr>
          <w:bottom w:val="single" w:sz="8" w:space="1" w:color="9DB1C7"/>
        </w:pBdr>
        <w:spacing w:before="100" w:after="140"/>
        <w:rPr/>
      </w:pPr>
      <w:r>
        <w:rPr/>
      </w:r>
    </w:p>
    <w:p>
      <w:pPr>
        <w:pStyle w:val="Normal"/>
        <w:spacing w:lineRule="exact" w:line="276"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w:t>
      </w:r>
    </w:p>
    <w:p>
      <w:pPr>
        <w:pStyle w:val="Normal"/>
        <w:spacing w:lineRule="exact" w:line="276" w:before="0" w:after="20"/>
        <w:jc w:val="center"/>
        <w:rPr/>
      </w:pPr>
      <w:r>
        <w:rPr>
          <w:rFonts w:eastAsia="Calibri" w:cs="Calibri"/>
          <w:b w:val="false"/>
          <w:bCs w:val="false"/>
          <w:i w:val="false"/>
          <w:iCs w:val="false"/>
          <w:color w:val="1A1A1A"/>
          <w:sz w:val="21"/>
          <w:szCs w:val="21"/>
        </w:rPr>
        <w:t>Approved By: [Administrator Name], Administrator</w:t>
      </w:r>
    </w:p>
    <w:p>
      <w:pPr>
        <w:pStyle w:val="Normal"/>
        <w:spacing w:lineRule="exact" w:line="276"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Florida authorities, which form the basis for this manual. This organization is registered as a Homemaker and Companion Services provider and provides non-medical services only:</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Section 400.509, Florida Statutes — registration of homemaker and companion services providers — and its implementing rule, Rule 59A-8.025, Florida Administrative Code (Registration Requirements for Homemaker and Companion Services Providers).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Chapter 408, Part II, Florida Statutes — the Health Care Licensing Procedures Act — which governs application, renewal, change of ownership, fees, inspection, and enforcement (§§ 408.806, 408.809, 408.810, 408.812, 408.813, 408.814).</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Registered with and overseen by the Florida Agency for Health Care Administration (AHCA), Bureau of Health Facility Regulation, Long-Term Care Services Unit; application on the Health Care Licensing Application, Homemaker and Companion Services Provider, AHCA Form 3110-1003; initial, renewal, and change-of-ownership filings through AHCA’s online licensure system.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 NON-MEDICAL ONLY: this registration authorizes companion services (companionship, supervision, socialization, and light assistance with self-directed tasks) and homemaker services (meal preparation, light housekeeping, laundry, shopping, errands, and transportation). It does NOT authorize hands-on personal care — no bathing, dressing, feeding, toileting, transferring, or medication assistance. Providing any hands-on personal care requires a Home Health Agency license under Chapter 400, Part III, Florida Statutes.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Level 2 background screening for all owners, the administrator, and every homemaker and companion before hiring, through the AHCA Care Provider Background Screening Clearinghouse (FDLE state check plus FBI national check) under §§ 400.512 and 408.809 and Chapter 435, Florida Statutes; the administrator signs an annual screening affidavit under § 400.512.</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Mandatory training: annual HIV/AIDS in-service with the HIV/AIDS Training Affidavit (AHCA Form 3110-1011) at initial registration and each renewal; Alzheimer’s Disease and Related Dementia (ADRD) training under § 400.6045 for staff who serve clients with dementia; and annual emergency management training.</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Business-name restrictions under the homemaker and companion law: the name may not include ‘home health,’ ‘CNA,’ ‘home health aide,’ ‘personal care,’ ‘patient care,’ ‘health care,’ ‘assisted living,’ ‘nurses,’ ‘nursing,’ ‘medical,’ or any word implying services beyond this registration; a fictitious name is registered through the Florida Division of Corporations (SunBiz).</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Florida labor law follows the federal Fair Labor Standards Act (overtime after 40 hours in a workweek) — Florida has no daily-overtime rule and no state paid-sick-leave mandate; the Florida minimum wage rises on its constitutional schedule toward $15.00 (verify the current rate, which resets each September 30); workers’ compensation is generally required at four or more employees for non-construction employers.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billing Medicaid (Statewide Medicaid Managed Care Long-Term Care or the APD iBudget waiver): provider enrollment and Electronic Visit Verification under Florida’s Open Vendor Model — AHCA’s fee-for-service system is HHAeXchange (go-live October 1, 2024), while managed-care plans use Netsmart/Tellus or HHAeXchange depending on the plan; private-pay companion and homemaker work does not trigger EVV.</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HIPAA privacy and security, the Florida Abuse Hotline reporting duty (1-800-96-ABUSE), a comprehensive emergency management plan appropriate to the service area, and a quality assurance program. This manual provides general information and is not legal advice; verify current statute and rule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or accreditation standard,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Administration, Registration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 Management</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 Operations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Administration, Registration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Registration &amp; Legal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the Non-Medical Boundary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Role, Qualifications &amp;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Geographic Service Area &amp; Supervision Across Counties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Name, Advertising &amp; Registration Number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Registration Renewal, Display &amp; Change of Ownership</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Governance, Policy Review &amp; Regulatory Updates</w:t>
            </w:r>
          </w:p>
        </w:tc>
      </w:tr>
    </w:tbl>
    <w:p>
      <w:pPr>
        <w:pStyle w:val="Normal"/>
        <w:spacing w:before="140" w:after="60"/>
        <w:rPr/>
      </w:pPr>
      <w:r>
        <w:rPr>
          <w:rFonts w:eastAsia="Calibri" w:cs="Calibri"/>
          <w:b/>
          <w:bCs/>
          <w:i w:val="false"/>
          <w:iCs w:val="false"/>
          <w:color w:val="1F3A5F"/>
          <w:sz w:val="22"/>
          <w:szCs w:val="22"/>
        </w:rPr>
        <w:t>Section 2 — Client Rights, Intake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Rights &amp;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Intake, Eligibility &amp; Acceptance of Clients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&amp; Individualized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HIPAA &amp; Client Records Privacy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Grievances, Complaints &amp; AHCA Reporting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Property, Funds &amp; Conflict of Interest</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Level 2 Background Screening &amp; the AHCA Clearinghouse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Employment Eligibility, Records &amp; History Verification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HIV/AIDS Training &amp; Affidavit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Alzheimer’s Disease &amp; Related Dementia (ADRD)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Management &amp; Ongoing In-Service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Homemakers &amp; Companions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Employees, Independent Contractors &amp; Communicable Disease</w:t>
            </w:r>
          </w:p>
        </w:tc>
      </w:tr>
    </w:tbl>
    <w:p>
      <w:pPr>
        <w:pStyle w:val="Normal"/>
        <w:spacing w:before="140" w:after="60"/>
        <w:rPr/>
      </w:pPr>
      <w:r>
        <w:rPr>
          <w:rFonts w:eastAsia="Calibri" w:cs="Calibri"/>
          <w:b/>
          <w:bCs/>
          <w:i w:val="false"/>
          <w:iCs w:val="false"/>
          <w:color w:val="1F3A5F"/>
          <w:sz w:val="22"/>
          <w:szCs w:val="22"/>
        </w:rPr>
        <w:t>Section 4 — Service Delivery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Companion Services Delivery Standards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Homemaker Services Delivery Standards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Transportation &amp; Errands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&amp; Records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Managing Changes in Client Condition &amp; Scope Limits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&amp; Documentation</w:t>
            </w:r>
          </w:p>
        </w:tc>
      </w:tr>
    </w:tbl>
    <w:p>
      <w:pPr>
        <w:pStyle w:val="Normal"/>
        <w:spacing w:before="140" w:after="60"/>
        <w:rPr/>
      </w:pPr>
      <w:r>
        <w:rPr>
          <w:rFonts w:eastAsia="Calibri" w:cs="Calibri"/>
          <w:b/>
          <w:bCs/>
          <w:i w:val="false"/>
          <w:iCs w:val="false"/>
          <w:color w:val="1F3A5F"/>
          <w:sz w:val="22"/>
          <w:szCs w:val="22"/>
        </w:rPr>
        <w:t>Section 5 — Health, Safety &amp; Emergency Management</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&amp;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Comprehensive Emergency Management &amp;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&amp;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Safety &amp; Home Environment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Workplace Safety &amp; Staff Protection</w:t>
            </w:r>
          </w:p>
        </w:tc>
      </w:tr>
    </w:tbl>
    <w:p>
      <w:pPr>
        <w:pStyle w:val="Normal"/>
        <w:spacing w:before="140" w:after="60"/>
        <w:rPr/>
      </w:pPr>
      <w:r>
        <w:rPr>
          <w:rFonts w:eastAsia="Calibri" w:cs="Calibri"/>
          <w:b/>
          <w:bCs/>
          <w:i w:val="false"/>
          <w:iCs w:val="false"/>
          <w:color w:val="1F3A5F"/>
          <w:sz w:val="22"/>
          <w:szCs w:val="22"/>
        </w:rPr>
        <w:t>Section 6 — Compliance, Quality &amp; Business Operations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Assurance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&amp; Electronic Visit Verification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Fees &amp; Private Pay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&amp; Employment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AHCA Inspections, Surveys &amp; Complaint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Marketing, Referrals &amp; Anti-Kickback Compliance</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ADMINISTRATION, REGISTRATION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establishes the legal authority under which [Agency Name] operates as a registered Homemaker and Companion Services provider, defines the non-medical scope of the registration, and sets the governance and administrator responsibilities that keep the organization compliant with AHCA.</w:t>
      </w:r>
    </w:p>
    <w:p>
      <w:pPr>
        <w:pStyle w:val="Normal"/>
        <w:keepNext w:val="true"/>
        <w:spacing w:before="240" w:after="100"/>
        <w:rPr/>
      </w:pPr>
      <w:r>
        <w:rPr>
          <w:rFonts w:eastAsia="Calibri" w:cs="Calibri"/>
          <w:b/>
          <w:bCs/>
          <w:i w:val="false"/>
          <w:iCs w:val="false"/>
          <w:color w:val="1F3A5F"/>
          <w:sz w:val="24"/>
          <w:szCs w:val="24"/>
        </w:rPr>
        <w:t>Policy 1.1 — Registration &amp; Legal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Registration &amp; Legal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Rule 59A-8.025, F.A.C.; Ch. 408, Part II,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may lawfully provide homemaker and companion services in Florida only while holding a current registration issued by the Agency for Health Care Administration (AHCA) under s. 400.509, Florida Statutes, and Rule 59A-8.025, Florida Administrative Code. Because this is a non-medical registration rather than a health-care license, the agency’s legitimacy rests entirely on maintaining the registration in good standing and operating strictly within its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AHCA — </w:t>
      </w:r>
      <w:r>
        <w:rPr>
          <w:rFonts w:eastAsia="Calibri" w:cs="Calibri"/>
          <w:b w:val="false"/>
          <w:bCs w:val="false"/>
          <w:i w:val="false"/>
          <w:iCs w:val="false"/>
          <w:color w:val="1A1A1A"/>
          <w:sz w:val="21"/>
          <w:szCs w:val="21"/>
        </w:rPr>
        <w:t>The Florida Agency for Health Care Administration, the state agency that registers, oversees, and investigates homemaker and companion services providers through its Long-Term Care Services Unit.</w:t>
      </w:r>
    </w:p>
    <w:p>
      <w:pPr>
        <w:pStyle w:val="Normal"/>
        <w:spacing w:lineRule="exact" w:line="276" w:before="0" w:after="70"/>
        <w:rPr/>
      </w:pPr>
      <w:r>
        <w:rPr>
          <w:rFonts w:eastAsia="Calibri" w:cs="Calibri"/>
          <w:b/>
          <w:bCs/>
          <w:i w:val="false"/>
          <w:iCs w:val="false"/>
          <w:color w:val="1A1A1A"/>
          <w:sz w:val="21"/>
          <w:szCs w:val="21"/>
        </w:rPr>
        <w:t xml:space="preserve">Homemaker and Companion Services registration — </w:t>
      </w:r>
      <w:r>
        <w:rPr>
          <w:rFonts w:eastAsia="Calibri" w:cs="Calibri"/>
          <w:b w:val="false"/>
          <w:bCs w:val="false"/>
          <w:i w:val="false"/>
          <w:iCs w:val="false"/>
          <w:color w:val="1A1A1A"/>
          <w:sz w:val="21"/>
          <w:szCs w:val="21"/>
        </w:rPr>
        <w:t>The non-medical authorization issued under s. 400.509, Fla. Stat., permitting an organization or individual to provide companion and homemaker services to elderly or disabled adults; it is not a home health agency license.</w:t>
      </w:r>
    </w:p>
    <w:p>
      <w:pPr>
        <w:pStyle w:val="Normal"/>
        <w:spacing w:lineRule="exact" w:line="276" w:before="0" w:after="70"/>
        <w:rPr/>
      </w:pPr>
      <w:r>
        <w:rPr>
          <w:rFonts w:eastAsia="Calibri" w:cs="Calibri"/>
          <w:b/>
          <w:bCs/>
          <w:i w:val="false"/>
          <w:iCs w:val="false"/>
          <w:color w:val="1A1A1A"/>
          <w:sz w:val="21"/>
          <w:szCs w:val="21"/>
        </w:rPr>
        <w:t xml:space="preserve">AHCA file number — </w:t>
      </w:r>
      <w:r>
        <w:rPr>
          <w:rFonts w:eastAsia="Calibri" w:cs="Calibri"/>
          <w:b w:val="false"/>
          <w:bCs w:val="false"/>
          <w:i w:val="false"/>
          <w:iCs w:val="false"/>
          <w:color w:val="1A1A1A"/>
          <w:sz w:val="21"/>
          <w:szCs w:val="21"/>
        </w:rPr>
        <w:t>The identifying number AHCA assigns to the applicant after receiving the application; it is used for background screening scheduling and all correspondence.</w:t>
      </w:r>
    </w:p>
    <w:p>
      <w:pPr>
        <w:pStyle w:val="Normal"/>
        <w:spacing w:lineRule="exact" w:line="276" w:before="0" w:after="70"/>
        <w:rPr/>
      </w:pPr>
      <w:r>
        <w:rPr>
          <w:rFonts w:eastAsia="Calibri" w:cs="Calibri"/>
          <w:b/>
          <w:bCs/>
          <w:i w:val="false"/>
          <w:iCs w:val="false"/>
          <w:color w:val="1A1A1A"/>
          <w:sz w:val="21"/>
          <w:szCs w:val="21"/>
        </w:rPr>
        <w:t xml:space="preserve">Registered provider — </w:t>
      </w:r>
      <w:r>
        <w:rPr>
          <w:rFonts w:eastAsia="Calibri" w:cs="Calibri"/>
          <w:b w:val="false"/>
          <w:bCs w:val="false"/>
          <w:i w:val="false"/>
          <w:iCs w:val="false"/>
          <w:color w:val="1A1A1A"/>
          <w:sz w:val="21"/>
          <w:szCs w:val="21"/>
        </w:rPr>
        <w:t>The organization or individual named on the AHCA registration certificate; the registration may not be sold, assigned, or transferred to another party (s. 408.804(2), Fla. Stat.).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homemaker and companion services only under a current registration issued by AHCA on the Health Care Licensing Application, Homemaker and Companion Services Provider (AHCA Form 3110-1003), as required by Rule 59A-8.025(3), F.A.C. The agency does not directly or indirectly provide these services to elderly or disabled adults before the registration is issued, consistent with Rule 59A-8.025(1). Even a single individual working alone must register; the requirement attaches to the activity, not to the size of the organization.</w:t>
      </w:r>
    </w:p>
    <w:p>
      <w:pPr>
        <w:pStyle w:val="Normal"/>
        <w:spacing w:lineRule="exact" w:line="276" w:before="0" w:after="120"/>
        <w:jc w:val="start"/>
        <w:rPr/>
      </w:pPr>
      <w:r>
        <w:rPr>
          <w:rFonts w:eastAsia="Calibri" w:cs="Calibri"/>
          <w:b w:val="false"/>
          <w:bCs w:val="false"/>
          <w:i w:val="false"/>
          <w:iCs w:val="false"/>
          <w:color w:val="1A1A1A"/>
          <w:sz w:val="21"/>
          <w:szCs w:val="21"/>
        </w:rPr>
        <w:t>The registration is subject to the procedural requirements of Chapter 408, Part II, Florida Statutes, which govern application, fees, renewal, change of ownership, inspection, and enforcement. Operating without a required registration is unlicensed activity subject to fines and cease-and-desist action under s. 408.812, Fla. Stat., with civil penalties that can reach $10,000 per violation. The Administrator therefore treats continuous, current registration as a non-negotiable condition of doing business.</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licensed home health agencies and nurse registries are exempt from this registration when they provide homemaker and companion services (Rule 59A-8.025(1)); [Agency Name] does not hold either license and relies solely on this registration. The agency’s business name, street address, and telephone number will appear on AHCA’s Florida Health Finder public directory, and the agency keeps that information accurate at all times.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the legal business entity is registered with the Florida Division of Corporations (SunBiz) and that an EIN has been obtained before applying to AHCA.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AHCA Form 3110-1003 (Homemaker and Companion Services Provider application) in AHCA’s online licensure system, or on the current paper form, with all required attachments.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the application and the required biennial fee, and record the AHCA file number when AHCA issues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any AHCA omissions letter within 21 days of receipt, supplying every requested item so the application remains active.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accept or serve any client until the registration certificate is issued and its effective date has arrived.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Post or maintain the current registration where it can be produced on request, and keep a digital copy in the compliance file.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Enter the registration number and expiration date into the compliance calendar, with a renewal reminder no later than 90 days before expiration.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Verify the agency’s public listing on Florida Health Finder and correct any inaccurate address or telephone information.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AHCA Registration Tracking Sheet · Compliance Calendar · Registration Certificate (copy 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&amp; the Non-Medical Boundary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the Non-Medical Boundary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Rule 59A-8.025, F.A.C.; AHCA Homemaker &amp; Companion FAQ (no hands-on personal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precisely what services [Agency Name] may and may not provide under its Homemaker and Companion Services registration, and to make the non-medical boundary unmistakable to every employee. AHCA has stated plainly that this registration does not allow hands-on personal care; crossing that line converts the activity into unlicensed home health agency practice and exposes the agency to enforcement.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 services — </w:t>
      </w:r>
      <w:r>
        <w:rPr>
          <w:rFonts w:eastAsia="Calibri" w:cs="Calibri"/>
          <w:b w:val="false"/>
          <w:bCs w:val="false"/>
          <w:i w:val="false"/>
          <w:iCs w:val="false"/>
          <w:color w:val="1A1A1A"/>
          <w:sz w:val="21"/>
          <w:szCs w:val="21"/>
        </w:rPr>
        <w:t>Non-medical companionship, supervision, and socialization provided to an elderly or disabled adult in the home or community — conversation, accompaniment, reminders, and being present for safety — without hands-on care.</w:t>
      </w:r>
    </w:p>
    <w:p>
      <w:pPr>
        <w:pStyle w:val="Normal"/>
        <w:spacing w:lineRule="exact" w:line="276" w:before="0" w:after="70"/>
        <w:rPr/>
      </w:pPr>
      <w:r>
        <w:rPr>
          <w:rFonts w:eastAsia="Calibri" w:cs="Calibri"/>
          <w:b/>
          <w:bCs/>
          <w:i w:val="false"/>
          <w:iCs w:val="false"/>
          <w:color w:val="1A1A1A"/>
          <w:sz w:val="21"/>
          <w:szCs w:val="21"/>
        </w:rPr>
        <w:t xml:space="preserve">Homemaker services — </w:t>
      </w:r>
      <w:r>
        <w:rPr>
          <w:rFonts w:eastAsia="Calibri" w:cs="Calibri"/>
          <w:b w:val="false"/>
          <w:bCs w:val="false"/>
          <w:i w:val="false"/>
          <w:iCs w:val="false"/>
          <w:color w:val="1A1A1A"/>
          <w:sz w:val="21"/>
          <w:szCs w:val="21"/>
        </w:rPr>
        <w:t>General household support such as meal preparation, light housekeeping, laundry, shopping, errands, and transportation that helps a client remain independent at home.</w:t>
      </w:r>
    </w:p>
    <w:p>
      <w:pPr>
        <w:pStyle w:val="Normal"/>
        <w:spacing w:lineRule="exact" w:line="276" w:before="0" w:after="70"/>
        <w:rPr/>
      </w:pPr>
      <w:r>
        <w:rPr>
          <w:rFonts w:eastAsia="Calibri" w:cs="Calibri"/>
          <w:b/>
          <w:bCs/>
          <w:i w:val="false"/>
          <w:iCs w:val="false"/>
          <w:color w:val="1A1A1A"/>
          <w:sz w:val="21"/>
          <w:szCs w:val="21"/>
        </w:rPr>
        <w:t xml:space="preserve">Hands-on personal care — </w:t>
      </w:r>
      <w:r>
        <w:rPr>
          <w:rFonts w:eastAsia="Calibri" w:cs="Calibri"/>
          <w:b w:val="false"/>
          <w:bCs w:val="false"/>
          <w:i w:val="false"/>
          <w:iCs w:val="false"/>
          <w:color w:val="1A1A1A"/>
          <w:sz w:val="21"/>
          <w:szCs w:val="21"/>
        </w:rPr>
        <w:t>Physical assistance with activities of daily living — bathing, dressing, grooming, feeding, toileting, and transferring — and any medication assistance; these are OUTSIDE this registration and require a Home Health Agency license.</w:t>
      </w:r>
    </w:p>
    <w:p>
      <w:pPr>
        <w:pStyle w:val="Normal"/>
        <w:spacing w:lineRule="exact" w:line="276" w:before="0" w:after="70"/>
        <w:rPr/>
      </w:pPr>
      <w:r>
        <w:rPr>
          <w:rFonts w:eastAsia="Calibri" w:cs="Calibri"/>
          <w:b/>
          <w:bCs/>
          <w:i w:val="false"/>
          <w:iCs w:val="false"/>
          <w:color w:val="1A1A1A"/>
          <w:sz w:val="21"/>
          <w:szCs w:val="21"/>
        </w:rPr>
        <w:t xml:space="preserve">Scope creep — </w:t>
      </w:r>
      <w:r>
        <w:rPr>
          <w:rFonts w:eastAsia="Calibri" w:cs="Calibri"/>
          <w:b w:val="false"/>
          <w:bCs w:val="false"/>
          <w:i w:val="false"/>
          <w:iCs w:val="false"/>
          <w:color w:val="1A1A1A"/>
          <w:sz w:val="21"/>
          <w:szCs w:val="21"/>
        </w:rPr>
        <w:t>The gradual drift of staff into prohibited tasks (for example, steadying a client into the shower or handing them pills) because a client asks; it is a compliance failure the agency actively prevents.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only companion services and homemaker services as authorized by s. 400.509, Fla. Stat. Companion work includes companionship, supervision, socialization, medication reminders (verbal prompting only, never handling or administering medication), and accompaniment to appointments and activities. Homemaker work includes meal preparation, light housekeeping, laundry, grocery and errand shopping, and transportation. Staff may serve one client or a small group of no more than three recipients at a time consistent with AHCA guidance for companion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strictly prohibits any hands-on personal care. Employees do not bathe, shower, dress, groom, feed, toilet, transfer, or physically reposition clients, and they do not administer or physically assist with medication. AHCA’s published guidance is explicit that the Homemaker and Companion Services registration does not allow hands-on personal care to be provided; assisting with even one activity of daily living triggers the need for full home health agency licensure. Every employee is trained on this boundary at orientation and reminded of it in supervision.</w:t>
      </w:r>
    </w:p>
    <w:p>
      <w:pPr>
        <w:pStyle w:val="Normal"/>
        <w:spacing w:lineRule="exact" w:line="276" w:before="0" w:after="120"/>
        <w:jc w:val="start"/>
        <w:rPr/>
      </w:pPr>
      <w:r>
        <w:rPr>
          <w:rFonts w:eastAsia="Calibri" w:cs="Calibri"/>
          <w:b w:val="false"/>
          <w:bCs w:val="false"/>
          <w:i w:val="false"/>
          <w:iCs w:val="false"/>
          <w:color w:val="1A1A1A"/>
          <w:sz w:val="21"/>
          <w:szCs w:val="21"/>
        </w:rPr>
        <w:t>When a client’s needs exceed the companion and homemaker scope — for example, the client begins needing help getting into the shower or managing medications — the agency does not quietly expand what its staff do. Instead, the Administrator documents the changed need and refers the client to an appropriately licensed home health agency, nurse registry, or personal-care provider, coordinating so the client is not left unsafe. The agency also selects a business name that does not imply medical or personal-care services, consistent with the naming restrictions in the homemaker and companion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every new employee the written Scope-of-Services statement listing permitted companion and homemaker tasks and the explicit list of prohibited hands-on tasks; obtain a signed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During intake, screen each prospective client’s needs against the permitted scope and decline or refer out any request that requires hands-on personal care or medication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Write the service agreement so it lists only permitted tasks; never list bathing, dressing, toileting, transferring, feeding, or medication administration.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staff to prompt and remind for medication but never to touch, retrieve, pour, or hand medication to a client.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staff to report immediately, in writing, any client request that falls outside scope, rather than accommodating it in the moment.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On any documented change in client condition that suggests personal-care needs, have the Administrator reassess within a set timeframe and refer to a licensed provider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every referral to a licensed home health agency or nurse registry, including the reason and the date.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scope compliance during each supervisory contact and retrain any employee who has drifted toward prohibited tasks.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Scope-of-Services Acknowledgment · Client Needs Screening Form · Referral to Licensed Provider Log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Administrator: Role, Qualifications &amp;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Administrator: Role, Qualifications &amp;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400.512, Fla. Stat. (annual affidavit); Ch. 408, Part II;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designate a qualified Administrator accountable for the agency’s registration, compliance, screening, training, and service quality. Florida law places specific personal duties on the Administrator of a homemaker and companion service — most notably signing an annual screening affidavit under penalty of perjury — so the role must be filled by a competent, present, and accountable individual.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designated by [Agency Name] as responsible for the day-to-day operation of the registered service and for compliance with s. 400.509 and related law.</w:t>
      </w:r>
    </w:p>
    <w:p>
      <w:pPr>
        <w:pStyle w:val="Normal"/>
        <w:spacing w:lineRule="exact" w:line="276" w:before="0" w:after="70"/>
        <w:rPr/>
      </w:pPr>
      <w:r>
        <w:rPr>
          <w:rFonts w:eastAsia="Calibri" w:cs="Calibri"/>
          <w:b/>
          <w:bCs/>
          <w:i w:val="false"/>
          <w:iCs w:val="false"/>
          <w:color w:val="1A1A1A"/>
          <w:sz w:val="21"/>
          <w:szCs w:val="21"/>
        </w:rPr>
        <w:t xml:space="preserve">Screening affidavit — </w:t>
      </w:r>
      <w:r>
        <w:rPr>
          <w:rFonts w:eastAsia="Calibri" w:cs="Calibri"/>
          <w:b w:val="false"/>
          <w:bCs w:val="false"/>
          <w:i w:val="false"/>
          <w:iCs w:val="false"/>
          <w:color w:val="1A1A1A"/>
          <w:sz w:val="21"/>
          <w:szCs w:val="21"/>
        </w:rPr>
        <w:t>The sworn statement the Administrator signs annually under s. 400.512, Fla. Stat., attesting that all personnel who enter clients’ homes have been background screened.</w:t>
      </w:r>
    </w:p>
    <w:p>
      <w:pPr>
        <w:pStyle w:val="Normal"/>
        <w:spacing w:lineRule="exact" w:line="276" w:before="0" w:after="70"/>
        <w:rPr/>
      </w:pPr>
      <w:r>
        <w:rPr>
          <w:rFonts w:eastAsia="Calibri" w:cs="Calibri"/>
          <w:b/>
          <w:bCs/>
          <w:i w:val="false"/>
          <w:iCs w:val="false"/>
          <w:color w:val="1A1A1A"/>
          <w:sz w:val="21"/>
          <w:szCs w:val="21"/>
        </w:rPr>
        <w:t xml:space="preserve">Designee — </w:t>
      </w:r>
      <w:r>
        <w:rPr>
          <w:rFonts w:eastAsia="Calibri" w:cs="Calibri"/>
          <w:b w:val="false"/>
          <w:bCs w:val="false"/>
          <w:i w:val="false"/>
          <w:iCs w:val="false"/>
          <w:color w:val="1A1A1A"/>
          <w:sz w:val="21"/>
          <w:szCs w:val="21"/>
        </w:rPr>
        <w:t>A qualified person the Administrator authorizes in writing to carry out specified duties during the Administrator’s absence, without relieving the Administrator of ultimate accountability.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one Administrator who is responsible for the overall operation of the registered service, including maintaining the AHCA registration, ensuring Level 2 background screening of all staff before hiring, arranging required training, overseeing service delivery within the non-medical scope, and responding to AHCA inquiries and complaints. The Administrator is identified to AHCA and is the agency’s point of accountability during any inspection or investigation.</w:t>
      </w:r>
    </w:p>
    <w:p>
      <w:pPr>
        <w:pStyle w:val="Normal"/>
        <w:spacing w:lineRule="exact" w:line="276" w:before="0" w:after="120"/>
        <w:jc w:val="start"/>
        <w:rPr/>
      </w:pPr>
      <w:r>
        <w:rPr>
          <w:rFonts w:eastAsia="Calibri" w:cs="Calibri"/>
          <w:b w:val="false"/>
          <w:bCs w:val="false"/>
          <w:i w:val="false"/>
          <w:iCs w:val="false"/>
          <w:color w:val="1A1A1A"/>
          <w:sz w:val="21"/>
          <w:szCs w:val="21"/>
        </w:rPr>
        <w:t>Under s. 400.512, Fla. Stat., the Administrator signs an affidavit annually, under penalty of perjury, stating that all personnel hired who enter the home of a client in the capacity of their employment have been screened, and that remaining personnel have the required screening on file. The Administrator treats this affidavit as a serious legal attestation and does not sign it unless the underlying screening records are complete and verified.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enough presence and oversight to supervise staff and respond to clients, and may authorize a qualified designee to act during absences without transferring legal responsibility. The Administrator keeps current on changes to s. 400.509, Rule 59A-8.025, and Chapter 408 requirements and updates agency practice accordingly, documenting each review.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Appoint the Administrator in writing and record the appointment, contact information, and effective date in the compliance file.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the Administrator has completed Level 2 background screening through the AHCA Clearinghouse before assuming duties.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Calendar the annual screening affidavit and require the Administrator to reconcile every active staff member’s screening before signing.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a written list of duties the Administrator may delegate to a designee, and identify the designee by name.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Require the Administrator to review regulatory updates at least annually and after any known rule change, recording the review.</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Have the Administrator sign off on each new client’s service agreement confirming it stays within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Route all AHCA correspondence, complaints, and inspection notices to the Administrator for logging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any change of Administrator and notify AHCA as required by Chapter 408 change-reporting rules.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Appointment Record · Annual Screening Affidavit (s. 400.512) · Delegation-of-Duties List · Regulatory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Geographic Service Area &amp; Supervision Across Counties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Geographic Service Area &amp; Supervision Across Counties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59A-8.025(6), F.A.C.; s. 408.032(5), Fla. Stat. (health service planning district)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counties in which [Agency Name] will provide services and to ensure staff working outside the primary county are properly supervised. Rule 59A-8.025 ties a provider’s service area to the health service planning district of its address of record and requires a documented supervision plan for service in outlying counties.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Geographic service area — </w:t>
      </w:r>
      <w:r>
        <w:rPr>
          <w:rFonts w:eastAsia="Calibri" w:cs="Calibri"/>
          <w:b w:val="false"/>
          <w:bCs w:val="false"/>
          <w:i w:val="false"/>
          <w:iCs w:val="false"/>
          <w:color w:val="1A1A1A"/>
          <w:sz w:val="21"/>
          <w:szCs w:val="21"/>
        </w:rPr>
        <w:t>The county or counties within the health service planning district (as defined in s. 408.032(5), Fla. Stat.) where the agency is authorized to provide homemaker and companion services.</w:t>
      </w:r>
    </w:p>
    <w:p>
      <w:pPr>
        <w:pStyle w:val="Normal"/>
        <w:spacing w:lineRule="exact" w:line="276" w:before="0" w:after="70"/>
        <w:rPr/>
      </w:pPr>
      <w:r>
        <w:rPr>
          <w:rFonts w:eastAsia="Calibri" w:cs="Calibri"/>
          <w:b/>
          <w:bCs/>
          <w:i w:val="false"/>
          <w:iCs w:val="false"/>
          <w:color w:val="1A1A1A"/>
          <w:sz w:val="21"/>
          <w:szCs w:val="21"/>
        </w:rPr>
        <w:t xml:space="preserve">Address of record — </w:t>
      </w:r>
      <w:r>
        <w:rPr>
          <w:rFonts w:eastAsia="Calibri" w:cs="Calibri"/>
          <w:b w:val="false"/>
          <w:bCs w:val="false"/>
          <w:i w:val="false"/>
          <w:iCs w:val="false"/>
          <w:color w:val="1A1A1A"/>
          <w:sz w:val="21"/>
          <w:szCs w:val="21"/>
        </w:rPr>
        <w:t>The primary business address on file with AHCA that anchors the agency’s geographic service area.</w:t>
      </w:r>
    </w:p>
    <w:p>
      <w:pPr>
        <w:pStyle w:val="Normal"/>
        <w:spacing w:lineRule="exact" w:line="276" w:before="0" w:after="70"/>
        <w:rPr/>
      </w:pPr>
      <w:r>
        <w:rPr>
          <w:rFonts w:eastAsia="Calibri" w:cs="Calibri"/>
          <w:b/>
          <w:bCs/>
          <w:i w:val="false"/>
          <w:iCs w:val="false"/>
          <w:color w:val="1A1A1A"/>
          <w:sz w:val="21"/>
          <w:szCs w:val="21"/>
        </w:rPr>
        <w:t xml:space="preserve">Supervision plan — </w:t>
      </w:r>
      <w:r>
        <w:rPr>
          <w:rFonts w:eastAsia="Calibri" w:cs="Calibri"/>
          <w:b w:val="false"/>
          <w:bCs w:val="false"/>
          <w:i w:val="false"/>
          <w:iCs w:val="false"/>
          <w:color w:val="1A1A1A"/>
          <w:sz w:val="21"/>
          <w:szCs w:val="21"/>
        </w:rPr>
        <w:t>A written description of how the agency supervises staff who serve clients in counties outside the primary geographic service area.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services within the geographic service area encompassing one or more counties in the health service planning district in which its address of record is located, consistent with Rule 59A-8.025(6), F.A.C. The agency identifies its counties of service on its registration and does not hold itself out as serving areas it cannot adequately staff and supervise.</w:t>
      </w:r>
    </w:p>
    <w:p>
      <w:pPr>
        <w:pStyle w:val="Normal"/>
        <w:spacing w:lineRule="exact" w:line="276" w:before="0" w:after="120"/>
        <w:jc w:val="start"/>
        <w:rPr/>
      </w:pPr>
      <w:r>
        <w:rPr>
          <w:rFonts w:eastAsia="Calibri" w:cs="Calibri"/>
          <w:b w:val="false"/>
          <w:bCs w:val="false"/>
          <w:i w:val="false"/>
          <w:iCs w:val="false"/>
          <w:color w:val="1A1A1A"/>
          <w:sz w:val="21"/>
          <w:szCs w:val="21"/>
        </w:rPr>
        <w:t>When the agency serves clients in counties outside its primary geographic service area, it maintains and documents a plan for supervising staff working in those counties. The plan addresses how the agency conducts supervisory contact, responds to client and staff issues remotely, and ensures service is delivered adequately and safely at a distance.</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a client only when there is a reasonable expectation that the requested services can be provided adequately and safely in the client’s residence within the service area, consistent with Rule 59A-8.025(9). If the agency cannot reliably staff a location, it declines the client or refers to a provider that can.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List the agency’s counties of service on the registration and in the compliance file, tied to the address of record.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Before accepting a client outside the primary county, confirm the county is within the authorized service area or update the registration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For any out-of-primary-county service, document the supervision plan describing supervisory contact and response arrangements.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Assess each new referral for whether the agency can staff and supervise it adequately and safely; decline or refer out if not.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the reasonable-expectation-of-safe-service determination in the client file at intake.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Reassess service-area coverage whenever the agency changes its address of record or expands counties.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Notify AHCA of address or service-area changes as required by Chapter 408.</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Geographic Service Area Record · Out-of-County Supervision Plan · Client Acceptance / Safe-Service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Business Name, Advertising &amp; Registration Number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Name, Advertising &amp; Registration Number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(name restrictions); s. 408.812, Fla. Stat.; AHCA naming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agency’s name and advertising accurately reflect its non-medical registration and never imply medical or personal-care services it is not authorized to provide. Florida law restricts the words a homemaker and companion provider may use in its name so the public is not misled about the scope of service.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Restricted terms — </w:t>
      </w:r>
      <w:r>
        <w:rPr>
          <w:rFonts w:eastAsia="Calibri" w:cs="Calibri"/>
          <w:b w:val="false"/>
          <w:bCs w:val="false"/>
          <w:i w:val="false"/>
          <w:iCs w:val="false"/>
          <w:color w:val="1A1A1A"/>
          <w:sz w:val="21"/>
          <w:szCs w:val="21"/>
        </w:rPr>
        <w:t>Words a homemaker and companion provider may not use in its name, including home health, CNA, home health aide, personal care, patient care, health care, assisted living, nurses, nursing, and medical.</w:t>
      </w:r>
    </w:p>
    <w:p>
      <w:pPr>
        <w:pStyle w:val="Normal"/>
        <w:spacing w:lineRule="exact" w:line="276" w:before="0" w:after="70"/>
        <w:rPr/>
      </w:pPr>
      <w:r>
        <w:rPr>
          <w:rFonts w:eastAsia="Calibri" w:cs="Calibri"/>
          <w:b/>
          <w:bCs/>
          <w:i w:val="false"/>
          <w:iCs w:val="false"/>
          <w:color w:val="1A1A1A"/>
          <w:sz w:val="21"/>
          <w:szCs w:val="21"/>
        </w:rPr>
        <w:t xml:space="preserve">Fictitious name — </w:t>
      </w:r>
      <w:r>
        <w:rPr>
          <w:rFonts w:eastAsia="Calibri" w:cs="Calibri"/>
          <w:b w:val="false"/>
          <w:bCs w:val="false"/>
          <w:i w:val="false"/>
          <w:iCs w:val="false"/>
          <w:color w:val="1A1A1A"/>
          <w:sz w:val="21"/>
          <w:szCs w:val="21"/>
        </w:rPr>
        <w:t>A business name other than the registrant’s legal name, which must be registered with the Florida Division of Corporations (SunBiz) before use.</w:t>
      </w:r>
    </w:p>
    <w:p>
      <w:pPr>
        <w:pStyle w:val="Normal"/>
        <w:spacing w:lineRule="exact" w:line="276" w:before="0" w:after="70"/>
        <w:rPr/>
      </w:pPr>
      <w:r>
        <w:rPr>
          <w:rFonts w:eastAsia="Calibri" w:cs="Calibri"/>
          <w:b/>
          <w:bCs/>
          <w:i w:val="false"/>
          <w:iCs w:val="false"/>
          <w:color w:val="1A1A1A"/>
          <w:sz w:val="21"/>
          <w:szCs w:val="21"/>
        </w:rPr>
        <w:t xml:space="preserve">Advertising — </w:t>
      </w:r>
      <w:r>
        <w:rPr>
          <w:rFonts w:eastAsia="Calibri" w:cs="Calibri"/>
          <w:b w:val="false"/>
          <w:bCs w:val="false"/>
          <w:i w:val="false"/>
          <w:iCs w:val="false"/>
          <w:color w:val="1A1A1A"/>
          <w:sz w:val="21"/>
          <w:szCs w:val="21"/>
        </w:rPr>
        <w:t>Any public communication — website, flyer, listing, social media, or vehicle signage — that offers the agency’s services to prospective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uses a business name that shows the public the non-medical nature of its services and does not include any word that would imply it is licensed or registered to provide services beyond the homemaker and companion scope. Prohibited words include home health, certified nursing assistant, home health aide, personal care, patient care, health care, assisted living, nurses, nursing, medical, and health professional, consistent with s. 400.509 and AHCA guidance.</w:t>
      </w:r>
    </w:p>
    <w:p>
      <w:pPr>
        <w:pStyle w:val="Normal"/>
        <w:spacing w:lineRule="exact" w:line="276" w:before="0" w:after="120"/>
        <w:jc w:val="start"/>
        <w:rPr/>
      </w:pPr>
      <w:r>
        <w:rPr>
          <w:rFonts w:eastAsia="Calibri" w:cs="Calibri"/>
          <w:b w:val="false"/>
          <w:bCs w:val="false"/>
          <w:i w:val="false"/>
          <w:iCs w:val="false"/>
          <w:color w:val="1A1A1A"/>
          <w:sz w:val="21"/>
          <w:szCs w:val="21"/>
        </w:rPr>
        <w:t>If the agency operates under any name other than the legal name of its corporation, LLC, or partnership, it registers that fictitious name through the Florida Division of Corporations (SunBiz) before using it. The agency keeps proof of fictitious-name registration in its compliance file.</w:t>
      </w:r>
    </w:p>
    <w:p>
      <w:pPr>
        <w:pStyle w:val="Normal"/>
        <w:spacing w:lineRule="exact" w:line="276" w:before="0" w:after="120"/>
        <w:jc w:val="start"/>
        <w:rPr/>
      </w:pPr>
      <w:r>
        <w:rPr>
          <w:rFonts w:eastAsia="Calibri" w:cs="Calibri"/>
          <w:b w:val="false"/>
          <w:bCs w:val="false"/>
          <w:i w:val="false"/>
          <w:iCs w:val="false"/>
          <w:color w:val="1A1A1A"/>
          <w:sz w:val="21"/>
          <w:szCs w:val="21"/>
        </w:rPr>
        <w:t>All advertising accurately describes the services as non-medical companion and homemaker services and never promises personal care, nursing, or medical services. Advertising does not overstate the agency’s authority, and the agency avoids language that a reasonable reader could take as an offer of hands-on or clinical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Check any proposed business or trade name against the list of restricted words before adopting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Register any fictitious name with SunBiz and file proof in the compliance file before using the name publicly.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website, listings, flyers, and signage to confirm they describe non-medical services only.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Remove or correct any advertising language implying personal care, nursing, or medical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staff answering inquiries to describe the scope accurately and to refer callers needing personal care to licensed providers.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Re-check advertising for compliance whenever services or branding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dated copies of key advertising in the compliance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Name &amp; Advertising Compliance Checklist · Fictitious Name Registration (copy) · Advertising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Registration Renewal, Display &amp; Change of Ownership</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Registration Renewal, Display &amp; Change of Ownership</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408.806, Fla. Stat.; s. 408.804, Fla. Stat.; Rule 59A-8.025(2),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agency’s registration continuously current and to handle renewals and ownership changes correctly. A homemaker and companion registration is valid for up to two years, cannot be sold or transferred, and lapses if not renewed on time — which forces the agency to stop operating until re-registered.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Biennial renewal — </w:t>
      </w:r>
      <w:r>
        <w:rPr>
          <w:rFonts w:eastAsia="Calibri" w:cs="Calibri"/>
          <w:b w:val="false"/>
          <w:bCs w:val="false"/>
          <w:i w:val="false"/>
          <w:iCs w:val="false"/>
          <w:color w:val="1A1A1A"/>
          <w:sz w:val="21"/>
          <w:szCs w:val="21"/>
        </w:rPr>
        <w:t>Renewal of the registration at least every two years through AHCA’s online licensure system or on the current renewal form.</w:t>
      </w:r>
    </w:p>
    <w:p>
      <w:pPr>
        <w:pStyle w:val="Normal"/>
        <w:spacing w:lineRule="exact" w:line="276" w:before="0" w:after="70"/>
        <w:rPr/>
      </w:pPr>
      <w:r>
        <w:rPr>
          <w:rFonts w:eastAsia="Calibri" w:cs="Calibri"/>
          <w:b/>
          <w:bCs/>
          <w:i w:val="false"/>
          <w:iCs w:val="false"/>
          <w:color w:val="1A1A1A"/>
          <w:sz w:val="21"/>
          <w:szCs w:val="21"/>
        </w:rPr>
        <w:t xml:space="preserve">Change of ownership (CHOW) — </w:t>
      </w:r>
      <w:r>
        <w:rPr>
          <w:rFonts w:eastAsia="Calibri" w:cs="Calibri"/>
          <w:b w:val="false"/>
          <w:bCs w:val="false"/>
          <w:i w:val="false"/>
          <w:iCs w:val="false"/>
          <w:color w:val="1A1A1A"/>
          <w:sz w:val="21"/>
          <w:szCs w:val="21"/>
        </w:rPr>
        <w:t>A transfer of ownership or controlling interest in the registered business, which requires a new application because the registration itself cannot be transferred.</w:t>
      </w:r>
    </w:p>
    <w:p>
      <w:pPr>
        <w:pStyle w:val="Normal"/>
        <w:spacing w:lineRule="exact" w:line="276" w:before="0" w:after="70"/>
        <w:rPr/>
      </w:pPr>
      <w:r>
        <w:rPr>
          <w:rFonts w:eastAsia="Calibri" w:cs="Calibri"/>
          <w:b/>
          <w:bCs/>
          <w:i w:val="false"/>
          <w:iCs w:val="false"/>
          <w:color w:val="1A1A1A"/>
          <w:sz w:val="21"/>
          <w:szCs w:val="21"/>
        </w:rPr>
        <w:t xml:space="preserve">Lapse — </w:t>
      </w:r>
      <w:r>
        <w:rPr>
          <w:rFonts w:eastAsia="Calibri" w:cs="Calibri"/>
          <w:b w:val="false"/>
          <w:bCs w:val="false"/>
          <w:i w:val="false"/>
          <w:iCs w:val="false"/>
          <w:color w:val="1A1A1A"/>
          <w:sz w:val="21"/>
          <w:szCs w:val="21"/>
        </w:rPr>
        <w:t>Expiration of the registration without timely renewal, after which the provider must apply as an initial applicant and stop operating until re-registered.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submits its renewal application and fee before the registration expiration date. Under Rule 59A-8.025(2) and s. 408.806(2), Fla. Stat., a renewal or change-of-ownership application must be submitted to AHCA at least 60 days before the expiration of the registration. If a renewal application and fee are submitted before expiration, the agency may continue to operate during AHCA’s review; if the registration lapses without a timely application, the agency stops providing services and re-applies as an initial applicant.</w:t>
      </w:r>
    </w:p>
    <w:p>
      <w:pPr>
        <w:pStyle w:val="Normal"/>
        <w:spacing w:lineRule="exact" w:line="276" w:before="0" w:after="120"/>
        <w:jc w:val="start"/>
        <w:rPr/>
      </w:pPr>
      <w:r>
        <w:rPr>
          <w:rFonts w:eastAsia="Calibri" w:cs="Calibri"/>
          <w:b w:val="false"/>
          <w:bCs w:val="false"/>
          <w:i w:val="false"/>
          <w:iCs w:val="false"/>
          <w:color w:val="1A1A1A"/>
          <w:sz w:val="21"/>
          <w:szCs w:val="21"/>
        </w:rPr>
        <w:t>The registration may not be sold, assigned, or otherwise transferred (s. 408.804(2), Fla. Stat.). On any change of ownership, the buyer (transferee) submits a new application at least 60 days before the change, and the seller (transferor) provides AHCA the required signed notice under s. 408.807, Fla. Stat. The agency does not continue operating on the prior owner’s registration after a change of ownership.</w:t>
      </w:r>
    </w:p>
    <w:p>
      <w:pPr>
        <w:pStyle w:val="Normal"/>
        <w:spacing w:lineRule="exact" w:line="276" w:before="0" w:after="120"/>
        <w:jc w:val="start"/>
        <w:rPr/>
      </w:pPr>
      <w:r>
        <w:rPr>
          <w:rFonts w:eastAsia="Calibri" w:cs="Calibri"/>
          <w:b w:val="false"/>
          <w:bCs w:val="false"/>
          <w:i w:val="false"/>
          <w:iCs w:val="false"/>
          <w:color w:val="1A1A1A"/>
          <w:sz w:val="21"/>
          <w:szCs w:val="21"/>
        </w:rPr>
        <w:t>The agency keeps its registration information current and produces the registration on request. It notifies AHCA of changes — address, administrator, contact information, or ownership — within the timeframes required by Chapter 408, and it updates its compliance calendar so no renewal deadline is missed.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Enter the registration expiration date in the compliance calendar with reminders at 120 and 90 days out.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Prepare and submit the renewal application and fee at least 60 days before expiration.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confirmation of timely renewal submission in the compliance file.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If the registration lapses, immediately stop serving clients, arrange placement of clients with a registered provider, and apply as an initial applicant.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For a change of ownership, have the buyer file a new application at least 60 days before the change and the seller file the required notice.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operate on a prior owner’s registration after a change of ownership closes.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address, administrator, and contact changes to AHCA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Keep the current registration certificate available for inspection at all times.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Renewal Submission Record · Change-of-Ownership Checklist · AHCA Change-Notification Log · Compliance Calendar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Governance, Policy Review &amp; Regulatory Updates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Governance, Policy Review &amp; Regulatory Updates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Ch. 408, Part II,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this manual and the agency’s practices stay current with Florida law and AHCA guidance. Because homemaker and companion registration operates in a changing regulatory environment, the agency reviews its policies on a set schedule and whenever a rule changes, so surveyors and clients see a living, accurate compliance program.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Policy review — </w:t>
      </w:r>
      <w:r>
        <w:rPr>
          <w:rFonts w:eastAsia="Calibri" w:cs="Calibri"/>
          <w:b w:val="false"/>
          <w:bCs w:val="false"/>
          <w:i w:val="false"/>
          <w:iCs w:val="false"/>
          <w:color w:val="1A1A1A"/>
          <w:sz w:val="21"/>
          <w:szCs w:val="21"/>
        </w:rPr>
        <w:t>The Administrator’s scheduled examination of each manual section to confirm it remains accurate and compliant, recorded in the manual’s review log.</w:t>
      </w:r>
    </w:p>
    <w:p>
      <w:pPr>
        <w:pStyle w:val="Normal"/>
        <w:spacing w:lineRule="exact" w:line="276" w:before="0" w:after="70"/>
        <w:rPr/>
      </w:pPr>
      <w:r>
        <w:rPr>
          <w:rFonts w:eastAsia="Calibri" w:cs="Calibri"/>
          <w:b/>
          <w:bCs/>
          <w:i w:val="false"/>
          <w:iCs w:val="false"/>
          <w:color w:val="1A1A1A"/>
          <w:sz w:val="21"/>
          <w:szCs w:val="21"/>
        </w:rPr>
        <w:t xml:space="preserve">Regulatory update — </w:t>
      </w:r>
      <w:r>
        <w:rPr>
          <w:rFonts w:eastAsia="Calibri" w:cs="Calibri"/>
          <w:b w:val="false"/>
          <w:bCs w:val="false"/>
          <w:i w:val="false"/>
          <w:iCs w:val="false"/>
          <w:color w:val="1A1A1A"/>
          <w:sz w:val="21"/>
          <w:szCs w:val="21"/>
        </w:rPr>
        <w:t>A change in statute, rule, or AHCA guidance that requires the agency to revise a policy or procedure.</w:t>
      </w:r>
    </w:p>
    <w:p>
      <w:pPr>
        <w:pStyle w:val="Normal"/>
        <w:spacing w:lineRule="exact" w:line="276" w:before="0" w:after="70"/>
        <w:rPr/>
      </w:pPr>
      <w:r>
        <w:rPr>
          <w:rFonts w:eastAsia="Calibri" w:cs="Calibri"/>
          <w:b/>
          <w:bCs/>
          <w:i w:val="false"/>
          <w:iCs w:val="false"/>
          <w:color w:val="1A1A1A"/>
          <w:sz w:val="21"/>
          <w:szCs w:val="21"/>
        </w:rPr>
        <w:t xml:space="preserve">Compliance file — </w:t>
      </w:r>
      <w:r>
        <w:rPr>
          <w:rFonts w:eastAsia="Calibri" w:cs="Calibri"/>
          <w:b w:val="false"/>
          <w:bCs w:val="false"/>
          <w:i w:val="false"/>
          <w:iCs w:val="false"/>
          <w:color w:val="1A1A1A"/>
          <w:sz w:val="21"/>
          <w:szCs w:val="21"/>
        </w:rPr>
        <w:t>The organized set of records — registration, screening, training, affidavits, and reviews — the agency maintains for AHCA inspection.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statute, rule, or AHCA requirement, confirms each section remains current, and records the review in the manual’s front-matter review table. Reviews address at minimum registration, scope, screening, training, service delivery, abuse reporting, and emergency management.</w:t>
      </w:r>
    </w:p>
    <w:p>
      <w:pPr>
        <w:pStyle w:val="Normal"/>
        <w:spacing w:lineRule="exact" w:line="276" w:before="0" w:after="120"/>
        <w:jc w:val="start"/>
        <w:rPr/>
      </w:pPr>
      <w:r>
        <w:rPr>
          <w:rFonts w:eastAsia="Calibri" w:cs="Calibri"/>
          <w:b w:val="false"/>
          <w:bCs w:val="false"/>
          <w:i w:val="false"/>
          <w:iCs w:val="false"/>
          <w:color w:val="1A1A1A"/>
          <w:sz w:val="21"/>
          <w:szCs w:val="21"/>
        </w:rPr>
        <w:t>When a regulatory update occurs, the Administrator revises the affected policies promptly, communicates changes to staff, and documents the effective date of the revision in the Document History table for that policy. The agency does not rely on outdated procedures once a rule has changed.</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organized compliance file so that registration, screening records, training records, the annual screening affidavit, service records, and policy reviews can be produced on request during an AHCA inspection, which may be unannounced during a weekday if a complaint is received.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Schedule the annual manual review and record it in the front-matter review table with reviewer and date.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AHCA Long-Term Care Services Unit updates and Florida Administrative Code changes for s. 400.509 and Rule 59A-8.025.</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On any rule change, identify affected policies, revise them, and update each policy’s Document History.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Communicate policy changes to all staff and document that they received the update.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the compliance file organized by category and current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Conduct a periodic mock inspection to confirm records can be produced quickly.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superseded manual versions to show the history of compliance.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Policy Review Log · Regulatory Change Notice · Staff Policy-Update Acknowledgment · Mock Inspection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protects the people [Agency Name] serves. It sets out client rights, how the agency screens and accepts clients within its non-medical scope, how services are planned and agreed to in writing, and how the agency protects client privacy, handles complaints, and safeguards client property.</w:t>
      </w:r>
    </w:p>
    <w:p>
      <w:pPr>
        <w:pStyle w:val="Normal"/>
        <w:keepNext w:val="true"/>
        <w:spacing w:before="240" w:after="100"/>
        <w:rPr/>
      </w:pPr>
      <w:r>
        <w:rPr>
          <w:rFonts w:eastAsia="Calibri" w:cs="Calibri"/>
          <w:b/>
          <w:bCs/>
          <w:i w:val="false"/>
          <w:iCs w:val="false"/>
          <w:color w:val="1F3A5F"/>
          <w:sz w:val="24"/>
          <w:szCs w:val="24"/>
        </w:rPr>
        <w:t>Policy 2.1 — Client Rights &amp;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Rights &amp;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Ch. 408, Part II, Fla. Stat.; Ch. 415, Fla. Stat. (Adult Protective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that every client is treated with dignity and knows their rights before service begins. Even though homemaker and companion services are non-medical, clients are often elderly or disabled adults who are vulnerable, so the agency affirms clear rights and gives clients the information they need to direct their own services and raise concerns.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 </w:t>
      </w:r>
      <w:r>
        <w:rPr>
          <w:rFonts w:eastAsia="Calibri" w:cs="Calibri"/>
          <w:b w:val="false"/>
          <w:bCs w:val="false"/>
          <w:i w:val="false"/>
          <w:iCs w:val="false"/>
          <w:color w:val="1A1A1A"/>
          <w:sz w:val="21"/>
          <w:szCs w:val="21"/>
        </w:rPr>
        <w:t>The elderly or disabled adult who receives homemaker or companion services from [Agency Name], or the client’s legal representative acting on their behalf.</w:t>
      </w:r>
    </w:p>
    <w:p>
      <w:pPr>
        <w:pStyle w:val="Normal"/>
        <w:spacing w:lineRule="exact" w:line="276" w:before="0" w:after="70"/>
        <w:rPr/>
      </w:pPr>
      <w:r>
        <w:rPr>
          <w:rFonts w:eastAsia="Calibri" w:cs="Calibri"/>
          <w:b/>
          <w:bCs/>
          <w:i w:val="false"/>
          <w:iCs w:val="false"/>
          <w:color w:val="1A1A1A"/>
          <w:sz w:val="21"/>
          <w:szCs w:val="21"/>
        </w:rPr>
        <w:t xml:space="preserve">Legal representative — </w:t>
      </w:r>
      <w:r>
        <w:rPr>
          <w:rFonts w:eastAsia="Calibri" w:cs="Calibri"/>
          <w:b w:val="false"/>
          <w:bCs w:val="false"/>
          <w:i w:val="false"/>
          <w:iCs w:val="false"/>
          <w:color w:val="1A1A1A"/>
          <w:sz w:val="21"/>
          <w:szCs w:val="21"/>
        </w:rPr>
        <w:t>A guardian, health care surrogate, agent under a durable power of attorney, or other person legally authorized to make decisions for the client.</w:t>
      </w:r>
    </w:p>
    <w:p>
      <w:pPr>
        <w:pStyle w:val="Normal"/>
        <w:spacing w:lineRule="exact" w:line="276" w:before="0" w:after="70"/>
        <w:rPr/>
      </w:pPr>
      <w:r>
        <w:rPr>
          <w:rFonts w:eastAsia="Calibri" w:cs="Calibri"/>
          <w:b/>
          <w:bCs/>
          <w:i w:val="false"/>
          <w:iCs w:val="false"/>
          <w:color w:val="1A1A1A"/>
          <w:sz w:val="21"/>
          <w:szCs w:val="21"/>
        </w:rPr>
        <w:t xml:space="preserve">Statement of Client Rights — </w:t>
      </w:r>
      <w:r>
        <w:rPr>
          <w:rFonts w:eastAsia="Calibri" w:cs="Calibri"/>
          <w:b w:val="false"/>
          <w:bCs w:val="false"/>
          <w:i w:val="false"/>
          <w:iCs w:val="false"/>
          <w:color w:val="1A1A1A"/>
          <w:sz w:val="21"/>
          <w:szCs w:val="21"/>
        </w:rPr>
        <w:t>The written notice of rights and responsibilities the agency gives each client at the start of service and keeps signed in the client file.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each client, or the client’s legal representative, a written Statement of Client Rights before or at the start of service and reviews it in plain language. Clients have the right to be treated with dignity and respect; to be free from abuse, neglect, exploitation, and retaliation; to privacy and confidentiality; to participate in planning their services; to accept or refuse services; to be served by screened and trained staff; and to voice complaints without fear of reprisal.</w:t>
      </w:r>
    </w:p>
    <w:p>
      <w:pPr>
        <w:pStyle w:val="Normal"/>
        <w:spacing w:lineRule="exact" w:line="276" w:before="0" w:after="120"/>
        <w:jc w:val="start"/>
        <w:rPr/>
      </w:pPr>
      <w:r>
        <w:rPr>
          <w:rFonts w:eastAsia="Calibri" w:cs="Calibri"/>
          <w:b w:val="false"/>
          <w:bCs w:val="false"/>
          <w:i w:val="false"/>
          <w:iCs w:val="false"/>
          <w:color w:val="1A1A1A"/>
          <w:sz w:val="21"/>
          <w:szCs w:val="21"/>
        </w:rPr>
        <w:t>Clients have the right to know that the agency provides non-medical companion and homemaker services only, and that it cannot provide hands-on personal care, nursing, or medication administration. This transparency helps clients seek appropriate licensed providers when their needs change, and it prevents misunderstandings about what the agency will and will not do.</w:t>
      </w:r>
    </w:p>
    <w:p>
      <w:pPr>
        <w:pStyle w:val="Normal"/>
        <w:spacing w:lineRule="exact" w:line="276" w:before="0" w:after="120"/>
        <w:jc w:val="start"/>
        <w:rPr/>
      </w:pPr>
      <w:r>
        <w:rPr>
          <w:rFonts w:eastAsia="Calibri" w:cs="Calibri"/>
          <w:b w:val="false"/>
          <w:bCs w:val="false"/>
          <w:i w:val="false"/>
          <w:iCs w:val="false"/>
          <w:color w:val="1A1A1A"/>
          <w:sz w:val="21"/>
          <w:szCs w:val="21"/>
        </w:rPr>
        <w:t>The Statement also describes client responsibilities — providing a safe work environment, treating staff respectfully, giving accurate information, and notifying the agency of changes — and tells clients how to contact the agency and how to file a complaint with AHCA and the Florida Abuse Hotline. The client or representative signs to acknowledge receipt, and the signed acknowledgment is kept in the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Client Rights and Responsibilities at or before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rights verbally, including the non-medical scope limitation, and answer questions.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the statement in an accessible format or language the client understands where feasible.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the client’s or legal representative’s signed acknowledgment and file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Post agency and AHCA complaint contacts and the Florida Abuse Hotline number in the client’s service materials.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Re-review rights if the client’s representative changes or the client requests it.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Honor a client’s refusal of a service and document it without retaliation.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Address any reported rights concern promptly and document the resolution.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 Rights &amp; Responsibilities · Acknowledgment of Receipt · Complaint Contact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Intake, Eligibility &amp; Acceptance of Clients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Intake, Eligibility &amp; Acceptance of Clients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59A-8.025(9), F.A.C.; s. 400.509,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whose needs fall within its non-medical scope and whom it can serve adequately and safely. Rule 59A-8.025(9) requires a reasonable expectation that requested services can be delivered safely in the client’s residence, so intake is where the agency screens for scope and for its own capacity.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Intake — </w:t>
      </w:r>
      <w:r>
        <w:rPr>
          <w:rFonts w:eastAsia="Calibri" w:cs="Calibri"/>
          <w:b w:val="false"/>
          <w:bCs w:val="false"/>
          <w:i w:val="false"/>
          <w:iCs w:val="false"/>
          <w:color w:val="1A1A1A"/>
          <w:sz w:val="21"/>
          <w:szCs w:val="21"/>
        </w:rPr>
        <w:t>The process of gathering information about a prospective client’s needs, home environment, and goals to determine whether the agency can serve them within scope.</w:t>
      </w:r>
    </w:p>
    <w:p>
      <w:pPr>
        <w:pStyle w:val="Normal"/>
        <w:spacing w:lineRule="exact" w:line="276" w:before="0" w:after="70"/>
        <w:rPr/>
      </w:pPr>
      <w:r>
        <w:rPr>
          <w:rFonts w:eastAsia="Calibri" w:cs="Calibri"/>
          <w:b/>
          <w:bCs/>
          <w:i w:val="false"/>
          <w:iCs w:val="false"/>
          <w:color w:val="1A1A1A"/>
          <w:sz w:val="21"/>
          <w:szCs w:val="21"/>
        </w:rPr>
        <w:t xml:space="preserve">Needs screening — </w:t>
      </w:r>
      <w:r>
        <w:rPr>
          <w:rFonts w:eastAsia="Calibri" w:cs="Calibri"/>
          <w:b w:val="false"/>
          <w:bCs w:val="false"/>
          <w:i w:val="false"/>
          <w:iCs w:val="false"/>
          <w:color w:val="1A1A1A"/>
          <w:sz w:val="21"/>
          <w:szCs w:val="21"/>
        </w:rPr>
        <w:t>A structured review comparing the client’s requested and apparent needs against the permitted companion and homemaker scope.</w:t>
      </w:r>
    </w:p>
    <w:p>
      <w:pPr>
        <w:pStyle w:val="Normal"/>
        <w:spacing w:lineRule="exact" w:line="276" w:before="0" w:after="70"/>
        <w:rPr/>
      </w:pPr>
      <w:r>
        <w:rPr>
          <w:rFonts w:eastAsia="Calibri" w:cs="Calibri"/>
          <w:b/>
          <w:bCs/>
          <w:i w:val="false"/>
          <w:iCs w:val="false"/>
          <w:color w:val="1A1A1A"/>
          <w:sz w:val="21"/>
          <w:szCs w:val="21"/>
        </w:rPr>
        <w:t xml:space="preserve">Reasonable expectation of safe service — </w:t>
      </w:r>
      <w:r>
        <w:rPr>
          <w:rFonts w:eastAsia="Calibri" w:cs="Calibri"/>
          <w:b w:val="false"/>
          <w:bCs w:val="false"/>
          <w:i w:val="false"/>
          <w:iCs w:val="false"/>
          <w:color w:val="1A1A1A"/>
          <w:sz w:val="21"/>
          <w:szCs w:val="21"/>
        </w:rPr>
        <w:t>The documented determination, required by rule, that the agency can adequately and safely provide the requested services in the client’s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At intake, [Agency Name] gathers information about the prospective client’s requested services, home environment, and any factors affecting safe service, and compares the needs against the permitted companion and homemaker scope. The agency accepts a client only when there is a reasonable expectation that the requested services can be provided adequately and safely in the client’s residence, consistent with Rule 59A-8.025(9).</w:t>
      </w:r>
    </w:p>
    <w:p>
      <w:pPr>
        <w:pStyle w:val="Normal"/>
        <w:spacing w:lineRule="exact" w:line="276" w:before="0" w:after="120"/>
        <w:jc w:val="start"/>
        <w:rPr/>
      </w:pPr>
      <w:r>
        <w:rPr>
          <w:rFonts w:eastAsia="Calibri" w:cs="Calibri"/>
          <w:b w:val="false"/>
          <w:bCs w:val="false"/>
          <w:i w:val="false"/>
          <w:iCs w:val="false"/>
          <w:color w:val="1A1A1A"/>
          <w:sz w:val="21"/>
          <w:szCs w:val="21"/>
        </w:rPr>
        <w:t>If a prospective client needs hands-on personal care, medication assistance, or nursing, the agency does not accept those tasks. It either limits the engagement to permitted companion and homemaker services (if that safely meets the client’s needs) or refers the client to an appropriately licensed home health agency or nurse registry, documenting the referral. The agency never accepts a client on the expectation that staff will quietly perform prohibited tasks.</w:t>
      </w:r>
    </w:p>
    <w:p>
      <w:pPr>
        <w:pStyle w:val="Normal"/>
        <w:spacing w:lineRule="exact" w:line="276" w:before="0" w:after="120"/>
        <w:jc w:val="start"/>
        <w:rPr/>
      </w:pPr>
      <w:r>
        <w:rPr>
          <w:rFonts w:eastAsia="Calibri" w:cs="Calibri"/>
          <w:b w:val="false"/>
          <w:bCs w:val="false"/>
          <w:i w:val="false"/>
          <w:iCs w:val="false"/>
          <w:color w:val="1A1A1A"/>
          <w:sz w:val="21"/>
          <w:szCs w:val="21"/>
        </w:rPr>
        <w:t>The agency also confirms it can staff and supervise the location within its geographic service area before accepting the client. Where it cannot reliably provide safe, supervised service, it declines and refers out. Acceptance decisions, including the safe-service determination and any referral, are documented in the client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Collect intake information on requested services, home environment, and client goals.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the needs screening comparing requested and apparent needs to the permitted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any hands-on personal care or medication needs and exclude them from the agency’s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Determine and document the reasonable expectation of safe service in the residence.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staffing and supervision capacity for the location within the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Accept, limit, or decline the client accordingly, and refer out any excluded needs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Record the acceptance decision, safe-service determination, and any referral in the client file.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Re-screen at any material change in the client’s condition or requests.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Intake Form · Needs Screening / Scope Determination · Safe-Service Determination · Referral to Licensed Provider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Service Agreement &amp; Individualized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&amp; Individualized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s. 400.509,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in writing and with the client, exactly which non-medical services will be provided, when, and by whom. A clear service agreement and individualized plan keep expectations aligned, keep staff inside scope, and give the agency a record it can produce for AHCA and to support billing.</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client describing the services to be provided, schedule, rates, and terms.</w:t>
      </w:r>
    </w:p>
    <w:p>
      <w:pPr>
        <w:pStyle w:val="Normal"/>
        <w:spacing w:lineRule="exact" w:line="276" w:before="0" w:after="70"/>
        <w:rPr/>
      </w:pPr>
      <w:r>
        <w:rPr>
          <w:rFonts w:eastAsia="Calibri" w:cs="Calibri"/>
          <w:b/>
          <w:bCs/>
          <w:i w:val="false"/>
          <w:iCs w:val="false"/>
          <w:color w:val="1A1A1A"/>
          <w:sz w:val="21"/>
          <w:szCs w:val="21"/>
        </w:rPr>
        <w:t xml:space="preserve">Individualized service plan — </w:t>
      </w:r>
      <w:r>
        <w:rPr>
          <w:rFonts w:eastAsia="Calibri" w:cs="Calibri"/>
          <w:b w:val="false"/>
          <w:bCs w:val="false"/>
          <w:i w:val="false"/>
          <w:iCs w:val="false"/>
          <w:color w:val="1A1A1A"/>
          <w:sz w:val="21"/>
          <w:szCs w:val="21"/>
        </w:rPr>
        <w:t>The written plan listing the specific companion and homemaker tasks, frequency, and goals for the individual client, developed with the client or representative.</w:t>
      </w:r>
    </w:p>
    <w:p>
      <w:pPr>
        <w:pStyle w:val="Normal"/>
        <w:spacing w:lineRule="exact" w:line="276" w:before="0" w:after="70"/>
        <w:rPr/>
      </w:pPr>
      <w:r>
        <w:rPr>
          <w:rFonts w:eastAsia="Calibri" w:cs="Calibri"/>
          <w:b/>
          <w:bCs/>
          <w:i w:val="false"/>
          <w:iCs w:val="false"/>
          <w:color w:val="1A1A1A"/>
          <w:sz w:val="21"/>
          <w:szCs w:val="21"/>
        </w:rPr>
        <w:t xml:space="preserve">Task list — </w:t>
      </w:r>
      <w:r>
        <w:rPr>
          <w:rFonts w:eastAsia="Calibri" w:cs="Calibri"/>
          <w:b w:val="false"/>
          <w:bCs w:val="false"/>
          <w:i w:val="false"/>
          <w:iCs w:val="false"/>
          <w:color w:val="1A1A1A"/>
          <w:sz w:val="21"/>
          <w:szCs w:val="21"/>
        </w:rPr>
        <w:t>The itemized list of permitted tasks staff are authorized to perform for the client; it never includes hands-on personal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or at the start of service, [Agency Name] enters into a written service agreement with the client or legal representative that describes the companion and homemaker services to be provided, the schedule, the rates and payment terms, and how either party may change or end services. The agreement lists only permitted non-medical tasks and expressly excludes hands-on personal care and medication administration.</w:t>
      </w:r>
    </w:p>
    <w:p>
      <w:pPr>
        <w:pStyle w:val="Normal"/>
        <w:spacing w:lineRule="exact" w:line="276" w:before="0" w:after="120"/>
        <w:jc w:val="start"/>
        <w:rPr/>
      </w:pPr>
      <w:r>
        <w:rPr>
          <w:rFonts w:eastAsia="Calibri" w:cs="Calibri"/>
          <w:b w:val="false"/>
          <w:bCs w:val="false"/>
          <w:i w:val="false"/>
          <w:iCs w:val="false"/>
          <w:color w:val="1A1A1A"/>
          <w:sz w:val="21"/>
          <w:szCs w:val="21"/>
        </w:rPr>
        <w:t>The agency develops an individualized service plan identifying the specific tasks, frequency, and goals for the client, developed with the client’s input. Staff deliver services according to the plan and task list; they do not add prohibited tasks even at a client’s request. The plan is updated when the client’s needs or schedule change, and material changes are made in writing.</w:t>
      </w:r>
    </w:p>
    <w:p>
      <w:pPr>
        <w:pStyle w:val="Normal"/>
        <w:spacing w:lineRule="exact" w:line="276" w:before="0" w:after="120"/>
        <w:jc w:val="start"/>
        <w:rPr/>
      </w:pPr>
      <w:r>
        <w:rPr>
          <w:rFonts w:eastAsia="Calibri" w:cs="Calibri"/>
          <w:b w:val="false"/>
          <w:bCs w:val="false"/>
          <w:i w:val="false"/>
          <w:iCs w:val="false"/>
          <w:color w:val="1A1A1A"/>
          <w:sz w:val="21"/>
          <w:szCs w:val="21"/>
        </w:rPr>
        <w:t>The agency is responsible for obtaining the information needed for service delivery and for supplying employees or contractors capable of delivering the agreed services, including all scheduled visits, consistent with Rule 59A-8.025(9). Copies of the signed agreement and current plan are kept in the client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a written service agreement listing permitted tasks, schedule, rates, and terms.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agreement with the client or representative and obtain signatures before service starts.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Develop the individualized service plan and task list with the client’s input.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the task list excludes all hands-on personal care and medication administration.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staff capable of delivering the agreed services and brief them on the plan.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the plan in writing when needs or schedule change, and reissue the task list.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signed copies of the agreement and current plan in the client file.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Reconcile services delivered against the plan during supervision and documentation review.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 Individualized Service Plan · Authorized Task List · Service Change Form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Confidentiality, HIPAA &amp; Client Records Privacy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HIPAA &amp; Client Records Privacy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&amp; 164 (HIPAA); s. 400.512(7), Fla. Stat.; Ch. 408, Part II</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privacy of client information the agency collects and to limit the use of any background or sensitive information strictly to lawful purposes. Clients share personal details and give access to their homes; the agency safeguards that trust with clear confidentiality rules.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information — </w:t>
      </w:r>
      <w:r>
        <w:rPr>
          <w:rFonts w:eastAsia="Calibri" w:cs="Calibri"/>
          <w:b w:val="false"/>
          <w:bCs w:val="false"/>
          <w:i w:val="false"/>
          <w:iCs w:val="false"/>
          <w:color w:val="1A1A1A"/>
          <w:sz w:val="21"/>
          <w:szCs w:val="21"/>
        </w:rPr>
        <w:t>Any identifying, health-related, financial, or personal information about a client that the agency collects, records, or maintains.</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HIPAA principle of using or disclosing only the least client information needed to accomplish a legitimate purpose.</w:t>
      </w:r>
    </w:p>
    <w:p>
      <w:pPr>
        <w:pStyle w:val="Normal"/>
        <w:spacing w:lineRule="exact" w:line="276" w:before="0" w:after="70"/>
        <w:rPr/>
      </w:pPr>
      <w:r>
        <w:rPr>
          <w:rFonts w:eastAsia="Calibri" w:cs="Calibri"/>
          <w:b/>
          <w:bCs/>
          <w:i w:val="false"/>
          <w:iCs w:val="false"/>
          <w:color w:val="1A1A1A"/>
          <w:sz w:val="21"/>
          <w:szCs w:val="21"/>
        </w:rPr>
        <w:t xml:space="preserve">Screening information — </w:t>
      </w:r>
      <w:r>
        <w:rPr>
          <w:rFonts w:eastAsia="Calibri" w:cs="Calibri"/>
          <w:b w:val="false"/>
          <w:bCs w:val="false"/>
          <w:i w:val="false"/>
          <w:iCs w:val="false"/>
          <w:color w:val="1A1A1A"/>
          <w:sz w:val="21"/>
          <w:szCs w:val="21"/>
        </w:rPr>
        <w:t>Criminal history, juvenile records, and abuse-hotline information about staff, which by law may be used only to determine good moral character for employment (s. 400.512(7)).</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keeps client information confidential and uses and discloses it only as necessary to provide services, to comply with law, or with the client’s authorization, applying the HIPAA minimum-necessary principle. Staff do not discuss client information outside the scope of their duties, and the agency secures paper and electronic records against unauthorized access.</w:t>
      </w:r>
    </w:p>
    <w:p>
      <w:pPr>
        <w:pStyle w:val="Normal"/>
        <w:spacing w:lineRule="exact" w:line="276" w:before="0" w:after="120"/>
        <w:jc w:val="start"/>
        <w:rPr/>
      </w:pPr>
      <w:r>
        <w:rPr>
          <w:rFonts w:eastAsia="Calibri" w:cs="Calibri"/>
          <w:b w:val="false"/>
          <w:bCs w:val="false"/>
          <w:i w:val="false"/>
          <w:iCs w:val="false"/>
          <w:color w:val="1A1A1A"/>
          <w:sz w:val="21"/>
          <w:szCs w:val="21"/>
        </w:rPr>
        <w:t>Screening information about staff — criminal records, juvenile records, and abuse-hotline results — is used only to determine whether a person meets minimum standards of good moral character for employment, consistent with s. 400.512(7), Fla. Stat., and is not used or disclosed for any other purpose. The agency stores screening results securely and limits access to those with a need to know.</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confidentiality at orientation and periodically, obtains client authorizations where required for disclosures, and responds to privacy complaints. Records are retained and disposed of securely, and breaches are addressed under the agency’s incident procedures.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all staff on confidentiality and HIPAA minimum-necessary at orientation and periodically.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client and screening records securely, with access limited to those who need 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written client authorization before disclosures not otherwise permitted by law.</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screening information solely to determine employment good moral character.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Log disclosures of client information where required and monitor for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Respond to privacy complaints and document the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records for the required period and dispose of them securely.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Treat any suspected breach as an incident and follow incident-reporting procedures.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Confidentiality Agreement (staff) · Authorization for Release of Information · Records Access Log · Privacy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Grievances, Complaints &amp; AHCA Reporting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Grievances, Complaints &amp; AHCA Reporting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 408, Part II, Fla. Stat.; AHCA complaint process; Ch. 415,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give clients an easy, retaliation-free way to raise concerns and to make sure they know they can also complain directly to AHCA. Prompt, documented complaint handling improves service and demonstrates to surveyors that the agency takes client concerns seriously.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 client’s expression of dissatisfaction with services, staff, or the agency that the client wants addressed.</w:t>
      </w:r>
    </w:p>
    <w:p>
      <w:pPr>
        <w:pStyle w:val="Normal"/>
        <w:spacing w:lineRule="exact" w:line="276" w:before="0" w:after="70"/>
        <w:rPr/>
      </w:pPr>
      <w:r>
        <w:rPr>
          <w:rFonts w:eastAsia="Calibri" w:cs="Calibri"/>
          <w:b/>
          <w:bCs/>
          <w:i w:val="false"/>
          <w:iCs w:val="false"/>
          <w:color w:val="1A1A1A"/>
          <w:sz w:val="21"/>
          <w:szCs w:val="21"/>
        </w:rPr>
        <w:t xml:space="preserve">AHCA complaint line — </w:t>
      </w:r>
      <w:r>
        <w:rPr>
          <w:rFonts w:eastAsia="Calibri" w:cs="Calibri"/>
          <w:b w:val="false"/>
          <w:bCs w:val="false"/>
          <w:i w:val="false"/>
          <w:iCs w:val="false"/>
          <w:color w:val="1A1A1A"/>
          <w:sz w:val="21"/>
          <w:szCs w:val="21"/>
        </w:rPr>
        <w:t>The Agency for Health Care Administration’s channel for consumers to report concerns about a registered provider (toll-free 1-888-419-3456).</w:t>
      </w:r>
    </w:p>
    <w:p>
      <w:pPr>
        <w:pStyle w:val="Normal"/>
        <w:spacing w:lineRule="exact" w:line="276" w:before="0" w:after="70"/>
        <w:rPr/>
      </w:pPr>
      <w:r>
        <w:rPr>
          <w:rFonts w:eastAsia="Calibri" w:cs="Calibri"/>
          <w:b/>
          <w:bCs/>
          <w:i w:val="false"/>
          <w:iCs w:val="false"/>
          <w:color w:val="1A1A1A"/>
          <w:sz w:val="21"/>
          <w:szCs w:val="21"/>
        </w:rPr>
        <w:t xml:space="preserve">Retaliation — </w:t>
      </w:r>
      <w:r>
        <w:rPr>
          <w:rFonts w:eastAsia="Calibri" w:cs="Calibri"/>
          <w:b w:val="false"/>
          <w:bCs w:val="false"/>
          <w:i w:val="false"/>
          <w:iCs w:val="false"/>
          <w:color w:val="1A1A1A"/>
          <w:sz w:val="21"/>
          <w:szCs w:val="21"/>
        </w:rPr>
        <w:t>Any adverse action against a client for making a complaint, which the agency strictly prohibits.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every client written information on how to file a grievance with the agency and how to contact AHCA directly. The agency accepts complaints by phone, in writing, or in person, acknowledges them promptly, investigates, and communicates the outcome to the client. Clients may complain without fear of retaliation, and the agency never reduces or withdraws service in response to a good-faith complaint.</w:t>
      </w:r>
    </w:p>
    <w:p>
      <w:pPr>
        <w:pStyle w:val="Normal"/>
        <w:spacing w:lineRule="exact" w:line="276" w:before="0" w:after="120"/>
        <w:jc w:val="start"/>
        <w:rPr/>
      </w:pPr>
      <w:r>
        <w:rPr>
          <w:rFonts w:eastAsia="Calibri" w:cs="Calibri"/>
          <w:b w:val="false"/>
          <w:bCs w:val="false"/>
          <w:i w:val="false"/>
          <w:iCs w:val="false"/>
          <w:color w:val="1A1A1A"/>
          <w:sz w:val="21"/>
          <w:szCs w:val="21"/>
        </w:rPr>
        <w:t>The agency informs clients that they may file complaints directly with AHCA’s Consumer Complaint process (1-888-419-3456) and, for suspected abuse, neglect, or exploitation, with the Florida Abuse Hotline (1-800-96-ABUSE). The agency cooperates fully with any AHCA investigation, including unannounced inspections that may occur if a complaint is received.</w:t>
      </w:r>
    </w:p>
    <w:p>
      <w:pPr>
        <w:pStyle w:val="Normal"/>
        <w:spacing w:lineRule="exact" w:line="276" w:before="0" w:after="120"/>
        <w:jc w:val="start"/>
        <w:rPr/>
      </w:pPr>
      <w:r>
        <w:rPr>
          <w:rFonts w:eastAsia="Calibri" w:cs="Calibri"/>
          <w:b w:val="false"/>
          <w:bCs w:val="false"/>
          <w:i w:val="false"/>
          <w:iCs w:val="false"/>
          <w:color w:val="1A1A1A"/>
          <w:sz w:val="21"/>
          <w:szCs w:val="21"/>
        </w:rPr>
        <w:t>The agency logs each grievance, the investigation, and the resolution, and uses complaint trends in its quality program to correct recurring problems. Serious complaints, including any alleging abuse or exploitation, are escalated immediately under the agency’s reporting policy.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written grievance and AHCA/Abuse Hotline contact information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Accept complaints in any reasonable form and acknowledge them promptly.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the complaint, gathering facts from the client and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Communicate the outcome to the client and document it in the grievance log.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Prohibit and monitor for any retaliation against the complaining client.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Escalate any abuse, neglect, or exploitation allegation immediately under the reporting policy.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Cooperate fully with any AHCA investigation or inspection.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grievance trends in the quality program and implement corrective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Grievance Log · Complaint Investigation Form · AHCA &amp; Abuse Hotline Contact Notice ·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Client Property, Funds &amp; Conflict of Interest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Property, Funds &amp; Conflict of Interest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 415, Fla. Stat. (exploitation);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from financial exploitation and to keep clear boundaries around client money and property. Homemaker and companion staff shop, run errands, and work inside clients’ homes, so the agency sets strict rules to prevent misuse and to protect both clients and staff from accusations.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funds — </w:t>
      </w:r>
      <w:r>
        <w:rPr>
          <w:rFonts w:eastAsia="Calibri" w:cs="Calibri"/>
          <w:b w:val="false"/>
          <w:bCs w:val="false"/>
          <w:i w:val="false"/>
          <w:iCs w:val="false"/>
          <w:color w:val="1A1A1A"/>
          <w:sz w:val="21"/>
          <w:szCs w:val="21"/>
        </w:rPr>
        <w:t>Money the agency or its staff handle on a client’s behalf, such as cash for groceries or errands.</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improper use of an elderly or disabled adult’s funds, property, or resources, which is reportable under Ch. 415, Fla. Stat.</w:t>
      </w:r>
    </w:p>
    <w:p>
      <w:pPr>
        <w:pStyle w:val="Normal"/>
        <w:spacing w:lineRule="exact" w:line="276" w:before="0" w:after="70"/>
        <w:rPr/>
      </w:pPr>
      <w:r>
        <w:rPr>
          <w:rFonts w:eastAsia="Calibri" w:cs="Calibri"/>
          <w:b/>
          <w:bCs/>
          <w:i w:val="false"/>
          <w:iCs w:val="false"/>
          <w:color w:val="1A1A1A"/>
          <w:sz w:val="21"/>
          <w:szCs w:val="21"/>
        </w:rPr>
        <w:t xml:space="preserve">Conflict of interest — </w:t>
      </w:r>
      <w:r>
        <w:rPr>
          <w:rFonts w:eastAsia="Calibri" w:cs="Calibri"/>
          <w:b w:val="false"/>
          <w:bCs w:val="false"/>
          <w:i w:val="false"/>
          <w:iCs w:val="false"/>
          <w:color w:val="1A1A1A"/>
          <w:sz w:val="21"/>
          <w:szCs w:val="21"/>
        </w:rPr>
        <w:t>A situation where a staff member’s personal interest could improperly influence their conduct toward a client, such as accepting gifts, loans, or being named in a will.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prohibits staff from borrowing from, lending to, or accepting gifts, tips beyond agency policy, loans, or bequests from clients, and from being named as a beneficiary, executor, or power of attorney for a client. Staff do not use client credit cards or accounts except as expressly authorized for a specific errand, and they never commingle client funds with their own.</w:t>
      </w:r>
    </w:p>
    <w:p>
      <w:pPr>
        <w:pStyle w:val="Normal"/>
        <w:spacing w:lineRule="exact" w:line="276" w:before="0" w:after="120"/>
        <w:jc w:val="start"/>
        <w:rPr/>
      </w:pPr>
      <w:r>
        <w:rPr>
          <w:rFonts w:eastAsia="Calibri" w:cs="Calibri"/>
          <w:b w:val="false"/>
          <w:bCs w:val="false"/>
          <w:i w:val="false"/>
          <w:iCs w:val="false"/>
          <w:color w:val="1A1A1A"/>
          <w:sz w:val="21"/>
          <w:szCs w:val="21"/>
        </w:rPr>
        <w:t>When staff handle client funds for shopping or errands, they use only the amount provided for the authorized purpose, obtain and return receipts, return exact change, and document the transaction. The agency reconciles client-fund transactions and investigates any discrepancy immediately, treating suspected misuse as potential exploitation reportable to the Florida Abuse Hotline.</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these boundaries, discloses and manages any conflict of interest, and makes clear that financial exploitation is grounds for immediate termination and reporting. These rules protect clients from harm and protect honest staff from unfounded suspicion.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staff the written client-funds and conflict-of-interest rules and obtain signed acknowledgment.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Authorize errand funds in writing for a specific purpose and amount.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staff to obtain receipts, return exact change, and document every client-fund transaction.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Reconcile client-fund transactions and investigate any discrepancy immediately.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Prohibit gifts, loans, bequests, and fiduciary appointments involving clients.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suspected financial exploitation to the Florida Abuse Hotline and AHCA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Terminate and report staff who misuse client funds or property.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client-funds compliance during supervision.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Client-Funds Authorization &amp; Log · Conflict-of-Interest Acknowledgment · Errand Receipt Envelope · Exploitation Report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governs who [Agency Name] hires and how they are screened, trained, and supervised. Background screening and training are the two areas AHCA scrutinizes most for homemaker and companion providers, so the agency treats them as core compliance functions, not paperwork.</w:t>
      </w:r>
    </w:p>
    <w:p>
      <w:pPr>
        <w:pStyle w:val="Normal"/>
        <w:keepNext w:val="true"/>
        <w:spacing w:before="240" w:after="100"/>
        <w:rPr/>
      </w:pPr>
      <w:r>
        <w:rPr>
          <w:rFonts w:eastAsia="Calibri" w:cs="Calibri"/>
          <w:b/>
          <w:bCs/>
          <w:i w:val="false"/>
          <w:iCs w:val="false"/>
          <w:color w:val="1F3A5F"/>
          <w:sz w:val="24"/>
          <w:szCs w:val="24"/>
        </w:rPr>
        <w:t>Policy 3.1 — Level 2 Background Screening &amp; the AHCA Clearinghouse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Level 2 Background Screening &amp; the AHCA Clearinghouse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400.512, Fla. Stat.; s. 408.809, Fla. Stat.; Ch. 435, Fla. Stat.; s. 435.12 (Clearinghouse)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owner, the Administrator, and every homemaker and companion is Level 2 background screened before hiring, so that no unscreened person enters a client’s home. Level 2 screening is the central safeguard of the homemaker and companion law, protecting vulnerable elderly and disabled adults from people with disqualifying histories.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Level 2 screening — </w:t>
      </w:r>
      <w:r>
        <w:rPr>
          <w:rFonts w:eastAsia="Calibri" w:cs="Calibri"/>
          <w:b w:val="false"/>
          <w:bCs w:val="false"/>
          <w:i w:val="false"/>
          <w:iCs w:val="false"/>
          <w:color w:val="1A1A1A"/>
          <w:sz w:val="21"/>
          <w:szCs w:val="21"/>
        </w:rPr>
        <w:t>Fingerprint-based screening under Chapter 435, Fla. Stat., including a Florida Department of Law Enforcement (FDLE) statewide check and an FBI national criminal history check.</w:t>
      </w:r>
    </w:p>
    <w:p>
      <w:pPr>
        <w:pStyle w:val="Normal"/>
        <w:spacing w:lineRule="exact" w:line="276" w:before="0" w:after="70"/>
        <w:rPr/>
      </w:pPr>
      <w:r>
        <w:rPr>
          <w:rFonts w:eastAsia="Calibri" w:cs="Calibri"/>
          <w:b/>
          <w:bCs/>
          <w:i w:val="false"/>
          <w:iCs w:val="false"/>
          <w:color w:val="1A1A1A"/>
          <w:sz w:val="21"/>
          <w:szCs w:val="21"/>
        </w:rPr>
        <w:t xml:space="preserve">AHCA Clearinghouse — </w:t>
      </w:r>
      <w:r>
        <w:rPr>
          <w:rFonts w:eastAsia="Calibri" w:cs="Calibri"/>
          <w:b w:val="false"/>
          <w:bCs w:val="false"/>
          <w:i w:val="false"/>
          <w:iCs w:val="false"/>
          <w:color w:val="1A1A1A"/>
          <w:sz w:val="21"/>
          <w:szCs w:val="21"/>
        </w:rPr>
        <w:t>The Care Provider Background Screening Clearinghouse (s. 435.12) that stores screening results and allows AHCA and providers to share and monitor eligibility.</w:t>
      </w:r>
    </w:p>
    <w:p>
      <w:pPr>
        <w:pStyle w:val="Normal"/>
        <w:spacing w:lineRule="exact" w:line="276" w:before="0" w:after="70"/>
        <w:rPr/>
      </w:pPr>
      <w:r>
        <w:rPr>
          <w:rFonts w:eastAsia="Calibri" w:cs="Calibri"/>
          <w:b/>
          <w:bCs/>
          <w:i w:val="false"/>
          <w:iCs w:val="false"/>
          <w:color w:val="1A1A1A"/>
          <w:sz w:val="21"/>
          <w:szCs w:val="21"/>
        </w:rPr>
        <w:t xml:space="preserve">Disqualifying offense — </w:t>
      </w:r>
      <w:r>
        <w:rPr>
          <w:rFonts w:eastAsia="Calibri" w:cs="Calibri"/>
          <w:b w:val="false"/>
          <w:bCs w:val="false"/>
          <w:i w:val="false"/>
          <w:iCs w:val="false"/>
          <w:color w:val="1A1A1A"/>
          <w:sz w:val="21"/>
          <w:szCs w:val="21"/>
        </w:rPr>
        <w:t>An offense listed in Chapter 435 that bars employment unless the person obtains an exemption from disqualification under s. 435.07.</w:t>
      </w:r>
    </w:p>
    <w:p>
      <w:pPr>
        <w:pStyle w:val="Normal"/>
        <w:spacing w:lineRule="exact" w:line="276" w:before="0" w:after="70"/>
        <w:rPr/>
      </w:pPr>
      <w:r>
        <w:rPr>
          <w:rFonts w:eastAsia="Calibri" w:cs="Calibri"/>
          <w:b/>
          <w:bCs/>
          <w:i w:val="false"/>
          <w:iCs w:val="false"/>
          <w:color w:val="1A1A1A"/>
          <w:sz w:val="21"/>
          <w:szCs w:val="21"/>
        </w:rPr>
        <w:t xml:space="preserve">Exemption — </w:t>
      </w:r>
      <w:r>
        <w:rPr>
          <w:rFonts w:eastAsia="Calibri" w:cs="Calibri"/>
          <w:b w:val="false"/>
          <w:bCs w:val="false"/>
          <w:i w:val="false"/>
          <w:iCs w:val="false"/>
          <w:color w:val="1A1A1A"/>
          <w:sz w:val="21"/>
          <w:szCs w:val="21"/>
        </w:rPr>
        <w:t>AHCA’s authorization, under s. 435.07, allowing a person with a disqualifying offense to work after review; it must be granted before the person serves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obtains Level 2 background screening through the AHCA Clearinghouse for all owners, the Administrator, and every homemaker and companion before that person is hired and before they enter any client’s home, consistent with s. 400.512, s. 408.809, and Chapter 435, Fla. Stat. The agency uses the AHCA file number to schedule electronic fingerprinting through an approved Livescan provider and enrolls each screened person in the Clearinghouse for continued eligibility monitoring.</w:t>
      </w:r>
    </w:p>
    <w:p>
      <w:pPr>
        <w:pStyle w:val="Normal"/>
        <w:spacing w:lineRule="exact" w:line="276" w:before="0" w:after="120"/>
        <w:jc w:val="start"/>
        <w:rPr/>
      </w:pPr>
      <w:r>
        <w:rPr>
          <w:rFonts w:eastAsia="Calibri" w:cs="Calibri"/>
          <w:b w:val="false"/>
          <w:bCs w:val="false"/>
          <w:i w:val="false"/>
          <w:iCs w:val="false"/>
          <w:color w:val="1A1A1A"/>
          <w:sz w:val="21"/>
          <w:szCs w:val="21"/>
        </w:rPr>
        <w:t>A person with a disqualifying offense under Chapter 435 does not provide services unless and until AHCA grants an exemption from disqualification under s. 435.07. The agency does not allow a prospective employee to work with clients on the assumption that screening will clear; screening eligibility must be confirmed first. Proof of compliance with screening is accepted in lieu of re-screening only where the person has been continuously employed without a break in service exceeding 180 days.</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screening results securely, uses them only to determine good moral character for employment (s. 400.512(7)), and monitors Clearinghouse notifications for any change in an employee’s eligibility. The Administrator relies on these records when signing the annual screening affidavit and removes from client contact anyone whose eligibility lapses.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the AHCA file number and register the person for screening through the Clearinghouse.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Schedule Livescan electronic fingerprinting with an approved provider using the file number.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eligibility results (FDLE and FBI) before the person is hired or enters any client home.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any disqualifying result, do not assign the person to clients until AHCA grants a s. 435.07 exemption.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Enroll each screened person in the Clearinghouse and maintain their eligibility record.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Clearinghouse notifications and remove anyone whose eligibility lapses from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Store screening results securely and limit access to those with a need to know.</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Reconcile all active staff screening before the Administrator signs the annual affidavit.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Screening Log · Clearinghouse Enrollment Record · Livescan Confirmation · Exemption Tracking Sheet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Employment Eligibility, Records &amp; History Verification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Employment Eligibility, Records &amp; History Verification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59A-8.025(7), F.A.C.; s. 400.509(4), Fla. Stat.; s. 400.512(2) (affidavit)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that each staff member is eligible, screened, and qualified, and to make the diligent effort the rule requires to verify employment or contractual history. Complete personnel records let the agency prove compliance and support the Administrator’s annual affidavit.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file the agency keeps for each employee or contractor documenting identity, screening, training, employment history, and acknowledgments.</w:t>
      </w:r>
    </w:p>
    <w:p>
      <w:pPr>
        <w:pStyle w:val="Normal"/>
        <w:spacing w:lineRule="exact" w:line="276" w:before="0" w:after="70"/>
        <w:rPr/>
      </w:pPr>
      <w:r>
        <w:rPr>
          <w:rFonts w:eastAsia="Calibri" w:cs="Calibri"/>
          <w:b/>
          <w:bCs/>
          <w:i w:val="false"/>
          <w:iCs w:val="false"/>
          <w:color w:val="1A1A1A"/>
          <w:sz w:val="21"/>
          <w:szCs w:val="21"/>
        </w:rPr>
        <w:t xml:space="preserve">Diligent effort — </w:t>
      </w:r>
      <w:r>
        <w:rPr>
          <w:rFonts w:eastAsia="Calibri" w:cs="Calibri"/>
          <w:b w:val="false"/>
          <w:bCs w:val="false"/>
          <w:i w:val="false"/>
          <w:iCs w:val="false"/>
          <w:color w:val="1A1A1A"/>
          <w:sz w:val="21"/>
          <w:szCs w:val="21"/>
        </w:rPr>
        <w:t>The rule’s standard of at least two documented attempts to verify a person’s employment or contractual history (Rule 59A-8.025(7)).</w:t>
      </w:r>
    </w:p>
    <w:p>
      <w:pPr>
        <w:pStyle w:val="Normal"/>
        <w:spacing w:lineRule="exact" w:line="276" w:before="0" w:after="70"/>
        <w:rPr/>
      </w:pPr>
      <w:r>
        <w:rPr>
          <w:rFonts w:eastAsia="Calibri" w:cs="Calibri"/>
          <w:b/>
          <w:bCs/>
          <w:i w:val="false"/>
          <w:iCs w:val="false"/>
          <w:color w:val="1A1A1A"/>
          <w:sz w:val="21"/>
          <w:szCs w:val="21"/>
        </w:rPr>
        <w:t xml:space="preserve">Employment history — </w:t>
      </w:r>
      <w:r>
        <w:rPr>
          <w:rFonts w:eastAsia="Calibri" w:cs="Calibri"/>
          <w:b w:val="false"/>
          <w:bCs w:val="false"/>
          <w:i w:val="false"/>
          <w:iCs w:val="false"/>
          <w:color w:val="1A1A1A"/>
          <w:sz w:val="21"/>
          <w:szCs w:val="21"/>
        </w:rPr>
        <w:t>The prior work or contractual record the agency reviews and attempts to verify before or shortly after hiring.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personnel record for every employee and contractor containing proof of identity and work authorization, Level 2 screening results and Clearinghouse eligibility, required training and affidavits, signed policy acknowledgments (including scope and confidentiality), and employment-history verification. Records are kept current and available for AHCA inspection.</w:t>
      </w:r>
    </w:p>
    <w:p>
      <w:pPr>
        <w:pStyle w:val="Normal"/>
        <w:spacing w:lineRule="exact" w:line="276" w:before="0" w:after="120"/>
        <w:jc w:val="start"/>
        <w:rPr/>
      </w:pPr>
      <w:r>
        <w:rPr>
          <w:rFonts w:eastAsia="Calibri" w:cs="Calibri"/>
          <w:b w:val="false"/>
          <w:bCs w:val="false"/>
          <w:i w:val="false"/>
          <w:iCs w:val="false"/>
          <w:color w:val="1A1A1A"/>
          <w:sz w:val="21"/>
          <w:szCs w:val="21"/>
        </w:rPr>
        <w:t>The agency makes a diligent effort to verify each person’s employment or contractual history, defined by Rule 59A-8.025(7) as at least two documented attempts to verify the history — or, for a disconnected number, a documented attempt to find current contact information. These attempts are recorded in the personnel file whether or not verification succeeds.</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relies on complete personnel records when signing the annual screening affidavit under s. 400.512(2), which attests that all personnel who enter clients’ homes have been screened. The agency does not assign anyone to a client until their record shows eligibility and required onboarding are complete.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Open a personnel record at hire and collect identity, work-authorization, and screening documents.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Verify employment or contractual history with at least two documented attempts.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any disconnected-number attempt to locate current contact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Collect signed acknowledgments for scope, confidentiality, client-funds, and code of conduct.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File training records and the HIV/AIDS and any ADRD completion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Confirm the record is complete before assigning the person to any client.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records current and produce them on AHCA request.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Reconcile records agency-wide before the annual affidavit is signed.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Record Checklist · Employment History Verification Log · Policy Acknowledgment Set · New-Hire Onboarding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HIV/AIDS Training &amp; Affidavit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HIV/AIDS Training &amp; Affidavit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AHCA HIV/AIDS in-service requirement; HIV/AIDS Training Affidavit (AHCA Form 3110-1011)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meet Florida’s requirement that staff in non-medical home-care settings complete HIV/AIDS training and that the agency file the required affidavit at initial registration and each renewal. This training protects clients and staff and is a documented condition of registration.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HIV/AIDS in-service — </w:t>
      </w:r>
      <w:r>
        <w:rPr>
          <w:rFonts w:eastAsia="Calibri" w:cs="Calibri"/>
          <w:b w:val="false"/>
          <w:bCs w:val="false"/>
          <w:i w:val="false"/>
          <w:iCs w:val="false"/>
          <w:color w:val="1A1A1A"/>
          <w:sz w:val="21"/>
          <w:szCs w:val="21"/>
        </w:rPr>
        <w:t>The AHCA-recognized education on HIV/AIDS transmission, prevention, and non-discrimination that staff complete on the required schedule.</w:t>
      </w:r>
    </w:p>
    <w:p>
      <w:pPr>
        <w:pStyle w:val="Normal"/>
        <w:spacing w:lineRule="exact" w:line="276" w:before="0" w:after="70"/>
        <w:rPr/>
      </w:pPr>
      <w:r>
        <w:rPr>
          <w:rFonts w:eastAsia="Calibri" w:cs="Calibri"/>
          <w:b/>
          <w:bCs/>
          <w:i w:val="false"/>
          <w:iCs w:val="false"/>
          <w:color w:val="1A1A1A"/>
          <w:sz w:val="21"/>
          <w:szCs w:val="21"/>
        </w:rPr>
        <w:t xml:space="preserve">HIV/AIDS Training Affidavit — </w:t>
      </w:r>
      <w:r>
        <w:rPr>
          <w:rFonts w:eastAsia="Calibri" w:cs="Calibri"/>
          <w:b w:val="false"/>
          <w:bCs w:val="false"/>
          <w:i w:val="false"/>
          <w:iCs w:val="false"/>
          <w:color w:val="1A1A1A"/>
          <w:sz w:val="21"/>
          <w:szCs w:val="21"/>
        </w:rPr>
        <w:t>AHCA Form 3110-1011, submitted at initial registration and at each renewal, certifying that employees have completed the required HIV/AIDS training.</w:t>
      </w:r>
    </w:p>
    <w:p>
      <w:pPr>
        <w:pStyle w:val="Normal"/>
        <w:spacing w:lineRule="exact" w:line="276" w:before="0" w:after="70"/>
        <w:rPr/>
      </w:pPr>
      <w:r>
        <w:rPr>
          <w:rFonts w:eastAsia="Calibri" w:cs="Calibri"/>
          <w:b/>
          <w:bCs/>
          <w:i w:val="false"/>
          <w:iCs w:val="false"/>
          <w:color w:val="1A1A1A"/>
          <w:sz w:val="21"/>
          <w:szCs w:val="21"/>
        </w:rPr>
        <w:t xml:space="preserve">In-service documentation — </w:t>
      </w:r>
      <w:r>
        <w:rPr>
          <w:rFonts w:eastAsia="Calibri" w:cs="Calibri"/>
          <w:b w:val="false"/>
          <w:bCs w:val="false"/>
          <w:i w:val="false"/>
          <w:iCs w:val="false"/>
          <w:color w:val="1A1A1A"/>
          <w:sz w:val="21"/>
          <w:szCs w:val="21"/>
        </w:rPr>
        <w:t>The records the agency keeps showing each staff member’s completion of required training, including dates and course source.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staff complete the required HIV/AIDS in-service training and maintains documentation of completion for each employee. The agency submits the HIV/AIDS Training Affidavit (AHCA Form 3110-1011) upon initial registration and at each renewal, certifying that employees have completed the mandated training.</w:t>
      </w:r>
    </w:p>
    <w:p>
      <w:pPr>
        <w:pStyle w:val="Normal"/>
        <w:spacing w:lineRule="exact" w:line="276" w:before="0" w:after="120"/>
        <w:jc w:val="start"/>
        <w:rPr/>
      </w:pPr>
      <w:r>
        <w:rPr>
          <w:rFonts w:eastAsia="Calibri" w:cs="Calibri"/>
          <w:b w:val="false"/>
          <w:bCs w:val="false"/>
          <w:i w:val="false"/>
          <w:iCs w:val="false"/>
          <w:color w:val="1A1A1A"/>
          <w:sz w:val="21"/>
          <w:szCs w:val="21"/>
        </w:rPr>
        <w:t>The agency tracks completion so that training stays current on the required schedule and no lapse occurs at renewal. Completion records are kept in each personnel file and summarized in a training matrix the agency can produce during inspection.</w:t>
      </w:r>
    </w:p>
    <w:p>
      <w:pPr>
        <w:pStyle w:val="Normal"/>
        <w:spacing w:lineRule="exact" w:line="276" w:before="0" w:after="120"/>
        <w:jc w:val="start"/>
        <w:rPr/>
      </w:pPr>
      <w:r>
        <w:rPr>
          <w:rFonts w:eastAsia="Calibri" w:cs="Calibri"/>
          <w:b w:val="false"/>
          <w:bCs w:val="false"/>
          <w:i w:val="false"/>
          <w:iCs w:val="false"/>
          <w:color w:val="1A1A1A"/>
          <w:sz w:val="21"/>
          <w:szCs w:val="21"/>
        </w:rPr>
        <w:t>The agency uses AHCA-recognized training sources and keeps proof of the curriculum and completion. New employees complete the required training on the agency’s onboarding schedule, and the Administrator confirms training status before signing the renewal affidavit.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each staff member in an AHCA-recognized HIV/AIDS in-service on the required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Collect and file proof of completion in the personnel record and training matrix.</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Track completion dates and schedule renewals so training does not lapse.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and submit the HIV/AIDS Training Affidavit (Form 3110-1011) at initial registration and each renewal.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Confirm all staff are current before the Administrator signs the renewal affidavit.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Retain curriculum documentation and completion certificates.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Onboard new hires into the training before or shortly after assignment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HIV/AIDS Training Completion Log · HIV/AIDS Training Affidavit (Form 3110-1011) · Training Matrix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Alzheimer’s Disease &amp; Related Dementia (ADRD)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Alzheimer’s Disease &amp; Related Dementia (ADRD)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400.6045, Fla. Stat.; AHCA citations CZ875/ZZ875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any homemaker or companion who directly serves clients with Alzheimer’s disease or related dementias completes the state-mandated ADRD training. Many homemaker and companion clients have cognitive impairment, and this training equips staff to communicate, respond to behaviors, and keep clients safe within the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ADRD training — </w:t>
      </w:r>
      <w:r>
        <w:rPr>
          <w:rFonts w:eastAsia="Calibri" w:cs="Calibri"/>
          <w:b w:val="false"/>
          <w:bCs w:val="false"/>
          <w:i w:val="false"/>
          <w:iCs w:val="false"/>
          <w:color w:val="1A1A1A"/>
          <w:sz w:val="21"/>
          <w:szCs w:val="21"/>
        </w:rPr>
        <w:t>Alzheimer’s Disease and Related Dementia training required under s. 400.6045, Fla. Stat., for staff who directly serve clients with dementia.</w:t>
      </w:r>
    </w:p>
    <w:p>
      <w:pPr>
        <w:pStyle w:val="Normal"/>
        <w:spacing w:lineRule="exact" w:line="276" w:before="0" w:after="70"/>
        <w:rPr/>
      </w:pPr>
      <w:r>
        <w:rPr>
          <w:rFonts w:eastAsia="Calibri" w:cs="Calibri"/>
          <w:b/>
          <w:bCs/>
          <w:i w:val="false"/>
          <w:iCs w:val="false"/>
          <w:color w:val="1A1A1A"/>
          <w:sz w:val="21"/>
          <w:szCs w:val="21"/>
        </w:rPr>
        <w:t xml:space="preserve">Direct service — </w:t>
      </w:r>
      <w:r>
        <w:rPr>
          <w:rFonts w:eastAsia="Calibri" w:cs="Calibri"/>
          <w:b w:val="false"/>
          <w:bCs w:val="false"/>
          <w:i w:val="false"/>
          <w:iCs w:val="false"/>
          <w:color w:val="1A1A1A"/>
          <w:sz w:val="21"/>
          <w:szCs w:val="21"/>
        </w:rPr>
        <w:t>Providing homemaker or companion services in person to a client, which triggers the ADRD training requirement when the client has dementia.</w:t>
      </w:r>
    </w:p>
    <w:p>
      <w:pPr>
        <w:pStyle w:val="Normal"/>
        <w:spacing w:lineRule="exact" w:line="276" w:before="0" w:after="70"/>
        <w:rPr/>
      </w:pPr>
      <w:r>
        <w:rPr>
          <w:rFonts w:eastAsia="Calibri" w:cs="Calibri"/>
          <w:b/>
          <w:bCs/>
          <w:i w:val="false"/>
          <w:iCs w:val="false"/>
          <w:color w:val="1A1A1A"/>
          <w:sz w:val="21"/>
          <w:szCs w:val="21"/>
        </w:rPr>
        <w:t xml:space="preserve">Behavioral response — </w:t>
      </w:r>
      <w:r>
        <w:rPr>
          <w:rFonts w:eastAsia="Calibri" w:cs="Calibri"/>
          <w:b w:val="false"/>
          <w:bCs w:val="false"/>
          <w:i w:val="false"/>
          <w:iCs w:val="false"/>
          <w:color w:val="1A1A1A"/>
          <w:sz w:val="21"/>
          <w:szCs w:val="21"/>
        </w:rPr>
        <w:t>Non-medical techniques — redirection, calm communication, environmental cues — staff use to support a client with dementia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that any homemaker or companion who directly serves a client with Alzheimer’s disease or a related dementia complete ADRD training that meets the requirements of s. 400.6045, Fla. Stat. Surveyors routinely cite non-compliance under citations such as CZ875/ZZ875, so the agency tracks completion for every eligible staff member and can produce proof on request.</w:t>
      </w:r>
    </w:p>
    <w:p>
      <w:pPr>
        <w:pStyle w:val="Normal"/>
        <w:spacing w:lineRule="exact" w:line="276" w:before="0" w:after="120"/>
        <w:jc w:val="start"/>
        <w:rPr/>
      </w:pPr>
      <w:r>
        <w:rPr>
          <w:rFonts w:eastAsia="Calibri" w:cs="Calibri"/>
          <w:b w:val="false"/>
          <w:bCs w:val="false"/>
          <w:i w:val="false"/>
          <w:iCs w:val="false"/>
          <w:color w:val="1A1A1A"/>
          <w:sz w:val="21"/>
          <w:szCs w:val="21"/>
        </w:rPr>
        <w:t>ADRD training covers dementia progression, communication techniques, behavior support, and safety considerations, enabling staff to serve clients with dementia effectively while staying within the non-medical companion and homemaker scope. Staff apply these techniques for supervision, socialization, and homemaking, and they escalate to the Administrator when a client’s needs appear to exceed non-medical support.</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which clients have dementia at intake and during service, assigns ADRD-trained staff to those clients, and schedules training so it is completed within the timeframe the law allows. Completion is documented in the personnel file and the training matrix.</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Identify clients with Alzheimer’s or related dementia at intake and update as diagnoses become known.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only ADRD-trained staff to directly serve those clients, or schedule training within the allowed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Enroll eligible staff in ADRD training meeting the s. 400.6045 curriculum.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completion in the personnel record and training matrix.</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Reinforce dementia communication and behavior-support techniques in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Escalate to the Administrator when a dementia client’s needs appear to exceed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and renew ADRD training as required and before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ADRD Training Completion Log · Dementia-Client Assignment Record · Training Matrix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Emergency Management &amp; Ongoing In-Service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Management &amp; Ongoing In-Service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AHCA annual emergency management training requirement;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staff to act correctly in emergencies and to keep their skills current through ongoing in-service. Florida’s hurricane exposure makes emergency readiness essential even for non-medical providers whose clients may be frail and home-bound.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management training — </w:t>
      </w:r>
      <w:r>
        <w:rPr>
          <w:rFonts w:eastAsia="Calibri" w:cs="Calibri"/>
          <w:b w:val="false"/>
          <w:bCs w:val="false"/>
          <w:i w:val="false"/>
          <w:iCs w:val="false"/>
          <w:color w:val="1A1A1A"/>
          <w:sz w:val="21"/>
          <w:szCs w:val="21"/>
        </w:rPr>
        <w:t>Annual staff training on evacuation, emergency communication, and disaster readiness appropriate to the agency’s service area.</w:t>
      </w:r>
    </w:p>
    <w:p>
      <w:pPr>
        <w:pStyle w:val="Normal"/>
        <w:spacing w:lineRule="exact" w:line="276" w:before="0" w:after="70"/>
        <w:rPr/>
      </w:pPr>
      <w:r>
        <w:rPr>
          <w:rFonts w:eastAsia="Calibri" w:cs="Calibri"/>
          <w:b/>
          <w:bCs/>
          <w:i w:val="false"/>
          <w:iCs w:val="false"/>
          <w:color w:val="1A1A1A"/>
          <w:sz w:val="21"/>
          <w:szCs w:val="21"/>
        </w:rPr>
        <w:t xml:space="preserve">In-service — </w:t>
      </w:r>
      <w:r>
        <w:rPr>
          <w:rFonts w:eastAsia="Calibri" w:cs="Calibri"/>
          <w:b w:val="false"/>
          <w:bCs w:val="false"/>
          <w:i w:val="false"/>
          <w:iCs w:val="false"/>
          <w:color w:val="1A1A1A"/>
          <w:sz w:val="21"/>
          <w:szCs w:val="21"/>
        </w:rPr>
        <w:t>Ongoing periodic training that keeps staff current on scope, safety, confidentiality, abuse reporting, and client-specific needs.</w:t>
      </w:r>
    </w:p>
    <w:p>
      <w:pPr>
        <w:pStyle w:val="Normal"/>
        <w:spacing w:lineRule="exact" w:line="276" w:before="0" w:after="70"/>
        <w:rPr/>
      </w:pPr>
      <w:r>
        <w:rPr>
          <w:rFonts w:eastAsia="Calibri" w:cs="Calibri"/>
          <w:b/>
          <w:bCs/>
          <w:i w:val="false"/>
          <w:iCs w:val="false"/>
          <w:color w:val="1A1A1A"/>
          <w:sz w:val="21"/>
          <w:szCs w:val="21"/>
        </w:rPr>
        <w:t xml:space="preserve">Training matrix — </w:t>
      </w:r>
      <w:r>
        <w:rPr>
          <w:rFonts w:eastAsia="Calibri" w:cs="Calibri"/>
          <w:b w:val="false"/>
          <w:bCs w:val="false"/>
          <w:i w:val="false"/>
          <w:iCs w:val="false"/>
          <w:color w:val="1A1A1A"/>
          <w:sz w:val="21"/>
          <w:szCs w:val="21"/>
        </w:rPr>
        <w:t>The agency-wide record showing which staff have completed which required trainings and when they are next due.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annual emergency management training covering evacuation procedures, emergency communication, and disaster readiness, so staff know how to respond during hurricanes and other emergencies and how to check on and support clients consistent with the agency’s emergency management plan. Training is documented for each staff member.</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in-service training on the non-medical scope boundary, client rights and confidentiality, abuse and exploitation reporting, infection prevention, client-specific needs, and any topic identified through supervision or complaints. In-service reinforces the behaviors that keep clients safe and the agency compliant.</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training matrix showing each staff member’s completion and due dates for HIV/AIDS, ADRD (where applicable), emergency management, and other required in-service. The Administrator reviews the matrix regularly and schedules training so nothing lapses.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annual emergency management training covering evacuation, communication, and readiness.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Schedule ongoing in-service on scope, rights, confidentiality, abuse reporting, and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staff member’s completion in the training matrix and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Identify in-service topics from supervision, incidents, and complaint trends.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the training matrix regularly and schedule upcoming trainings.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Retrain promptly when a deficiency or scope drift is identified.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training currency before AHCA inspections and renewals.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Management Training Record · In-Service Attendance Log · Training Matrix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Supervision of Homemakers &amp; Companions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Homemakers &amp; Companions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59A-8.025(6),(9), F.A.C.; s. 400.509,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supervised so services are delivered adequately, safely, and within scope. Supervision is how the agency catches scope drift, quality problems, and client-condition changes before they become harm or a compliance violation.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Supervision — </w:t>
      </w:r>
      <w:r>
        <w:rPr>
          <w:rFonts w:eastAsia="Calibri" w:cs="Calibri"/>
          <w:b w:val="false"/>
          <w:bCs w:val="false"/>
          <w:i w:val="false"/>
          <w:iCs w:val="false"/>
          <w:color w:val="1A1A1A"/>
          <w:sz w:val="21"/>
          <w:szCs w:val="21"/>
        </w:rPr>
        <w:t>The agency’s oversight of staff performance, scope compliance, and client satisfaction through contacts, reviews, and observation.</w:t>
      </w:r>
    </w:p>
    <w:p>
      <w:pPr>
        <w:pStyle w:val="Normal"/>
        <w:spacing w:lineRule="exact" w:line="276" w:before="0" w:after="70"/>
        <w:rPr/>
      </w:pPr>
      <w:r>
        <w:rPr>
          <w:rFonts w:eastAsia="Calibri" w:cs="Calibri"/>
          <w:b/>
          <w:bCs/>
          <w:i w:val="false"/>
          <w:iCs w:val="false"/>
          <w:color w:val="1A1A1A"/>
          <w:sz w:val="21"/>
          <w:szCs w:val="21"/>
        </w:rPr>
        <w:t xml:space="preserve">Supervisory contact — </w:t>
      </w:r>
      <w:r>
        <w:rPr>
          <w:rFonts w:eastAsia="Calibri" w:cs="Calibri"/>
          <w:b w:val="false"/>
          <w:bCs w:val="false"/>
          <w:i w:val="false"/>
          <w:iCs w:val="false"/>
          <w:color w:val="1A1A1A"/>
          <w:sz w:val="21"/>
          <w:szCs w:val="21"/>
        </w:rPr>
        <w:t>A documented check-in — by visit, call, or review — with staff and/or clients to confirm services are on track.</w:t>
      </w:r>
    </w:p>
    <w:p>
      <w:pPr>
        <w:pStyle w:val="Normal"/>
        <w:spacing w:lineRule="exact" w:line="276" w:before="0" w:after="70"/>
        <w:rPr/>
      </w:pPr>
      <w:r>
        <w:rPr>
          <w:rFonts w:eastAsia="Calibri" w:cs="Calibri"/>
          <w:b/>
          <w:bCs/>
          <w:i w:val="false"/>
          <w:iCs w:val="false"/>
          <w:color w:val="1A1A1A"/>
          <w:sz w:val="21"/>
          <w:szCs w:val="21"/>
        </w:rPr>
        <w:t xml:space="preserve">Corrective action — </w:t>
      </w:r>
      <w:r>
        <w:rPr>
          <w:rFonts w:eastAsia="Calibri" w:cs="Calibri"/>
          <w:b w:val="false"/>
          <w:bCs w:val="false"/>
          <w:i w:val="false"/>
          <w:iCs w:val="false"/>
          <w:color w:val="1A1A1A"/>
          <w:sz w:val="21"/>
          <w:szCs w:val="21"/>
        </w:rPr>
        <w:t>The steps the agency takes when supervision reveals a performance or compliance problem, up to retraining or termination.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supervises its homemakers and companions to confirm that services are delivered according to the service plan, within the non-medical scope, and to the client’s satisfaction. For staff serving clients outside the primary geographic service area, the agency follows its documented out-of-county supervision plan (Rule 59A-8.025(6)). The agency is responsible for supplying staff capable of delivering the agreed services, including all visits (Rule 59A-8.025(9)).</w:t>
      </w:r>
    </w:p>
    <w:p>
      <w:pPr>
        <w:pStyle w:val="Normal"/>
        <w:spacing w:lineRule="exact" w:line="276" w:before="0" w:after="120"/>
        <w:jc w:val="start"/>
        <w:rPr/>
      </w:pPr>
      <w:r>
        <w:rPr>
          <w:rFonts w:eastAsia="Calibri" w:cs="Calibri"/>
          <w:b w:val="false"/>
          <w:bCs w:val="false"/>
          <w:i w:val="false"/>
          <w:iCs w:val="false"/>
          <w:color w:val="1A1A1A"/>
          <w:sz w:val="21"/>
          <w:szCs w:val="21"/>
        </w:rPr>
        <w:t>Supervision includes reviewing service documentation, conducting supervisory contacts with staff and clients, and observing service delivery as appropriate. Supervisors specifically check for scope compliance — that no staff member has drifted into hands-on personal care or medication assistance — and for any change in the client’s condition that requires reassessment or referral.</w:t>
      </w:r>
    </w:p>
    <w:p>
      <w:pPr>
        <w:pStyle w:val="Normal"/>
        <w:spacing w:lineRule="exact" w:line="276" w:before="0" w:after="120"/>
        <w:jc w:val="start"/>
        <w:rPr/>
      </w:pPr>
      <w:r>
        <w:rPr>
          <w:rFonts w:eastAsia="Calibri" w:cs="Calibri"/>
          <w:b w:val="false"/>
          <w:bCs w:val="false"/>
          <w:i w:val="false"/>
          <w:iCs w:val="false"/>
          <w:color w:val="1A1A1A"/>
          <w:sz w:val="21"/>
          <w:szCs w:val="21"/>
        </w:rPr>
        <w:t>When supervision reveals a problem, the agency takes corrective action, from coaching and retraining to reassignment or termination, and documents it. Patterns identified through supervision feed the agency’s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Set a supervision schedule appropriate to each client and staff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and document supervisory contacts with staff and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service documentation for completeness, timeliness, and scope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service delivery periodically, including for out-of-county assignments per the supervision plan.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Check for scope drift and client-condition changes at each supervisory contact.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and document corrective action when problems are found.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Escalate client-condition changes for reassessment or referral to a licensed provider.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Feed supervision findings into the quality program.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Contact Log · Service Documentation Review · Corrective Action Record · Out-of-County Supervision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Employees, Independent Contractors &amp;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Employees, Independent Contractors &amp;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Rule 59A-8.025, F.A.C.; s. 400.512 (screening applies to contractors)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apply the agency’s screening, training, and scope rules equally to employees and independent contractors, and to ensure no one who provides services carries a communicable disease that could endanger clients. Vulnerable clients require that everyone entering the home be screened and healthy, regardless of worker classification.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Independent contractor — </w:t>
      </w:r>
      <w:r>
        <w:rPr>
          <w:rFonts w:eastAsia="Calibri" w:cs="Calibri"/>
          <w:b w:val="false"/>
          <w:bCs w:val="false"/>
          <w:i w:val="false"/>
          <w:iCs w:val="false"/>
          <w:color w:val="1A1A1A"/>
          <w:sz w:val="21"/>
          <w:szCs w:val="21"/>
        </w:rPr>
        <w:t>A worker engaged by the agency to deliver services who is not a W-2 employee; screening, training, and scope rules apply regardless of classification.</w:t>
      </w:r>
    </w:p>
    <w:p>
      <w:pPr>
        <w:pStyle w:val="Normal"/>
        <w:spacing w:lineRule="exact" w:line="276" w:before="0" w:after="70"/>
        <w:rPr/>
      </w:pPr>
      <w:r>
        <w:rPr>
          <w:rFonts w:eastAsia="Calibri" w:cs="Calibri"/>
          <w:b/>
          <w:bCs/>
          <w:i w:val="false"/>
          <w:iCs w:val="false"/>
          <w:color w:val="1A1A1A"/>
          <w:sz w:val="21"/>
          <w:szCs w:val="21"/>
        </w:rPr>
        <w:t xml:space="preserve">Communicable disease — </w:t>
      </w:r>
      <w:r>
        <w:rPr>
          <w:rFonts w:eastAsia="Calibri" w:cs="Calibri"/>
          <w:b w:val="false"/>
          <w:bCs w:val="false"/>
          <w:i w:val="false"/>
          <w:iCs w:val="false"/>
          <w:color w:val="1A1A1A"/>
          <w:sz w:val="21"/>
          <w:szCs w:val="21"/>
        </w:rPr>
        <w:t>An illness transmissible to others; staff and contractors must be free from communicable disease that would endanger clients.</w:t>
      </w:r>
    </w:p>
    <w:p>
      <w:pPr>
        <w:pStyle w:val="Normal"/>
        <w:spacing w:lineRule="exact" w:line="276" w:before="0" w:after="70"/>
        <w:rPr/>
      </w:pPr>
      <w:r>
        <w:rPr>
          <w:rFonts w:eastAsia="Calibri" w:cs="Calibri"/>
          <w:b/>
          <w:bCs/>
          <w:i w:val="false"/>
          <w:iCs w:val="false"/>
          <w:color w:val="1A1A1A"/>
          <w:sz w:val="21"/>
          <w:szCs w:val="21"/>
        </w:rPr>
        <w:t xml:space="preserve">Worker classification — </w:t>
      </w:r>
      <w:r>
        <w:rPr>
          <w:rFonts w:eastAsia="Calibri" w:cs="Calibri"/>
          <w:b w:val="false"/>
          <w:bCs w:val="false"/>
          <w:i w:val="false"/>
          <w:iCs w:val="false"/>
          <w:color w:val="1A1A1A"/>
          <w:sz w:val="21"/>
          <w:szCs w:val="21"/>
        </w:rPr>
        <w:t>The legal determination of employee versus independent contractor status, made under applicable law and not used to evade screening or scope requirements.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the same Level 2 screening, training, scope, and supervision requirements to independent contractors as to employees; classification never reduces the protections owed to clients. Every person who provides services under the agency’s registration is screened and trained before entering a client’s home and works strictly within the non-medical scope.</w:t>
      </w:r>
    </w:p>
    <w:p>
      <w:pPr>
        <w:pStyle w:val="Normal"/>
        <w:spacing w:lineRule="exact" w:line="276" w:before="0" w:after="120"/>
        <w:jc w:val="start"/>
        <w:rPr/>
      </w:pPr>
      <w:r>
        <w:rPr>
          <w:rFonts w:eastAsia="Calibri" w:cs="Calibri"/>
          <w:b w:val="false"/>
          <w:bCs w:val="false"/>
          <w:i w:val="false"/>
          <w:iCs w:val="false"/>
          <w:color w:val="1A1A1A"/>
          <w:sz w:val="21"/>
          <w:szCs w:val="21"/>
        </w:rPr>
        <w:t>The agency requires that staff and contractors who provide services be free from communicable disease that could endanger clients, and it addresses any health concern that affects the ability to serve safely. Staff are instructed not to work in a client’s home while contagious and to follow the agency’s infection-prevention practices.</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under applicable law and does not use contractor status to avoid screening, training, or supervision obligations. Contractor agreements incorporate the agency’s scope, screening, confidentiality, and conduct requirements.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screening, training, scope, and supervision rules to all contractors and employees alike.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Incorporate scope, screening, confidentiality, and conduct terms into contractor agreements.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each worker is free from communicable disease that could endanger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Instruct staff not to work in client homes while contagious and to follow infection-prevention steps.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screening and training completion before any contractor serves a client.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Supervise contractors on the same basis as employees, including out-of-county plans.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worker classification determinations under applicable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Independent Contractor Agreement (scope/screening terms) · Health Attestation · Screening &amp; Training Verification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describes how [Agency Name] delivers companion and homemaker services day to day, documents them, handles transportation and errands, responds to changes in a client’s condition, and reports incidents — all within the non-medical scope.</w:t>
      </w:r>
    </w:p>
    <w:p>
      <w:pPr>
        <w:pStyle w:val="Normal"/>
        <w:keepNext w:val="true"/>
        <w:spacing w:before="240" w:after="100"/>
        <w:rPr/>
      </w:pPr>
      <w:r>
        <w:rPr>
          <w:rFonts w:eastAsia="Calibri" w:cs="Calibri"/>
          <w:b/>
          <w:bCs/>
          <w:i w:val="false"/>
          <w:iCs w:val="false"/>
          <w:color w:val="1F3A5F"/>
          <w:sz w:val="24"/>
          <w:szCs w:val="24"/>
        </w:rPr>
        <w:t>Policy 4.1 — Companion Services Delivery Standards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Companion Services Delivery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staff deliver companion services — companionship, supervision, and socialization — safely and within scope. Companion services keep clients engaged and safe at home without any hands-on care, and clear standards keep staff on the right side of the non-medical line.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Companionship — </w:t>
      </w:r>
      <w:r>
        <w:rPr>
          <w:rFonts w:eastAsia="Calibri" w:cs="Calibri"/>
          <w:b w:val="false"/>
          <w:bCs w:val="false"/>
          <w:i w:val="false"/>
          <w:iCs w:val="false"/>
          <w:color w:val="1A1A1A"/>
          <w:sz w:val="21"/>
          <w:szCs w:val="21"/>
        </w:rPr>
        <w:t>Conversation, reading, games, hobbies, and social interaction that reduce isolation for the client.</w:t>
      </w:r>
    </w:p>
    <w:p>
      <w:pPr>
        <w:pStyle w:val="Normal"/>
        <w:spacing w:lineRule="exact" w:line="276" w:before="0" w:after="70"/>
        <w:rPr/>
      </w:pPr>
      <w:r>
        <w:rPr>
          <w:rFonts w:eastAsia="Calibri" w:cs="Calibri"/>
          <w:b/>
          <w:bCs/>
          <w:i w:val="false"/>
          <w:iCs w:val="false"/>
          <w:color w:val="1A1A1A"/>
          <w:sz w:val="21"/>
          <w:szCs w:val="21"/>
        </w:rPr>
        <w:t xml:space="preserve">Supervision (companion) — </w:t>
      </w:r>
      <w:r>
        <w:rPr>
          <w:rFonts w:eastAsia="Calibri" w:cs="Calibri"/>
          <w:b w:val="false"/>
          <w:bCs w:val="false"/>
          <w:i w:val="false"/>
          <w:iCs w:val="false"/>
          <w:color w:val="1A1A1A"/>
          <w:sz w:val="21"/>
          <w:szCs w:val="21"/>
        </w:rPr>
        <w:t>Being present to monitor a client’s general safety and well-being and to summon help if needed, without providing hands-on care.</w:t>
      </w:r>
    </w:p>
    <w:p>
      <w:pPr>
        <w:pStyle w:val="Normal"/>
        <w:spacing w:lineRule="exact" w:line="276" w:before="0" w:after="70"/>
        <w:rPr/>
      </w:pPr>
      <w:r>
        <w:rPr>
          <w:rFonts w:eastAsia="Calibri" w:cs="Calibri"/>
          <w:b/>
          <w:bCs/>
          <w:i w:val="false"/>
          <w:iCs w:val="false"/>
          <w:color w:val="1A1A1A"/>
          <w:sz w:val="21"/>
          <w:szCs w:val="21"/>
        </w:rPr>
        <w:t xml:space="preserve">Medication reminder — </w:t>
      </w:r>
      <w:r>
        <w:rPr>
          <w:rFonts w:eastAsia="Calibri" w:cs="Calibri"/>
          <w:b w:val="false"/>
          <w:bCs w:val="false"/>
          <w:i w:val="false"/>
          <w:iCs w:val="false"/>
          <w:color w:val="1A1A1A"/>
          <w:sz w:val="21"/>
          <w:szCs w:val="21"/>
        </w:rPr>
        <w:t>A verbal prompt that it is time to take medication; it never includes handling, pouring, or administering medication.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companions provide companionship, supervision, and socialization: conversation and activities, accompaniment to appointments and community activities, general safety monitoring, and verbal reminders (including medication reminders that prompt but never handle or administer medication). Companions may serve a small group of no more than three recipients where appropriate.</w:t>
      </w:r>
    </w:p>
    <w:p>
      <w:pPr>
        <w:pStyle w:val="Normal"/>
        <w:spacing w:lineRule="exact" w:line="276" w:before="0" w:after="120"/>
        <w:jc w:val="start"/>
        <w:rPr/>
      </w:pPr>
      <w:r>
        <w:rPr>
          <w:rFonts w:eastAsia="Calibri" w:cs="Calibri"/>
          <w:b w:val="false"/>
          <w:bCs w:val="false"/>
          <w:i w:val="false"/>
          <w:iCs w:val="false"/>
          <w:color w:val="1A1A1A"/>
          <w:sz w:val="21"/>
          <w:szCs w:val="21"/>
        </w:rPr>
        <w:t>Companions do not provide hands-on personal care, do not physically assist with mobility beyond incidental non-care presence, and do not administer or handle medication. If a client needs physical help, the companion summons appropriate help and reports the need to the agency rather than performing the task.</w:t>
      </w:r>
    </w:p>
    <w:p>
      <w:pPr>
        <w:pStyle w:val="Normal"/>
        <w:spacing w:lineRule="exact" w:line="276" w:before="0" w:after="120"/>
        <w:jc w:val="start"/>
        <w:rPr/>
      </w:pPr>
      <w:r>
        <w:rPr>
          <w:rFonts w:eastAsia="Calibri" w:cs="Calibri"/>
          <w:b w:val="false"/>
          <w:bCs w:val="false"/>
          <w:i w:val="false"/>
          <w:iCs w:val="false"/>
          <w:color w:val="1A1A1A"/>
          <w:sz w:val="21"/>
          <w:szCs w:val="21"/>
        </w:rPr>
        <w:t>Companions follow the individualized service plan and task list, respect client preferences and privacy, and document the visit. They report any safety concern, change in condition, or out-of-scope request to the Administrator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companionship and socialization per the service plan and client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general safety supervision and summon help when needed rather than giving hands-on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Give verbal reminders only; never handle, pour, or administer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Accompany the client to appointments or activities as planned, following transportation rules.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the visit, activities, and any concerns.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changes in condition or out-of-scope requests to the Administrator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client privacy and dignity throughout.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Companion Visit Note · Authorized Task List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Homemaker Services Delivery Standards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Homemaker Services Delivery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400.509, Fla. Stat.;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how staff deliver homemaker services — meal preparation, light housekeeping, laundry, and shopping — safely and within scope. Homemaker services help clients remain independent at home, and clear standards ensure quality without crossing into personal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Light housekeeping — </w:t>
      </w:r>
      <w:r>
        <w:rPr>
          <w:rFonts w:eastAsia="Calibri" w:cs="Calibri"/>
          <w:b w:val="false"/>
          <w:bCs w:val="false"/>
          <w:i w:val="false"/>
          <w:iCs w:val="false"/>
          <w:color w:val="1A1A1A"/>
          <w:sz w:val="21"/>
          <w:szCs w:val="21"/>
        </w:rPr>
        <w:t>Routine tidying, dishes, surface cleaning, trash, and keeping the client’s living areas safe and orderly — not heavy or hazardous cleaning.</w:t>
      </w:r>
    </w:p>
    <w:p>
      <w:pPr>
        <w:pStyle w:val="Normal"/>
        <w:spacing w:lineRule="exact" w:line="276" w:before="0" w:after="70"/>
        <w:rPr/>
      </w:pPr>
      <w:r>
        <w:rPr>
          <w:rFonts w:eastAsia="Calibri" w:cs="Calibri"/>
          <w:b/>
          <w:bCs/>
          <w:i w:val="false"/>
          <w:iCs w:val="false"/>
          <w:color w:val="1A1A1A"/>
          <w:sz w:val="21"/>
          <w:szCs w:val="21"/>
        </w:rPr>
        <w:t xml:space="preserve">Meal preparation — </w:t>
      </w:r>
      <w:r>
        <w:rPr>
          <w:rFonts w:eastAsia="Calibri" w:cs="Calibri"/>
          <w:b w:val="false"/>
          <w:bCs w:val="false"/>
          <w:i w:val="false"/>
          <w:iCs w:val="false"/>
          <w:color w:val="1A1A1A"/>
          <w:sz w:val="21"/>
          <w:szCs w:val="21"/>
        </w:rPr>
        <w:t>Planning and preparing meals to the client’s preferences and any documented dietary guidance, without feeding the client by hand.</w:t>
      </w:r>
    </w:p>
    <w:p>
      <w:pPr>
        <w:pStyle w:val="Normal"/>
        <w:spacing w:lineRule="exact" w:line="276" w:before="0" w:after="70"/>
        <w:rPr/>
      </w:pPr>
      <w:r>
        <w:rPr>
          <w:rFonts w:eastAsia="Calibri" w:cs="Calibri"/>
          <w:b/>
          <w:bCs/>
          <w:i w:val="false"/>
          <w:iCs w:val="false"/>
          <w:color w:val="1A1A1A"/>
          <w:sz w:val="21"/>
          <w:szCs w:val="21"/>
        </w:rPr>
        <w:t xml:space="preserve">Home safety awareness — </w:t>
      </w:r>
      <w:r>
        <w:rPr>
          <w:rFonts w:eastAsia="Calibri" w:cs="Calibri"/>
          <w:b w:val="false"/>
          <w:bCs w:val="false"/>
          <w:i w:val="false"/>
          <w:iCs w:val="false"/>
          <w:color w:val="1A1A1A"/>
          <w:sz w:val="21"/>
          <w:szCs w:val="21"/>
        </w:rPr>
        <w:t>Noticing and reporting hazards — spills, clutter, spoiled food, non-working smoke alarms — that affect client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homemakers provide meal preparation, light housekeeping, laundry, and shopping to help clients live safely and comfortably at home. Staff prepare meals to client preferences and any documented dietary guidance, keep living areas clean and orderly, do laundry, and shop for groceries and household needs. Staff practice home safety awareness and report hazards to the agency.</w:t>
      </w:r>
    </w:p>
    <w:p>
      <w:pPr>
        <w:pStyle w:val="Normal"/>
        <w:spacing w:lineRule="exact" w:line="276" w:before="0" w:after="120"/>
        <w:jc w:val="start"/>
        <w:rPr/>
      </w:pPr>
      <w:r>
        <w:rPr>
          <w:rFonts w:eastAsia="Calibri" w:cs="Calibri"/>
          <w:b w:val="false"/>
          <w:bCs w:val="false"/>
          <w:i w:val="false"/>
          <w:iCs w:val="false"/>
          <w:color w:val="1A1A1A"/>
          <w:sz w:val="21"/>
          <w:szCs w:val="21"/>
        </w:rPr>
        <w:t>Homemaker staff do not perform hands-on personal care, do not feed clients by hand, and do not perform tasks requiring clinical judgment. Where a task exceeds the non-medical scope or the client’s needs change, staff report to the Administrator rather than expanding their duties.</w:t>
      </w:r>
    </w:p>
    <w:p>
      <w:pPr>
        <w:pStyle w:val="Normal"/>
        <w:spacing w:lineRule="exact" w:line="276" w:before="0" w:after="120"/>
        <w:jc w:val="start"/>
        <w:rPr/>
      </w:pPr>
      <w:r>
        <w:rPr>
          <w:rFonts w:eastAsia="Calibri" w:cs="Calibri"/>
          <w:b w:val="false"/>
          <w:bCs w:val="false"/>
          <w:i w:val="false"/>
          <w:iCs w:val="false"/>
          <w:color w:val="1A1A1A"/>
          <w:sz w:val="21"/>
          <w:szCs w:val="21"/>
        </w:rPr>
        <w:t>Homemakers follow the service plan and task list, respect the client’s home and property, document services delivered, and handle any client funds for shopping under the client-funds policy.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Prepare meals per client preferences and documented dietary guidance, without hand-feeding.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Perform light housekeeping and laundry to keep living areas safe and orderly.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Shop for groceries and household needs following the client-funds policy.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Practice home safety awareness and report hazards to the agency.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Stay within scope; report tasks that exceed non-medical homemaker duties.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services delivered on the visit note.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Respect the client’s home, property, and preferences throughout.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Homemaker Visit Note · Authorized Task List · Home Safety Hazard Report · Client-Funds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Transportation &amp; Errands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Transportation &amp; Errands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agency insurance and driving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clients safe when staff transport them or run errands. Transportation is a common companion/homemaker service and a real source of risk, so the agency sets driver, vehicle, and documentation standards.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transportation — </w:t>
      </w:r>
      <w:r>
        <w:rPr>
          <w:rFonts w:eastAsia="Calibri" w:cs="Calibri"/>
          <w:b w:val="false"/>
          <w:bCs w:val="false"/>
          <w:i w:val="false"/>
          <w:iCs w:val="false"/>
          <w:color w:val="1A1A1A"/>
          <w:sz w:val="21"/>
          <w:szCs w:val="21"/>
        </w:rPr>
        <w:t>Driving a client to appointments, activities, shopping, or errands as part of companion or homemaker services.</w:t>
      </w:r>
    </w:p>
    <w:p>
      <w:pPr>
        <w:pStyle w:val="Normal"/>
        <w:spacing w:lineRule="exact" w:line="276" w:before="0" w:after="70"/>
        <w:rPr/>
      </w:pPr>
      <w:r>
        <w:rPr>
          <w:rFonts w:eastAsia="Calibri" w:cs="Calibri"/>
          <w:b/>
          <w:bCs/>
          <w:i w:val="false"/>
          <w:iCs w:val="false"/>
          <w:color w:val="1A1A1A"/>
          <w:sz w:val="21"/>
          <w:szCs w:val="21"/>
        </w:rPr>
        <w:t xml:space="preserve">Errand — </w:t>
      </w:r>
      <w:r>
        <w:rPr>
          <w:rFonts w:eastAsia="Calibri" w:cs="Calibri"/>
          <w:b w:val="false"/>
          <w:bCs w:val="false"/>
          <w:i w:val="false"/>
          <w:iCs w:val="false"/>
          <w:color w:val="1A1A1A"/>
          <w:sz w:val="21"/>
          <w:szCs w:val="21"/>
        </w:rPr>
        <w:t>A task done on the client’s behalf, such as grocery shopping or picking up items, using client funds under the client-funds policy.</w:t>
      </w:r>
    </w:p>
    <w:p>
      <w:pPr>
        <w:pStyle w:val="Normal"/>
        <w:spacing w:lineRule="exact" w:line="276" w:before="0" w:after="70"/>
        <w:rPr/>
      </w:pPr>
      <w:r>
        <w:rPr>
          <w:rFonts w:eastAsia="Calibri" w:cs="Calibri"/>
          <w:b/>
          <w:bCs/>
          <w:i w:val="false"/>
          <w:iCs w:val="false"/>
          <w:color w:val="1A1A1A"/>
          <w:sz w:val="21"/>
          <w:szCs w:val="21"/>
        </w:rPr>
        <w:t xml:space="preserve">Driving standards — </w:t>
      </w:r>
      <w:r>
        <w:rPr>
          <w:rFonts w:eastAsia="Calibri" w:cs="Calibri"/>
          <w:b w:val="false"/>
          <w:bCs w:val="false"/>
          <w:i w:val="false"/>
          <w:iCs w:val="false"/>
          <w:color w:val="1A1A1A"/>
          <w:sz w:val="21"/>
          <w:szCs w:val="21"/>
        </w:rPr>
        <w:t>The agency’s requirements for a valid license, acceptable driving record, and appropriate insurance for staff who transport clients or run errands.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who transport clients or drive for errands hold a valid Florida driver license, maintain an acceptable driving record, and comply with the agency’s insurance requirements. The agency verifies these before assigning driving duties and periodically thereafter. Vehicles used to transport clients are maintained and safe.</w:t>
      </w:r>
    </w:p>
    <w:p>
      <w:pPr>
        <w:pStyle w:val="Normal"/>
        <w:spacing w:lineRule="exact" w:line="276" w:before="0" w:after="120"/>
        <w:jc w:val="start"/>
        <w:rPr/>
      </w:pPr>
      <w:r>
        <w:rPr>
          <w:rFonts w:eastAsia="Calibri" w:cs="Calibri"/>
          <w:b w:val="false"/>
          <w:bCs w:val="false"/>
          <w:i w:val="false"/>
          <w:iCs w:val="false"/>
          <w:color w:val="1A1A1A"/>
          <w:sz w:val="21"/>
          <w:szCs w:val="21"/>
        </w:rPr>
        <w:t>Staff assist clients into and out of vehicles only within the non-medical scope — offering a steadying arm or presence, not lifting or transferring — and summon appropriate help when a client needs physical assistance beyond that. Staff follow safe-driving practices and never leave a vulnerable client unattended where doing so would be unsafe.</w:t>
      </w:r>
    </w:p>
    <w:p>
      <w:pPr>
        <w:pStyle w:val="Normal"/>
        <w:spacing w:lineRule="exact" w:line="276" w:before="0" w:after="120"/>
        <w:jc w:val="start"/>
        <w:rPr/>
      </w:pPr>
      <w:r>
        <w:rPr>
          <w:rFonts w:eastAsia="Calibri" w:cs="Calibri"/>
          <w:b w:val="false"/>
          <w:bCs w:val="false"/>
          <w:i w:val="false"/>
          <w:iCs w:val="false"/>
          <w:color w:val="1A1A1A"/>
          <w:sz w:val="21"/>
          <w:szCs w:val="21"/>
        </w:rPr>
        <w:t>Errands are performed under the client-funds policy, with receipts and documentation. Transportation and errands are recorded in the visit note, including mileage where relevant to billing or reimbursement.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valid license, acceptable driving record, and insurance before assigning driving duties.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vehicle used for client transport is maintained and safe.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only non-medical assistance entering/exiting vehicles; summon help for physical transfers.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safe-driving practices and never leave a vulnerable client unsafely unattended.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Perform errands under the client-funds policy with receipts.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transportation and errands, including mileage where relevant.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Re-verify driving eligibility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Driver Eligibility Verification · Vehicle Safety Check · Transportation &amp; Mileage Log · Client-Funds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Service Documentation &amp; Records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&amp; Records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s. 400.509, Fla. Stat.; 3-year retention standard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services delivered and retain records so the agency can prove service, support billing, and satisfy AHCA. Good documentation is the agency’s evidence of what it did and its protection in disputes and inspections.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record — </w:t>
      </w:r>
      <w:r>
        <w:rPr>
          <w:rFonts w:eastAsia="Calibri" w:cs="Calibri"/>
          <w:b w:val="false"/>
          <w:bCs w:val="false"/>
          <w:i w:val="false"/>
          <w:iCs w:val="false"/>
          <w:color w:val="1A1A1A"/>
          <w:sz w:val="21"/>
          <w:szCs w:val="21"/>
        </w:rPr>
        <w:t>The documentation of services delivered to a client, including visit notes, the service plan, and the agreement.</w:t>
      </w:r>
    </w:p>
    <w:p>
      <w:pPr>
        <w:pStyle w:val="Normal"/>
        <w:spacing w:lineRule="exact" w:line="276" w:before="0" w:after="70"/>
        <w:rPr/>
      </w:pPr>
      <w:r>
        <w:rPr>
          <w:rFonts w:eastAsia="Calibri" w:cs="Calibri"/>
          <w:b/>
          <w:bCs/>
          <w:i w:val="false"/>
          <w:iCs w:val="false"/>
          <w:color w:val="1A1A1A"/>
          <w:sz w:val="21"/>
          <w:szCs w:val="21"/>
        </w:rPr>
        <w:t xml:space="preserve">Visit note — </w:t>
      </w:r>
      <w:r>
        <w:rPr>
          <w:rFonts w:eastAsia="Calibri" w:cs="Calibri"/>
          <w:b w:val="false"/>
          <w:bCs w:val="false"/>
          <w:i w:val="false"/>
          <w:iCs w:val="false"/>
          <w:color w:val="1A1A1A"/>
          <w:sz w:val="21"/>
          <w:szCs w:val="21"/>
        </w:rPr>
        <w:t>The record a staff member completes for each visit describing services provided, time, and any concerns.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minimum time records must be kept; the agency retains service records for at least three years after the last entry, consistent with the standard for homemaker and companion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services delivered to each client through visit notes and maintains the service agreement, individualized service plan, task list, and related records in the client file. Documentation is timely, accurate, and sufficient to show that services were delivered as agreed and within scope, and to support any billing.</w:t>
      </w:r>
    </w:p>
    <w:p>
      <w:pPr>
        <w:pStyle w:val="Normal"/>
        <w:spacing w:lineRule="exact" w:line="276" w:before="0" w:after="120"/>
        <w:jc w:val="start"/>
        <w:rPr/>
      </w:pPr>
      <w:r>
        <w:rPr>
          <w:rFonts w:eastAsia="Calibri" w:cs="Calibri"/>
          <w:b w:val="false"/>
          <w:bCs w:val="false"/>
          <w:i w:val="false"/>
          <w:iCs w:val="false"/>
          <w:color w:val="1A1A1A"/>
          <w:sz w:val="21"/>
          <w:szCs w:val="21"/>
        </w:rPr>
        <w:t>The agency retains client and service records for at least three years after the date of the last entry of client-related information, and retains personnel, screening, and training records for the periods required by law. Records are stored securely and are available for AHCA inspection.</w:t>
      </w:r>
    </w:p>
    <w:p>
      <w:pPr>
        <w:pStyle w:val="Normal"/>
        <w:spacing w:lineRule="exact" w:line="276" w:before="0" w:after="120"/>
        <w:jc w:val="start"/>
        <w:rPr/>
      </w:pPr>
      <w:r>
        <w:rPr>
          <w:rFonts w:eastAsia="Calibri" w:cs="Calibri"/>
          <w:b w:val="false"/>
          <w:bCs w:val="false"/>
          <w:i w:val="false"/>
          <w:iCs w:val="false"/>
          <w:color w:val="1A1A1A"/>
          <w:sz w:val="21"/>
          <w:szCs w:val="21"/>
        </w:rPr>
        <w:t>The agency reconciles documentation against the service plan during supervision, corrects deficiencies, and disposes of records securely at the end of the retention period. Where the agency bills Medicaid, documentation also supports EVV and claims.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a timely, accurate visit note for every service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agreement, service plan, task list, and visit notes in the client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Reconcile documentation against the service plan during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client/service records at least three years after the last entry.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Retain personnel, screening, and training records for required periods.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Store records securely and produce them on AHCA request.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Dispose of records securely at the end of the retention period.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Where billing Medicaid, align documentation with EVV and claims.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Visit Note · Client File Index · Records Retention Schedule · Secure Disposal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Managing Changes in Client Condition &amp; Scope Limits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Managing Changes in Client Condition &amp; Scope Limits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59A-8.025(9), F.A.C.; s. 400.509, Fla. Stat.; scope boundary (Policy 1.2)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respond correctly when a client’s needs change so the client stays safe and the agency stays in scope. Clients’ conditions change; the agency’s job is to notice, reassess, and refer — never to quietly expand into personal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in condition — </w:t>
      </w:r>
      <w:r>
        <w:rPr>
          <w:rFonts w:eastAsia="Calibri" w:cs="Calibri"/>
          <w:b w:val="false"/>
          <w:bCs w:val="false"/>
          <w:i w:val="false"/>
          <w:iCs w:val="false"/>
          <w:color w:val="1A1A1A"/>
          <w:sz w:val="21"/>
          <w:szCs w:val="21"/>
        </w:rPr>
        <w:t>A decline or change in a client’s health, function, cognition, or safety that may affect the services they need.</w:t>
      </w:r>
    </w:p>
    <w:p>
      <w:pPr>
        <w:pStyle w:val="Normal"/>
        <w:spacing w:lineRule="exact" w:line="276" w:before="0" w:after="70"/>
        <w:rPr/>
      </w:pPr>
      <w:r>
        <w:rPr>
          <w:rFonts w:eastAsia="Calibri" w:cs="Calibri"/>
          <w:b/>
          <w:bCs/>
          <w:i w:val="false"/>
          <w:iCs w:val="false"/>
          <w:color w:val="1A1A1A"/>
          <w:sz w:val="21"/>
          <w:szCs w:val="21"/>
        </w:rPr>
        <w:t xml:space="preserve">Reassessment — </w:t>
      </w:r>
      <w:r>
        <w:rPr>
          <w:rFonts w:eastAsia="Calibri" w:cs="Calibri"/>
          <w:b w:val="false"/>
          <w:bCs w:val="false"/>
          <w:i w:val="false"/>
          <w:iCs w:val="false"/>
          <w:color w:val="1A1A1A"/>
          <w:sz w:val="21"/>
          <w:szCs w:val="21"/>
        </w:rPr>
        <w:t>The Administrator’s review of a changed client situation to decide whether services can continue within scope or a referral is needed.</w:t>
      </w:r>
    </w:p>
    <w:p>
      <w:pPr>
        <w:pStyle w:val="Normal"/>
        <w:spacing w:lineRule="exact" w:line="276" w:before="0" w:after="70"/>
        <w:rPr/>
      </w:pPr>
      <w:r>
        <w:rPr>
          <w:rFonts w:eastAsia="Calibri" w:cs="Calibri"/>
          <w:b/>
          <w:bCs/>
          <w:i w:val="false"/>
          <w:iCs w:val="false"/>
          <w:color w:val="1A1A1A"/>
          <w:sz w:val="21"/>
          <w:szCs w:val="21"/>
        </w:rPr>
        <w:t xml:space="preserve">Referral — </w:t>
      </w:r>
      <w:r>
        <w:rPr>
          <w:rFonts w:eastAsia="Calibri" w:cs="Calibri"/>
          <w:b w:val="false"/>
          <w:bCs w:val="false"/>
          <w:i w:val="false"/>
          <w:iCs w:val="false"/>
          <w:color w:val="1A1A1A"/>
          <w:sz w:val="21"/>
          <w:szCs w:val="21"/>
        </w:rPr>
        <w:t>Connecting the client to an appropriately licensed provider (home health agency, nurse registry) when needs exceed the non-medical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staff observe a change in a client’s condition — new difficulty with bathing or mobility, apparent medication problems, cognitive decline, or a safety concern — they report it to the Administrator promptly and document it. The agency does not respond by having staff begin hands-on personal care; that would violate the non-medical scope.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reassesses the situation and determines whether the agency can continue serving the client safely within the companion and homemaker scope. If the client now needs personal care, medication assistance, or nursing, the Administrator refers the client to an appropriately licensed provider and coordinates so the client is not left unsafe, documenting the referral.</w:t>
      </w:r>
    </w:p>
    <w:p>
      <w:pPr>
        <w:pStyle w:val="Normal"/>
        <w:spacing w:lineRule="exact" w:line="276" w:before="0" w:after="120"/>
        <w:jc w:val="start"/>
        <w:rPr/>
      </w:pPr>
      <w:r>
        <w:rPr>
          <w:rFonts w:eastAsia="Calibri" w:cs="Calibri"/>
          <w:b w:val="false"/>
          <w:bCs w:val="false"/>
          <w:i w:val="false"/>
          <w:iCs w:val="false"/>
          <w:color w:val="1A1A1A"/>
          <w:sz w:val="21"/>
          <w:szCs w:val="21"/>
        </w:rPr>
        <w:t>The agency updates the service plan to reflect any change it can safely accommodate within scope, communicates changes to the client and staff, and continues to monitor. Where the agency must discontinue services because needs exceed scope, it does so with reasonable notice and referral support.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to recognize and immediately report changes in client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reported change in the client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Administrator reassess whether services can continue within scope.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the client to a licensed provider when needs exceed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the referral so the client is not left unsafe.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the service plan for changes that can be safely accommodated within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Communicate changes to the client and staff and continue monitoring.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Provide reasonable notice and referral support if services must end.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Report · Reassessment Record · Referral to Licensed Provider Log · Service Plan Update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Incident Reporting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Ch. 408, Part II; Ch. 415, Fla. Stat. (abuse reporting cross-reference)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capture, respond to, and learn from incidents that occur during service. Documented incident handling protects clients, supports honest staff, and gives the agency data to prevent recurrence.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unexpected event affecting a client, staff member, or the service — injury, fall, property damage, allegation, safety event, or scope concern.</w:t>
      </w:r>
    </w:p>
    <w:p>
      <w:pPr>
        <w:pStyle w:val="Normal"/>
        <w:spacing w:lineRule="exact" w:line="276" w:before="0" w:after="70"/>
        <w:rPr/>
      </w:pPr>
      <w:r>
        <w:rPr>
          <w:rFonts w:eastAsia="Calibri" w:cs="Calibri"/>
          <w:b/>
          <w:bCs/>
          <w:i w:val="false"/>
          <w:iCs w:val="false"/>
          <w:color w:val="1A1A1A"/>
          <w:sz w:val="21"/>
          <w:szCs w:val="21"/>
        </w:rPr>
        <w:t xml:space="preserve">Incident report — </w:t>
      </w:r>
      <w:r>
        <w:rPr>
          <w:rFonts w:eastAsia="Calibri" w:cs="Calibri"/>
          <w:b w:val="false"/>
          <w:bCs w:val="false"/>
          <w:i w:val="false"/>
          <w:iCs w:val="false"/>
          <w:color w:val="1A1A1A"/>
          <w:sz w:val="21"/>
          <w:szCs w:val="21"/>
        </w:rPr>
        <w:t>The written record documenting what happened, the response, and follow-up.</w:t>
      </w:r>
    </w:p>
    <w:p>
      <w:pPr>
        <w:pStyle w:val="Normal"/>
        <w:spacing w:lineRule="exact" w:line="276" w:before="0" w:after="70"/>
        <w:rPr/>
      </w:pPr>
      <w:r>
        <w:rPr>
          <w:rFonts w:eastAsia="Calibri" w:cs="Calibri"/>
          <w:b/>
          <w:bCs/>
          <w:i w:val="false"/>
          <w:iCs w:val="false"/>
          <w:color w:val="1A1A1A"/>
          <w:sz w:val="21"/>
          <w:szCs w:val="21"/>
        </w:rPr>
        <w:t xml:space="preserve">Root-cause review — </w:t>
      </w:r>
      <w:r>
        <w:rPr>
          <w:rFonts w:eastAsia="Calibri" w:cs="Calibri"/>
          <w:b w:val="false"/>
          <w:bCs w:val="false"/>
          <w:i w:val="false"/>
          <w:iCs w:val="false"/>
          <w:color w:val="1A1A1A"/>
          <w:sz w:val="21"/>
          <w:szCs w:val="21"/>
        </w:rPr>
        <w:t>The agency’s analysis of why an incident happened and what change would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report incidents to the Administrator promptly and complete an incident report documenting the facts, the immediate response, and any injuries or harm. Incidents involving suspected abuse, neglect, or exploitation are also reported to the Florida Abuse Hotline under the agency’s reporting policy, and serious incidents are escalated immediately.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each incident, ensures the client’s immediate needs are met (including arranging appropriate help, which staff themselves may not provide beyond scope), and determines any required external reporting to AHCA or others. The agency communicates with the client or representative as appropriate.</w:t>
      </w:r>
    </w:p>
    <w:p>
      <w:pPr>
        <w:pStyle w:val="Normal"/>
        <w:spacing w:lineRule="exact" w:line="276" w:before="0" w:after="120"/>
        <w:jc w:val="start"/>
        <w:rPr/>
      </w:pPr>
      <w:r>
        <w:rPr>
          <w:rFonts w:eastAsia="Calibri" w:cs="Calibri"/>
          <w:b w:val="false"/>
          <w:bCs w:val="false"/>
          <w:i w:val="false"/>
          <w:iCs w:val="false"/>
          <w:color w:val="1A1A1A"/>
          <w:sz w:val="21"/>
          <w:szCs w:val="21"/>
        </w:rPr>
        <w:t>The agency conducts a root-cause review of significant incidents, implements corrective action, and tracks incidents in its quality program to identify and address patterns. Incident records are retained and kept confidential.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staff to report incidents to the Administrator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an incident report documenting facts, response, and any harm.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the client’s immediate needs are met, summoning appropriate help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suspected abuse/neglect/exploitation to the Florida Abuse Hotline and determine AHCA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Communicate with the client or representative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Conduct a root-cause review of significant incidents and implement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incidents in the quality program to identify patterns.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incident records securely and confidentially.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Root-Cause Review · Corrective Action Record · Abuse-Hotline Report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 MANAGEMENT</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protects clients and staff from harm. It sets the agency’s duties to report abuse, prepare for emergencies, prevent infection, keep the home environment safe, and protect the workforce — all within a non-medical service model serving vulnerable adults.</w:t>
      </w:r>
    </w:p>
    <w:p>
      <w:pPr>
        <w:pStyle w:val="Normal"/>
        <w:keepNext w:val="true"/>
        <w:spacing w:before="240" w:after="100"/>
        <w:rPr/>
      </w:pPr>
      <w:r>
        <w:rPr>
          <w:rFonts w:eastAsia="Calibri" w:cs="Calibri"/>
          <w:b/>
          <w:bCs/>
          <w:i w:val="false"/>
          <w:iCs w:val="false"/>
          <w:color w:val="1F3A5F"/>
          <w:sz w:val="24"/>
          <w:szCs w:val="24"/>
        </w:rPr>
        <w:t>Policy 5.1 — Abuse, Neglect &amp;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&amp;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 415, Fla. Stat. (Adult Protective Services Act); Florida Abuse Hotline 1-800-96-ABUSE; s. 400.512(5)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reports suspected abuse, neglect, or exploitation of a vulnerable adult immediately, as Florida law requires. Homemaker and companion staff are often alone with vulnerable clients and are well positioned to detect harm, so mandatory reporting is a core duty.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Vulnerable adult — </w:t>
      </w:r>
      <w:r>
        <w:rPr>
          <w:rFonts w:eastAsia="Calibri" w:cs="Calibri"/>
          <w:b w:val="false"/>
          <w:bCs w:val="false"/>
          <w:i w:val="false"/>
          <w:iCs w:val="false"/>
          <w:color w:val="1A1A1A"/>
          <w:sz w:val="21"/>
          <w:szCs w:val="21"/>
        </w:rPr>
        <w:t>A person 18 or older whose ability to perform normal activities or protect themselves is impaired, as defined in Ch. 415, Fla. Stat.</w:t>
      </w:r>
    </w:p>
    <w:p>
      <w:pPr>
        <w:pStyle w:val="Normal"/>
        <w:spacing w:lineRule="exact" w:line="276" w:before="0" w:after="70"/>
        <w:rPr/>
      </w:pPr>
      <w:r>
        <w:rPr>
          <w:rFonts w:eastAsia="Calibri" w:cs="Calibri"/>
          <w:b/>
          <w:bCs/>
          <w:i w:val="false"/>
          <w:iCs w:val="false"/>
          <w:color w:val="1A1A1A"/>
          <w:sz w:val="21"/>
          <w:szCs w:val="21"/>
        </w:rPr>
        <w:t xml:space="preserve">Mandatory reporter — </w:t>
      </w:r>
      <w:r>
        <w:rPr>
          <w:rFonts w:eastAsia="Calibri" w:cs="Calibri"/>
          <w:b w:val="false"/>
          <w:bCs w:val="false"/>
          <w:i w:val="false"/>
          <w:iCs w:val="false"/>
          <w:color w:val="1A1A1A"/>
          <w:sz w:val="21"/>
          <w:szCs w:val="21"/>
        </w:rPr>
        <w:t>Any person who knows or has reasonable cause to suspect abuse, neglect, or exploitation of a vulnerable adult and must report it under Ch. 415.</w:t>
      </w:r>
    </w:p>
    <w:p>
      <w:pPr>
        <w:pStyle w:val="Normal"/>
        <w:spacing w:lineRule="exact" w:line="276" w:before="0" w:after="70"/>
        <w:rPr/>
      </w:pPr>
      <w:r>
        <w:rPr>
          <w:rFonts w:eastAsia="Calibri" w:cs="Calibri"/>
          <w:b/>
          <w:bCs/>
          <w:i w:val="false"/>
          <w:iCs w:val="false"/>
          <w:color w:val="1A1A1A"/>
          <w:sz w:val="21"/>
          <w:szCs w:val="21"/>
        </w:rPr>
        <w:t xml:space="preserve">Florida Abuse Hotline — </w:t>
      </w:r>
      <w:r>
        <w:rPr>
          <w:rFonts w:eastAsia="Calibri" w:cs="Calibri"/>
          <w:b w:val="false"/>
          <w:bCs w:val="false"/>
          <w:i w:val="false"/>
          <w:iCs w:val="false"/>
          <w:color w:val="1A1A1A"/>
          <w:sz w:val="21"/>
          <w:szCs w:val="21"/>
        </w:rPr>
        <w:t>The Department of Children and Families hotline (1-800-96-ABUSE / 1-800-962-2873) for reporting suspected abuse, neglect, or exploitation.</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improper or unlawful use of a vulnerable adult’s funds, assets, or property.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[Agency Name] staff member is a mandatory reporter and must immediately report any knowledge or reasonable suspicion of abuse, neglect, or exploitation of a vulnerable adult to the Florida Abuse Hotline at 1-800-96-ABUSE, consistent with Chapter 415, Fla. Stat. Reporting is a personal legal duty that does not depend on the Administrator’s approval; staff report first and notify the agency.</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to recognize signs of abuse, neglect, and exploitation — including financial exploitation they may detect through client-funds handling — and to report without delay. The agency does not retaliate against a staff member for making a good-faith report, and it terminates and reports any employee found to have abused, neglected, or exploited a client. Consistent with s. 400.512(5), the agency may terminate an employee upon a confirmed report of adult abuse, neglect, or exploitation.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reports were made, cooperates with investigations by the Department of Children and Families, Adult Protective Services, and AHCA, and takes protective steps for the client’s immediate safety within its non-medical scope, summoning emergency help when needed.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all staff at orientation and periodically to recognize and report abuse, neglect,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any staff member who suspects harm to call the Florida Abuse Hotline (1-800-96-ABUSE) immediately.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the reporter notify the Administrator after reporting, and document that a report was made.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Take immediate protective steps within scope and summon emergency services if a client is in danger.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fully with DCF, Adult Protective Services, and AHCA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Prohibit retaliation against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Terminate and report staff confirmed to have abused, neglected, or exploited a client.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reports and outcomes confidentially in the compliance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Record · Mandatory Reporter Acknowledgment · Investigation Cooperation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Comprehensive Emergency Management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Comprehensive Emergency Management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AHCA emergency management expectations; Rule 59A-8.025, F.A.C.; s. 252 (state emergency framework)</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agency and its clients for hurricanes and other emergencies common in Florida. Even non-medical clients may be frail, home-bound, or need help sheltering, so the agency plans how it will communicate, continue or suspend services, and support clients during a disaster.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management plan — </w:t>
      </w:r>
      <w:r>
        <w:rPr>
          <w:rFonts w:eastAsia="Calibri" w:cs="Calibri"/>
          <w:b w:val="false"/>
          <w:bCs w:val="false"/>
          <w:i w:val="false"/>
          <w:iCs w:val="false"/>
          <w:color w:val="1A1A1A"/>
          <w:sz w:val="21"/>
          <w:szCs w:val="21"/>
        </w:rPr>
        <w:t>The agency’s written plan for responding to hurricanes and other emergencies, including communication, staffing, and client support.</w:t>
      </w:r>
    </w:p>
    <w:p>
      <w:pPr>
        <w:pStyle w:val="Normal"/>
        <w:spacing w:lineRule="exact" w:line="276" w:before="0" w:after="70"/>
        <w:rPr/>
      </w:pPr>
      <w:r>
        <w:rPr>
          <w:rFonts w:eastAsia="Calibri" w:cs="Calibri"/>
          <w:b/>
          <w:bCs/>
          <w:i w:val="false"/>
          <w:iCs w:val="false"/>
          <w:color w:val="1A1A1A"/>
          <w:sz w:val="21"/>
          <w:szCs w:val="21"/>
        </w:rPr>
        <w:t xml:space="preserve">Continuity of operations — </w:t>
      </w:r>
      <w:r>
        <w:rPr>
          <w:rFonts w:eastAsia="Calibri" w:cs="Calibri"/>
          <w:b w:val="false"/>
          <w:bCs w:val="false"/>
          <w:i w:val="false"/>
          <w:iCs w:val="false"/>
          <w:color w:val="1A1A1A"/>
          <w:sz w:val="21"/>
          <w:szCs w:val="21"/>
        </w:rPr>
        <w:t>The plan for how the agency maintains essential functions and client contact during and after an emergency.</w:t>
      </w:r>
    </w:p>
    <w:p>
      <w:pPr>
        <w:pStyle w:val="Normal"/>
        <w:spacing w:lineRule="exact" w:line="276" w:before="0" w:after="70"/>
        <w:rPr/>
      </w:pPr>
      <w:r>
        <w:rPr>
          <w:rFonts w:eastAsia="Calibri" w:cs="Calibri"/>
          <w:b/>
          <w:bCs/>
          <w:i w:val="false"/>
          <w:iCs w:val="false"/>
          <w:color w:val="1A1A1A"/>
          <w:sz w:val="21"/>
          <w:szCs w:val="21"/>
        </w:rPr>
        <w:t xml:space="preserve">Special-needs sheltering — </w:t>
      </w:r>
      <w:r>
        <w:rPr>
          <w:rFonts w:eastAsia="Calibri" w:cs="Calibri"/>
          <w:b w:val="false"/>
          <w:bCs w:val="false"/>
          <w:i w:val="false"/>
          <w:iCs w:val="false"/>
          <w:color w:val="1A1A1A"/>
          <w:sz w:val="21"/>
          <w:szCs w:val="21"/>
        </w:rPr>
        <w:t>The process by which clients who need assistance during evacuations are identified and connected to county special-needs shelter registration.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 management plan appropriate to its service area that addresses hurricane and disaster readiness, staff and client communication, evacuation awareness, and continuity of operations. Staff receive annual emergency management training on evacuation procedures, emergency communication, and disaster readiness.</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clients who may need assistance during evacuations because of physical, mental, or sensory limitations and helps connect them and their representatives to county special-needs shelter registration and other community resources, within its non-medical role. The agency clarifies in advance what it can and cannot do during an emergency, given that it does not provide medical care.</w:t>
      </w:r>
    </w:p>
    <w:p>
      <w:pPr>
        <w:pStyle w:val="Normal"/>
        <w:spacing w:lineRule="exact" w:line="276" w:before="0" w:after="120"/>
        <w:jc w:val="start"/>
        <w:rPr/>
      </w:pPr>
      <w:r>
        <w:rPr>
          <w:rFonts w:eastAsia="Calibri" w:cs="Calibri"/>
          <w:b w:val="false"/>
          <w:bCs w:val="false"/>
          <w:i w:val="false"/>
          <w:iCs w:val="false"/>
          <w:color w:val="1A1A1A"/>
          <w:sz w:val="21"/>
          <w:szCs w:val="21"/>
        </w:rPr>
        <w:t>During an emergency, the agency communicates with staff and clients, prioritizes contact with the most vulnerable clients, and documents its response. After the event, the agency resumes normal services as conditions allow and reviews its response to improve the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management plan appropriate to the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annually on evacuation, emergency communication, and disaster readiness.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clients needing evacuation assistance and connect them to special-needs shelter registration.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Clarify in advance the agency’s non-medical role and limits during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During an emergency, contact clients by priority and document the response.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Support staff safety and communication throughout the event.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Resume normal services as conditions allow.</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the response afterward and update the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Management Plan · Client Emergency-Needs Register · Emergency Contact Roster · Post-Event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Infection Prevention &amp;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&amp;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CDC/DOH standard precautions; s. 400.512 (free from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prevent the spread of infection between staff and clients. Although services are non-medical, staff work closely with vulnerable adults in their homes, so basic infection-prevention practices protect everyone.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Basic infection-prevention practices — hand hygiene, cleaning, respiratory etiquette, and staying home when sick — applied with all clients.</w:t>
      </w:r>
    </w:p>
    <w:p>
      <w:pPr>
        <w:pStyle w:val="Normal"/>
        <w:spacing w:lineRule="exact" w:line="276" w:before="0" w:after="70"/>
        <w:rPr/>
      </w:pPr>
      <w:r>
        <w:rPr>
          <w:rFonts w:eastAsia="Calibri" w:cs="Calibri"/>
          <w:b/>
          <w:bCs/>
          <w:i w:val="false"/>
          <w:iCs w:val="false"/>
          <w:color w:val="1A1A1A"/>
          <w:sz w:val="21"/>
          <w:szCs w:val="21"/>
        </w:rPr>
        <w:t xml:space="preserve">Communicable disease — </w:t>
      </w:r>
      <w:r>
        <w:rPr>
          <w:rFonts w:eastAsia="Calibri" w:cs="Calibri"/>
          <w:b w:val="false"/>
          <w:bCs w:val="false"/>
          <w:i w:val="false"/>
          <w:iCs w:val="false"/>
          <w:color w:val="1A1A1A"/>
          <w:sz w:val="21"/>
          <w:szCs w:val="21"/>
        </w:rPr>
        <w:t>An illness transmissible from person to person; staff must be free from communicable disease that could endanger clients.</w:t>
      </w:r>
    </w:p>
    <w:p>
      <w:pPr>
        <w:pStyle w:val="Normal"/>
        <w:spacing w:lineRule="exact" w:line="276" w:before="0" w:after="70"/>
        <w:rPr/>
      </w:pPr>
      <w:r>
        <w:rPr>
          <w:rFonts w:eastAsia="Calibri" w:cs="Calibri"/>
          <w:b/>
          <w:bCs/>
          <w:i w:val="false"/>
          <w:iCs w:val="false"/>
          <w:color w:val="1A1A1A"/>
          <w:sz w:val="21"/>
          <w:szCs w:val="21"/>
        </w:rPr>
        <w:t xml:space="preserve">Exposure — </w:t>
      </w:r>
      <w:r>
        <w:rPr>
          <w:rFonts w:eastAsia="Calibri" w:cs="Calibri"/>
          <w:b w:val="false"/>
          <w:bCs w:val="false"/>
          <w:i w:val="false"/>
          <w:iCs w:val="false"/>
          <w:color w:val="1A1A1A"/>
          <w:sz w:val="21"/>
          <w:szCs w:val="21"/>
        </w:rPr>
        <w:t>Contact with an infectious source that may require the staff member to refrain from client work and follow public-health guidance.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follow standard infection-prevention practices — hand hygiene, clean work practices, respiratory etiquette, and appropriate use of gloves for tasks like cleaning — and to stay away from client homes when they have a contagious illness. Staff and contractors must be free from communicable disease that could endanger clients.</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guidance and, where appropriate, supplies for infection prevention, and it follows Florida Department of Health and CDC guidance during outbreaks or public-health emergencies. Staff who are ill or exposed follow agency and public-health direction before returning to client work.</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infection-prevention training and any work restrictions arising from illness or exposure, and it communicates relevant precautions to clients while protecting staff privacy.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on standard precautions and hand hygiene at orientation and periodically.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staff to stay away from client homes when contagious.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staff and contractors are free from communicable disease that could endanger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infection-prevention guidance and supplies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DOH/CDC guidance during outbreaks or public-health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Apply work restrictions after illness or exposure per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training and any work restrictions.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Infection-Prevention Training Record · Health Attestation · Work-Restriction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Client Safety &amp; Home Environment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Safety &amp; Home Environment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59A-8.025(9), F.A.C.; s. 400.509,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clients safe in their homes by noticing and responding to hazards within the non-medical scope. Staff spend hours in clients’ homes and are often the first to see risks that threaten a client’s safety.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hazard — </w:t>
      </w:r>
      <w:r>
        <w:rPr>
          <w:rFonts w:eastAsia="Calibri" w:cs="Calibri"/>
          <w:b w:val="false"/>
          <w:bCs w:val="false"/>
          <w:i w:val="false"/>
          <w:iCs w:val="false"/>
          <w:color w:val="1A1A1A"/>
          <w:sz w:val="21"/>
          <w:szCs w:val="21"/>
        </w:rPr>
        <w:t>A condition in the home — spills, clutter, tripping risks, spoiled food, non-working smoke alarms, unsafe heating — that endangers the client.</w:t>
      </w:r>
    </w:p>
    <w:p>
      <w:pPr>
        <w:pStyle w:val="Normal"/>
        <w:spacing w:lineRule="exact" w:line="276" w:before="0" w:after="70"/>
        <w:rPr/>
      </w:pPr>
      <w:r>
        <w:rPr>
          <w:rFonts w:eastAsia="Calibri" w:cs="Calibri"/>
          <w:b/>
          <w:bCs/>
          <w:i w:val="false"/>
          <w:iCs w:val="false"/>
          <w:color w:val="1A1A1A"/>
          <w:sz w:val="21"/>
          <w:szCs w:val="21"/>
        </w:rPr>
        <w:t xml:space="preserve">Safety monitoring — </w:t>
      </w:r>
      <w:r>
        <w:rPr>
          <w:rFonts w:eastAsia="Calibri" w:cs="Calibri"/>
          <w:b w:val="false"/>
          <w:bCs w:val="false"/>
          <w:i w:val="false"/>
          <w:iCs w:val="false"/>
          <w:color w:val="1A1A1A"/>
          <w:sz w:val="21"/>
          <w:szCs w:val="21"/>
        </w:rPr>
        <w:t>Ongoing attention to the client’s general safety and the home environment during service.</w:t>
      </w:r>
    </w:p>
    <w:p>
      <w:pPr>
        <w:pStyle w:val="Normal"/>
        <w:spacing w:lineRule="exact" w:line="276" w:before="0" w:after="70"/>
        <w:rPr/>
      </w:pPr>
      <w:r>
        <w:rPr>
          <w:rFonts w:eastAsia="Calibri" w:cs="Calibri"/>
          <w:b/>
          <w:bCs/>
          <w:i w:val="false"/>
          <w:iCs w:val="false"/>
          <w:color w:val="1A1A1A"/>
          <w:sz w:val="21"/>
          <w:szCs w:val="21"/>
        </w:rPr>
        <w:t xml:space="preserve">Escalation — </w:t>
      </w:r>
      <w:r>
        <w:rPr>
          <w:rFonts w:eastAsia="Calibri" w:cs="Calibri"/>
          <w:b w:val="false"/>
          <w:bCs w:val="false"/>
          <w:i w:val="false"/>
          <w:iCs w:val="false"/>
          <w:color w:val="1A1A1A"/>
          <w:sz w:val="21"/>
          <w:szCs w:val="21"/>
        </w:rPr>
        <w:t>Reporting a serious safety concern to the Administrator and, when needed, to emergency services or the client’s representative.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staff monitor the client’s general safety and home environment during service, address hazards within their scope (for example, cleaning a spill or removing clutter), and report hazards they cannot safely resolve to the Administrator. Staff summon emergency services when a client is in immediate danger and report the event.</w:t>
      </w:r>
    </w:p>
    <w:p>
      <w:pPr>
        <w:pStyle w:val="Normal"/>
        <w:spacing w:lineRule="exact" w:line="276" w:before="0" w:after="120"/>
        <w:jc w:val="start"/>
        <w:rPr/>
      </w:pPr>
      <w:r>
        <w:rPr>
          <w:rFonts w:eastAsia="Calibri" w:cs="Calibri"/>
          <w:b w:val="false"/>
          <w:bCs w:val="false"/>
          <w:i w:val="false"/>
          <w:iCs w:val="false"/>
          <w:color w:val="1A1A1A"/>
          <w:sz w:val="21"/>
          <w:szCs w:val="21"/>
        </w:rPr>
        <w:t>The agency accepts and continues a client only where there is a reasonable expectation that services can be provided safely in the residence (Rule 59A-8.025(9)); when the home environment becomes unsafe for the client or staff, the agency works with the client or representative to address it and reassesses whether service can safely continue.</w:t>
      </w:r>
    </w:p>
    <w:p>
      <w:pPr>
        <w:pStyle w:val="Normal"/>
        <w:spacing w:lineRule="exact" w:line="276" w:before="0" w:after="120"/>
        <w:jc w:val="start"/>
        <w:rPr/>
      </w:pPr>
      <w:r>
        <w:rPr>
          <w:rFonts w:eastAsia="Calibri" w:cs="Calibri"/>
          <w:b w:val="false"/>
          <w:bCs w:val="false"/>
          <w:i w:val="false"/>
          <w:iCs w:val="false"/>
          <w:color w:val="1A1A1A"/>
          <w:sz w:val="21"/>
          <w:szCs w:val="21"/>
        </w:rPr>
        <w:t>Staff do not perform hands-on care, home modifications, or clinical safety assessments; they observe, report, and connect the client to appropriate resources. Safety concerns are documented and tracked.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client safety and the home environment during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Address hazards within scope and report those that cannot be safely resolved.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Summon emergency services when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Reassess whether service can safely continue when the home becomes unsafe.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Work with the client or representative to address environmental risks.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Refer to appropriate resources for issues beyond the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safety concerns and follow-up.</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Hazard Report · Safety Concern Log · Reassessment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Workplace Safety &amp; Staff Protection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Workplace Safety &amp; Staff Protection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&amp;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OSHA general duty; Florida workers’ compensation (ch. 440, Fla. Stat.); agency safety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people who deliver services. Staff drive, lift household items, and work alone in varied home environments, so the agency addresses their safety and provides required protections.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Lone worker — </w:t>
      </w:r>
      <w:r>
        <w:rPr>
          <w:rFonts w:eastAsia="Calibri" w:cs="Calibri"/>
          <w:b w:val="false"/>
          <w:bCs w:val="false"/>
          <w:i w:val="false"/>
          <w:iCs w:val="false"/>
          <w:color w:val="1A1A1A"/>
          <w:sz w:val="21"/>
          <w:szCs w:val="21"/>
        </w:rPr>
        <w:t>A staff member providing services alone in a client’s home or community, for whom the agency provides check-in and safety expectations.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Insurance coverage for work-related injuries, generally required in Florida for non-construction employers at four or more employees (ch. 440, Fla. Stat.).</w:t>
      </w:r>
    </w:p>
    <w:p>
      <w:pPr>
        <w:pStyle w:val="Normal"/>
        <w:spacing w:lineRule="exact" w:line="276" w:before="0" w:after="70"/>
        <w:rPr/>
      </w:pPr>
      <w:r>
        <w:rPr>
          <w:rFonts w:eastAsia="Calibri" w:cs="Calibri"/>
          <w:b/>
          <w:bCs/>
          <w:i w:val="false"/>
          <w:iCs w:val="false"/>
          <w:color w:val="1A1A1A"/>
          <w:sz w:val="21"/>
          <w:szCs w:val="21"/>
        </w:rPr>
        <w:t xml:space="preserve">Safety program — </w:t>
      </w:r>
      <w:r>
        <w:rPr>
          <w:rFonts w:eastAsia="Calibri" w:cs="Calibri"/>
          <w:b w:val="false"/>
          <w:bCs w:val="false"/>
          <w:i w:val="false"/>
          <w:iCs w:val="false"/>
          <w:color w:val="1A1A1A"/>
          <w:sz w:val="21"/>
          <w:szCs w:val="21"/>
        </w:rPr>
        <w:t>The agency’s practices for preventing staff injury, including body mechanics for household tasks, driving safety, and hazard reporting.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a safety program addressing the real risks of homemaker and companion work: safe body mechanics for household and shopping tasks (staff do not lift clients), driving safety, awareness in unfamiliar environments, and clear procedures for lone workers to check in and get help. Staff are trained to decline unsafe tasks and to report hazards.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workers’ compensation coverage as required by Florida law — generally required for non-construction employers with four or more employees — and reports and manages any work-related injury accordingly. The agency verifies its obligation based on its size and structure and documents coverage.</w:t>
      </w:r>
    </w:p>
    <w:p>
      <w:pPr>
        <w:pStyle w:val="Normal"/>
        <w:spacing w:lineRule="exact" w:line="276" w:before="0" w:after="120"/>
        <w:jc w:val="start"/>
        <w:rPr/>
      </w:pPr>
      <w:r>
        <w:rPr>
          <w:rFonts w:eastAsia="Calibri" w:cs="Calibri"/>
          <w:b w:val="false"/>
          <w:bCs w:val="false"/>
          <w:i w:val="false"/>
          <w:iCs w:val="false"/>
          <w:color w:val="1A1A1A"/>
          <w:sz w:val="21"/>
          <w:szCs w:val="21"/>
        </w:rPr>
        <w:t>The agency supports staff who face threatening situations, authorizes them to leave a home that becomes unsafe, and reviews incidents to improve the safety program. Staff safety and client safety are treated as complementary, not competing.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staff on safe body mechanics, driving safety, and lone-worker check-ins.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Instruct staff never to lift or transfer clients and to decline unsafe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Authorize staff to leave a home that becomes unsafe and to summon help.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workers’ compensation coverage as required by agency size and Florida law.</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and manage work-related injuries per ch. 440.</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Investigate staff-safety incidents and improve the safety program.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safety training and coverage.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 Safety Training Record · Lone-Worker Check-In Protocol · Injury Report · Workers’ Comp Coverage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 OPERATIONS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Section 400.509, Florida Statutes, and its rule at Rule 59A-8.025, Florida Administrative Code (Registration Requirements for Homemaker and Companion Services Providers), with the procedural requirements of Chapter 408, Part II, Florida Statutes. Registered and overseen by the Florida Agency for Health Care Administration (AHCA), Long-Term Care Services Unit. This is a NON-MEDICAL registration: no hands-on personal care is provided.</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a quality program, correct handling of Medicaid and Electronic Visit Verification when applicable, sound billing, lawful employment practices, readiness for AHCA inspections, and ethical marketing and referral practices.</w:t>
      </w:r>
    </w:p>
    <w:p>
      <w:pPr>
        <w:pStyle w:val="Normal"/>
        <w:keepNext w:val="true"/>
        <w:spacing w:before="240" w:after="100"/>
        <w:rPr/>
      </w:pPr>
      <w:r>
        <w:rPr>
          <w:rFonts w:eastAsia="Calibri" w:cs="Calibri"/>
          <w:b/>
          <w:bCs/>
          <w:i w:val="false"/>
          <w:iCs w:val="false"/>
          <w:color w:val="1F3A5F"/>
          <w:sz w:val="24"/>
          <w:szCs w:val="24"/>
        </w:rPr>
        <w:t>Policy 6.1 — Quality Assurance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Assurance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 59A-8.025, F.A.C.; Ch. 408, Part II,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measure and improve service quality and compliance over time. A simple, consistent quality program helps the agency catch problems early, satisfy clients, and demonstrate diligence to AHCA.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program — </w:t>
      </w:r>
      <w:r>
        <w:rPr>
          <w:rFonts w:eastAsia="Calibri" w:cs="Calibri"/>
          <w:b w:val="false"/>
          <w:bCs w:val="false"/>
          <w:i w:val="false"/>
          <w:iCs w:val="false"/>
          <w:color w:val="1A1A1A"/>
          <w:sz w:val="21"/>
          <w:szCs w:val="21"/>
        </w:rPr>
        <w:t>The agency’s ongoing process of monitoring service, gathering feedback, and improving performance and compliance.</w:t>
      </w:r>
    </w:p>
    <w:p>
      <w:pPr>
        <w:pStyle w:val="Normal"/>
        <w:spacing w:lineRule="exact" w:line="276" w:before="0" w:after="70"/>
        <w:rPr/>
      </w:pPr>
      <w:r>
        <w:rPr>
          <w:rFonts w:eastAsia="Calibri" w:cs="Calibri"/>
          <w:b/>
          <w:bCs/>
          <w:i w:val="false"/>
          <w:iCs w:val="false"/>
          <w:color w:val="1A1A1A"/>
          <w:sz w:val="21"/>
          <w:szCs w:val="21"/>
        </w:rPr>
        <w:t xml:space="preserve">Performance indicator — </w:t>
      </w:r>
      <w:r>
        <w:rPr>
          <w:rFonts w:eastAsia="Calibri" w:cs="Calibri"/>
          <w:b w:val="false"/>
          <w:bCs w:val="false"/>
          <w:i w:val="false"/>
          <w:iCs w:val="false"/>
          <w:color w:val="1A1A1A"/>
          <w:sz w:val="21"/>
          <w:szCs w:val="21"/>
        </w:rPr>
        <w:t>A measure the agency tracks — complaint rates, missed visits, scope-compliance findings, screening/training currency — to gauge quality.</w:t>
      </w:r>
    </w:p>
    <w:p>
      <w:pPr>
        <w:pStyle w:val="Normal"/>
        <w:spacing w:lineRule="exact" w:line="276" w:before="0" w:after="70"/>
        <w:rPr/>
      </w:pPr>
      <w:r>
        <w:rPr>
          <w:rFonts w:eastAsia="Calibri" w:cs="Calibri"/>
          <w:b/>
          <w:bCs/>
          <w:i w:val="false"/>
          <w:iCs w:val="false"/>
          <w:color w:val="1A1A1A"/>
          <w:sz w:val="21"/>
          <w:szCs w:val="21"/>
        </w:rPr>
        <w:t xml:space="preserve">Corrective action plan — </w:t>
      </w:r>
      <w:r>
        <w:rPr>
          <w:rFonts w:eastAsia="Calibri" w:cs="Calibri"/>
          <w:b w:val="false"/>
          <w:bCs w:val="false"/>
          <w:i w:val="false"/>
          <w:iCs w:val="false"/>
          <w:color w:val="1A1A1A"/>
          <w:sz w:val="21"/>
          <w:szCs w:val="21"/>
        </w:rPr>
        <w:t>A documented set of steps to fix an identified problem and prevent recurrence.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quality assurance and performance improvement program that monitors service delivery, client satisfaction, complaints and grievances, incidents, scope compliance, and the currency of screening and training. The Administrator reviews these indicators on a regular schedule and identifies opportunities to improve.</w:t>
      </w:r>
    </w:p>
    <w:p>
      <w:pPr>
        <w:pStyle w:val="Normal"/>
        <w:spacing w:lineRule="exact" w:line="276" w:before="0" w:after="120"/>
        <w:jc w:val="start"/>
        <w:rPr/>
      </w:pPr>
      <w:r>
        <w:rPr>
          <w:rFonts w:eastAsia="Calibri" w:cs="Calibri"/>
          <w:b w:val="false"/>
          <w:bCs w:val="false"/>
          <w:i w:val="false"/>
          <w:iCs w:val="false"/>
          <w:color w:val="1A1A1A"/>
          <w:sz w:val="21"/>
          <w:szCs w:val="21"/>
        </w:rPr>
        <w:t>When the program identifies a problem — a pattern of missed visits, a scope-drift finding, a complaint trend — the agency develops and implements a corrective action plan, assigns responsibility, and verifies that the action worked. Quality findings feed back into training, supervision, and policy updates.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its quality activities so it can show AHCA a functioning, continuous improvement process. Client feedback is actively sought and used, and staff are engaged in improving service.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Define the performance indicators the agency will track.</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Collect data on complaints, incidents, missed visits, scope compliance, and training/screening currency.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indicators on a regular schedule with the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Develop corrective action plans for identified problems and assign responsibility.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Verify corrective actions resolved the issue.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Feed findings into training, supervision, and policy updates.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Solicit and use client feedback.</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quality activities for AHCA review.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Indicator Dashboard · Client Satisfaction Survey · Corrective Action Plan · QA Review Minutes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Medicaid Participation &amp; Electronic Visit Verification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&amp; Electronic Visit Verification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Statewide Medicaid Managed Care Long-Term Care; APD iBudget waiver; 21st Century Cures Act EVV; AHCA Open Vendor Model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handle Medicaid participation and EVV correctly when the agency bills Medicaid for companion or homemaker services. EVV is a federal requirement enforced in Florida with payment penalties, so agencies that bill Medicaid must capture and submit visit data properly. Private-pay-only agencies are not subject to EVV.</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SMMC-LTC — </w:t>
      </w:r>
      <w:r>
        <w:rPr>
          <w:rFonts w:eastAsia="Calibri" w:cs="Calibri"/>
          <w:b w:val="false"/>
          <w:bCs w:val="false"/>
          <w:i w:val="false"/>
          <w:iCs w:val="false"/>
          <w:color w:val="1A1A1A"/>
          <w:sz w:val="21"/>
          <w:szCs w:val="21"/>
        </w:rPr>
        <w:t>Florida’s Statewide Medicaid Managed Care Long-Term Care program, through which managed-care plans authorize and pay for home and community-based services including homemaker and companion services.</w:t>
      </w:r>
    </w:p>
    <w:p>
      <w:pPr>
        <w:pStyle w:val="Normal"/>
        <w:spacing w:lineRule="exact" w:line="276" w:before="0" w:after="70"/>
        <w:rPr/>
      </w:pPr>
      <w:r>
        <w:rPr>
          <w:rFonts w:eastAsia="Calibri" w:cs="Calibri"/>
          <w:b/>
          <w:bCs/>
          <w:i w:val="false"/>
          <w:iCs w:val="false"/>
          <w:color w:val="1A1A1A"/>
          <w:sz w:val="21"/>
          <w:szCs w:val="21"/>
        </w:rPr>
        <w:t xml:space="preserve">APD iBudget waiver — </w:t>
      </w:r>
      <w:r>
        <w:rPr>
          <w:rFonts w:eastAsia="Calibri" w:cs="Calibri"/>
          <w:b w:val="false"/>
          <w:bCs w:val="false"/>
          <w:i w:val="false"/>
          <w:iCs w:val="false"/>
          <w:color w:val="1A1A1A"/>
          <w:sz w:val="21"/>
          <w:szCs w:val="21"/>
        </w:rPr>
        <w:t>The Agency for Persons with Disabilities waiver through which companion services are authorized for individuals with developmental disabilities.</w:t>
      </w:r>
    </w:p>
    <w:p>
      <w:pPr>
        <w:pStyle w:val="Normal"/>
        <w:spacing w:lineRule="exact" w:line="276" w:before="0" w:after="70"/>
        <w:rPr/>
      </w:pPr>
      <w:r>
        <w:rPr>
          <w:rFonts w:eastAsia="Calibri" w:cs="Calibri"/>
          <w:b/>
          <w:bCs/>
          <w:i w:val="false"/>
          <w:iCs w:val="false"/>
          <w:color w:val="1A1A1A"/>
          <w:sz w:val="21"/>
          <w:szCs w:val="21"/>
        </w:rPr>
        <w:t xml:space="preserve">EVV — </w:t>
      </w:r>
      <w:r>
        <w:rPr>
          <w:rFonts w:eastAsia="Calibri" w:cs="Calibri"/>
          <w:b w:val="false"/>
          <w:bCs w:val="false"/>
          <w:i w:val="false"/>
          <w:iCs w:val="false"/>
          <w:color w:val="1A1A1A"/>
          <w:sz w:val="21"/>
          <w:szCs w:val="21"/>
        </w:rPr>
        <w:t>Electronic Visit Verification — technology capturing the six Cures Act data elements (service, client, provider, date, location, and start/end times) for Medicaid in-home services.</w:t>
      </w:r>
    </w:p>
    <w:p>
      <w:pPr>
        <w:pStyle w:val="Normal"/>
        <w:spacing w:lineRule="exact" w:line="276" w:before="0" w:after="70"/>
        <w:rPr/>
      </w:pPr>
      <w:r>
        <w:rPr>
          <w:rFonts w:eastAsia="Calibri" w:cs="Calibri"/>
          <w:b/>
          <w:bCs/>
          <w:i w:val="false"/>
          <w:iCs w:val="false"/>
          <w:color w:val="1A1A1A"/>
          <w:sz w:val="21"/>
          <w:szCs w:val="21"/>
        </w:rPr>
        <w:t xml:space="preserve">Open Vendor Model — </w:t>
      </w:r>
      <w:r>
        <w:rPr>
          <w:rFonts w:eastAsia="Calibri" w:cs="Calibri"/>
          <w:b w:val="false"/>
          <w:bCs w:val="false"/>
          <w:i w:val="false"/>
          <w:iCs w:val="false"/>
          <w:color w:val="1A1A1A"/>
          <w:sz w:val="21"/>
          <w:szCs w:val="21"/>
        </w:rPr>
        <w:t>Florida’s approach allowing agencies to use the state aggregator or a compliant third-party EVV system that integrates with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If [Agency Name] bills Medicaid for companion or homemaker services, it enrolls as a Medicaid provider, follows the authorization and billing rules of the applicable program (SMMC Long-Term Care managed-care plans or the APD iBudget waiver), and complies with Electronic Visit Verification. The agency captures the six Cures Act data elements for each Medicaid visit and submits them through the required system.</w:t>
      </w:r>
    </w:p>
    <w:p>
      <w:pPr>
        <w:pStyle w:val="Normal"/>
        <w:spacing w:lineRule="exact" w:line="276" w:before="0" w:after="120"/>
        <w:jc w:val="start"/>
        <w:rPr/>
      </w:pPr>
      <w:r>
        <w:rPr>
          <w:rFonts w:eastAsia="Calibri" w:cs="Calibri"/>
          <w:b w:val="false"/>
          <w:bCs w:val="false"/>
          <w:i w:val="false"/>
          <w:iCs w:val="false"/>
          <w:color w:val="1A1A1A"/>
          <w:sz w:val="21"/>
          <w:szCs w:val="21"/>
        </w:rPr>
        <w:t>Florida uses an Open Vendor Model: for fee-for-service Medicaid, AHCA’s system is HHAeXchange (go-live October 1, 2024); managed-care plans use Netsmart/Tellus or HHAeXchange depending on the plan. The agency confirms the correct aggregator for each payer, uses a compliant capture method that integrates with it, and monitors its EVV compliance percentage because unverified visits can be denied or penalized.</w:t>
      </w:r>
    </w:p>
    <w:p>
      <w:pPr>
        <w:pStyle w:val="Normal"/>
        <w:spacing w:lineRule="exact" w:line="276" w:before="0" w:after="120"/>
        <w:jc w:val="start"/>
        <w:rPr/>
      </w:pPr>
      <w:r>
        <w:rPr>
          <w:rFonts w:eastAsia="Calibri" w:cs="Calibri"/>
          <w:b w:val="false"/>
          <w:bCs w:val="false"/>
          <w:i w:val="false"/>
          <w:iCs w:val="false"/>
          <w:color w:val="1A1A1A"/>
          <w:sz w:val="21"/>
          <w:szCs w:val="21"/>
        </w:rPr>
        <w:t>The agency reconciles EVV data with service documentation and claims, resolves exceptions before billing windows close, and keeps EVV and claims records for audit. Where the agency serves only private-pay clients, EVV does not apply, but the agency still documents services under Policy 4.4.</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Determine whether the agency will bill Medicaid; if not, document that it is private-pay and EVV-exempt.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If billing Medicaid, enroll as a provider and learn the applicable program’s authorization and billing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the correct EVV aggregator for each payer (HHAeXchange for FFS; plan-specific for MCOs).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Select a compliant EVV capture method that integrates with the required aggregator.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Capture the six Cures Act data elements for each Medicaid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Monitor the EVV compliance percentage and resolve exceptions before billing.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Reconcile EVV data with documentation and claims and retain records for audit.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check-in/check-out and EVV workflows.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EVV Aggregator Assignment (by payer) · EVV Exception Log · Claims Reconciliation Worksheet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Billing, Fees &amp; Private Pay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Fees &amp; Private Pay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 408, Part II, Fla. Stat.; agency financial policy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bill clients and payers accurately and transparently. Clear billing protects clients from surprises, supports the agency’s finances, and prevents disputes and allegations of exploitation.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pay — </w:t>
      </w:r>
      <w:r>
        <w:rPr>
          <w:rFonts w:eastAsia="Calibri" w:cs="Calibri"/>
          <w:b w:val="false"/>
          <w:bCs w:val="false"/>
          <w:i w:val="false"/>
          <w:iCs w:val="false"/>
          <w:color w:val="1A1A1A"/>
          <w:sz w:val="21"/>
          <w:szCs w:val="21"/>
        </w:rPr>
        <w:t>Services paid directly by the client or family rather than by Medicaid or another third party.</w:t>
      </w:r>
    </w:p>
    <w:p>
      <w:pPr>
        <w:pStyle w:val="Normal"/>
        <w:spacing w:lineRule="exact" w:line="276" w:before="0" w:after="70"/>
        <w:rPr/>
      </w:pPr>
      <w:r>
        <w:rPr>
          <w:rFonts w:eastAsia="Calibri" w:cs="Calibri"/>
          <w:b/>
          <w:bCs/>
          <w:i w:val="false"/>
          <w:iCs w:val="false"/>
          <w:color w:val="1A1A1A"/>
          <w:sz w:val="21"/>
          <w:szCs w:val="21"/>
        </w:rPr>
        <w:t xml:space="preserve">Rate schedule — </w:t>
      </w:r>
      <w:r>
        <w:rPr>
          <w:rFonts w:eastAsia="Calibri" w:cs="Calibri"/>
          <w:b w:val="false"/>
          <w:bCs w:val="false"/>
          <w:i w:val="false"/>
          <w:iCs w:val="false"/>
          <w:color w:val="1A1A1A"/>
          <w:sz w:val="21"/>
          <w:szCs w:val="21"/>
        </w:rPr>
        <w:t>The agency’s published rates for companion and homemaker services and any related charges such as mileage.</w:t>
      </w:r>
    </w:p>
    <w:p>
      <w:pPr>
        <w:pStyle w:val="Normal"/>
        <w:spacing w:lineRule="exact" w:line="276" w:before="0" w:after="70"/>
        <w:rPr/>
      </w:pPr>
      <w:r>
        <w:rPr>
          <w:rFonts w:eastAsia="Calibri" w:cs="Calibri"/>
          <w:b/>
          <w:bCs/>
          <w:i w:val="false"/>
          <w:iCs w:val="false"/>
          <w:color w:val="1A1A1A"/>
          <w:sz w:val="21"/>
          <w:szCs w:val="21"/>
        </w:rPr>
        <w:t xml:space="preserve">Statement — </w:t>
      </w:r>
      <w:r>
        <w:rPr>
          <w:rFonts w:eastAsia="Calibri" w:cs="Calibri"/>
          <w:b w:val="false"/>
          <w:bCs w:val="false"/>
          <w:i w:val="false"/>
          <w:iCs w:val="false"/>
          <w:color w:val="1A1A1A"/>
          <w:sz w:val="21"/>
          <w:szCs w:val="21"/>
        </w:rPr>
        <w:t>The itemized bill the agency provides showing services delivered, dates, hours, and charges.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discloses its rates and payment terms in the service agreement before service begins and bills accurately for services actually delivered, itemizing dates, hours, and any authorized charges such as mileage. The agency does not bill for services not provided and reconciles billing against visit documentation.</w:t>
      </w:r>
    </w:p>
    <w:p>
      <w:pPr>
        <w:pStyle w:val="Normal"/>
        <w:spacing w:lineRule="exact" w:line="276" w:before="0" w:after="120"/>
        <w:jc w:val="start"/>
        <w:rPr/>
      </w:pPr>
      <w:r>
        <w:rPr>
          <w:rFonts w:eastAsia="Calibri" w:cs="Calibri"/>
          <w:b w:val="false"/>
          <w:bCs w:val="false"/>
          <w:i w:val="false"/>
          <w:iCs w:val="false"/>
          <w:color w:val="1A1A1A"/>
          <w:sz w:val="21"/>
          <w:szCs w:val="21"/>
        </w:rPr>
        <w:t>For Medicaid clients, the agency bills only for authorized services under the applicable program and EVV rules, and it does not balance-bill Medicaid clients except as permitted. For private-pay clients, the agency provides clear statements and handles deposits or prepayments transparently.</w:t>
      </w:r>
    </w:p>
    <w:p>
      <w:pPr>
        <w:pStyle w:val="Normal"/>
        <w:spacing w:lineRule="exact" w:line="276" w:before="0" w:after="120"/>
        <w:jc w:val="start"/>
        <w:rPr/>
      </w:pPr>
      <w:r>
        <w:rPr>
          <w:rFonts w:eastAsia="Calibri" w:cs="Calibri"/>
          <w:b w:val="false"/>
          <w:bCs w:val="false"/>
          <w:i w:val="false"/>
          <w:iCs w:val="false"/>
          <w:color w:val="1A1A1A"/>
          <w:sz w:val="21"/>
          <w:szCs w:val="21"/>
        </w:rPr>
        <w:t>The agency keeps billing records for the required retention period, addresses billing questions promptly, and treats any billing irregularity seriously. Client funds handled for errands are governed separately by the client-funds policy (Policy 2.6).</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rates and payment terms in the service agreement before service begins.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Bill only for services actually delivered, itemized by date and hours.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Reconcile billing against visit documentation (and EVV for Medicaid).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Medicaid, bill only authorized services and follow program rules.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clear statements to private-pay clients and handle prepayments transparently.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billing questions promptly and correct errors.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Retain billing records for the required period.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Rate Schedule · Client Statement Template · Billing Reconciliation Worksheet · Payment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Labor &amp; Employment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&amp; Employment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Fair Labor Standards Act (29 U.S.C. § 201 et seq.); Florida minimum wage (Art. X, s. 24, Fla. Const.); ch. 440,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employ staff lawfully under federal and Florida labor rules. Correct wage, hour, and classification practices protect the agency from liability and treat caregivers fairly.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FLSA — </w:t>
      </w:r>
      <w:r>
        <w:rPr>
          <w:rFonts w:eastAsia="Calibri" w:cs="Calibri"/>
          <w:b w:val="false"/>
          <w:bCs w:val="false"/>
          <w:i w:val="false"/>
          <w:iCs w:val="false"/>
          <w:color w:val="1A1A1A"/>
          <w:sz w:val="21"/>
          <w:szCs w:val="21"/>
        </w:rPr>
        <w:t>The federal Fair Labor Standards Act, which sets minimum wage and overtime (time-and-a-half after 40 hours in a workweek); Florida has no separate daily-overtime rule.</w:t>
      </w:r>
    </w:p>
    <w:p>
      <w:pPr>
        <w:pStyle w:val="Normal"/>
        <w:spacing w:lineRule="exact" w:line="276" w:before="0" w:after="70"/>
        <w:rPr/>
      </w:pPr>
      <w:r>
        <w:rPr>
          <w:rFonts w:eastAsia="Calibri" w:cs="Calibri"/>
          <w:b/>
          <w:bCs/>
          <w:i w:val="false"/>
          <w:iCs w:val="false"/>
          <w:color w:val="1A1A1A"/>
          <w:sz w:val="21"/>
          <w:szCs w:val="21"/>
        </w:rPr>
        <w:t xml:space="preserve">Florida minimum wage — </w:t>
      </w:r>
      <w:r>
        <w:rPr>
          <w:rFonts w:eastAsia="Calibri" w:cs="Calibri"/>
          <w:b w:val="false"/>
          <w:bCs w:val="false"/>
          <w:i w:val="false"/>
          <w:iCs w:val="false"/>
          <w:color w:val="1A1A1A"/>
          <w:sz w:val="21"/>
          <w:szCs w:val="21"/>
        </w:rPr>
        <w:t>The state minimum wage set by constitutional amendment, which rises on a set schedule toward $15.00 and is adjusted each September 30; the agency pays the higher of state or federal.</w:t>
      </w:r>
    </w:p>
    <w:p>
      <w:pPr>
        <w:pStyle w:val="Normal"/>
        <w:spacing w:lineRule="exact" w:line="276" w:before="0" w:after="70"/>
        <w:rPr/>
      </w:pPr>
      <w:r>
        <w:rPr>
          <w:rFonts w:eastAsia="Calibri" w:cs="Calibri"/>
          <w:b/>
          <w:bCs/>
          <w:i w:val="false"/>
          <w:iCs w:val="false"/>
          <w:color w:val="1A1A1A"/>
          <w:sz w:val="21"/>
          <w:szCs w:val="21"/>
        </w:rPr>
        <w:t xml:space="preserve">Companionship exemption — </w:t>
      </w:r>
      <w:r>
        <w:rPr>
          <w:rFonts w:eastAsia="Calibri" w:cs="Calibri"/>
          <w:b w:val="false"/>
          <w:bCs w:val="false"/>
          <w:i w:val="false"/>
          <w:iCs w:val="false"/>
          <w:color w:val="1A1A1A"/>
          <w:sz w:val="21"/>
          <w:szCs w:val="21"/>
        </w:rPr>
        <w:t>A narrow FLSA exemption for certain companionship services; because it is narrow and often inapplicable to agency employees, the agency does not assume it applies without confirming.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complies with the Fair Labor Standards Act and Florida wage law. It pays at least the applicable Florida minimum wage (the higher of state or federal) and overtime at time-and-a-half for hours worked over 40 in a workweek; Florida has no daily-overtime requirement. The agency verifies the current Florida minimum wage, which is adjusted each September 30, and updates pay accordingly.</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as employees or independent contractors under applicable law and does not misclassify to avoid wage, tax, or screening obligations. It does not assume the FLSA companionship exemption applies to its employees without confirming eligibility, given how narrow that exemption is for third-party agency employers.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required payroll and time records, provides workers’ compensation coverage where required (generally at four or more employees for non-construction employers under ch. 440, Fla. Stat.), verifies employment eligibility, and complies with anti-discrimination and other applicable employment laws.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current Florida minimum wage (higher of state or federal) and update each September 30.</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overtime at time-and-a-half after 40 hours in a workweek; do not apply a daily-overtime rule.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Classify workers under applicable law and avoid misclassification.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before relying on any FLSA companionship exemption for agency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accurate payroll and time records.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Provide workers’ compensation coverage where required by agency size.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Verify employment eligibility and comply with anti-discrimination laws.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wage-and-hour compliance periodically and at each minimum-wage adjustment.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Payroll &amp; Time Records · Worker Classification Determination · Minimum-Wage Update Log · Employment Eligibility (I-9)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AHCA Inspections, Surveys &amp; Complaint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AHCA Inspections, Surveys &amp; Complaint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 408.811, Fla. Stat. (right of entry/inspection); s. 408.813 (administrative fines); Rule 59A-8.025, F.A.C.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be ready at all times for AHCA oversight and to respond correctly to inspections and complaints. AHCA may inspect on an unannounced basis if it receives a complaint, so readiness is continuous, not occasional.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Inspection / survey — </w:t>
      </w:r>
      <w:r>
        <w:rPr>
          <w:rFonts w:eastAsia="Calibri" w:cs="Calibri"/>
          <w:b w:val="false"/>
          <w:bCs w:val="false"/>
          <w:i w:val="false"/>
          <w:iCs w:val="false"/>
          <w:color w:val="1A1A1A"/>
          <w:sz w:val="21"/>
          <w:szCs w:val="21"/>
        </w:rPr>
        <w:t>AHCA’s review of the agency’s compliance, which may be unannounced during a weekday if a complaint is received.</w:t>
      </w:r>
    </w:p>
    <w:p>
      <w:pPr>
        <w:pStyle w:val="Normal"/>
        <w:spacing w:lineRule="exact" w:line="276" w:before="0" w:after="70"/>
        <w:rPr/>
      </w:pPr>
      <w:r>
        <w:rPr>
          <w:rFonts w:eastAsia="Calibri" w:cs="Calibri"/>
          <w:b/>
          <w:bCs/>
          <w:i w:val="false"/>
          <w:iCs w:val="false"/>
          <w:color w:val="1A1A1A"/>
          <w:sz w:val="21"/>
          <w:szCs w:val="21"/>
        </w:rPr>
        <w:t xml:space="preserve">Right of entry — </w:t>
      </w:r>
      <w:r>
        <w:rPr>
          <w:rFonts w:eastAsia="Calibri" w:cs="Calibri"/>
          <w:b w:val="false"/>
          <w:bCs w:val="false"/>
          <w:i w:val="false"/>
          <w:iCs w:val="false"/>
          <w:color w:val="1A1A1A"/>
          <w:sz w:val="21"/>
          <w:szCs w:val="21"/>
        </w:rPr>
        <w:t>AHCA’s statutory authority to enter and inspect the registered provider’s records and premises (s. 408.811, Fla. Stat.).</w:t>
      </w:r>
    </w:p>
    <w:p>
      <w:pPr>
        <w:pStyle w:val="Normal"/>
        <w:spacing w:lineRule="exact" w:line="276" w:before="0" w:after="70"/>
        <w:rPr/>
      </w:pPr>
      <w:r>
        <w:rPr>
          <w:rFonts w:eastAsia="Calibri" w:cs="Calibri"/>
          <w:b/>
          <w:bCs/>
          <w:i w:val="false"/>
          <w:iCs w:val="false"/>
          <w:color w:val="1A1A1A"/>
          <w:sz w:val="21"/>
          <w:szCs w:val="21"/>
        </w:rPr>
        <w:t xml:space="preserve">Corrective action / plan of correction — </w:t>
      </w:r>
      <w:r>
        <w:rPr>
          <w:rFonts w:eastAsia="Calibri" w:cs="Calibri"/>
          <w:b w:val="false"/>
          <w:bCs w:val="false"/>
          <w:i w:val="false"/>
          <w:iCs w:val="false"/>
          <w:color w:val="1A1A1A"/>
          <w:sz w:val="21"/>
          <w:szCs w:val="21"/>
        </w:rPr>
        <w:t>The agency’s documented response to any deficiency AHCA identifies, with timelines for correction.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cooperates fully with AHCA inspections and investigations and keeps its compliance records — registration, screening and Clearinghouse eligibility, the annual screening affidavit, training records, service records, and policies — organized and available for immediate review. The agency understands AHCA may inspect on an unannounced basis during a weekday if a complaint is received.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serves as the point of contact during any inspection, provides requested records, and answers accurately. If AHCA identifies a deficiency, the agency prepares and implements a plan of correction within the required timeframe, documents the correction, and verifies it holds.</w:t>
      </w:r>
    </w:p>
    <w:p>
      <w:pPr>
        <w:pStyle w:val="Normal"/>
        <w:spacing w:lineRule="exact" w:line="276" w:before="0" w:after="120"/>
        <w:jc w:val="start"/>
        <w:rPr/>
      </w:pPr>
      <w:r>
        <w:rPr>
          <w:rFonts w:eastAsia="Calibri" w:cs="Calibri"/>
          <w:b w:val="false"/>
          <w:bCs w:val="false"/>
          <w:i w:val="false"/>
          <w:iCs w:val="false"/>
          <w:color w:val="1A1A1A"/>
          <w:sz w:val="21"/>
          <w:szCs w:val="21"/>
        </w:rPr>
        <w:t>The agency treats complaints and survey findings as improvement opportunities, feeds them into the quality program, and addresses any pattern. It responds to administrative actions promptly and preserves its right to respond to findings.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Keep all compliance records organized and immediately producible.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Designate the Administrator as inspection point of contact.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During inspection, provide requested records and answer accurately.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any deficiency, prepare and implement a plan of correction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corrections and verify they hold.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Feed findings into the quality program and address patterns.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Respond promptly to any administrative action and preserve response rights.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Conduct periodic mock inspections to maintain readiness.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Inspection Readiness Checklist · Records Index · Plan of Correction Template · Survey Findings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Marketing, Referrals &amp; Anti-Kickback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Marketing, Referrals &amp; Anti-Kickback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 408, Part II, Fla. Stat.; federal and state anti-kickback / patient-brokering laws; s. 817.505, Fla. Stat.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grow the business ethically and lawfully. Referral relationships are central to a home-care agency, so the agency builds them within the law and never pays or accepts anything of value for referrals in violation of anti-kickback or patient-brokering statutes.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Referral source — </w:t>
      </w:r>
      <w:r>
        <w:rPr>
          <w:rFonts w:eastAsia="Calibri" w:cs="Calibri"/>
          <w:b w:val="false"/>
          <w:bCs w:val="false"/>
          <w:i w:val="false"/>
          <w:iCs w:val="false"/>
          <w:color w:val="1A1A1A"/>
          <w:sz w:val="21"/>
          <w:szCs w:val="21"/>
        </w:rPr>
        <w:t>A hospital discharge planner, senior community, care manager, attorney, or other party who refers clients to the agency.</w:t>
      </w:r>
    </w:p>
    <w:p>
      <w:pPr>
        <w:pStyle w:val="Normal"/>
        <w:spacing w:lineRule="exact" w:line="276" w:before="0" w:after="70"/>
        <w:rPr/>
      </w:pPr>
      <w:r>
        <w:rPr>
          <w:rFonts w:eastAsia="Calibri" w:cs="Calibri"/>
          <w:b/>
          <w:bCs/>
          <w:i w:val="false"/>
          <w:iCs w:val="false"/>
          <w:color w:val="1A1A1A"/>
          <w:sz w:val="21"/>
          <w:szCs w:val="21"/>
        </w:rPr>
        <w:t xml:space="preserve">Patient brokering — </w:t>
      </w:r>
      <w:r>
        <w:rPr>
          <w:rFonts w:eastAsia="Calibri" w:cs="Calibri"/>
          <w:b w:val="false"/>
          <w:bCs w:val="false"/>
          <w:i w:val="false"/>
          <w:iCs w:val="false"/>
          <w:color w:val="1A1A1A"/>
          <w:sz w:val="21"/>
          <w:szCs w:val="21"/>
        </w:rPr>
        <w:t>Paying or receiving a kickback or bribe in cash or in kind for referring patients/clients, prohibited under s. 817.505, Fla. Stat., and related law.</w:t>
      </w:r>
    </w:p>
    <w:p>
      <w:pPr>
        <w:pStyle w:val="Normal"/>
        <w:spacing w:lineRule="exact" w:line="276" w:before="0" w:after="70"/>
        <w:rPr/>
      </w:pPr>
      <w:r>
        <w:rPr>
          <w:rFonts w:eastAsia="Calibri" w:cs="Calibri"/>
          <w:b/>
          <w:bCs/>
          <w:i w:val="false"/>
          <w:iCs w:val="false"/>
          <w:color w:val="1A1A1A"/>
          <w:sz w:val="21"/>
          <w:szCs w:val="21"/>
        </w:rPr>
        <w:t xml:space="preserve">Legitimate marketing — </w:t>
      </w:r>
      <w:r>
        <w:rPr>
          <w:rFonts w:eastAsia="Calibri" w:cs="Calibri"/>
          <w:b w:val="false"/>
          <w:bCs w:val="false"/>
          <w:i w:val="false"/>
          <w:iCs w:val="false"/>
          <w:color w:val="1A1A1A"/>
          <w:sz w:val="21"/>
          <w:szCs w:val="21"/>
        </w:rPr>
        <w:t>Providing accurate information, building relationships, and delivering quality service to earn referrals without prohibited payments.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markets its services truthfully, describing its non-medical companion and homemaker scope accurately and never implying medical or personal-care services it cannot provide. It includes its AHCA registration information where required and complies with the naming and advertising rules in Policy 1.5.</w:t>
      </w:r>
    </w:p>
    <w:p>
      <w:pPr>
        <w:pStyle w:val="Normal"/>
        <w:spacing w:lineRule="exact" w:line="276" w:before="0" w:after="120"/>
        <w:jc w:val="start"/>
        <w:rPr/>
      </w:pPr>
      <w:r>
        <w:rPr>
          <w:rFonts w:eastAsia="Calibri" w:cs="Calibri"/>
          <w:b w:val="false"/>
          <w:bCs w:val="false"/>
          <w:i w:val="false"/>
          <w:iCs w:val="false"/>
          <w:color w:val="1A1A1A"/>
          <w:sz w:val="21"/>
          <w:szCs w:val="21"/>
        </w:rPr>
        <w:t>The agency builds referral relationships through quality, reliability, and accurate information — not through prohibited payments. It does not pay or receive kickbacks, bribes, or other improper remuneration for client referrals, consistent with federal and Florida anti-kickback and patient-brokering laws, including s. 817.505, Fla. Stat. Any marketing arrangement is reviewed for compliance before it is adopted.</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and referral partners on these limits, documents referral relationships appropriately, and declines any arrangement that conditions referrals on improper payments. Ethical referral practice protects the agency’s registration and reputation.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Describe services accurately in all marketing, within the non-medical scope and naming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Build referral relationships through quality and accurate information, not payments.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pay or accept anything of value for referrals in violation of anti-kickback/patient-brokering law.</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any marketing or referral arrangement for legal compliance before adopting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staff and partners on anti-kickback limits.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referral relationships appropriately.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Decline arrangements conditioned on improper payments.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Marketing Review Checklist · Referral Relationship Log · Anti-Kickback Compliance Attestation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AHCA Registration Tracking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Calendar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Registration Certificate (copy 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Scope-of-Services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Needs Screening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to Licensed Provider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Appointment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Screening Affidavit (s. 400.512)</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Delegation-of-Duties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Geographic Service Area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Out-of-County Supervision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Acceptance / Safe-Service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Name &amp; Advertising Compliance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Fictitious Name Registration (copy)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Renewal Submission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Change-of-Ownership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AHCA Change-Notification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Policy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Change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Policy-Update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Mock Inspection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 Rights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Acknowledgment of Receipt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Contact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Intake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Needs Screening / Scope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Safe-Service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Authorized Task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Change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 (staff)</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Access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Privacy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AHCA &amp; Abuse Hotline Contact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Client-Funds Authorization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Conflict-of-Interest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Errand Receipt Envelope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Exploitation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Screening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Clearinghouse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Livescan Confirmation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Exemption Tracking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Employment History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Acknowledgment Set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New-Hire Onboarding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HIV/AIDS Training Completion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HIV/AIDS Training Affidavit (Form 3110-1011)</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Matrix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ADRD Training Completion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Dementia-Client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Management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Attendance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Contact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Documentation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Independent Contractor Agreement (scope/screening terms)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Attestation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&amp; Training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Companion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Homemaker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Hazard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Client-Funds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Driver Eligibility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Vehicle Safety Check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Transportation &amp; Mileage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File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Secure Disposal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Update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Root-Cause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Abuse-Hotline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Mandatory Reporter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Management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Emergency-Needs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Contact Roster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Post-Event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Infection-Prevention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Work-Restriction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Safety Concern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Lone-Worker Check-In Protocol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Injury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 Coverage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Indicator Dashboard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Satisfaction Survey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QA Review Minutes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Aggregator Assignment (by payer)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Exception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Claims Reconciliation Worksheet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Rate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Statement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Reconciliation Worksheet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Payroll &amp; Time Records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Classification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Minimum-Wage Update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Employment Eligibility (I-9)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Inspection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Findings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Marketing Review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Relationship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Anti-Kickback Compliance Attestation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 400.509, Fla. Stat. &amp; Rule 59A-8.025, F.A.C.  —  Ready to customize  —  Page </w:t>
    </w:r>
    <w:r>
      <w:rPr/>
      <w:fldChar w:fldCharType="begin"/>
    </w:r>
    <w:r>
      <w:rPr/>
      <w:instrText xml:space="preserve"> PAGE </w:instrText>
    </w:r>
    <w:r>
      <w:rPr/>
      <w:fldChar w:fldCharType="separate"/>
    </w:r>
    <w:r>
      <w:rPr/>
      <w:t>83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 400.509, Fla. Stat. &amp; Rule 59A-8.025, F.A.C.  —  Ready to customize  —  Page </w:t>
    </w:r>
    <w:r>
      <w:rPr/>
      <w:fldChar w:fldCharType="begin"/>
    </w:r>
    <w:r>
      <w:rPr/>
      <w:instrText xml:space="preserve"> PAGE </w:instrText>
    </w:r>
    <w:r>
      <w:rPr/>
      <w:fldChar w:fldCharType="separate"/>
    </w:r>
    <w:r>
      <w:rPr/>
      <w:t>83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Homemaker &amp; Companion Services (Non-Medical)  •  Florida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Homemaker &amp; Companion Services (Non-Medical)  •  Florida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2026-07-10T21:17:15Z</dcterms:created>
  <dc:creator>PolicyReady.org</dc:creator>
  <dc:description/>
  <dc:language>en-US</dc:language>
  <cp:lastModifiedBy>Un-named</cp:lastModifiedBy>
  <dcterms:modified xsi:type="dcterms:W3CDTF">2026-07-10T21:17:15Z</dcterms:modified>
  <cp:revision>1</cp:revision>
  <dc:subject/>
  <dc:title>Florida Homemaker &amp; Companion Services (Non-Medical) — Policy &amp; Procedure Manual</dc:title>
</cp:coreProperties>
</file>