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rPr/>
      </w:pPr>
      <w:r>
        <w:rPr>
          <w:rFonts w:eastAsia="Calibri" w:cs="Calibri"/>
          <w:b/>
          <w:bCs/>
          <w:i w:val="false"/>
          <w:iCs w:val="false"/>
          <w:color w:val="3E5871"/>
          <w:sz w:val="20"/>
          <w:szCs w:val="20"/>
        </w:rPr>
        <w:t>PolicyReady.org</w:t>
      </w:r>
    </w:p>
    <w:p>
      <w:pPr>
        <w:pStyle w:val="Normal"/>
        <w:pBdr>
          <w:bottom w:val="single" w:sz="8" w:space="1" w:color="9DB1C7"/>
        </w:pBdr>
        <w:spacing w:before="80" w:after="120"/>
        <w:rPr/>
      </w:pPr>
      <w:r>
        <w:rPr/>
      </w:r>
    </w:p>
    <w:p>
      <w:pPr>
        <w:pStyle w:val="Normal"/>
        <w:spacing w:before="40" w:after="0"/>
        <w:rPr/>
      </w:pPr>
      <w:r>
        <w:rPr/>
      </w:r>
    </w:p>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Brain Injury Referral System</w:t>
            </w:r>
          </w:p>
          <w:p>
            <w:pPr>
              <w:pStyle w:val="Normal"/>
              <w:spacing w:before="0" w:after="0"/>
              <w:jc w:val="center"/>
              <w:rPr/>
            </w:pPr>
            <w:r>
              <w:rPr>
                <w:rFonts w:eastAsia="Calibri" w:cs="Calibri"/>
                <w:b/>
                <w:bCs/>
                <w:i w:val="false"/>
                <w:iCs w:val="false"/>
                <w:color w:val="FFFFFF"/>
                <w:sz w:val="34"/>
                <w:szCs w:val="34"/>
              </w:rPr>
              <w:t>California Edition</w:t>
            </w:r>
          </w:p>
        </w:tc>
      </w:tr>
    </w:tbl>
    <w:p>
      <w:pPr>
        <w:pStyle w:val="Normal"/>
        <w:spacing w:lineRule="exact" w:line="268" w:before="0" w:after="60"/>
        <w:jc w:val="center"/>
        <w:rPr/>
      </w:pPr>
      <w:r>
        <w:rPr>
          <w:rFonts w:eastAsia="Calibri" w:cs="Calibri"/>
          <w:b w:val="false"/>
          <w:bCs w:val="false"/>
          <w:i/>
          <w:iCs/>
          <w:color w:val="3E5871"/>
          <w:sz w:val="22"/>
          <w:szCs w:val="22"/>
        </w:rPr>
        <w:t>How a California brain injury residential provider builds a steady stream of member placements — the strategy, a verified directory of California referral sources, named-partner target lists for the state's largest metros, and the worksheets to run it week to week</w:t>
      </w:r>
    </w:p>
    <w:p>
      <w:pPr>
        <w:pStyle w:val="Normal"/>
        <w:spacing w:lineRule="exact" w:line="268" w:before="0" w:after="120"/>
        <w:jc w:val="center"/>
        <w:rPr/>
      </w:pPr>
      <w:r>
        <w:rPr>
          <w:rFonts w:eastAsia="Calibri" w:cs="Calibri"/>
          <w:b w:val="false"/>
          <w:bCs w:val="false"/>
          <w:i w:val="false"/>
          <w:iCs w:val="false"/>
          <w:color w:val="555555"/>
          <w:sz w:val="18"/>
          <w:szCs w:val="18"/>
        </w:rPr>
        <w:t>PolicyReady.org  —  Practical Playbooks for Care Entrepreneurs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Why brain injury placement is different — read this first</w:t>
            </w:r>
          </w:p>
          <w:p>
            <w:pPr>
              <w:pStyle w:val="Normal"/>
              <w:spacing w:lineRule="exact" w:line="264" w:before="0" w:after="0"/>
              <w:rPr/>
            </w:pPr>
            <w:r>
              <w:rPr>
                <w:rFonts w:eastAsia="Calibri" w:cs="Calibri"/>
                <w:b/>
                <w:bCs/>
                <w:i w:val="false"/>
                <w:iCs w:val="false"/>
                <w:color w:val="1A1A1A"/>
                <w:sz w:val="19"/>
                <w:szCs w:val="19"/>
              </w:rPr>
              <w:t xml:space="preserve">Members do not walk in off the street, and they are not private-pay clients you market to. </w:t>
            </w:r>
            <w:r>
              <w:rPr>
                <w:rFonts w:eastAsia="Calibri" w:cs="Calibri"/>
                <w:b w:val="false"/>
                <w:bCs w:val="false"/>
                <w:i w:val="false"/>
                <w:iCs w:val="false"/>
                <w:color w:val="1A1A1A"/>
                <w:sz w:val="19"/>
                <w:szCs w:val="19"/>
              </w:rPr>
              <w:t>A California brain injury residential home — an Adult Residential Facility (ARF) licensed by CDSS Community Care Licensing — fills its beds through California’s brain injury service system. Members come mainly from two directions: hospital and neuro-rehabilitation programs discharging brain injury survivors into the community, and the California Traumatic Brain Injury (TBI) Program — the state network run by the Department of Rehabilitation, whose funded program sites provide community reintegration, supported living, and information and referral. Funding for residential care comes from a patchwork of Medi-Cal pathways (the HCBA Waiver, the Assisted Living Waiver’s TBI tier, and managed-care plans), from regional centers for some, and from SSI/SSP and private pay. So your “referral” work is really placement work: get certified and enrolled, get onto the TBI Program and Medi-Cal plans’ radar as a reliable adult residential facility, build relationships with the rehab and hospital discharge teams who see brain injury survivors first, and be visible to the state brain injury network that families and professionals turn to. This system shows you exactly who those sources are in California, what each of them wants, how to reach them, and how to keep the relationships warm — all within the legal line on referrals.</w:t>
            </w:r>
          </w:p>
        </w:tc>
      </w:tr>
    </w:tbl>
    <w:p>
      <w:pPr>
        <w:pStyle w:val="Normal"/>
        <w:keepNext w:val="true"/>
        <w:spacing w:before="220" w:after="90"/>
        <w:rPr/>
      </w:pPr>
      <w:r>
        <w:rPr>
          <w:rFonts w:eastAsia="Calibri" w:cs="Calibri"/>
          <w:b/>
          <w:bCs/>
          <w:i w:val="false"/>
          <w:iCs w:val="false"/>
          <w:color w:val="1F3A5F"/>
          <w:sz w:val="26"/>
          <w:szCs w:val="26"/>
        </w:rPr>
        <w:t>Part One — The Playbook: How to Earn Placements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brain injury residential providers actually fill beds in California: by being certified, being known, and being reliable. Read it once start to finish, then use it as a checklist. Everything here is general educational information for California providers — not legal advice; verify programs, contacts, and the anti-kickback rules before you rely on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whole system in one paragraph</w:t>
            </w:r>
          </w:p>
          <w:p>
            <w:pPr>
              <w:pStyle w:val="Normal"/>
              <w:spacing w:lineRule="exact" w:line="264" w:before="0" w:after="0"/>
              <w:rPr/>
            </w:pPr>
            <w:r>
              <w:rPr>
                <w:rFonts w:eastAsia="Calibri" w:cs="Calibri"/>
                <w:b w:val="false"/>
                <w:bCs w:val="false"/>
                <w:i w:val="false"/>
                <w:iCs w:val="false"/>
                <w:color w:val="1A1A1A"/>
                <w:sz w:val="19"/>
                <w:szCs w:val="19"/>
              </w:rPr>
              <w:t>Get licensed and enrolled so members can be placed with you (your CDSS Community Care Licensing Adult Residential Facility license and your TBI Program and Medi-Cal provider agreements). Identify the sources that put brain injury members in front of you — the TBI Program Sites and Medi-Cal waiver coordinators that refer and fund, the hospital and neuro-rehabilitation discharge teams they transition from, and the state brain injury network (the TBI Program and the Brain Injury Association of California) that families and professionals trust. Learn what each one needs, reach out and meet them with a clear message about the members you serve well, and then deliver so reliably that they place with you again. Get found online and in the Brain Injury Association of California directory, run a steady weekly rhythm, track where your placements actually come from, and stay inside the legal line — you earn placements through reliability and relationships, you never pay for them.</w:t>
            </w:r>
          </w:p>
        </w:tc>
      </w:tr>
    </w:tbl>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placeable. </w:t>
      </w:r>
      <w:r>
        <w:rPr>
          <w:rFonts w:eastAsia="Calibri" w:cs="Calibri"/>
          <w:b w:val="false"/>
          <w:bCs w:val="false"/>
          <w:i w:val="false"/>
          <w:iCs w:val="false"/>
          <w:color w:val="1A1A1A"/>
          <w:sz w:val="20"/>
          <w:szCs w:val="20"/>
        </w:rPr>
        <w:t>Hold your CDSS Community Care Licensing Adult Residential Facility license and be a recognized provider with the TBI Program and the Medi-Cal waivers and managed-care plans so they can place a member with you.</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Map your sources. </w:t>
      </w:r>
      <w:r>
        <w:rPr>
          <w:rFonts w:eastAsia="Calibri" w:cs="Calibri"/>
          <w:b w:val="false"/>
          <w:bCs w:val="false"/>
          <w:i w:val="false"/>
          <w:iCs w:val="false"/>
          <w:color w:val="1A1A1A"/>
          <w:sz w:val="20"/>
          <w:szCs w:val="20"/>
        </w:rPr>
        <w:t>The TBI Program Sites and Medi-Cal waivers that serve your area, the neuro-rehab and hospital discharge teams, and the state brain injury network (Part 2 + the directory).</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pipeline. </w:t>
      </w:r>
      <w:r>
        <w:rPr>
          <w:rFonts w:eastAsia="Calibri" w:cs="Calibri"/>
          <w:b w:val="false"/>
          <w:bCs w:val="false"/>
          <w:i w:val="false"/>
          <w:iCs w:val="false"/>
          <w:color w:val="1A1A1A"/>
          <w:sz w:val="20"/>
          <w:szCs w:val="20"/>
        </w:rPr>
        <w:t>Get onto the TBI Program and Medi-Cal plans’ provider radar and into the Brain Injury Association of California directory (Part 3).</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Learn what each wants. </w:t>
      </w:r>
      <w:r>
        <w:rPr>
          <w:rFonts w:eastAsia="Calibri" w:cs="Calibri"/>
          <w:b w:val="false"/>
          <w:bCs w:val="false"/>
          <w:i w:val="false"/>
          <w:iCs w:val="false"/>
          <w:color w:val="1A1A1A"/>
          <w:sz w:val="20"/>
          <w:szCs w:val="20"/>
        </w:rPr>
        <w:t>Speak to the pressure each source is under (Part 4).</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Reach out and meet them. </w:t>
      </w:r>
      <w:r>
        <w:rPr>
          <w:rFonts w:eastAsia="Calibri" w:cs="Calibri"/>
          <w:b w:val="false"/>
          <w:bCs w:val="false"/>
          <w:i w:val="false"/>
          <w:iCs w:val="false"/>
          <w:color w:val="1A1A1A"/>
          <w:sz w:val="20"/>
          <w:szCs w:val="20"/>
        </w:rPr>
        <w:t>With a short, clear message about the members you serve well (Parts 5–6).</w:t>
      </w:r>
    </w:p>
    <w:p>
      <w:pPr>
        <w:pStyle w:val="Normal"/>
        <w:spacing w:lineRule="exact" w:line="268" w:before="0" w:after="60"/>
        <w:ind w:hanging="300" w:start="360"/>
        <w:rPr/>
      </w:pPr>
      <w:r>
        <w:rPr>
          <w:rFonts w:eastAsia="Calibri" w:cs="Calibri"/>
          <w:b/>
          <w:bCs/>
          <w:i w:val="false"/>
          <w:iCs w:val="false"/>
          <w:color w:val="3E5871"/>
          <w:sz w:val="20"/>
          <w:szCs w:val="20"/>
        </w:rPr>
        <w:t xml:space="preserve">6.  </w:t>
      </w:r>
      <w:r>
        <w:rPr>
          <w:rFonts w:eastAsia="Calibri" w:cs="Calibri"/>
          <w:b/>
          <w:bCs/>
          <w:i w:val="false"/>
          <w:iCs w:val="false"/>
          <w:color w:val="1A1A1A"/>
          <w:sz w:val="20"/>
          <w:szCs w:val="20"/>
        </w:rPr>
        <w:t xml:space="preserve">Deliver and communicate. </w:t>
      </w:r>
      <w:r>
        <w:rPr>
          <w:rFonts w:eastAsia="Calibri" w:cs="Calibri"/>
          <w:b w:val="false"/>
          <w:bCs w:val="false"/>
          <w:i w:val="false"/>
          <w:iCs w:val="false"/>
          <w:color w:val="1A1A1A"/>
          <w:sz w:val="20"/>
          <w:szCs w:val="20"/>
        </w:rPr>
        <w:t>Reliability and updates are what earn the next placement (Part 7).</w:t>
      </w:r>
    </w:p>
    <w:p>
      <w:pPr>
        <w:pStyle w:val="Normal"/>
        <w:spacing w:lineRule="exact" w:line="268" w:before="0" w:after="60"/>
        <w:ind w:hanging="300" w:start="360"/>
        <w:rPr/>
      </w:pPr>
      <w:r>
        <w:rPr>
          <w:rFonts w:eastAsia="Calibri" w:cs="Calibri"/>
          <w:b/>
          <w:bCs/>
          <w:i w:val="false"/>
          <w:iCs w:val="false"/>
          <w:color w:val="3E5871"/>
          <w:sz w:val="20"/>
          <w:szCs w:val="20"/>
        </w:rPr>
        <w:t xml:space="preserve">7.  </w:t>
      </w:r>
      <w:r>
        <w:rPr>
          <w:rFonts w:eastAsia="Calibri" w:cs="Calibri"/>
          <w:b/>
          <w:bCs/>
          <w:i w:val="false"/>
          <w:iCs w:val="false"/>
          <w:color w:val="1A1A1A"/>
          <w:sz w:val="20"/>
          <w:szCs w:val="20"/>
        </w:rPr>
        <w:t xml:space="preserve">Be findable. </w:t>
      </w:r>
      <w:r>
        <w:rPr>
          <w:rFonts w:eastAsia="Calibri" w:cs="Calibri"/>
          <w:b w:val="false"/>
          <w:bCs w:val="false"/>
          <w:i w:val="false"/>
          <w:iCs w:val="false"/>
          <w:color w:val="1A1A1A"/>
          <w:sz w:val="20"/>
          <w:szCs w:val="20"/>
        </w:rPr>
        <w:t>Online presence and the brain injury directories (Part 8).</w:t>
      </w:r>
    </w:p>
    <w:p>
      <w:pPr>
        <w:pStyle w:val="Normal"/>
        <w:spacing w:lineRule="exact" w:line="268" w:before="0" w:after="60"/>
        <w:ind w:hanging="300" w:start="360"/>
        <w:rPr/>
      </w:pPr>
      <w:r>
        <w:rPr>
          <w:rFonts w:eastAsia="Calibri" w:cs="Calibri"/>
          <w:b/>
          <w:bCs/>
          <w:i w:val="false"/>
          <w:iCs w:val="false"/>
          <w:color w:val="3E5871"/>
          <w:sz w:val="20"/>
          <w:szCs w:val="20"/>
        </w:rPr>
        <w:t xml:space="preserve">8.  </w:t>
      </w:r>
      <w:r>
        <w:rPr>
          <w:rFonts w:eastAsia="Calibri" w:cs="Calibri"/>
          <w:b/>
          <w:bCs/>
          <w:i w:val="false"/>
          <w:iCs w:val="false"/>
          <w:color w:val="1A1A1A"/>
          <w:sz w:val="20"/>
          <w:szCs w:val="20"/>
        </w:rPr>
        <w:t xml:space="preserve">Run the rhythm and measure. </w:t>
      </w:r>
      <w:r>
        <w:rPr>
          <w:rFonts w:eastAsia="Calibri" w:cs="Calibri"/>
          <w:b w:val="false"/>
          <w:bCs w:val="false"/>
          <w:i w:val="false"/>
          <w:iCs w:val="false"/>
          <w:color w:val="1A1A1A"/>
          <w:sz w:val="20"/>
          <w:szCs w:val="20"/>
        </w:rPr>
        <w:t>A weekly cadence and honest tracking (Parts 9–10).</w:t>
      </w:r>
    </w:p>
    <w:p>
      <w:pPr>
        <w:pStyle w:val="Normal"/>
        <w:keepNext w:val="true"/>
        <w:spacing w:before="220" w:after="90"/>
        <w:rPr/>
      </w:pPr>
      <w:r>
        <w:rPr>
          <w:rFonts w:eastAsia="Calibri" w:cs="Calibri"/>
          <w:b/>
          <w:bCs/>
          <w:i w:val="false"/>
          <w:iCs w:val="false"/>
          <w:color w:val="1F3A5F"/>
          <w:sz w:val="26"/>
          <w:szCs w:val="26"/>
        </w:rPr>
        <w:t>Part 1 — Why Placements Are Your Census Engine</w:t>
      </w:r>
    </w:p>
    <w:p>
      <w:pPr>
        <w:pStyle w:val="Normal"/>
        <w:spacing w:lineRule="exact" w:line="268" w:before="0" w:after="110"/>
        <w:jc w:val="start"/>
        <w:rPr/>
      </w:pPr>
      <w:r>
        <w:rPr>
          <w:rFonts w:eastAsia="Calibri" w:cs="Calibri"/>
          <w:b w:val="false"/>
          <w:bCs w:val="false"/>
          <w:i w:val="false"/>
          <w:iCs w:val="false"/>
          <w:color w:val="1A1A1A"/>
          <w:sz w:val="20"/>
          <w:szCs w:val="20"/>
        </w:rPr>
        <w:t>An empty bed earns nothing, and in a brain injury home your beds fill one way: a discharge team, TBI Program Site, or Medi-Cal waiver coordinator connects a member to an adult residential facility that can meet their needs. That makes your relationships with the people who authorize and refer members the single most important driver of your revenue — more than any advertisement.</w:t>
      </w:r>
    </w:p>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relationships matter so much here: the people who place a member with you are staking their own professional judgment on you. A funding source, a hospital discharge planner, or a neuro-rehab social worker is trusting you with a vulnerable person who has complex cognitive, behavioral, and medical needs. When you are reliable, communicate well, and make them look good to the member and family, they place with you again. When you are not, they quietly stop. Your reputation among a small circle of referring professionals is your business.</w:t>
      </w:r>
    </w:p>
    <w:p>
      <w:pPr>
        <w:pStyle w:val="Normal"/>
        <w:spacing w:lineRule="exact" w:line="268" w:before="0" w:after="110"/>
        <w:jc w:val="start"/>
        <w:rPr/>
      </w:pPr>
      <w:r>
        <w:rPr>
          <w:rFonts w:eastAsia="Calibri" w:cs="Calibri"/>
          <w:b w:val="false"/>
          <w:bCs w:val="false"/>
          <w:i w:val="false"/>
          <w:iCs w:val="false"/>
          <w:color w:val="1A1A1A"/>
          <w:sz w:val="20"/>
          <w:szCs w:val="20"/>
        </w:rPr>
        <w:t>It also means growth is relationship-limited, not ad-limited. You cannot buy your way to a full census; you earn it by being the adult residential facility the referring professionals trust with their hardest placements. Everything else in this playbook serves that one goal.</w:t>
      </w:r>
    </w:p>
    <w:p>
      <w:pPr>
        <w:pStyle w:val="Normal"/>
        <w:spacing w:lineRule="exact" w:line="268" w:before="0" w:after="110"/>
        <w:jc w:val="start"/>
        <w:rPr/>
      </w:pPr>
      <w:r>
        <w:rPr>
          <w:rFonts w:eastAsia="Calibri" w:cs="Calibri"/>
          <w:b w:val="false"/>
          <w:bCs w:val="false"/>
          <w:i w:val="false"/>
          <w:iCs w:val="false"/>
          <w:color w:val="1A1A1A"/>
          <w:sz w:val="20"/>
          <w:szCs w:val="20"/>
        </w:rPr>
        <w:t>Think about the math of a single relationship. One funding source that trusts you can place several members with you over a year, and each member is a daily per-diem that continues for months or years. That means one strong referral relationship can be worth more than any marketing budget you could spend — and it costs you time and reliability, not money. This is why the providers who win in brain injury residential care are rarely the ones with the flashiest websites; they are the ones the case managers and discharge planners call first because they have never been let down.</w:t>
      </w:r>
    </w:p>
    <w:p>
      <w:pPr>
        <w:pStyle w:val="Normal"/>
        <w:keepNext w:val="true"/>
        <w:spacing w:before="220" w:after="90"/>
        <w:rPr/>
      </w:pPr>
      <w:r>
        <w:rPr>
          <w:rFonts w:eastAsia="Calibri" w:cs="Calibri"/>
          <w:b/>
          <w:bCs/>
          <w:i w:val="false"/>
          <w:iCs w:val="false"/>
          <w:color w:val="1F3A5F"/>
          <w:sz w:val="26"/>
          <w:szCs w:val="26"/>
        </w:rPr>
        <w:t>Part 2 — The Referral Source Map: Who Sends You Members</w:t>
      </w:r>
    </w:p>
    <w:p>
      <w:pPr>
        <w:pStyle w:val="Normal"/>
        <w:spacing w:lineRule="exact" w:line="268" w:before="0" w:after="110"/>
        <w:jc w:val="start"/>
        <w:rPr/>
      </w:pPr>
      <w:r>
        <w:rPr>
          <w:rFonts w:eastAsia="Calibri" w:cs="Calibri"/>
          <w:b w:val="false"/>
          <w:bCs w:val="false"/>
          <w:i w:val="false"/>
          <w:iCs w:val="false"/>
          <w:color w:val="1A1A1A"/>
          <w:sz w:val="20"/>
          <w:szCs w:val="20"/>
        </w:rPr>
        <w:t>Here is the California landscape of who puts brain injury members in front of a licensed adult residential facility. Not all of these carry the same weight — the discharge teams, the TBI Program Sites, and the Medi-Cal coordinators matter most — but each has a role:</w:t>
      </w:r>
    </w:p>
    <w:p>
      <w:pPr>
        <w:pStyle w:val="ListParagraph"/>
        <w:numPr>
          <w:ilvl w:val="0"/>
          <w:numId w:val="3"/>
        </w:numPr>
        <w:spacing w:lineRule="exact" w:line="268" w:before="0" w:after="60"/>
        <w:rPr/>
      </w:pPr>
      <w:r>
        <w:rPr>
          <w:rFonts w:eastAsia="Calibri" w:cs="Calibri"/>
          <w:b/>
          <w:bCs/>
          <w:i w:val="false"/>
          <w:iCs w:val="false"/>
          <w:color w:val="1A1A1A"/>
          <w:sz w:val="20"/>
          <w:szCs w:val="20"/>
        </w:rPr>
        <w:t xml:space="preserve">Hospital &amp; neuro-rehabilitation discharge — usually the biggest. </w:t>
      </w:r>
      <w:r>
        <w:rPr>
          <w:rFonts w:eastAsia="Calibri" w:cs="Calibri"/>
          <w:b w:val="false"/>
          <w:bCs w:val="false"/>
          <w:i w:val="false"/>
          <w:iCs w:val="false"/>
          <w:color w:val="1A1A1A"/>
          <w:sz w:val="20"/>
          <w:szCs w:val="20"/>
        </w:rPr>
        <w:t>Brain injury survivors leave inpatient neuro-rehabilitation (for example Rancho Los Amigos or Santa Clara Valley Medical Center) needing a residential setting; their case managers and social workers steer where a member lands. These are among your highest-value relationships.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California TBI Program Sites. </w:t>
      </w:r>
      <w:r>
        <w:rPr>
          <w:rFonts w:eastAsia="Calibri" w:cs="Calibri"/>
          <w:b w:val="false"/>
          <w:bCs w:val="false"/>
          <w:i w:val="false"/>
          <w:iCs w:val="false"/>
          <w:color w:val="1A1A1A"/>
          <w:sz w:val="20"/>
          <w:szCs w:val="20"/>
        </w:rPr>
        <w:t>The Department of Rehabilitation funds nonprofit program sites statewide that provide community reintegration, supported living, and information and referral for adults with TBI — a key hub connecting survivors and families to community resources including residential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waivers &amp; managed-care plans. </w:t>
      </w:r>
      <w:r>
        <w:rPr>
          <w:rFonts w:eastAsia="Calibri" w:cs="Calibri"/>
          <w:b w:val="false"/>
          <w:bCs w:val="false"/>
          <w:i w:val="false"/>
          <w:iCs w:val="false"/>
          <w:color w:val="1A1A1A"/>
          <w:sz w:val="20"/>
          <w:szCs w:val="20"/>
        </w:rPr>
        <w:t>For Medi-Cal-eligible members, the HCBA Waiver, the Assisted Living Waiver’s TBI tier, and managed-care plans fund community and residential care; their care coordinators authorize services. Know the waivers and plans operating in your region.</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Hospital &amp; neuro-rehabilitation discharge. </w:t>
      </w:r>
      <w:r>
        <w:rPr>
          <w:rFonts w:eastAsia="Calibri" w:cs="Calibri"/>
          <w:b w:val="false"/>
          <w:bCs w:val="false"/>
          <w:i w:val="false"/>
          <w:iCs w:val="false"/>
          <w:color w:val="1A1A1A"/>
          <w:sz w:val="20"/>
          <w:szCs w:val="20"/>
        </w:rPr>
        <w:t>Brain injury survivors move from trauma centers and inpatient neuro-rehabilitation (for example, Rancho Los Amigos and hospital rehab units) toward the community; their case managers and social workers help steer where a member lands.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t>
      </w:r>
      <w:r>
        <w:rPr>
          <w:rFonts w:eastAsia="Calibri" w:cs="Calibri"/>
          <w:b w:val="false"/>
          <w:bCs w:val="false"/>
          <w:i w:val="false"/>
          <w:iCs w:val="false"/>
          <w:color w:val="1A1A1A"/>
          <w:sz w:val="20"/>
          <w:szCs w:val="20"/>
        </w:rPr>
        <w:t>The TBI Program Sites, Medi-Cal programs, and the Brain Injury Association of California navigate survivors, families, and professionals to resources and providers.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physiatry &amp; TBI clinics. </w:t>
      </w:r>
      <w:r>
        <w:rPr>
          <w:rFonts w:eastAsia="Calibri" w:cs="Calibri"/>
          <w:b w:val="false"/>
          <w:bCs w:val="false"/>
          <w:i w:val="false"/>
          <w:iCs w:val="false"/>
          <w:color w:val="1A1A1A"/>
          <w:sz w:val="20"/>
          <w:szCs w:val="20"/>
        </w:rPr>
        <w:t>The clinicians who follow brain injury patients and are asked “where can my patient live safely?”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Other brain injury providers. </w:t>
      </w:r>
      <w:r>
        <w:rPr>
          <w:rFonts w:eastAsia="Calibri" w:cs="Calibri"/>
          <w:b w:val="false"/>
          <w:bCs w:val="false"/>
          <w:i w:val="false"/>
          <w:iCs w:val="false"/>
          <w:color w:val="1A1A1A"/>
          <w:sz w:val="20"/>
          <w:szCs w:val="20"/>
        </w:rPr>
        <w:t>Independent-living-skills trainers, day programs, and transition programs are two-way partners — they serve members who may need residential care, and vice versa.</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guardians &amp; past members. </w:t>
      </w:r>
      <w:r>
        <w:rPr>
          <w:rFonts w:eastAsia="Calibri" w:cs="Calibri"/>
          <w:b w:val="false"/>
          <w:bCs w:val="false"/>
          <w:i w:val="false"/>
          <w:iCs w:val="false"/>
          <w:color w:val="1A1A1A"/>
          <w:sz w:val="20"/>
          <w:szCs w:val="20"/>
        </w:rPr>
        <w:t>The warmest source of all — families talk to other families, and a member you served well is your best reference.</w:t>
      </w:r>
    </w:p>
    <w:p>
      <w:pPr>
        <w:pStyle w:val="Normal"/>
        <w:spacing w:lineRule="exact" w:line="268" w:before="0" w:after="110"/>
        <w:jc w:val="start"/>
        <w:rPr/>
      </w:pPr>
      <w:r>
        <w:rPr>
          <w:rFonts w:eastAsia="Calibri" w:cs="Calibri"/>
          <w:b w:val="false"/>
          <w:bCs w:val="false"/>
          <w:i w:val="false"/>
          <w:iCs w:val="false"/>
          <w:color w:val="1A1A1A"/>
          <w:sz w:val="20"/>
          <w:szCs w:val="20"/>
        </w:rPr>
        <w:t>Do not try to work all of these at once. For a new home, the order that matters is simple: first, the neuro-rehab discharge teams and Medi-Cal waiver coordinators that serve your region, because they are the ones who actually place and fund members; second, the neuro-rehabilitation programs and hospital discharge teams where members are found before they reach the community; and third, the state brain injury network and the clinics and organizations that families turn to. Get deep with the first group before you spread thin across the rest. A handful of strong discharge and funding relationships will fill more beds than a hundred cold introductions.</w:t>
      </w:r>
    </w:p>
    <w:p>
      <w:pPr>
        <w:pStyle w:val="Normal"/>
        <w:keepNext w:val="true"/>
        <w:spacing w:before="220" w:after="90"/>
        <w:rPr/>
      </w:pPr>
      <w:r>
        <w:rPr>
          <w:rFonts w:eastAsia="Calibri" w:cs="Calibri"/>
          <w:b/>
          <w:bCs/>
          <w:i w:val="false"/>
          <w:iCs w:val="false"/>
          <w:color w:val="1F3A5F"/>
          <w:sz w:val="26"/>
          <w:szCs w:val="26"/>
        </w:rPr>
        <w:t>Part 3 — The Placement Pipeline: Getting Into It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Most of this playbook is about earning placements through relationships. This part is about the formal pipeline you must be in first, and the legal line you must never cross.</w:t>
      </w:r>
    </w:p>
    <w:p>
      <w:pPr>
        <w:pStyle w:val="Normal"/>
        <w:keepNext w:val="true"/>
        <w:spacing w:before="140" w:after="60"/>
        <w:rPr/>
      </w:pPr>
      <w:r>
        <w:rPr>
          <w:rFonts w:eastAsia="Calibri" w:cs="Calibri"/>
          <w:b/>
          <w:bCs/>
          <w:i w:val="false"/>
          <w:iCs w:val="false"/>
          <w:color w:val="3E5871"/>
          <w:sz w:val="21"/>
          <w:szCs w:val="21"/>
        </w:rPr>
        <w:t>Getting into the pipeline</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Be certified and enrolled. </w:t>
      </w:r>
      <w:r>
        <w:rPr>
          <w:rFonts w:eastAsia="Calibri" w:cs="Calibri"/>
          <w:b w:val="false"/>
          <w:bCs w:val="false"/>
          <w:i w:val="false"/>
          <w:iCs w:val="false"/>
          <w:color w:val="1A1A1A"/>
          <w:sz w:val="20"/>
          <w:szCs w:val="20"/>
        </w:rPr>
        <w:t>Hold your CDSS Community Care Licensing Adult Residential Facility license (Title 22, Div. 6, Ch. 6) and be a recognized TBI Program and Medi-Cal provider — they can only place a member with a licensed provider.</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Get onto the TBI Program and the Medi-Cal plans’ radar. </w:t>
      </w:r>
      <w:r>
        <w:rPr>
          <w:rFonts w:eastAsia="Calibri" w:cs="Calibri"/>
          <w:b w:val="false"/>
          <w:bCs w:val="false"/>
          <w:i w:val="false"/>
          <w:iCs w:val="false"/>
          <w:color w:val="1A1A1A"/>
          <w:sz w:val="20"/>
          <w:szCs w:val="20"/>
        </w:rPr>
        <w:t>Introduce your home to your regional TBI Program Site and the Medi-Cal Long-Term Care plans, describe the members you serve well, and make it easy for them to place with you.</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Get into the Brain Injury Association of California directory. </w:t>
      </w:r>
      <w:r>
        <w:rPr>
          <w:rFonts w:eastAsia="Calibri" w:cs="Calibri"/>
          <w:b w:val="false"/>
          <w:bCs w:val="false"/>
          <w:i w:val="false"/>
          <w:iCs w:val="false"/>
          <w:color w:val="1A1A1A"/>
          <w:sz w:val="20"/>
          <w:szCs w:val="20"/>
        </w:rPr>
        <w:t>Families and professionals use it to find providers; be listed and keep your listing current.</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Build relationships with discharge and rehab teams. </w:t>
      </w:r>
      <w:r>
        <w:rPr>
          <w:rFonts w:eastAsia="Calibri" w:cs="Calibri"/>
          <w:b w:val="false"/>
          <w:bCs w:val="false"/>
          <w:i w:val="false"/>
          <w:iCs w:val="false"/>
          <w:color w:val="1A1A1A"/>
          <w:sz w:val="20"/>
          <w:szCs w:val="20"/>
        </w:rPr>
        <w:t>Be known to the hospital and neuro-rehab social workers and case managers who help members transition.</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Then work the relationships. </w:t>
      </w:r>
      <w:r>
        <w:rPr>
          <w:rFonts w:eastAsia="Calibri" w:cs="Calibri"/>
          <w:b w:val="false"/>
          <w:bCs w:val="false"/>
          <w:i w:val="false"/>
          <w:iCs w:val="false"/>
          <w:color w:val="1A1A1A"/>
          <w:sz w:val="20"/>
          <w:szCs w:val="20"/>
        </w:rPr>
        <w:t>Once you are in the pipeline, the rest of this playbook — reliability, communication, and being a genuine resource — is what earns the placements.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legal line — you earn placements, you never buy them</w:t>
            </w:r>
          </w:p>
          <w:p>
            <w:pPr>
              <w:pStyle w:val="Normal"/>
              <w:spacing w:lineRule="exact" w:line="264" w:before="0" w:after="0"/>
              <w:rPr/>
            </w:pPr>
            <w:r>
              <w:rPr>
                <w:rFonts w:eastAsia="Calibri" w:cs="Calibri"/>
                <w:b w:val="false"/>
                <w:bCs w:val="false"/>
                <w:i w:val="false"/>
                <w:iCs w:val="false"/>
                <w:color w:val="1A1A1A"/>
                <w:sz w:val="19"/>
                <w:szCs w:val="19"/>
              </w:rPr>
              <w:t>One rule sits above all the rest: you may not pay for referrals of Medi-Cal-funded members, and you may not offer or accept anything of value in exchange for a referral. The federal Anti-Kickback Statute and California law apply squarely to waiver-funded residential services. What you can do: market legitimately (a website, listings, and educational materials); employ a genuine business-development person on a real salary; educate and build relationships by being a real resource; pay fair-market value for actual, documented services under a written agreement (never for referrals); and thank referrers appropriately — gratitude, not a fee. Be careful with any “lead service” that offers to sell you member referrals. When in doubt, get qualified legal advice before you sign anything.</w:t>
            </w:r>
          </w:p>
        </w:tc>
      </w:tr>
    </w:tbl>
    <w:p>
      <w:pPr>
        <w:pStyle w:val="Normal"/>
        <w:keepNext w:val="true"/>
        <w:spacing w:before="220" w:after="90"/>
        <w:rPr/>
      </w:pPr>
      <w:r>
        <w:rPr>
          <w:rFonts w:eastAsia="Calibri" w:cs="Calibri"/>
          <w:b/>
          <w:bCs/>
          <w:i w:val="false"/>
          <w:iCs w:val="false"/>
          <w:color w:val="1F3A5F"/>
          <w:sz w:val="26"/>
          <w:szCs w:val="26"/>
        </w:rPr>
        <w:t>Part 4 — What Each Source Actually Wants</w:t>
      </w:r>
    </w:p>
    <w:p>
      <w:pPr>
        <w:pStyle w:val="Normal"/>
        <w:rPr/>
      </w:pPr>
      <w:r>
        <w:rPr/>
      </w:r>
      <w:r>
        <w:br w:type="page"/>
      </w:r>
    </w:p>
    <w:p>
      <w:pPr>
        <w:pStyle w:val="Normal"/>
        <w:spacing w:lineRule="exact" w:line="268" w:before="0" w:after="110"/>
        <w:jc w:val="start"/>
        <w:rPr/>
      </w:pPr>
      <w:r>
        <w:rPr>
          <w:rFonts w:eastAsia="Calibri" w:cs="Calibri"/>
          <w:b w:val="false"/>
          <w:bCs w:val="false"/>
          <w:i w:val="false"/>
          <w:iCs w:val="false"/>
          <w:color w:val="1A1A1A"/>
          <w:sz w:val="20"/>
          <w:szCs w:val="20"/>
        </w:rPr>
        <w:t>You win placements by solving the referrer’s problem, not by talking about yourself. Each source is under a different pressure: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Case managers want reliability and communication. </w:t>
      </w:r>
      <w:r>
        <w:rPr>
          <w:rFonts w:eastAsia="Calibri" w:cs="Calibri"/>
          <w:b w:val="false"/>
          <w:bCs w:val="false"/>
          <w:i w:val="false"/>
          <w:iCs w:val="false"/>
          <w:color w:val="1A1A1A"/>
          <w:sz w:val="20"/>
          <w:szCs w:val="20"/>
        </w:rPr>
        <w:t>They have staked their judgment on you and must document that the member is safe and served. They want a provider who accepts the referral, answers the phone, gives updates, and flags problems early.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Discharge planners &amp; rehab social workers want a safe, willing placement. </w:t>
      </w:r>
      <w:r>
        <w:rPr>
          <w:rFonts w:eastAsia="Calibri" w:cs="Calibri"/>
          <w:b w:val="false"/>
          <w:bCs w:val="false"/>
          <w:i w:val="false"/>
          <w:iCs w:val="false"/>
          <w:color w:val="1A1A1A"/>
          <w:sz w:val="20"/>
          <w:szCs w:val="20"/>
        </w:rPr>
        <w:t>They need a home that will accept a member with real complexity — behavioral, cognitive, medical — and get them settled without a bounce-back.</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Neurology &amp; physiatry clinics want their patient cared for. </w:t>
      </w:r>
      <w:r>
        <w:rPr>
          <w:rFonts w:eastAsia="Calibri" w:cs="Calibri"/>
          <w:b w:val="false"/>
          <w:bCs w:val="false"/>
          <w:i w:val="false"/>
          <w:iCs w:val="false"/>
          <w:color w:val="1A1A1A"/>
          <w:sz w:val="20"/>
          <w:szCs w:val="20"/>
        </w:rPr>
        <w:t>Low-hassle, trustworthy, and communicative — they want to know their patient is safe and that you will keep them informed.</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The state brain injury network wants quality and fit. </w:t>
      </w:r>
      <w:r>
        <w:rPr>
          <w:rFonts w:eastAsia="Calibri" w:cs="Calibri"/>
          <w:b w:val="false"/>
          <w:bCs w:val="false"/>
          <w:i w:val="false"/>
          <w:iCs w:val="false"/>
          <w:color w:val="1A1A1A"/>
          <w:sz w:val="20"/>
          <w:szCs w:val="20"/>
        </w:rPr>
        <w:t>The Brain Injury Association of California and the TBI Program refer to providers who deliver genuine, person-centered brain injury care.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Families &amp; guardians want trust. </w:t>
      </w:r>
      <w:r>
        <w:rPr>
          <w:rFonts w:eastAsia="Calibri" w:cs="Calibri"/>
          <w:b w:val="false"/>
          <w:bCs w:val="false"/>
          <w:i w:val="false"/>
          <w:iCs w:val="false"/>
          <w:color w:val="1A1A1A"/>
          <w:sz w:val="20"/>
          <w:szCs w:val="20"/>
        </w:rPr>
        <w:t>Warmth, competence, and the felt sense that their loved one is safe, respected, and progressing.</w:t>
      </w:r>
    </w:p>
    <w:p>
      <w:pPr>
        <w:pStyle w:val="Normal"/>
        <w:spacing w:lineRule="exact" w:line="268" w:before="0" w:after="110"/>
        <w:jc w:val="start"/>
        <w:rPr/>
      </w:pPr>
      <w:r>
        <w:rPr>
          <w:rFonts w:eastAsia="Calibri" w:cs="Calibri"/>
          <w:b w:val="false"/>
          <w:bCs w:val="false"/>
          <w:i w:val="false"/>
          <w:iCs w:val="false"/>
          <w:color w:val="1A1A1A"/>
          <w:sz w:val="20"/>
          <w:szCs w:val="20"/>
        </w:rPr>
        <w:t>Understand the pressure each source is under and speak to it directly. A case manager measured on timely placements and safe outcomes does not want a sales pitch — they want to know you will accept the referral, keep the member safe, and make their job easier.</w:t>
      </w:r>
    </w:p>
    <w:p>
      <w:pPr>
        <w:pStyle w:val="Normal"/>
        <w:spacing w:lineRule="exact" w:line="268" w:before="0" w:after="110"/>
        <w:jc w:val="start"/>
        <w:rPr/>
      </w:pPr>
      <w:r>
        <w:rPr>
          <w:rFonts w:eastAsia="Calibri" w:cs="Calibri"/>
          <w:b w:val="false"/>
          <w:bCs w:val="false"/>
          <w:i w:val="false"/>
          <w:iCs w:val="false"/>
          <w:color w:val="1A1A1A"/>
          <w:sz w:val="20"/>
          <w:szCs w:val="20"/>
        </w:rPr>
        <w:t>Here is a concrete way to think about it. When a case manager has a member ready to leave a hospital or rehab and needs a residential placement, they are under time pressure, safety pressure, and documentation pressure all at once: the member cannot stay where they are, the placement has to be safe, and the case manager has to justify the decision. If you are the provider who answers the phone, gives a clear yes, accepts a member with real complexity, and communicates well after admission, you have removed all three pressures at once. That is why reliability beats marketing every time in this field — you are not selling a service, you are relieving a professional’s hardest problem.</w:t>
      </w:r>
    </w:p>
    <w:p>
      <w:pPr>
        <w:pStyle w:val="Normal"/>
        <w:keepNext w:val="true"/>
        <w:spacing w:before="22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Approach referral sources the way you would want to be approached: professionally, briefly, and with something useful. Start with the sources that matter most — your regional TBI Program Site, the Medi-Cal plans,, and the neuro-rehab discharge teams — and work outward.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your homework: know which funding sources serve your region and which hospitals and rehab programs discharge brain injury members near you.</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Lead with the members you serve well, your certification, and your reliability — not a sales pitch.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Make it effortless: a clear one-page leave-behind, your intake contact, and how quickly you respond to a referral.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Be a resource, not a solicitor: share useful information and be genuinely helpful even when there is no immediate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Follow up consistently and respect their time — professionals refer to providers who are easy to work with.</w:t>
      </w:r>
    </w:p>
    <w:p>
      <w:pPr>
        <w:pStyle w:val="Normal"/>
        <w:spacing w:lineRule="exact" w:line="268" w:before="0" w:after="110"/>
        <w:jc w:val="start"/>
        <w:rPr/>
      </w:pPr>
      <w:r>
        <w:rPr>
          <w:rFonts w:eastAsia="Calibri" w:cs="Calibri"/>
          <w:b w:val="false"/>
          <w:bCs w:val="false"/>
          <w:i w:val="false"/>
          <w:iCs w:val="false"/>
          <w:color w:val="1A1A1A"/>
          <w:sz w:val="20"/>
          <w:szCs w:val="20"/>
        </w:rPr>
        <w:t>A useful way to think about outreach: you are not asking for a favor, you are offering to solve a recurring problem. Case managers and discharge planners constantly need safe, willing placements for complex brain injury members, and good options are genuinely scarce. When you present yourself as a reliable solution to that problem — clear about who you serve, fast to respond, and easy to work with — you are giving them something valuable, not asking for something. That framing changes how you show up, and professionals feel the difference.</w:t>
      </w:r>
    </w:p>
    <w:p>
      <w:pPr>
        <w:pStyle w:val="Normal"/>
        <w:keepNext w:val="true"/>
        <w:spacing w:before="220" w:after="90"/>
        <w:rPr/>
      </w:pPr>
      <w:r>
        <w:rPr>
          <w:rFonts w:eastAsia="Calibri" w:cs="Calibri"/>
          <w:b/>
          <w:bCs/>
          <w:i w:val="false"/>
          <w:iCs w:val="false"/>
          <w:color w:val="1F3A5F"/>
          <w:sz w:val="26"/>
          <w:szCs w:val="26"/>
        </w:rPr>
        <w:t>Part 6 — What to Say: Scripts &amp; Messages</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[home name], a licensed Adult Residential Facility for adults with brain injury in [area]. We provide 24-hour residential rehabilitation — independent-living skills, behavioral support, medication management, and cognitive supports — and we accept referrals from the TBI Program and the Medi-Cal waivers and managed-care plans. I’d love to be a resource when you have a member who needs a residential placement. What’s the best way to reach you?”</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A single clear page a case manager or discharge planner can keep: your home’s name and location; that you are a CDSS-licensed Adult Residential Facility that accepts the TBI Program and Medi-Cal placements; the members you serve well (care levels, behavioral and cognitive needs, any specialties); your capacity and current availability; your intake contact and how fast you respond to a referral; and one line on what makes your home reliable. Keep it factual and free of any claim you cannot back up.</w:t>
      </w:r>
    </w:p>
    <w:p>
      <w:pPr>
        <w:pStyle w:val="Normal"/>
        <w:keepNext w:val="true"/>
        <w:spacing w:before="140" w:after="60"/>
        <w:rPr/>
      </w:pPr>
      <w:r>
        <w:rPr>
          <w:rFonts w:eastAsia="Calibri" w:cs="Calibri"/>
          <w:b/>
          <w:bCs/>
          <w:i w:val="false"/>
          <w:iCs w:val="false"/>
          <w:color w:val="3E5871"/>
          <w:sz w:val="21"/>
          <w:szCs w:val="21"/>
        </w:rPr>
        <w:t>A short introduction email you can adapt</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Hello [name], I’m [name] with [home name], a licensed Adult Residential Facility for adults with brain injury in [area]. We provide 24-hour residential rehabilitation and currently have availability for [level/needs]. I know you occasionally need a reliable placement for a member transitioning to the community, and I’d like to be a resource. I’ve attached a one-page summary of who we serve and how to reach us for a referral. Would a brief call be helpful? Thank you for the work you do for these members.”</w:t>
      </w:r>
    </w:p>
    <w:p>
      <w:pPr>
        <w:pStyle w:val="Normal"/>
        <w:spacing w:lineRule="exact" w:line="268" w:before="0" w:after="110"/>
        <w:jc w:val="start"/>
        <w:rPr/>
      </w:pPr>
      <w:r>
        <w:rPr>
          <w:rFonts w:eastAsia="Calibri" w:cs="Calibri"/>
          <w:b w:val="false"/>
          <w:bCs w:val="false"/>
          <w:i w:val="false"/>
          <w:iCs w:val="false"/>
          <w:color w:val="1A1A1A"/>
          <w:sz w:val="20"/>
          <w:szCs w:val="20"/>
        </w:rPr>
        <w:t>Keep every message short, specific, and about the member — not about you. The goal of a first message is not to win a placement; it is to become a name the professional recognizes and trusts enough to call when the right member comes along.</w:t>
      </w:r>
    </w:p>
    <w:p>
      <w:pPr>
        <w:pStyle w:val="Normal"/>
        <w:keepNext w:val="true"/>
        <w:spacing w:before="140" w:after="60"/>
        <w:rPr/>
      </w:pPr>
      <w:r>
        <w:rPr>
          <w:rFonts w:eastAsia="Calibri" w:cs="Calibri"/>
          <w:b/>
          <w:bCs/>
          <w:i w:val="false"/>
          <w:iCs w:val="false"/>
          <w:color w:val="3E5871"/>
          <w:sz w:val="21"/>
          <w:szCs w:val="21"/>
        </w:rPr>
        <w:t>Speaking with families and guardians</w:t>
      </w:r>
    </w:p>
    <w:p>
      <w:pPr>
        <w:pStyle w:val="Normal"/>
        <w:spacing w:lineRule="exact" w:line="268" w:before="0" w:after="110"/>
        <w:jc w:val="start"/>
        <w:rPr/>
      </w:pPr>
      <w:r>
        <w:rPr>
          <w:rFonts w:eastAsia="Calibri" w:cs="Calibri"/>
          <w:b w:val="false"/>
          <w:bCs w:val="false"/>
          <w:i w:val="false"/>
          <w:iCs w:val="false"/>
          <w:color w:val="1A1A1A"/>
          <w:sz w:val="20"/>
          <w:szCs w:val="20"/>
        </w:rPr>
        <w:t>Families and guardians are often exhausted, frightened, and grieving the person their loved one was before the injury. With them, lead with warmth and competence, not logistics: acknowledge how hard this is, describe in plain terms how you keep their loved one safe and help them live as fully as possible, and invite them to visit. Families do not choose a home from a brochure; they choose it from the feeling that their loved one will be safe, respected, and genuinely cared for. Let them feel that in how you talk to them.</w:t>
      </w:r>
    </w:p>
    <w:p>
      <w:pPr>
        <w:pStyle w:val="Normal"/>
        <w:keepNext w:val="true"/>
        <w:spacing w:before="140" w:after="60"/>
        <w:rPr/>
      </w:pPr>
      <w:r>
        <w:rPr>
          <w:rFonts w:eastAsia="Calibri" w:cs="Calibri"/>
          <w:b/>
          <w:bCs/>
          <w:i w:val="false"/>
          <w:iCs w:val="false"/>
          <w:color w:val="3E5871"/>
          <w:sz w:val="21"/>
          <w:szCs w:val="21"/>
        </w:rPr>
        <w:t>What not to say</w:t>
      </w:r>
    </w:p>
    <w:p>
      <w:pPr>
        <w:pStyle w:val="Normal"/>
        <w:spacing w:lineRule="exact" w:line="268" w:before="0" w:after="110"/>
        <w:jc w:val="start"/>
        <w:rPr/>
      </w:pPr>
      <w:r>
        <w:rPr>
          <w:rFonts w:eastAsia="Calibri" w:cs="Calibri"/>
          <w:b w:val="false"/>
          <w:bCs w:val="false"/>
          <w:i w:val="false"/>
          <w:iCs w:val="false"/>
          <w:color w:val="1A1A1A"/>
          <w:sz w:val="20"/>
          <w:szCs w:val="20"/>
        </w:rPr>
        <w:t>Avoid anything you cannot back up: never promise outcomes you cannot guarantee, never claim to serve needs you are not staffed for, and never disparage another provider. Do not overwhelm a first conversation with paperwork or pricing. And never offer anything of value in exchange for a referral — even casually — because that crosses the legal line and instantly damages your credibility with a professional referrer.</w:t>
      </w:r>
    </w:p>
    <w:p>
      <w:pPr>
        <w:pStyle w:val="Normal"/>
        <w:keepNext w:val="true"/>
        <w:spacing w:before="22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one placement is a start; becoming the home a case manager thinks of first is the goal. You earn that by making every placement easy and every professional look good.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Accept referrals promptly and communicate a clear yes or no — an easy, fast answer earns the next call.</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Give proactive updates on how a member is settling and progressing, and flag any problem early rather than letting the referrer be surprised.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Do what you said you would do — reliability is the whole reputation in a small professional circle.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Handle the hard moments well: a behavioral crisis handled calmly and communicated honestly builds more trust than a smooth month.</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Say thank you appropriately — a call or a note — and refer back when you can, because the best relationships are two-way.</w:t>
      </w:r>
    </w:p>
    <w:p>
      <w:pPr>
        <w:pStyle w:val="Normal"/>
        <w:spacing w:lineRule="exact" w:line="268" w:before="0" w:after="110"/>
        <w:jc w:val="start"/>
        <w:rPr/>
      </w:pPr>
      <w:r>
        <w:rPr>
          <w:rFonts w:eastAsia="Calibri" w:cs="Calibri"/>
          <w:b w:val="false"/>
          <w:bCs w:val="false"/>
          <w:i w:val="false"/>
          <w:iCs w:val="false"/>
          <w:color w:val="1A1A1A"/>
          <w:sz w:val="20"/>
          <w:szCs w:val="20"/>
        </w:rPr>
        <w:t>The single most powerful thing you can do to become a preferred provider is to make the referring professional look good. When a case manager places a member with you and that member is safe, settled, and progressing — and the case manager hears about it — you have made that person’s judgment look sound to their supervisor, to the family, and to the member. Do that consistently and you stop competing for placements; the placements come to you because you are the safe choice.</w:t>
      </w:r>
    </w:p>
    <w:p>
      <w:pPr>
        <w:pStyle w:val="Normal"/>
        <w:keepNext w:val="true"/>
        <w:spacing w:before="220" w:after="90"/>
        <w:rPr/>
      </w:pPr>
      <w:r>
        <w:rPr>
          <w:rFonts w:eastAsia="Calibri" w:cs="Calibri"/>
          <w:b/>
          <w:bCs/>
          <w:i w:val="false"/>
          <w:iCs w:val="false"/>
          <w:color w:val="1F3A5F"/>
          <w:sz w:val="26"/>
          <w:szCs w:val="26"/>
        </w:rPr>
        <w:t>Part 8 — Get Found: Your Online Presence &amp; the Directories</w:t>
      </w:r>
    </w:p>
    <w:p>
      <w:pPr>
        <w:pStyle w:val="Normal"/>
        <w:spacing w:lineRule="exact" w:line="268" w:before="0" w:after="110"/>
        <w:jc w:val="start"/>
        <w:rPr/>
      </w:pPr>
      <w:r>
        <w:rPr>
          <w:rFonts w:eastAsia="Calibri" w:cs="Calibri"/>
          <w:b w:val="false"/>
          <w:bCs w:val="false"/>
          <w:i w:val="false"/>
          <w:iCs w:val="false"/>
          <w:color w:val="1A1A1A"/>
          <w:sz w:val="20"/>
          <w:szCs w:val="20"/>
        </w:rPr>
        <w:t>When a family or a case manager searches for a brain injury home, you want to be found and to look credible.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in the Brain Injury Association of California directory. </w:t>
      </w:r>
      <w:r>
        <w:rPr>
          <w:rFonts w:eastAsia="Calibri" w:cs="Calibri"/>
          <w:b w:val="false"/>
          <w:bCs w:val="false"/>
          <w:i w:val="false"/>
          <w:iCs w:val="false"/>
          <w:color w:val="1A1A1A"/>
          <w:sz w:val="20"/>
          <w:szCs w:val="20"/>
        </w:rPr>
        <w:t>Families and professionals use it to find providers — be listed and keep your details current.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Claim your Google Business Profile. </w:t>
      </w:r>
      <w:r>
        <w:rPr>
          <w:rFonts w:eastAsia="Calibri" w:cs="Calibri"/>
          <w:b w:val="false"/>
          <w:bCs w:val="false"/>
          <w:i w:val="false"/>
          <w:iCs w:val="false"/>
          <w:color w:val="1A1A1A"/>
          <w:sz w:val="20"/>
          <w:szCs w:val="20"/>
        </w:rPr>
        <w:t>Accurate name, location, phone, and hours, so you appear in local searches and maps.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Keep a simple, professional website. </w:t>
      </w:r>
      <w:r>
        <w:rPr>
          <w:rFonts w:eastAsia="Calibri" w:cs="Calibri"/>
          <w:b w:val="false"/>
          <w:bCs w:val="false"/>
          <w:i w:val="false"/>
          <w:iCs w:val="false"/>
          <w:color w:val="1A1A1A"/>
          <w:sz w:val="20"/>
          <w:szCs w:val="20"/>
        </w:rPr>
        <w:t>Clear on who you serve, your certification, and how to make a referral — a case manager should find your intake contact in seconds.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 consistent everywhere. </w:t>
      </w:r>
      <w:r>
        <w:rPr>
          <w:rFonts w:eastAsia="Calibri" w:cs="Calibri"/>
          <w:b w:val="false"/>
          <w:bCs w:val="false"/>
          <w:i w:val="false"/>
          <w:iCs w:val="false"/>
          <w:color w:val="1A1A1A"/>
          <w:sz w:val="20"/>
          <w:szCs w:val="20"/>
        </w:rPr>
        <w:t>The same name, address, and phone across every listing builds trust and search visibility.</w:t>
      </w:r>
    </w:p>
    <w:p>
      <w:pPr>
        <w:pStyle w:val="Normal"/>
        <w:spacing w:lineRule="exact" w:line="268" w:before="0" w:after="110"/>
        <w:jc w:val="start"/>
        <w:rPr/>
      </w:pPr>
      <w:r>
        <w:rPr>
          <w:rFonts w:eastAsia="Calibri" w:cs="Calibri"/>
          <w:b w:val="false"/>
          <w:bCs w:val="false"/>
          <w:i w:val="false"/>
          <w:iCs w:val="false"/>
          <w:color w:val="1A1A1A"/>
          <w:sz w:val="20"/>
          <w:szCs w:val="20"/>
        </w:rPr>
        <w:t>Your online reputation matters more than you might expect, because case managers and families will look you up. Encourage satisfied families to leave honest reviews, respond to every review professionally, and make sure anyone who searches your home’s name finds a clear, credible picture of who you serve and how to reach you. One thoughtful, professional online presence does more for your credibility with referrers than any amount of advertising.</w:t>
      </w:r>
    </w:p>
    <w:p>
      <w:pPr>
        <w:pStyle w:val="Normal"/>
        <w:keepNext w:val="true"/>
        <w:spacing w:before="22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Placements come from consistency, not bursts. Build a simple weekly rhythm and keep it: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Each week, make a set number of outreach touches — a new funding source or rehab contact, and a check-in with an existing one.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Respond to every referral inquiry the same day, whether or not you have a bed.</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Send one proactive update to a referring case manager about a member you share.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Log every outreach and every referral so nothing falls through the cracks (Part Three).</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your availability and keep your funding source contacts and directory listings current.</w:t>
      </w:r>
    </w:p>
    <w:p>
      <w:pPr>
        <w:pStyle w:val="Normal"/>
        <w:spacing w:lineRule="exact" w:line="268" w:before="0" w:after="110"/>
        <w:jc w:val="start"/>
        <w:rPr/>
      </w:pPr>
      <w:r>
        <w:rPr>
          <w:rFonts w:eastAsia="Calibri" w:cs="Calibri"/>
          <w:b w:val="false"/>
          <w:bCs w:val="false"/>
          <w:i w:val="false"/>
          <w:iCs w:val="false"/>
          <w:color w:val="1A1A1A"/>
          <w:sz w:val="20"/>
          <w:szCs w:val="20"/>
        </w:rPr>
        <w:t>The hard part of a weekly rhythm is that it works slowly and invisibly at first. You will make outreach touches for weeks before they produce a placement, and it is tempting to stop when nothing seems to happen. Do not. Referral relationships compound: the case manager you checked in with three times this quarter is the one who calls you first when a member needs a bed. Protect a small, fixed amount of time every week for outreach and follow-up, and treat it as seriously as you treat resident care, because it is what keeps your beds full.</w:t>
      </w:r>
    </w:p>
    <w:p>
      <w:pPr>
        <w:pStyle w:val="Normal"/>
        <w:keepNext w:val="true"/>
        <w:spacing w:before="22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Track where your placements actually come from so you invest in the sources that produce them:</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For every admission, record the referral source — which funding source, hospital, rehab program, or clinic.</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Watch which sources refer repeatedly and which never convert, and shift your time toward what works.</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Track your response time to referrals — speed is one of the biggest drivers of the next placement.</w:t>
      </w:r>
    </w:p>
    <w:p>
      <w:pPr>
        <w:pStyle w:val="ListParagraph"/>
        <w:numPr>
          <w:ilvl w:val="0"/>
          <w:numId w:val="1"/>
        </w:numPr>
        <w:spacing w:lineRule="exact" w:line="268" w:before="0" w:after="60"/>
        <w:rPr/>
      </w:pPr>
      <w:r>
        <w:rPr>
          <w:rFonts w:eastAsia="Calibri" w:cs="Calibri"/>
          <w:b w:val="false"/>
          <w:bCs w:val="false"/>
          <w:i w:val="false"/>
          <w:iCs w:val="false"/>
          <w:color w:val="1A1A1A"/>
          <w:sz w:val="20"/>
          <w:szCs w:val="20"/>
        </w:rPr>
        <w:t>Review quarterly and set your outreach priorities for the next quarter.</w:t>
      </w:r>
    </w:p>
    <w:p>
      <w:pPr>
        <w:pStyle w:val="Normal"/>
        <w:spacing w:lineRule="exact" w:line="268" w:before="0" w:after="110"/>
        <w:jc w:val="start"/>
        <w:rPr/>
      </w:pPr>
      <w:r>
        <w:rPr>
          <w:rFonts w:eastAsia="Calibri" w:cs="Calibri"/>
          <w:b w:val="false"/>
          <w:bCs w:val="false"/>
          <w:i w:val="false"/>
          <w:iCs w:val="false"/>
          <w:color w:val="1A1A1A"/>
          <w:sz w:val="20"/>
          <w:szCs w:val="20"/>
        </w:rPr>
        <w:t>Honest tracking will surprise you. Most homes discover that a small number of sources produce the large majority of their placements — often the TBI Program and one or two Medi-Cal plans, plus one or two rehab or hospital teams. Once you know who those are, you can invest your best time in deepening those relationships rather than spreading yourself thin. Tracking also protects you: if a once-reliable source stops referring, you will notice early and can find out why before it quietly costs you your census.</w:t>
      </w:r>
    </w:p>
    <w:p>
      <w:pPr>
        <w:pStyle w:val="Normal"/>
        <w:keepNext w:val="true"/>
        <w:spacing w:before="220" w:after="90"/>
        <w:rPr/>
      </w:pPr>
      <w:r>
        <w:rPr>
          <w:rFonts w:eastAsia="Calibri" w:cs="Calibri"/>
          <w:b/>
          <w:bCs/>
          <w:i w:val="false"/>
          <w:iCs w:val="false"/>
          <w:color w:val="1F3A5F"/>
          <w:sz w:val="26"/>
          <w:szCs w:val="26"/>
        </w:rPr>
        <w:t>Part 11 — Common Mistakes (and the Legal Line)</w:t>
      </w:r>
    </w:p>
    <w:p>
      <w:pPr>
        <w:pStyle w:val="Normal"/>
        <w:keepNext w:val="true"/>
        <w:spacing w:before="220" w:after="90"/>
        <w:rPr/>
      </w:pPr>
      <w:r>
        <w:rPr>
          <w:rFonts w:eastAsia="Calibri" w:cs="Calibri"/>
          <w:b/>
          <w:bCs/>
          <w:i w:val="false"/>
          <w:iCs w:val="false"/>
          <w:color w:val="1F3A5F"/>
          <w:sz w:val="26"/>
          <w:szCs w:val="26"/>
        </w:rPr>
        <w:t>Building Your Referral Story: What Makes Your Home the Safe Choice</w:t>
      </w:r>
    </w:p>
    <w:p>
      <w:pPr>
        <w:pStyle w:val="Normal"/>
        <w:spacing w:lineRule="exact" w:line="268" w:before="0" w:after="110"/>
        <w:jc w:val="start"/>
        <w:rPr/>
      </w:pPr>
      <w:r>
        <w:rPr>
          <w:rFonts w:eastAsia="Calibri" w:cs="Calibri"/>
          <w:b w:val="false"/>
          <w:bCs w:val="false"/>
          <w:i w:val="false"/>
          <w:iCs w:val="false"/>
          <w:color w:val="1A1A1A"/>
          <w:sz w:val="20"/>
          <w:szCs w:val="20"/>
        </w:rPr>
        <w:t>Before you can earn placements, you need to be clear — in one or two sentences — on why a case manager or discharge planner should trust you with a member. This is your referral story, and it is not marketing language; it is a factual, specific account of what your home does well. The clearer it is, the easier you are to refer to.</w:t>
      </w:r>
    </w:p>
    <w:p>
      <w:pPr>
        <w:pStyle w:val="Normal"/>
        <w:spacing w:lineRule="exact" w:line="268" w:before="0" w:after="110"/>
        <w:jc w:val="start"/>
        <w:rPr/>
      </w:pPr>
      <w:r>
        <w:rPr>
          <w:rFonts w:eastAsia="Calibri" w:cs="Calibri"/>
          <w:b w:val="false"/>
          <w:bCs w:val="false"/>
          <w:i w:val="false"/>
          <w:iCs w:val="false"/>
          <w:color w:val="1A1A1A"/>
          <w:sz w:val="20"/>
          <w:szCs w:val="20"/>
        </w:rPr>
        <w:t>A strong referral story answers three questions a referrer is silently asking. First, who do you serve well? Be specific about care levels, and about the behavioral, cognitive, and medical needs you are staffed and trained to support — and honest about who you are not the right fit for. Second, how do you keep members safe? Point to your 24-hour oversight, your trained staff, your medication and behavioral supports, and your track record. Third, what is it like to work with you? Fast responses, clear communication, and reliability. When you can state your story plainly and back every part of it up, referrers can place with confidence — and confidence is what earns the next referral.</w:t>
      </w:r>
    </w:p>
    <w:p>
      <w:pPr>
        <w:pStyle w:val="Normal"/>
        <w:spacing w:lineRule="exact" w:line="268" w:before="0" w:after="110"/>
        <w:jc w:val="start"/>
        <w:rPr/>
      </w:pPr>
      <w:r>
        <w:rPr>
          <w:rFonts w:eastAsia="Calibri" w:cs="Calibri"/>
          <w:b w:val="false"/>
          <w:bCs w:val="false"/>
          <w:i w:val="false"/>
          <w:iCs w:val="false"/>
          <w:color w:val="1A1A1A"/>
          <w:sz w:val="20"/>
          <w:szCs w:val="20"/>
        </w:rPr>
        <w:t>Write your referral story down, make sure every staff member who answers the phone can express it, and keep it current as your home’s capabilities grow. Then let everything you do — every call answered, every update sent, every member well cared for — prove it true.</w:t>
      </w:r>
    </w:p>
    <w:p>
      <w:pPr>
        <w:pStyle w:val="Normal"/>
        <w:keepNext w:val="true"/>
        <w:spacing w:before="220" w:after="90"/>
        <w:rPr/>
      </w:pPr>
      <w:r>
        <w:rPr>
          <w:rFonts w:eastAsia="Calibri" w:cs="Calibri"/>
          <w:b/>
          <w:bCs/>
          <w:i w:val="false"/>
          <w:iCs w:val="false"/>
          <w:color w:val="1F3A5F"/>
          <w:sz w:val="26"/>
          <w:szCs w:val="26"/>
        </w:rPr>
        <w:t>Your First 90 Days: An Outreach Action Plan</w:t>
      </w:r>
    </w:p>
    <w:p>
      <w:pPr>
        <w:pStyle w:val="Normal"/>
        <w:spacing w:lineRule="exact" w:line="268" w:before="0" w:after="110"/>
        <w:jc w:val="start"/>
        <w:rPr/>
      </w:pPr>
      <w:r>
        <w:rPr>
          <w:rFonts w:eastAsia="Calibri" w:cs="Calibri"/>
          <w:b w:val="false"/>
          <w:bCs w:val="false"/>
          <w:i w:val="false"/>
          <w:iCs w:val="false"/>
          <w:color w:val="1A1A1A"/>
          <w:sz w:val="20"/>
          <w:szCs w:val="20"/>
        </w:rPr>
        <w:t>If you are opening or newly certified, here is a concrete way to build your referral base in the first ninety days:</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bCs/>
          <w:i w:val="false"/>
          <w:iCs w:val="false"/>
          <w:color w:val="1A1A1A"/>
          <w:sz w:val="20"/>
          <w:szCs w:val="20"/>
        </w:rPr>
        <w:t xml:space="preserve">Weeks 1–2: map your region. </w:t>
      </w:r>
      <w:r>
        <w:rPr>
          <w:rFonts w:eastAsia="Calibri" w:cs="Calibri"/>
          <w:b w:val="false"/>
          <w:bCs w:val="false"/>
          <w:i w:val="false"/>
          <w:iCs w:val="false"/>
          <w:color w:val="1A1A1A"/>
          <w:sz w:val="20"/>
          <w:szCs w:val="20"/>
        </w:rPr>
        <w:t>Identify the TBI Program and Medi-Cal plans that serve your area, the neuro-rehab programs and hospitals nearby, and the brain injury organizations — use the directory in Part Two as your starting map.</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bCs/>
          <w:i w:val="false"/>
          <w:iCs w:val="false"/>
          <w:color w:val="1A1A1A"/>
          <w:sz w:val="20"/>
          <w:szCs w:val="20"/>
        </w:rPr>
        <w:t xml:space="preserve">Weeks 2–4: get findable. </w:t>
      </w:r>
      <w:r>
        <w:rPr>
          <w:rFonts w:eastAsia="Calibri" w:cs="Calibri"/>
          <w:b w:val="false"/>
          <w:bCs w:val="false"/>
          <w:i w:val="false"/>
          <w:iCs w:val="false"/>
          <w:color w:val="1A1A1A"/>
          <w:sz w:val="20"/>
          <w:szCs w:val="20"/>
        </w:rPr>
        <w:t>Confirm your provider enrollment, get listed in the Brain Injury Association of California directory, claim your Google Business Profile, and finish your one-page leave-behind.</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bCs/>
          <w:i w:val="false"/>
          <w:iCs w:val="false"/>
          <w:color w:val="1A1A1A"/>
          <w:sz w:val="20"/>
          <w:szCs w:val="20"/>
        </w:rPr>
        <w:t xml:space="preserve">Weeks 3–6: introduce yourself to the funding sources. </w:t>
      </w:r>
      <w:r>
        <w:rPr>
          <w:rFonts w:eastAsia="Calibri" w:cs="Calibri"/>
          <w:b w:val="false"/>
          <w:bCs w:val="false"/>
          <w:i w:val="false"/>
          <w:iCs w:val="false"/>
          <w:color w:val="1A1A1A"/>
          <w:sz w:val="20"/>
          <w:szCs w:val="20"/>
        </w:rPr>
        <w:t>Reach out to each funding source serving your region, introduce your home and who you serve well, and ask how they prefer to receive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bCs/>
          <w:i w:val="false"/>
          <w:iCs w:val="false"/>
          <w:color w:val="1A1A1A"/>
          <w:sz w:val="20"/>
          <w:szCs w:val="20"/>
        </w:rPr>
        <w:t xml:space="preserve">Weeks 5–8: build discharge relationships. </w:t>
      </w:r>
      <w:r>
        <w:rPr>
          <w:rFonts w:eastAsia="Calibri" w:cs="Calibri"/>
          <w:b w:val="false"/>
          <w:bCs w:val="false"/>
          <w:i w:val="false"/>
          <w:iCs w:val="false"/>
          <w:color w:val="1A1A1A"/>
          <w:sz w:val="20"/>
          <w:szCs w:val="20"/>
        </w:rPr>
        <w:t>Introduce yourself to the social workers and case managers at the neuro-rehab programs and hospitals that discharge brain injury members near you.</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bCs/>
          <w:i w:val="false"/>
          <w:iCs w:val="false"/>
          <w:color w:val="1A1A1A"/>
          <w:sz w:val="20"/>
          <w:szCs w:val="20"/>
        </w:rPr>
        <w:t xml:space="preserve">Weeks 8–12: deepen and follow up. </w:t>
      </w:r>
      <w:r>
        <w:rPr>
          <w:rFonts w:eastAsia="Calibri" w:cs="Calibri"/>
          <w:b w:val="false"/>
          <w:bCs w:val="false"/>
          <w:i w:val="false"/>
          <w:iCs w:val="false"/>
          <w:color w:val="1A1A1A"/>
          <w:sz w:val="20"/>
          <w:szCs w:val="20"/>
        </w:rPr>
        <w:t>Check back in with everyone you met, respond instantly to any referral, and start your weekly rhythm and tracking so nothing slips.</w:t>
      </w:r>
    </w:p>
    <w:p>
      <w:pPr>
        <w:pStyle w:val="Normal"/>
        <w:spacing w:lineRule="exact" w:line="268" w:before="0" w:after="110"/>
        <w:jc w:val="start"/>
        <w:rPr/>
      </w:pPr>
      <w:r>
        <w:rPr>
          <w:rFonts w:eastAsia="Calibri" w:cs="Calibri"/>
          <w:b w:val="false"/>
          <w:bCs w:val="false"/>
          <w:i w:val="false"/>
          <w:iCs w:val="false"/>
          <w:color w:val="1A1A1A"/>
          <w:sz w:val="20"/>
          <w:szCs w:val="20"/>
        </w:rPr>
        <w:t>By the end of ninety days you will not have every relationship you need, but you will have introduced yourself to the sources that matter most and started the habits that fill beds over the long run. Keep going — in this business, consistency is the whole strategy.</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Waiting for members to come to you. </w:t>
      </w:r>
      <w:r>
        <w:rPr>
          <w:rFonts w:eastAsia="Calibri" w:cs="Calibri"/>
          <w:b w:val="false"/>
          <w:bCs w:val="false"/>
          <w:i w:val="false"/>
          <w:iCs w:val="false"/>
          <w:color w:val="1A1A1A"/>
          <w:sz w:val="20"/>
          <w:szCs w:val="20"/>
        </w:rPr>
        <w:t>Certification does not fill beds; relationships with funding sources and discharge teams do.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Being slow or hard to reach. </w:t>
      </w:r>
      <w:r>
        <w:rPr>
          <w:rFonts w:eastAsia="Calibri" w:cs="Calibri"/>
          <w:b w:val="false"/>
          <w:bCs w:val="false"/>
          <w:i w:val="false"/>
          <w:iCs w:val="false"/>
          <w:color w:val="1A1A1A"/>
          <w:sz w:val="20"/>
          <w:szCs w:val="20"/>
        </w:rPr>
        <w:t>A slow or unclear response to a referral sends the next one elsewhere.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Over-promising on who you can serve. </w:t>
      </w:r>
      <w:r>
        <w:rPr>
          <w:rFonts w:eastAsia="Calibri" w:cs="Calibri"/>
          <w:b w:val="false"/>
          <w:bCs w:val="false"/>
          <w:i w:val="false"/>
          <w:iCs w:val="false"/>
          <w:color w:val="1A1A1A"/>
          <w:sz w:val="20"/>
          <w:szCs w:val="20"/>
        </w:rPr>
        <w:t>Accepting a member you cannot safely support damages the trust you depend on — be honest about fit.</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Going quiet after placement. </w:t>
      </w:r>
      <w:r>
        <w:rPr>
          <w:rFonts w:eastAsia="Calibri" w:cs="Calibri"/>
          <w:b w:val="false"/>
          <w:bCs w:val="false"/>
          <w:i w:val="false"/>
          <w:iCs w:val="false"/>
          <w:color w:val="1A1A1A"/>
          <w:sz w:val="20"/>
          <w:szCs w:val="20"/>
        </w:rPr>
        <w:t>No updates is how you lose a referrer; proactive communication is how you keep one.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Paying for referrals. </w:t>
      </w:r>
      <w:r>
        <w:rPr>
          <w:rFonts w:eastAsia="Calibri" w:cs="Calibri"/>
          <w:b w:val="false"/>
          <w:bCs w:val="false"/>
          <w:i w:val="false"/>
          <w:iCs w:val="false"/>
          <w:color w:val="1A1A1A"/>
          <w:sz w:val="20"/>
          <w:szCs w:val="20"/>
        </w:rPr>
        <w:t>Never pay or accept anything of value for a Medi-Cal-member referral — the Anti-Kickback Statute applies; earn placements, don’t buy them.</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California Brain Injury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These are the California sources a brain injury Adult Residential Facility builds relationships with, organized statewide and then by metro with verified named partners. Contacts change — confirm each before you rely on it, and treat this as a starting map, not a guarantee.</w:t>
      </w:r>
    </w:p>
    <w:p>
      <w:pPr>
        <w:pStyle w:val="Normal"/>
        <w:keepNext w:val="true"/>
        <w:spacing w:before="150" w:after="60"/>
        <w:rPr/>
      </w:pPr>
      <w:r>
        <w:rPr>
          <w:rFonts w:eastAsia="Calibri" w:cs="Calibri"/>
          <w:b/>
          <w:bCs/>
          <w:i w:val="false"/>
          <w:iCs w:val="false"/>
          <w:color w:val="3E5871"/>
          <w:sz w:val="20"/>
          <w:szCs w:val="20"/>
        </w:rPr>
        <w:t>Statewide — start here</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California TBI Program (Department of Rehabilitation) — the key state hub. </w:t>
      </w:r>
      <w:r>
        <w:rPr>
          <w:rFonts w:eastAsia="Calibri" w:cs="Calibri"/>
          <w:b w:val="false"/>
          <w:bCs w:val="false"/>
          <w:i w:val="false"/>
          <w:iCs w:val="false"/>
          <w:color w:val="1A1A1A"/>
          <w:sz w:val="20"/>
          <w:szCs w:val="20"/>
        </w:rPr>
        <w:t>Funds nonprofit TBI Program Sites statewide (authorized by W&amp;I Code §§ 4353–4357) that provide community reintegration, supported living, vocational supports, and information and referral for adults with TBI. Find your regional site and build the relationship. dor.ca.gov/home/tbi · the program sites are listed at catbi.info.</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Medi-Cal HCBS pathways — the funding. </w:t>
      </w:r>
      <w:r>
        <w:rPr>
          <w:rFonts w:eastAsia="Calibri" w:cs="Calibri"/>
          <w:b w:val="false"/>
          <w:bCs w:val="false"/>
          <w:i w:val="false"/>
          <w:iCs w:val="false"/>
          <w:color w:val="1A1A1A"/>
          <w:sz w:val="20"/>
          <w:szCs w:val="20"/>
        </w:rPr>
        <w:t>The HCBA (Home and Community-Based Alternatives) Waiver is the best waiver option for adults with TBI at nursing-facility level of care; the Assisted Living Waiver has a TBI tier; managed-care plans and CBAS add day services. Care coordinators authorize services. dhcs.ca.gov.</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Regional Centers (DDS). </w:t>
      </w:r>
      <w:r>
        <w:rPr>
          <w:rFonts w:eastAsia="Calibri" w:cs="Calibri"/>
          <w:b w:val="false"/>
          <w:bCs w:val="false"/>
          <w:i w:val="false"/>
          <w:iCs w:val="false"/>
          <w:color w:val="1A1A1A"/>
          <w:sz w:val="20"/>
          <w:szCs w:val="20"/>
        </w:rPr>
        <w:t>For members whose brain injury qualifies as a developmental disability (onset before adulthood), the regional center coordinates and funds services.</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Brain Injury Association of California (BIACal). </w:t>
      </w:r>
      <w:r>
        <w:rPr>
          <w:rFonts w:eastAsia="Calibri" w:cs="Calibri"/>
          <w:b w:val="false"/>
          <w:bCs w:val="false"/>
          <w:i w:val="false"/>
          <w:iCs w:val="false"/>
          <w:color w:val="1A1A1A"/>
          <w:sz w:val="20"/>
          <w:szCs w:val="20"/>
        </w:rPr>
        <w:t>Statewide resource navigation, education, and referrals that families and professionals use. 5215 Ashe Rd, Bakersfield · 661-872-4903.</w:t>
      </w:r>
    </w:p>
    <w:p>
      <w:pPr>
        <w:pStyle w:val="ListParagraph"/>
        <w:numPr>
          <w:ilvl w:val="0"/>
          <w:numId w:val="1"/>
        </w:numPr>
        <w:spacing w:lineRule="exact" w:line="268" w:before="0" w:after="60"/>
        <w:rPr/>
      </w:pPr>
      <w:r>
        <w:rPr>
          <w:rFonts w:eastAsia="Calibri" w:cs="Calibri"/>
          <w:b/>
          <w:bCs/>
          <w:i w:val="false"/>
          <w:iCs w:val="false"/>
          <w:color w:val="1A1A1A"/>
          <w:sz w:val="20"/>
          <w:szCs w:val="20"/>
        </w:rPr>
        <w:t xml:space="preserve">CDSS Community Care Licensing &amp; premier rehab. </w:t>
      </w:r>
      <w:r>
        <w:rPr>
          <w:rFonts w:eastAsia="Calibri" w:cs="Calibri"/>
          <w:b w:val="false"/>
          <w:bCs w:val="false"/>
          <w:i w:val="false"/>
          <w:iCs w:val="false"/>
          <w:color w:val="1A1A1A"/>
          <w:sz w:val="20"/>
          <w:szCs w:val="20"/>
        </w:rPr>
        <w:t>CDSS licenses Adult Residential Facilities under Title 22, Div. 6, Ch. 6 (cdss.ca.gov). California’s leading brain injury rehabilitation — Rancho Los Amigos, Santa Clara Valley Medical Center, and Centre for Neuro Skills (statewide post-acute) — are major discharge and referral sources.</w:t>
      </w:r>
    </w:p>
    <w:p>
      <w:pPr>
        <w:pStyle w:val="Normal"/>
        <w:keepNext w:val="true"/>
        <w:spacing w:before="150" w:after="60"/>
        <w:rPr/>
      </w:pPr>
      <w:r>
        <w:rPr>
          <w:rFonts w:eastAsia="Calibri" w:cs="Calibri"/>
          <w:b/>
          <w:bCs/>
          <w:i w:val="false"/>
          <w:iCs w:val="false"/>
          <w:color w:val="3E5871"/>
          <w:sz w:val="20"/>
          <w:szCs w:val="20"/>
        </w:rPr>
        <w:t>Los Angeles Metro — verified named partners</w:t>
      </w:r>
    </w:p>
    <w:p>
      <w:pPr>
        <w:pStyle w:val="Normal"/>
        <w:spacing w:before="0" w:after="60"/>
        <w:rPr/>
      </w:pPr>
      <w:r>
        <w:rPr>
          <w:rFonts w:eastAsia="Calibri" w:cs="Calibri"/>
          <w:b/>
          <w:bCs/>
          <w:i w:val="false"/>
          <w:iCs w:val="false"/>
          <w:color w:val="1F3A5F"/>
          <w:sz w:val="19"/>
          <w:szCs w:val="19"/>
        </w:rPr>
        <w:t>Neuro-rehabilitation &amp; brain injury rehab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Rancho Los Amigos National Rehabilitation Center (Adult Brain Injury Program)</w:t>
      </w:r>
      <w:r>
        <w:rPr>
          <w:rFonts w:eastAsia="Calibri" w:cs="Calibri"/>
          <w:b w:val="false"/>
          <w:bCs w:val="false"/>
          <w:i w:val="false"/>
          <w:iCs w:val="false"/>
          <w:color w:val="555555"/>
          <w:sz w:val="18"/>
          <w:szCs w:val="18"/>
        </w:rPr>
        <w:t xml:space="preserve">  —  7601 Imperial Hwy, Downey, CA 90242</w:t>
      </w:r>
      <w:r>
        <w:rPr>
          <w:rFonts w:eastAsia="Calibri" w:cs="Calibri"/>
          <w:b w:val="false"/>
          <w:bCs w:val="false"/>
          <w:i w:val="false"/>
          <w:iCs w:val="false"/>
          <w:color w:val="3E5871"/>
          <w:sz w:val="18"/>
          <w:szCs w:val="18"/>
        </w:rPr>
        <w:t xml:space="preserve">  ·  562-385-7111</w:t>
      </w:r>
    </w:p>
    <w:p>
      <w:pPr>
        <w:pStyle w:val="ListParagraph"/>
        <w:numPr>
          <w:ilvl w:val="0"/>
          <w:numId w:val="1"/>
        </w:numPr>
        <w:spacing w:lineRule="exact" w:line="264" w:before="0" w:after="70"/>
        <w:rPr/>
      </w:pPr>
      <w:r>
        <w:rPr>
          <w:rFonts w:eastAsia="Calibri" w:cs="Calibri"/>
          <w:b/>
          <w:bCs/>
          <w:i w:val="false"/>
          <w:iCs w:val="false"/>
          <w:color w:val="1A1A1A"/>
          <w:sz w:val="19"/>
          <w:szCs w:val="19"/>
        </w:rPr>
        <w:t>California Rehabilitation Institute</w:t>
      </w:r>
      <w:r>
        <w:rPr>
          <w:rFonts w:eastAsia="Calibri" w:cs="Calibri"/>
          <w:b w:val="false"/>
          <w:bCs w:val="false"/>
          <w:i w:val="false"/>
          <w:iCs w:val="false"/>
          <w:color w:val="555555"/>
          <w:sz w:val="18"/>
          <w:szCs w:val="18"/>
        </w:rPr>
        <w:t xml:space="preserve">  —  2070 Century Park E, Los Angeles, CA 90067</w:t>
      </w:r>
      <w:r>
        <w:rPr>
          <w:rFonts w:eastAsia="Calibri" w:cs="Calibri"/>
          <w:b w:val="false"/>
          <w:bCs w:val="false"/>
          <w:i w:val="false"/>
          <w:iCs w:val="false"/>
          <w:color w:val="3E5871"/>
          <w:sz w:val="18"/>
          <w:szCs w:val="18"/>
        </w:rPr>
        <w:t xml:space="preserve">  ·  424-522-7100</w:t>
      </w:r>
    </w:p>
    <w:p>
      <w:pPr>
        <w:pStyle w:val="ListParagraph"/>
        <w:numPr>
          <w:ilvl w:val="0"/>
          <w:numId w:val="1"/>
        </w:numPr>
        <w:spacing w:lineRule="exact" w:line="264" w:before="0" w:after="70"/>
        <w:rPr/>
      </w:pPr>
      <w:r>
        <w:rPr>
          <w:rFonts w:eastAsia="Calibri" w:cs="Calibri"/>
          <w:b/>
          <w:bCs/>
          <w:i w:val="false"/>
          <w:iCs w:val="false"/>
          <w:color w:val="1A1A1A"/>
          <w:sz w:val="19"/>
          <w:szCs w:val="19"/>
        </w:rPr>
        <w:t>Casa Colina Hospital and Centers for Healthcare</w:t>
      </w:r>
      <w:r>
        <w:rPr>
          <w:rFonts w:eastAsia="Calibri" w:cs="Calibri"/>
          <w:b w:val="false"/>
          <w:bCs w:val="false"/>
          <w:i w:val="false"/>
          <w:iCs w:val="false"/>
          <w:color w:val="555555"/>
          <w:sz w:val="18"/>
          <w:szCs w:val="18"/>
        </w:rPr>
        <w:t xml:space="preserve">  —  255 E Bonita Ave, Pomona, CA 91767</w:t>
      </w:r>
      <w:r>
        <w:rPr>
          <w:rFonts w:eastAsia="Calibri" w:cs="Calibri"/>
          <w:b w:val="false"/>
          <w:bCs w:val="false"/>
          <w:i w:val="false"/>
          <w:iCs w:val="false"/>
          <w:color w:val="3E5871"/>
          <w:sz w:val="18"/>
          <w:szCs w:val="18"/>
        </w:rPr>
        <w:t xml:space="preserve">  ·  909-596-7733</w:t>
      </w:r>
    </w:p>
    <w:p>
      <w:pPr>
        <w:pStyle w:val="Normal"/>
        <w:spacing w:before="100" w:after="60"/>
        <w:rPr/>
      </w:pPr>
      <w:r>
        <w:rPr>
          <w:rFonts w:eastAsia="Calibri" w:cs="Calibri"/>
          <w:b/>
          <w:bCs/>
          <w:i w:val="false"/>
          <w:iCs w:val="false"/>
          <w:color w:val="1F3A5F"/>
          <w:sz w:val="19"/>
          <w:szCs w:val="19"/>
        </w:rPr>
        <w:t>Post-acute brain injury &amp; neuro clinics</w:t>
      </w:r>
    </w:p>
    <w:p>
      <w:pPr>
        <w:pStyle w:val="ListParagraph"/>
        <w:numPr>
          <w:ilvl w:val="0"/>
          <w:numId w:val="1"/>
        </w:numPr>
        <w:spacing w:lineRule="exact" w:line="264" w:before="0" w:after="70"/>
        <w:rPr/>
      </w:pPr>
      <w:r>
        <w:rPr>
          <w:rFonts w:eastAsia="Calibri" w:cs="Calibri"/>
          <w:b/>
          <w:bCs/>
          <w:i w:val="false"/>
          <w:iCs w:val="false"/>
          <w:color w:val="1A1A1A"/>
          <w:sz w:val="19"/>
          <w:szCs w:val="19"/>
        </w:rPr>
        <w:t>Centre for Neuro Skills — Tarzana (post-acute brain injury)</w:t>
      </w:r>
      <w:r>
        <w:rPr>
          <w:rFonts w:eastAsia="Calibri" w:cs="Calibri"/>
          <w:b w:val="false"/>
          <w:bCs w:val="false"/>
          <w:i w:val="false"/>
          <w:iCs w:val="false"/>
          <w:color w:val="555555"/>
          <w:sz w:val="18"/>
          <w:szCs w:val="18"/>
        </w:rPr>
        <w:t xml:space="preserve">  —  5411 Etiwanda Ave Ste 300, Tarzana, CA 91356</w:t>
      </w:r>
      <w:r>
        <w:rPr>
          <w:rFonts w:eastAsia="Calibri" w:cs="Calibri"/>
          <w:b w:val="false"/>
          <w:bCs w:val="false"/>
          <w:i w:val="false"/>
          <w:iCs w:val="false"/>
          <w:color w:val="3E5871"/>
          <w:sz w:val="18"/>
          <w:szCs w:val="18"/>
        </w:rPr>
        <w:t xml:space="preserve">  ·  818-783-3800</w:t>
      </w:r>
    </w:p>
    <w:p>
      <w:pPr>
        <w:pStyle w:val="ListParagraph"/>
        <w:numPr>
          <w:ilvl w:val="0"/>
          <w:numId w:val="1"/>
        </w:numPr>
        <w:spacing w:lineRule="exact" w:line="264" w:before="0" w:after="70"/>
        <w:rPr/>
      </w:pPr>
      <w:r>
        <w:rPr>
          <w:rFonts w:eastAsia="Calibri" w:cs="Calibri"/>
          <w:b/>
          <w:bCs/>
          <w:i w:val="false"/>
          <w:iCs w:val="false"/>
          <w:color w:val="1A1A1A"/>
          <w:sz w:val="19"/>
          <w:szCs w:val="19"/>
        </w:rPr>
        <w:t>Cedars-Sinai Stroke &amp; Neurological Rehabilitation Clinic</w:t>
      </w:r>
      <w:r>
        <w:rPr>
          <w:rFonts w:eastAsia="Calibri" w:cs="Calibri"/>
          <w:b w:val="false"/>
          <w:bCs w:val="false"/>
          <w:i w:val="false"/>
          <w:iCs w:val="false"/>
          <w:color w:val="555555"/>
          <w:sz w:val="18"/>
          <w:szCs w:val="18"/>
        </w:rPr>
        <w:t xml:space="preserve">  —  444 S San Vicente Blvd #701, Los Angeles, CA 90048</w:t>
      </w:r>
      <w:r>
        <w:rPr>
          <w:rFonts w:eastAsia="Calibri" w:cs="Calibri"/>
          <w:b w:val="false"/>
          <w:bCs w:val="false"/>
          <w:i w:val="false"/>
          <w:iCs w:val="false"/>
          <w:color w:val="3E5871"/>
          <w:sz w:val="18"/>
          <w:szCs w:val="18"/>
        </w:rPr>
        <w:t xml:space="preserve">  ·  310-423-9242</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B.R.A.I.N. (brain injury support &amp; resources)</w:t>
      </w:r>
      <w:r>
        <w:rPr>
          <w:rFonts w:eastAsia="Calibri" w:cs="Calibri"/>
          <w:b w:val="false"/>
          <w:bCs w:val="false"/>
          <w:i w:val="false"/>
          <w:iCs w:val="false"/>
          <w:color w:val="555555"/>
          <w:sz w:val="18"/>
          <w:szCs w:val="18"/>
        </w:rPr>
        <w:t xml:space="preserve">  —  5656 Corporate Ave, Cypress, CA 90630</w:t>
      </w:r>
      <w:r>
        <w:rPr>
          <w:rFonts w:eastAsia="Calibri" w:cs="Calibri"/>
          <w:b w:val="false"/>
          <w:bCs w:val="false"/>
          <w:i w:val="false"/>
          <w:iCs w:val="false"/>
          <w:color w:val="3E5871"/>
          <w:sz w:val="18"/>
          <w:szCs w:val="18"/>
        </w:rPr>
        <w:t xml:space="preserve">  ·  714-828-1760</w:t>
      </w:r>
    </w:p>
    <w:p>
      <w:pPr>
        <w:pStyle w:val="Normal"/>
        <w:keepNext w:val="true"/>
        <w:spacing w:before="150" w:after="60"/>
        <w:rPr/>
      </w:pPr>
      <w:r>
        <w:rPr>
          <w:rFonts w:eastAsia="Calibri" w:cs="Calibri"/>
          <w:b/>
          <w:bCs/>
          <w:i w:val="false"/>
          <w:iCs w:val="false"/>
          <w:color w:val="3E5871"/>
          <w:sz w:val="20"/>
          <w:szCs w:val="20"/>
        </w:rPr>
        <w:t>San Diego — verified named partners</w:t>
      </w:r>
    </w:p>
    <w:p>
      <w:pPr>
        <w:pStyle w:val="Normal"/>
        <w:spacing w:before="0" w:after="60"/>
        <w:rPr/>
      </w:pPr>
      <w:r>
        <w:rPr>
          <w:rFonts w:eastAsia="Calibri" w:cs="Calibri"/>
          <w:b/>
          <w:bCs/>
          <w:i w:val="false"/>
          <w:iCs w:val="false"/>
          <w:color w:val="1F3A5F"/>
          <w:sz w:val="19"/>
          <w:szCs w:val="19"/>
        </w:rPr>
        <w:t>Neuro-rehabilitation &amp; post-acute programs</w:t>
      </w:r>
    </w:p>
    <w:p>
      <w:pPr>
        <w:pStyle w:val="ListParagraph"/>
        <w:numPr>
          <w:ilvl w:val="0"/>
          <w:numId w:val="1"/>
        </w:numPr>
        <w:spacing w:lineRule="exact" w:line="264" w:before="0" w:after="70"/>
        <w:rPr/>
      </w:pPr>
      <w:r>
        <w:rPr>
          <w:rFonts w:eastAsia="Calibri" w:cs="Calibri"/>
          <w:b/>
          <w:bCs/>
          <w:i w:val="false"/>
          <w:iCs w:val="false"/>
          <w:color w:val="1A1A1A"/>
          <w:sz w:val="19"/>
          <w:szCs w:val="19"/>
        </w:rPr>
        <w:t>VIP NeuroRehabilitation Center</w:t>
      </w:r>
      <w:r>
        <w:rPr>
          <w:rFonts w:eastAsia="Calibri" w:cs="Calibri"/>
          <w:b w:val="false"/>
          <w:bCs w:val="false"/>
          <w:i w:val="false"/>
          <w:iCs w:val="false"/>
          <w:color w:val="555555"/>
          <w:sz w:val="18"/>
          <w:szCs w:val="18"/>
        </w:rPr>
        <w:t xml:space="preserve">  —  7340 Trade St Ste F, San Diego, CA 92121</w:t>
      </w:r>
      <w:r>
        <w:rPr>
          <w:rFonts w:eastAsia="Calibri" w:cs="Calibri"/>
          <w:b w:val="false"/>
          <w:bCs w:val="false"/>
          <w:i w:val="false"/>
          <w:iCs w:val="false"/>
          <w:color w:val="3E5871"/>
          <w:sz w:val="18"/>
          <w:szCs w:val="18"/>
        </w:rPr>
        <w:t xml:space="preserve">  ·  858-689-9643</w:t>
      </w:r>
    </w:p>
    <w:p>
      <w:pPr>
        <w:pStyle w:val="ListParagraph"/>
        <w:numPr>
          <w:ilvl w:val="0"/>
          <w:numId w:val="1"/>
        </w:numPr>
        <w:spacing w:lineRule="exact" w:line="264" w:before="0" w:after="70"/>
        <w:rPr/>
      </w:pPr>
      <w:r>
        <w:rPr>
          <w:rFonts w:eastAsia="Calibri" w:cs="Calibri"/>
          <w:b/>
          <w:bCs/>
          <w:i w:val="false"/>
          <w:iCs w:val="false"/>
          <w:color w:val="1A1A1A"/>
          <w:sz w:val="19"/>
          <w:szCs w:val="19"/>
        </w:rPr>
        <w:t>Empower NeuroRehab</w:t>
      </w:r>
      <w:r>
        <w:rPr>
          <w:rFonts w:eastAsia="Calibri" w:cs="Calibri"/>
          <w:b w:val="false"/>
          <w:bCs w:val="false"/>
          <w:i w:val="false"/>
          <w:iCs w:val="false"/>
          <w:color w:val="555555"/>
          <w:sz w:val="18"/>
          <w:szCs w:val="18"/>
        </w:rPr>
        <w:t xml:space="preserve">  —  8996 Miramar Rd Ste 301, San Diego, CA 92126</w:t>
      </w:r>
      <w:r>
        <w:rPr>
          <w:rFonts w:eastAsia="Calibri" w:cs="Calibri"/>
          <w:b w:val="false"/>
          <w:bCs w:val="false"/>
          <w:i w:val="false"/>
          <w:iCs w:val="false"/>
          <w:color w:val="3E5871"/>
          <w:sz w:val="18"/>
          <w:szCs w:val="18"/>
        </w:rPr>
        <w:t xml:space="preserve">  ·  760-688-0601</w:t>
      </w:r>
    </w:p>
    <w:p>
      <w:pPr>
        <w:pStyle w:val="Normal"/>
        <w:spacing w:before="100" w:after="60"/>
        <w:rPr/>
      </w:pPr>
      <w:r>
        <w:rPr>
          <w:rFonts w:eastAsia="Calibri" w:cs="Calibri"/>
          <w:b/>
          <w:bCs/>
          <w:i w:val="false"/>
          <w:iCs w:val="false"/>
          <w:color w:val="1F3A5F"/>
          <w:sz w:val="19"/>
          <w:szCs w:val="19"/>
        </w:rPr>
        <w:t>Brain injury organizations &amp; support</w:t>
      </w:r>
    </w:p>
    <w:p>
      <w:pPr>
        <w:pStyle w:val="ListParagraph"/>
        <w:numPr>
          <w:ilvl w:val="0"/>
          <w:numId w:val="1"/>
        </w:numPr>
        <w:spacing w:lineRule="exact" w:line="264" w:before="0" w:after="70"/>
        <w:rPr/>
      </w:pPr>
      <w:r>
        <w:rPr>
          <w:rFonts w:eastAsia="Calibri" w:cs="Calibri"/>
          <w:b/>
          <w:bCs/>
          <w:i w:val="false"/>
          <w:iCs w:val="false"/>
          <w:color w:val="1A1A1A"/>
          <w:sz w:val="19"/>
          <w:szCs w:val="19"/>
        </w:rPr>
        <w:t>San Diego Brain Injury Foundation</w:t>
      </w:r>
      <w:r>
        <w:rPr>
          <w:rFonts w:eastAsia="Calibri" w:cs="Calibri"/>
          <w:b w:val="false"/>
          <w:bCs w:val="false"/>
          <w:i w:val="false"/>
          <w:iCs w:val="false"/>
          <w:color w:val="555555"/>
          <w:sz w:val="18"/>
          <w:szCs w:val="18"/>
        </w:rPr>
        <w:t xml:space="preserve">  —  2730 Historic Decatur Rd, San Diego, CA 92106</w:t>
      </w:r>
      <w:r>
        <w:rPr>
          <w:rFonts w:eastAsia="Calibri" w:cs="Calibri"/>
          <w:b w:val="false"/>
          <w:bCs w:val="false"/>
          <w:i w:val="false"/>
          <w:iCs w:val="false"/>
          <w:color w:val="3E5871"/>
          <w:sz w:val="18"/>
          <w:szCs w:val="18"/>
        </w:rPr>
        <w:t xml:space="preserve">  ·  619-294-6541</w:t>
      </w:r>
    </w:p>
    <w:p>
      <w:pPr>
        <w:pStyle w:val="Normal"/>
        <w:keepNext w:val="true"/>
        <w:spacing w:before="150" w:after="60"/>
        <w:rPr/>
      </w:pPr>
      <w:r>
        <w:rPr>
          <w:rFonts w:eastAsia="Calibri" w:cs="Calibri"/>
          <w:b/>
          <w:bCs/>
          <w:i w:val="false"/>
          <w:iCs w:val="false"/>
          <w:color w:val="3E5871"/>
          <w:sz w:val="20"/>
          <w:szCs w:val="20"/>
        </w:rPr>
        <w:t>San Francisco Bay Area — verified named partners</w:t>
      </w:r>
    </w:p>
    <w:p>
      <w:pPr>
        <w:pStyle w:val="Normal"/>
        <w:spacing w:before="0" w:after="60"/>
        <w:rPr/>
      </w:pPr>
      <w:r>
        <w:rPr>
          <w:rFonts w:eastAsia="Calibri" w:cs="Calibri"/>
          <w:b/>
          <w:bCs/>
          <w:i w:val="false"/>
          <w:iCs w:val="false"/>
          <w:color w:val="1F3A5F"/>
          <w:sz w:val="19"/>
          <w:szCs w:val="19"/>
        </w:rPr>
        <w:t>Neuro-rehabilitation &amp; brain injury rehab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Rehabilitation Center at Santa Clara Valley Medical Center (TBI Model System)</w:t>
      </w:r>
      <w:r>
        <w:rPr>
          <w:rFonts w:eastAsia="Calibri" w:cs="Calibri"/>
          <w:b w:val="false"/>
          <w:bCs w:val="false"/>
          <w:i w:val="false"/>
          <w:iCs w:val="false"/>
          <w:color w:val="555555"/>
          <w:sz w:val="18"/>
          <w:szCs w:val="18"/>
        </w:rPr>
        <w:t xml:space="preserve">  —  751 S Bascom Ave, San Jose, CA 95128</w:t>
      </w:r>
      <w:r>
        <w:rPr>
          <w:rFonts w:eastAsia="Calibri" w:cs="Calibri"/>
          <w:b w:val="false"/>
          <w:bCs w:val="false"/>
          <w:i w:val="false"/>
          <w:iCs w:val="false"/>
          <w:color w:val="3E5871"/>
          <w:sz w:val="18"/>
          <w:szCs w:val="18"/>
        </w:rPr>
        <w:t xml:space="preserve">  ·  408-885-5000</w:t>
      </w:r>
    </w:p>
    <w:p>
      <w:pPr>
        <w:pStyle w:val="ListParagraph"/>
        <w:numPr>
          <w:ilvl w:val="0"/>
          <w:numId w:val="1"/>
        </w:numPr>
        <w:spacing w:lineRule="exact" w:line="264" w:before="0" w:after="70"/>
        <w:rPr/>
      </w:pPr>
      <w:r>
        <w:rPr>
          <w:rFonts w:eastAsia="Calibri" w:cs="Calibri"/>
          <w:b/>
          <w:bCs/>
          <w:i w:val="false"/>
          <w:iCs w:val="false"/>
          <w:color w:val="1A1A1A"/>
          <w:sz w:val="19"/>
          <w:szCs w:val="19"/>
        </w:rPr>
        <w:t>Centre for Neuro Skills — Emeryville (post-acute brain injury)</w:t>
      </w:r>
      <w:r>
        <w:rPr>
          <w:rFonts w:eastAsia="Calibri" w:cs="Calibri"/>
          <w:b w:val="false"/>
          <w:bCs w:val="false"/>
          <w:i w:val="false"/>
          <w:iCs w:val="false"/>
          <w:color w:val="555555"/>
          <w:sz w:val="18"/>
          <w:szCs w:val="18"/>
        </w:rPr>
        <w:t xml:space="preserve">  —  2200 Powell St #600, Emeryville, CA 94608</w:t>
      </w:r>
      <w:r>
        <w:rPr>
          <w:rFonts w:eastAsia="Calibri" w:cs="Calibri"/>
          <w:b w:val="false"/>
          <w:bCs w:val="false"/>
          <w:i w:val="false"/>
          <w:iCs w:val="false"/>
          <w:color w:val="3E5871"/>
          <w:sz w:val="18"/>
          <w:szCs w:val="18"/>
        </w:rPr>
        <w:t xml:space="preserve">  ·  510-318-8600</w:t>
      </w:r>
    </w:p>
    <w:p>
      <w:pPr>
        <w:pStyle w:val="ListParagraph"/>
        <w:numPr>
          <w:ilvl w:val="0"/>
          <w:numId w:val="1"/>
        </w:numPr>
        <w:spacing w:lineRule="exact" w:line="264" w:before="0" w:after="70"/>
        <w:rPr/>
      </w:pPr>
      <w:r>
        <w:rPr>
          <w:rFonts w:eastAsia="Calibri" w:cs="Calibri"/>
          <w:b/>
          <w:bCs/>
          <w:i w:val="false"/>
          <w:iCs w:val="false"/>
          <w:color w:val="1A1A1A"/>
          <w:sz w:val="19"/>
          <w:szCs w:val="19"/>
        </w:rPr>
        <w:t>Acute Rehabilitation Center Los Gatos — El Camino Health</w:t>
      </w:r>
      <w:r>
        <w:rPr>
          <w:rFonts w:eastAsia="Calibri" w:cs="Calibri"/>
          <w:b w:val="false"/>
          <w:bCs w:val="false"/>
          <w:i w:val="false"/>
          <w:iCs w:val="false"/>
          <w:color w:val="555555"/>
          <w:sz w:val="18"/>
          <w:szCs w:val="18"/>
        </w:rPr>
        <w:t xml:space="preserve">  —  355 Dardanelli Ln, Los Gatos, CA 95032</w:t>
      </w:r>
      <w:r>
        <w:rPr>
          <w:rFonts w:eastAsia="Calibri" w:cs="Calibri"/>
          <w:b w:val="false"/>
          <w:bCs w:val="false"/>
          <w:i w:val="false"/>
          <w:iCs w:val="false"/>
          <w:color w:val="3E5871"/>
          <w:sz w:val="18"/>
          <w:szCs w:val="18"/>
        </w:rPr>
        <w:t xml:space="preserve">  ·  408-866-4036</w:t>
      </w:r>
    </w:p>
    <w:p>
      <w:pPr>
        <w:pStyle w:val="Normal"/>
        <w:keepNext w:val="true"/>
        <w:spacing w:before="150" w:after="60"/>
        <w:rPr/>
      </w:pPr>
      <w:r>
        <w:rPr>
          <w:rFonts w:eastAsia="Calibri" w:cs="Calibri"/>
          <w:b/>
          <w:bCs/>
          <w:i w:val="false"/>
          <w:iCs w:val="false"/>
          <w:color w:val="3E5871"/>
          <w:sz w:val="20"/>
          <w:szCs w:val="20"/>
        </w:rPr>
        <w:t>Sacramento — verified named partners</w:t>
      </w:r>
    </w:p>
    <w:p>
      <w:pPr>
        <w:pStyle w:val="Normal"/>
        <w:spacing w:before="0" w:after="60"/>
        <w:rPr/>
      </w:pPr>
      <w:r>
        <w:rPr>
          <w:rFonts w:eastAsia="Calibri" w:cs="Calibri"/>
          <w:b/>
          <w:bCs/>
          <w:i w:val="false"/>
          <w:iCs w:val="false"/>
          <w:color w:val="1F3A5F"/>
          <w:sz w:val="19"/>
          <w:szCs w:val="19"/>
        </w:rPr>
        <w:t>Neuro-rehabilitation &amp; discharge sources</w:t>
      </w:r>
    </w:p>
    <w:p>
      <w:pPr>
        <w:pStyle w:val="ListParagraph"/>
        <w:numPr>
          <w:ilvl w:val="0"/>
          <w:numId w:val="1"/>
        </w:numPr>
        <w:spacing w:lineRule="exact" w:line="264" w:before="0" w:after="70"/>
        <w:rPr/>
      </w:pPr>
      <w:r>
        <w:rPr>
          <w:rFonts w:eastAsia="Calibri" w:cs="Calibri"/>
          <w:b/>
          <w:bCs/>
          <w:i w:val="false"/>
          <w:iCs w:val="false"/>
          <w:color w:val="1A1A1A"/>
          <w:sz w:val="19"/>
          <w:szCs w:val="19"/>
        </w:rPr>
        <w:t>UC Davis Rehabilitation Hospital</w:t>
      </w:r>
      <w:r>
        <w:rPr>
          <w:rFonts w:eastAsia="Calibri" w:cs="Calibri"/>
          <w:b w:val="false"/>
          <w:bCs w:val="false"/>
          <w:i w:val="false"/>
          <w:iCs w:val="false"/>
          <w:color w:val="555555"/>
          <w:sz w:val="18"/>
          <w:szCs w:val="18"/>
        </w:rPr>
        <w:t xml:space="preserve">  —  4875 Broadway, Sacramento, CA 95820</w:t>
      </w:r>
      <w:r>
        <w:rPr>
          <w:rFonts w:eastAsia="Calibri" w:cs="Calibri"/>
          <w:b w:val="false"/>
          <w:bCs w:val="false"/>
          <w:i w:val="false"/>
          <w:iCs w:val="false"/>
          <w:color w:val="3E5871"/>
          <w:sz w:val="18"/>
          <w:szCs w:val="18"/>
        </w:rPr>
        <w:t xml:space="preserve">  ·  279-224-6000</w:t>
      </w:r>
    </w:p>
    <w:p>
      <w:pPr>
        <w:pStyle w:val="ListParagraph"/>
        <w:numPr>
          <w:ilvl w:val="0"/>
          <w:numId w:val="1"/>
        </w:numPr>
        <w:spacing w:lineRule="exact" w:line="264" w:before="0" w:after="70"/>
        <w:rPr/>
      </w:pPr>
      <w:r>
        <w:rPr>
          <w:rFonts w:eastAsia="Calibri" w:cs="Calibri"/>
          <w:b/>
          <w:bCs/>
          <w:i w:val="false"/>
          <w:iCs w:val="false"/>
          <w:color w:val="1A1A1A"/>
          <w:sz w:val="19"/>
          <w:szCs w:val="19"/>
        </w:rPr>
        <w:t>Sacramento Rehabilitation Hospital</w:t>
      </w:r>
      <w:r>
        <w:rPr>
          <w:rFonts w:eastAsia="Calibri" w:cs="Calibri"/>
          <w:b w:val="false"/>
          <w:bCs w:val="false"/>
          <w:i w:val="false"/>
          <w:iCs w:val="false"/>
          <w:color w:val="555555"/>
          <w:sz w:val="18"/>
          <w:szCs w:val="18"/>
        </w:rPr>
        <w:t xml:space="preserve">  —  10 Advantage Ct, Sacramento, CA 95834</w:t>
      </w:r>
      <w:r>
        <w:rPr>
          <w:rFonts w:eastAsia="Calibri" w:cs="Calibri"/>
          <w:b w:val="false"/>
          <w:bCs w:val="false"/>
          <w:i w:val="false"/>
          <w:iCs w:val="false"/>
          <w:color w:val="3E5871"/>
          <w:sz w:val="18"/>
          <w:szCs w:val="18"/>
        </w:rPr>
        <w:t xml:space="preserve">  ·  279-499-1501</w:t>
      </w:r>
    </w:p>
    <w:p>
      <w:pPr>
        <w:pStyle w:val="ListParagraph"/>
        <w:numPr>
          <w:ilvl w:val="0"/>
          <w:numId w:val="1"/>
        </w:numPr>
        <w:spacing w:lineRule="exact" w:line="264" w:before="0" w:after="70"/>
        <w:rPr/>
      </w:pPr>
      <w:r>
        <w:rPr>
          <w:rFonts w:eastAsia="Calibri" w:cs="Calibri"/>
          <w:b/>
          <w:bCs/>
          <w:i w:val="false"/>
          <w:iCs w:val="false"/>
          <w:color w:val="1A1A1A"/>
          <w:sz w:val="19"/>
          <w:szCs w:val="19"/>
        </w:rPr>
        <w:t>Dignity Health Mercy General Hospital — Inpatient Acute Rehabilitation</w:t>
      </w:r>
      <w:r>
        <w:rPr>
          <w:rFonts w:eastAsia="Calibri" w:cs="Calibri"/>
          <w:b w:val="false"/>
          <w:bCs w:val="false"/>
          <w:i w:val="false"/>
          <w:iCs w:val="false"/>
          <w:color w:val="555555"/>
          <w:sz w:val="18"/>
          <w:szCs w:val="18"/>
        </w:rPr>
        <w:t xml:space="preserve">  —  4001 J St, Sacramento, CA 95819</w:t>
      </w:r>
      <w:r>
        <w:rPr>
          <w:rFonts w:eastAsia="Calibri" w:cs="Calibri"/>
          <w:b w:val="false"/>
          <w:bCs w:val="false"/>
          <w:i w:val="false"/>
          <w:iCs w:val="false"/>
          <w:color w:val="3E5871"/>
          <w:sz w:val="18"/>
          <w:szCs w:val="18"/>
        </w:rPr>
        <w:t xml:space="preserve">  ·  916-453-4566</w:t>
      </w:r>
    </w:p>
    <w:p>
      <w:pPr>
        <w:pStyle w:val="Normal"/>
        <w:pBdr>
          <w:top w:val="single" w:sz="4" w:space="6" w:color="9DB1C7"/>
        </w:pBdr>
        <w:spacing w:before="140" w:after="0"/>
        <w:rPr/>
      </w:pPr>
      <w:r>
        <w:rPr>
          <w:rFonts w:eastAsia="Calibri" w:cs="Calibri"/>
          <w:b w:val="false"/>
          <w:bCs w:val="false"/>
          <w:i/>
          <w:iCs/>
          <w:color w:val="555555"/>
          <w:sz w:val="17"/>
          <w:szCs w:val="17"/>
        </w:rPr>
        <w:t>Verify every contact before you rely on it. Named partners are potential referral relationships, not endorsements or guarantees of referrals, and listing is not affiliation.</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placement system week to week. Print them, or copy them into your own tracker.</w:t>
      </w:r>
    </w:p>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Priority Referral Partner Target List  </w:t>
      </w:r>
    </w:p>
    <w:p>
      <w:pPr>
        <w:pStyle w:val="Normal"/>
        <w:spacing w:lineRule="exact" w:line="268" w:before="0" w:after="110"/>
        <w:jc w:val="start"/>
        <w:rPr/>
      </w:pPr>
      <w:r>
        <w:rPr>
          <w:rFonts w:eastAsia="Calibri" w:cs="Calibri"/>
          <w:b w:val="false"/>
          <w:bCs w:val="false"/>
          <w:i w:val="false"/>
          <w:iCs w:val="false"/>
          <w:color w:val="1A1A1A"/>
          <w:sz w:val="20"/>
          <w:szCs w:val="20"/>
        </w:rPr>
        <w:t>List the sources you most want relationships with, by category, and plan your first contact.</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 (name)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Type (funding source / rehab / clinic / org)</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First contact &amp; date</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Outreach Contact Log  </w:t>
      </w:r>
    </w:p>
    <w:p>
      <w:pPr>
        <w:pStyle w:val="Normal"/>
        <w:spacing w:lineRule="exact" w:line="268" w:before="0" w:after="110"/>
        <w:jc w:val="start"/>
        <w:rPr/>
      </w:pPr>
      <w:r>
        <w:rPr>
          <w:rFonts w:eastAsia="Calibri" w:cs="Calibri"/>
          <w:b w:val="false"/>
          <w:bCs w:val="false"/>
          <w:i w:val="false"/>
          <w:iCs w:val="false"/>
          <w:color w:val="1A1A1A"/>
          <w:sz w:val="20"/>
          <w:szCs w:val="20"/>
        </w:rPr>
        <w:t>Log every outreach so nothing falls through the cracks.</w:t>
      </w:r>
    </w:p>
    <w:tbl>
      <w:tblPr>
        <w:tblW w:w="9360" w:type="dxa"/>
        <w:jc w:val="start"/>
        <w:tblInd w:w="0" w:type="dxa"/>
        <w:tblLayout w:type="fixed"/>
        <w:tblCellMar>
          <w:top w:w="60" w:type="dxa"/>
          <w:start w:w="100" w:type="dxa"/>
          <w:bottom w:w="60" w:type="dxa"/>
          <w:end w:w="100" w:type="dxa"/>
        </w:tblCellMar>
      </w:tblPr>
      <w:tblGrid>
        <w:gridCol w:w="1500"/>
        <w:gridCol w:w="3359"/>
        <w:gridCol w:w="4501"/>
      </w:tblGrid>
      <w:tr>
        <w:trPr>
          <w:tblHeader w:val="true"/>
        </w:trPr>
        <w:tc>
          <w:tcPr>
            <w:tcW w:w="15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Date</w:t>
            </w:r>
          </w:p>
        </w:tc>
        <w:tc>
          <w:tcPr>
            <w:tcW w:w="33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Who / organization</w:t>
            </w:r>
          </w:p>
        </w:tc>
        <w:tc>
          <w:tcPr>
            <w:tcW w:w="45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What was said / next step</w:t>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15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5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45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Referral Source Tracker  </w:t>
      </w:r>
    </w:p>
    <w:p>
      <w:pPr>
        <w:pStyle w:val="Normal"/>
        <w:spacing w:lineRule="exact" w:line="268" w:before="0" w:after="110"/>
        <w:jc w:val="start"/>
        <w:rPr/>
      </w:pPr>
      <w:r>
        <w:rPr>
          <w:rFonts w:eastAsia="Calibri" w:cs="Calibri"/>
          <w:b w:val="false"/>
          <w:bCs w:val="false"/>
          <w:i w:val="false"/>
          <w:iCs w:val="false"/>
          <w:color w:val="1A1A1A"/>
          <w:sz w:val="20"/>
          <w:szCs w:val="20"/>
        </w:rPr>
        <w:t>Track where your admissions actually come from so you invest in what works.</w:t>
      </w:r>
    </w:p>
    <w:tbl>
      <w:tblPr>
        <w:tblW w:w="9360" w:type="dxa"/>
        <w:jc w:val="start"/>
        <w:tblInd w:w="0" w:type="dxa"/>
        <w:tblLayout w:type="fixed"/>
        <w:tblCellMar>
          <w:top w:w="60" w:type="dxa"/>
          <w:start w:w="100" w:type="dxa"/>
          <w:bottom w:w="60" w:type="dxa"/>
          <w:end w:w="100" w:type="dxa"/>
        </w:tblCellMar>
      </w:tblPr>
      <w:tblGrid>
        <w:gridCol w:w="3200"/>
        <w:gridCol w:w="3360"/>
        <w:gridCol w:w="2800"/>
      </w:tblGrid>
      <w:tr>
        <w:trPr>
          <w:tblHeader w:val="true"/>
        </w:trPr>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Member admitted (initials / date)</w:t>
            </w:r>
          </w:p>
        </w:tc>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Referral source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Acuity tier / notes</w:t>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20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36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Relationship Follow-Up Schedule  </w:t>
      </w:r>
    </w:p>
    <w:p>
      <w:pPr>
        <w:pStyle w:val="Normal"/>
        <w:spacing w:lineRule="exact" w:line="268" w:before="0" w:after="110"/>
        <w:jc w:val="start"/>
        <w:rPr/>
      </w:pPr>
      <w:r>
        <w:rPr>
          <w:rFonts w:eastAsia="Calibri" w:cs="Calibri"/>
          <w:b w:val="false"/>
          <w:bCs w:val="false"/>
          <w:i w:val="false"/>
          <w:iCs w:val="false"/>
          <w:color w:val="1A1A1A"/>
          <w:sz w:val="20"/>
          <w:szCs w:val="20"/>
        </w:rPr>
        <w:t>Keep your best relationships warm with a regular touch.</w:t>
      </w:r>
    </w:p>
    <w:tbl>
      <w:tblPr>
        <w:tblW w:w="9360" w:type="dxa"/>
        <w:jc w:val="start"/>
        <w:tblInd w:w="0" w:type="dxa"/>
        <w:tblLayout w:type="fixed"/>
        <w:tblCellMar>
          <w:top w:w="60" w:type="dxa"/>
          <w:start w:w="100" w:type="dxa"/>
          <w:bottom w:w="60" w:type="dxa"/>
          <w:end w:w="100" w:type="dxa"/>
        </w:tblCellMar>
      </w:tblPr>
      <w:tblGrid>
        <w:gridCol w:w="3759"/>
        <w:gridCol w:w="2801"/>
        <w:gridCol w:w="2800"/>
      </w:tblGrid>
      <w:tr>
        <w:trPr>
          <w:tblHeader w:val="true"/>
        </w:trPr>
        <w:tc>
          <w:tcPr>
            <w:tcW w:w="3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Source</w:t>
            </w:r>
          </w:p>
        </w:tc>
        <w:tc>
          <w:tcPr>
            <w:tcW w:w="28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Last contact</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Next touch (date)</w:t>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75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280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the TBI Program &amp; Medi-Cal Relationship Map  </w:t>
      </w:r>
    </w:p>
    <w:p>
      <w:pPr>
        <w:pStyle w:val="Normal"/>
        <w:spacing w:lineRule="exact" w:line="268" w:before="0" w:after="110"/>
        <w:jc w:val="start"/>
        <w:rPr/>
      </w:pPr>
      <w:r>
        <w:rPr>
          <w:rFonts w:eastAsia="Calibri" w:cs="Calibri"/>
          <w:b w:val="false"/>
          <w:bCs w:val="false"/>
          <w:i w:val="false"/>
          <w:iCs w:val="false"/>
          <w:color w:val="1A1A1A"/>
          <w:sz w:val="20"/>
          <w:szCs w:val="20"/>
        </w:rPr>
        <w:t>Map the TBI Program and Medi-Cal plans that serve your region — these are your highest-value relationships.</w:t>
      </w:r>
    </w:p>
    <w:tbl>
      <w:tblPr>
        <w:tblW w:w="9360" w:type="dxa"/>
        <w:jc w:val="start"/>
        <w:tblInd w:w="0" w:type="dxa"/>
        <w:tblLayout w:type="fixed"/>
        <w:tblCellMar>
          <w:top w:w="60" w:type="dxa"/>
          <w:start w:w="100" w:type="dxa"/>
          <w:bottom w:w="60" w:type="dxa"/>
          <w:end w:w="100" w:type="dxa"/>
        </w:tblCellMar>
      </w:tblPr>
      <w:tblGrid>
        <w:gridCol w:w="3360"/>
        <w:gridCol w:w="3200"/>
        <w:gridCol w:w="2800"/>
      </w:tblGrid>
      <w:tr>
        <w:trPr>
          <w:tblHeader w:val="true"/>
        </w:trPr>
        <w:tc>
          <w:tcPr>
            <w:tcW w:w="33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funding source / region served</w:t>
            </w:r>
          </w:p>
        </w:tc>
        <w:tc>
          <w:tcPr>
            <w:tcW w:w="32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Key contact &amp; role</w:t>
            </w:r>
          </w:p>
        </w:tc>
        <w:tc>
          <w:tcPr>
            <w:tcW w:w="28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Status / next step</w:t>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336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2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28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keepNext w:val="true"/>
        <w:shd w:val="clear" w:fill="1F3A5F"/>
        <w:spacing w:before="40" w:after="100"/>
        <w:rPr/>
      </w:pPr>
      <w:r>
        <w:rPr>
          <w:rFonts w:eastAsia="Calibri" w:cs="Calibri"/>
          <w:b/>
          <w:bCs/>
          <w:i w:val="false"/>
          <w:iCs w:val="false"/>
          <w:color w:val="FFFFFF"/>
          <w:sz w:val="22"/>
          <w:szCs w:val="22"/>
        </w:rPr>
        <w:t xml:space="preserve">  </w:t>
      </w:r>
      <w:r>
        <w:rPr>
          <w:rFonts w:eastAsia="Calibri" w:cs="Calibri"/>
          <w:b/>
          <w:bCs/>
          <w:i w:val="false"/>
          <w:iCs w:val="false"/>
          <w:color w:val="FFFFFF"/>
          <w:sz w:val="22"/>
          <w:szCs w:val="22"/>
        </w:rPr>
        <w:t xml:space="preserve">Weekly Outreach Planner  </w:t>
      </w:r>
    </w:p>
    <w:p>
      <w:pPr>
        <w:pStyle w:val="Normal"/>
        <w:spacing w:lineRule="exact" w:line="268" w:before="0" w:after="110"/>
        <w:jc w:val="start"/>
        <w:rPr/>
      </w:pPr>
      <w:r>
        <w:rPr>
          <w:rFonts w:eastAsia="Calibri" w:cs="Calibri"/>
          <w:b w:val="false"/>
          <w:bCs w:val="false"/>
          <w:i w:val="false"/>
          <w:iCs w:val="false"/>
          <w:color w:val="1A1A1A"/>
          <w:sz w:val="20"/>
          <w:szCs w:val="20"/>
        </w:rPr>
        <w:t>Plan your weekly rhythm: a set number of new contacts and check-ins each week.</w:t>
      </w:r>
    </w:p>
    <w:tbl>
      <w:tblPr>
        <w:tblW w:w="9360" w:type="dxa"/>
        <w:jc w:val="start"/>
        <w:tblInd w:w="0" w:type="dxa"/>
        <w:tblLayout w:type="fixed"/>
        <w:tblCellMar>
          <w:top w:w="60" w:type="dxa"/>
          <w:start w:w="100" w:type="dxa"/>
          <w:bottom w:w="60" w:type="dxa"/>
          <w:end w:w="100" w:type="dxa"/>
        </w:tblCellMar>
      </w:tblPr>
      <w:tblGrid>
        <w:gridCol w:w="2199"/>
        <w:gridCol w:w="3561"/>
        <w:gridCol w:w="3600"/>
      </w:tblGrid>
      <w:tr>
        <w:trPr>
          <w:tblHeader w:val="true"/>
        </w:trPr>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Week of</w:t>
            </w:r>
          </w:p>
        </w:tc>
        <w:tc>
          <w:tcPr>
            <w:tcW w:w="356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New contacts (goal / done)</w:t>
            </w:r>
          </w:p>
        </w:tc>
        <w:tc>
          <w:tcPr>
            <w:tcW w:w="3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7"/>
                <w:szCs w:val="17"/>
              </w:rPr>
              <w:t>Check-ins &amp; updates sent</w:t>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r>
        <w:trPr/>
        <w:tc>
          <w:tcPr>
            <w:tcW w:w="2199"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
          </w:p>
        </w:tc>
        <w:tc>
          <w:tcPr>
            <w:tcW w:w="3561"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c>
          <w:tcPr>
            <w:tcW w:w="3600"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
          </w:p>
        </w:tc>
      </w:tr>
    </w:tbl>
    <w:p>
      <w:pPr>
        <w:pStyle w:val="Normal"/>
        <w:pBdr>
          <w:bottom w:val="single" w:sz="8" w:space="1" w:color="9DB1C7"/>
        </w:pBdr>
        <w:spacing w:before="80" w:after="120"/>
        <w:rPr/>
      </w:pPr>
      <w:r>
        <w:rPr/>
      </w:r>
    </w:p>
    <w:p>
      <w:pPr>
        <w:pStyle w:val="Normal"/>
        <w:spacing w:lineRule="exact" w:line="268" w:before="0" w:after="90"/>
        <w:jc w:val="center"/>
        <w:rPr/>
      </w:pPr>
      <w:r>
        <w:rPr>
          <w:rFonts w:eastAsia="Calibri" w:cs="Calibri"/>
          <w:b w:val="false"/>
          <w:bCs w:val="false"/>
          <w:i/>
          <w:iCs/>
          <w:color w:val="555555"/>
          <w:sz w:val="18"/>
          <w:szCs w:val="18"/>
        </w:rPr>
        <w:t>This resource is general educational information for California brain injury residential providers, not legal advice. Contacts, programs, and phone numbers change — verify each before you rely on it, and confirm the anti-kickback rules with qualified counsel before entering any arrangement involving referrals. Named partners are potential referral relationships, not endorsements.</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California Edition  —  PolicyReady.org  —  Page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Brain Injury Referral System — California Edition  —  PolicyReady.org  —  Page </w:t>
    </w: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0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2026-07-15T00:16:50Z</dcterms:created>
  <dc:creator>PolicyReady.org</dc:creator>
  <dc:description/>
  <dc:language>en-US</dc:language>
  <cp:lastModifiedBy>Un-named</cp:lastModifiedBy>
  <dcterms:modified xsi:type="dcterms:W3CDTF">2026-07-15T00:16:50Z</dcterms:modified>
  <cp:revision>1</cp:revision>
  <dc:subject/>
  <dc:title>The Brain Injury Referral System — California Edition</dc:title>
</cp:coreProperties>
</file>