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3E5871"/>
          <w:sz w:val="20"/>
          <w:szCs w:val="20"/>
        </w:rPr>
        <w:t xml:space="preserve">PolicyReady.org</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0" w:before="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3A5F" w:color="auto" w:val="clear"/>
            <w:tcMar>
              <w:top w:type="dxa" w:w="300"/>
              <w:left w:type="dxa" w:w="200"/>
              <w:bottom w:type="dxa" w:w="300"/>
              <w:right w:type="dxa" w:w="200"/>
            </w:tcMar>
          </w:tcPr>
          <w:p>
            <w:pPr>
              <w:spacing w:after="40"/>
              <w:jc w:val="center"/>
            </w:pPr>
            <w:r>
              <w:rPr>
                <w:rFonts w:ascii="Calibri" w:cs="Calibri" w:eastAsia="Calibri" w:hAnsi="Calibri"/>
                <w:b/>
                <w:bCs/>
                <w:i w:val="false"/>
                <w:iCs w:val="false"/>
                <w:color w:val="FFFFFF"/>
                <w:sz w:val="34"/>
                <w:szCs w:val="34"/>
              </w:rPr>
              <w:t xml:space="preserve">The Substance Use Referral System</w:t>
            </w:r>
          </w:p>
          <w:p>
            <w:pPr>
              <w:spacing w:after="0"/>
              <w:jc w:val="center"/>
            </w:pPr>
            <w:r>
              <w:rPr>
                <w:rFonts w:ascii="Calibri" w:cs="Calibri" w:eastAsia="Calibri" w:hAnsi="Calibri"/>
                <w:b/>
                <w:bCs/>
                <w:i w:val="false"/>
                <w:iCs w:val="false"/>
                <w:color w:val="FFFFFF"/>
                <w:sz w:val="34"/>
                <w:szCs w:val="34"/>
              </w:rPr>
              <w:t xml:space="preserve">North Carolina Edition</w:t>
            </w:r>
          </w:p>
        </w:tc>
      </w:tr>
    </w:tbl>
    <w:p>
      <w:pPr>
        <w:spacing w:after="60" w:before="0" w:line="268"/>
        <w:jc w:val="center"/>
      </w:pPr>
      <w:r>
        <w:rPr>
          <w:rFonts w:ascii="Calibri" w:cs="Calibri" w:eastAsia="Calibri" w:hAnsi="Calibri"/>
          <w:b w:val="false"/>
          <w:bCs w:val="false"/>
          <w:i/>
          <w:iCs/>
          <w:color w:val="3E5871"/>
          <w:sz w:val="22"/>
          <w:szCs w:val="22"/>
        </w:rPr>
        <w:t xml:space="preserve">How a North Carolina licensed substance use disorder provider builds a steady stream of client referrals — the strategy, a verified directory of North Carolina referral sources, named-partner target lists for the state's largest metros, and the worksheets to run it week to week</w:t>
      </w:r>
    </w:p>
    <w:p>
      <w:pPr>
        <w:spacing w:after="120" w:before="0" w:line="268"/>
        <w:jc w:val="center"/>
      </w:pPr>
      <w:r>
        <w:rPr>
          <w:rFonts w:ascii="Calibri" w:cs="Calibri" w:eastAsia="Calibri" w:hAnsi="Calibri"/>
          <w:b w:val="false"/>
          <w:bCs w:val="false"/>
          <w:i w:val="false"/>
          <w:iCs w:val="false"/>
          <w:color w:val="555555"/>
          <w:sz w:val="18"/>
          <w:szCs w:val="18"/>
        </w:rPr>
        <w:t xml:space="preserve">PolicyReady.org  —  Practical Playbooks for Care Entrepreneurs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Why behavioral health referrals are different — read this first</w:t>
            </w:r>
          </w:p>
          <w:p>
            <w:pPr>
              <w:spacing w:after="0" w:line="264"/>
            </w:pPr>
            <w:r>
              <w:rPr>
                <w:rFonts w:ascii="Calibri" w:cs="Calibri" w:eastAsia="Calibri" w:hAnsi="Calibri"/>
                <w:b/>
                <w:bCs/>
                <w:i w:val="false"/>
                <w:iCs w:val="false"/>
                <w:color w:val="1A1A1A"/>
                <w:sz w:val="19"/>
                <w:szCs w:val="19"/>
              </w:rPr>
              <w:t xml:space="preserve">Clients rarely walk in off the street, and most are not private-pay. </w:t>
            </w:r>
            <w:r>
              <w:rPr>
                <w:rFonts w:ascii="Calibri" w:cs="Calibri" w:eastAsia="Calibri" w:hAnsi="Calibri"/>
                <w:b w:val="false"/>
                <w:bCs w:val="false"/>
                <w:i w:val="false"/>
                <w:iCs w:val="false"/>
                <w:color w:val="1A1A1A"/>
                <w:sz w:val="19"/>
                <w:szCs w:val="19"/>
              </w:rPr>
              <w:t xml:space="preserve">A North Carolina licensed substance use disorder provider fills its caseload and beds through the systems that pay for and steer behavioral health care: the LME/MCOs — now Behavioral Health and I/DD Tailored Plans — that manage both Medicaid and state-funded behavioral health services (Alliance Health, Partners Health Management, Trillium Health Resources, and Vaya Health), the 988 Suicide and Crisis Lifeline and each LME/MCO's 24/7 crisis line and mobile crisis teams, the detox and withdrawal-management programs, hospitals and emergency departments, and the courts (including drug treatment and recovery courts).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North Carolina, what each of them wants, how to reach them, and how to keep the relationships warm — all within the legal line, which in behavioral health is stricter than most people realize.</w:t>
            </w:r>
          </w:p>
        </w:tc>
      </w:tr>
    </w:tbl>
    <w:p>
      <w:pPr>
        <w:keepNext/>
        <w:spacing w:after="90" w:before="220"/>
      </w:pPr>
      <w:r>
        <w:rPr>
          <w:rFonts w:ascii="Calibri" w:cs="Calibri" w:eastAsia="Calibri" w:hAnsi="Calibri"/>
          <w:b/>
          <w:bCs/>
          <w:i w:val="false"/>
          <w:iCs w:val="false"/>
          <w:color w:val="1F3A5F"/>
          <w:sz w:val="26"/>
          <w:szCs w:val="26"/>
        </w:rPr>
        <w:t xml:space="preserve">Part One — The Playbook: How to Earn Referrals</w:t>
      </w:r>
    </w:p>
    <w:p>
      <w:pPr>
        <w:keepNext/>
        <w:spacing w:after="60" w:before="140"/>
      </w:pPr>
      <w:r>
        <w:rPr>
          <w:rFonts w:ascii="Calibri" w:cs="Calibri" w:eastAsia="Calibri" w:hAnsi="Calibri"/>
          <w:b/>
          <w:bCs/>
          <w:i w:val="false"/>
          <w:iCs w:val="false"/>
          <w:color w:val="3E5871"/>
          <w:sz w:val="21"/>
          <w:szCs w:val="21"/>
        </w:rPr>
        <w:t xml:space="preserve">How to use this playbook</w:t>
      </w:r>
    </w:p>
    <w:p>
      <w:pPr>
        <w:spacing w:after="110" w:before="0" w:line="268"/>
        <w:jc w:val="left"/>
      </w:pPr>
      <w:r>
        <w:rPr>
          <w:rFonts w:ascii="Calibri" w:cs="Calibri" w:eastAsia="Calibri" w:hAnsi="Calibri"/>
          <w:b w:val="false"/>
          <w:bCs w:val="false"/>
          <w:i w:val="false"/>
          <w:iCs w:val="false"/>
          <w:color w:val="1A1A1A"/>
          <w:sz w:val="20"/>
          <w:szCs w:val="20"/>
        </w:rPr>
        <w:t xml:space="preserve">This playbook teaches you how behavioral health providers actually build a caseload in North Carolina: by being in-network, being known, and being reliable. Read it once start to finish, then use it as a checklist. Everything here is general educational information for North Carolina providers — not legal advice; verify programs, contacts, and the anti-kickback and anti-brokering rules before you rely on them.</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whole system in one paragraph</w:t>
            </w:r>
          </w:p>
          <w:p>
            <w:pPr>
              <w:spacing w:after="0" w:line="264"/>
            </w:pPr>
            <w:r>
              <w:rPr>
                <w:rFonts w:ascii="Calibri" w:cs="Calibri" w:eastAsia="Calibri" w:hAnsi="Calibri"/>
                <w:b w:val="false"/>
                <w:bCs w:val="false"/>
                <w:i w:val="false"/>
                <w:iCs w:val="false"/>
                <w:color w:val="1A1A1A"/>
                <w:sz w:val="19"/>
                <w:szCs w:val="19"/>
              </w:rPr>
              <w:t xml:space="preserve">Get licensed by DHSR for the substance use services you provide, enroll as an NC Medicaid provider, and contract with your LME/MCO Tailored Plan so clients can be sent to you and you can be paid. Identify the sources that put clients in front of you — the Tailored Plan care managers, the 988 and LME/MCO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keepNext/>
        <w:spacing w:after="60" w:before="140"/>
      </w:pPr>
      <w:r>
        <w:rPr>
          <w:rFonts w:ascii="Calibri" w:cs="Calibri" w:eastAsia="Calibri" w:hAnsi="Calibri"/>
          <w:b/>
          <w:bCs/>
          <w:i w:val="false"/>
          <w:iCs w:val="false"/>
          <w:color w:val="3E5871"/>
          <w:sz w:val="21"/>
          <w:szCs w:val="21"/>
        </w:rPr>
        <w:t xml:space="preserve">The path at a glance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referable. </w:t>
      </w:r>
      <w:r>
        <w:rPr>
          <w:rFonts w:ascii="Calibri" w:cs="Calibri" w:eastAsia="Calibri" w:hAnsi="Calibri"/>
          <w:b w:val="false"/>
          <w:bCs w:val="false"/>
          <w:i w:val="false"/>
          <w:iCs w:val="false"/>
          <w:color w:val="1A1A1A"/>
          <w:sz w:val="20"/>
          <w:szCs w:val="20"/>
        </w:rPr>
        <w:t xml:space="preserve">Hold your DHSR license, enroll as an NC Medicaid provider, and contract with your LME/MCO Tailored Plan so a care manager can send you a client and you get paid.</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Map your sources. </w:t>
      </w:r>
      <w:r>
        <w:rPr>
          <w:rFonts w:ascii="Calibri" w:cs="Calibri" w:eastAsia="Calibri" w:hAnsi="Calibri"/>
          <w:b w:val="false"/>
          <w:bCs w:val="false"/>
          <w:i w:val="false"/>
          <w:iCs w:val="false"/>
          <w:color w:val="1A1A1A"/>
          <w:sz w:val="20"/>
          <w:szCs w:val="20"/>
        </w:rPr>
        <w:t xml:space="preserve">The Tailored Plan care managers, the 988 and LME/MCO crisis system, hospitals and EDs, detox and withdrawal management, the courts, and other providers (Part 2 + the directory).</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into the pipeline. </w:t>
      </w:r>
      <w:r>
        <w:rPr>
          <w:rFonts w:ascii="Calibri" w:cs="Calibri" w:eastAsia="Calibri" w:hAnsi="Calibri"/>
          <w:b w:val="false"/>
          <w:bCs w:val="false"/>
          <w:i w:val="false"/>
          <w:iCs w:val="false"/>
          <w:color w:val="1A1A1A"/>
          <w:sz w:val="20"/>
          <w:szCs w:val="20"/>
        </w:rPr>
        <w:t xml:space="preserve">Get in-network and onto the referral lists of the crisis system, hospitals, and courts (Part 3).</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Learn what each wants. </w:t>
      </w:r>
      <w:r>
        <w:rPr>
          <w:rFonts w:ascii="Calibri" w:cs="Calibri" w:eastAsia="Calibri" w:hAnsi="Calibri"/>
          <w:b w:val="false"/>
          <w:bCs w:val="false"/>
          <w:i w:val="false"/>
          <w:iCs w:val="false"/>
          <w:color w:val="1A1A1A"/>
          <w:sz w:val="20"/>
          <w:szCs w:val="20"/>
        </w:rPr>
        <w:t xml:space="preserve">Speak to the pressure each source is under (Part 4).</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Reach out and meet them. </w:t>
      </w:r>
      <w:r>
        <w:rPr>
          <w:rFonts w:ascii="Calibri" w:cs="Calibri" w:eastAsia="Calibri" w:hAnsi="Calibri"/>
          <w:b w:val="false"/>
          <w:bCs w:val="false"/>
          <w:i w:val="false"/>
          <w:iCs w:val="false"/>
          <w:color w:val="1A1A1A"/>
          <w:sz w:val="20"/>
          <w:szCs w:val="20"/>
        </w:rPr>
        <w:t xml:space="preserve">With a short, clear message about who you serve well (Parts 5–6).</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Deliver and communicate. </w:t>
      </w:r>
      <w:r>
        <w:rPr>
          <w:rFonts w:ascii="Calibri" w:cs="Calibri" w:eastAsia="Calibri" w:hAnsi="Calibri"/>
          <w:b w:val="false"/>
          <w:bCs w:val="false"/>
          <w:i w:val="false"/>
          <w:iCs w:val="false"/>
          <w:color w:val="1A1A1A"/>
          <w:sz w:val="20"/>
          <w:szCs w:val="20"/>
        </w:rPr>
        <w:t xml:space="preserve">Fast acceptance, updates, and outcome reporting earn the next referral (Part 7).</w:t>
      </w:r>
    </w:p>
    <w:p>
      <w:pPr>
        <w:spacing w:after="60" w:line="268"/>
        <w:ind w:left="360" w:hanging="300"/>
      </w:pPr>
      <w:r>
        <w:rPr>
          <w:rFonts w:ascii="Calibri" w:cs="Calibri" w:eastAsia="Calibri" w:hAnsi="Calibri"/>
          <w:b/>
          <w:bCs/>
          <w:i w:val="false"/>
          <w:iCs w:val="false"/>
          <w:color w:val="3E5871"/>
          <w:sz w:val="20"/>
          <w:szCs w:val="20"/>
        </w:rPr>
        <w:t xml:space="preserve">7.  </w:t>
      </w:r>
      <w:r>
        <w:rPr>
          <w:rFonts w:ascii="Calibri" w:cs="Calibri" w:eastAsia="Calibri" w:hAnsi="Calibri"/>
          <w:b/>
          <w:bCs/>
          <w:i w:val="false"/>
          <w:iCs w:val="false"/>
          <w:color w:val="1A1A1A"/>
          <w:sz w:val="20"/>
          <w:szCs w:val="20"/>
        </w:rPr>
        <w:t xml:space="preserve">Be findable. </w:t>
      </w:r>
      <w:r>
        <w:rPr>
          <w:rFonts w:ascii="Calibri" w:cs="Calibri" w:eastAsia="Calibri" w:hAnsi="Calibri"/>
          <w:b w:val="false"/>
          <w:bCs w:val="false"/>
          <w:i w:val="false"/>
          <w:iCs w:val="false"/>
          <w:color w:val="1A1A1A"/>
          <w:sz w:val="20"/>
          <w:szCs w:val="20"/>
        </w:rPr>
        <w:t xml:space="preserve">Payer directories, online presence, and crisis referral platforms (Part 8).</w:t>
      </w:r>
    </w:p>
    <w:p>
      <w:pPr>
        <w:spacing w:after="60" w:line="268"/>
        <w:ind w:left="360" w:hanging="300"/>
      </w:pPr>
      <w:r>
        <w:rPr>
          <w:rFonts w:ascii="Calibri" w:cs="Calibri" w:eastAsia="Calibri" w:hAnsi="Calibri"/>
          <w:b/>
          <w:bCs/>
          <w:i w:val="false"/>
          <w:iCs w:val="false"/>
          <w:color w:val="3E5871"/>
          <w:sz w:val="20"/>
          <w:szCs w:val="20"/>
        </w:rPr>
        <w:t xml:space="preserve">8.  </w:t>
      </w:r>
      <w:r>
        <w:rPr>
          <w:rFonts w:ascii="Calibri" w:cs="Calibri" w:eastAsia="Calibri" w:hAnsi="Calibri"/>
          <w:b/>
          <w:bCs/>
          <w:i w:val="false"/>
          <w:iCs w:val="false"/>
          <w:color w:val="1A1A1A"/>
          <w:sz w:val="20"/>
          <w:szCs w:val="20"/>
        </w:rPr>
        <w:t xml:space="preserve">Run the rhythm and measure. </w:t>
      </w:r>
      <w:r>
        <w:rPr>
          <w:rFonts w:ascii="Calibri" w:cs="Calibri" w:eastAsia="Calibri" w:hAnsi="Calibri"/>
          <w:b w:val="false"/>
          <w:bCs w:val="false"/>
          <w:i w:val="false"/>
          <w:iCs w:val="false"/>
          <w:color w:val="1A1A1A"/>
          <w:sz w:val="20"/>
          <w:szCs w:val="20"/>
        </w:rPr>
        <w:t xml:space="preserve">A weekly cadence and honest tracking (Parts 9–10).</w:t>
      </w:r>
    </w:p>
    <w:p>
      <w:pPr>
        <w:keepNext/>
        <w:spacing w:after="90" w:before="220"/>
      </w:pPr>
      <w:r>
        <w:rPr>
          <w:rFonts w:ascii="Calibri" w:cs="Calibri" w:eastAsia="Calibri" w:hAnsi="Calibri"/>
          <w:b/>
          <w:bCs/>
          <w:i w:val="false"/>
          <w:iCs w:val="false"/>
          <w:color w:val="1F3A5F"/>
          <w:sz w:val="26"/>
          <w:szCs w:val="26"/>
        </w:rPr>
        <w:t xml:space="preserve">Part 1 — Why Referrals Are Your Caseload Engine</w:t>
      </w:r>
    </w:p>
    <w:p>
      <w:pPr>
        <w:spacing w:after="110" w:before="0" w:line="268"/>
        <w:jc w:val="left"/>
      </w:pPr>
      <w:r>
        <w:rPr>
          <w:rFonts w:ascii="Calibri" w:cs="Calibri" w:eastAsia="Calibri" w:hAnsi="Calibri"/>
          <w:b w:val="false"/>
          <w:bCs w:val="false"/>
          <w:i w:val="false"/>
          <w:iCs w:val="false"/>
          <w:color w:val="1A1A1A"/>
          <w:sz w:val="20"/>
          <w:szCs w:val="20"/>
        </w:rPr>
        <w:t xml:space="preserve">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spacing w:after="110" w:before="0" w:line="268"/>
        <w:jc w:val="left"/>
      </w:pPr>
      <w:r>
        <w:rPr>
          <w:rFonts w:ascii="Calibri" w:cs="Calibri" w:eastAsia="Calibri" w:hAnsi="Calibri"/>
          <w:b w:val="false"/>
          <w:bCs w:val="false"/>
          <w:i w:val="false"/>
          <w:iCs w:val="false"/>
          <w:color w:val="1A1A1A"/>
          <w:sz w:val="20"/>
          <w:szCs w:val="20"/>
        </w:rPr>
        <w:t xml:space="preserve">There is a second reason relationships matter so much here: the person who refers a client to you is staking their own judgment on you. A Tailored Plan care manager,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spacing w:after="110" w:before="0" w:line="268"/>
        <w:jc w:val="left"/>
      </w:pPr>
      <w:r>
        <w:rPr>
          <w:rFonts w:ascii="Calibri" w:cs="Calibri" w:eastAsia="Calibri" w:hAnsi="Calibri"/>
          <w:b w:val="false"/>
          <w:bCs w:val="false"/>
          <w:i w:val="false"/>
          <w:iCs w:val="false"/>
          <w:color w:val="1A1A1A"/>
          <w:sz w:val="20"/>
          <w:szCs w:val="20"/>
        </w:rPr>
        <w:t xml:space="preserve">It also means growth is relationship-limited, not ad-limited. You cannot buy your way to a full caseload; you earn it by being the provider the referring systems trust with their hardest clients. And one strong relationship compounds — a single Tailored Plan or hospital that trusts you can send clients for years. Everything else in this playbook serves that one goal.</w:t>
      </w:r>
    </w:p>
    <w:p>
      <w:pPr>
        <w:spacing w:after="110" w:before="0" w:line="268"/>
        <w:jc w:val="left"/>
      </w:pPr>
      <w:r>
        <w:rPr>
          <w:rFonts w:ascii="Calibri" w:cs="Calibri" w:eastAsia="Calibri" w:hAnsi="Calibri"/>
          <w:b w:val="false"/>
          <w:bCs w:val="false"/>
          <w:i w:val="false"/>
          <w:iCs w:val="false"/>
          <w:color w:val="1A1A1A"/>
          <w:sz w:val="20"/>
          <w:szCs w:val="20"/>
        </w:rPr>
        <w:t xml:space="preserve">Think about the math of a single relationship. One Tailored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keepNext/>
        <w:spacing w:after="90" w:before="220"/>
      </w:pPr>
      <w:r>
        <w:rPr>
          <w:rFonts w:ascii="Calibri" w:cs="Calibri" w:eastAsia="Calibri" w:hAnsi="Calibri"/>
          <w:b/>
          <w:bCs/>
          <w:i w:val="false"/>
          <w:iCs w:val="false"/>
          <w:color w:val="1F3A5F"/>
          <w:sz w:val="26"/>
          <w:szCs w:val="26"/>
        </w:rPr>
        <w:t xml:space="preserve">Part 2 — The Referral Source Map: Who Sends You Clients</w:t>
      </w:r>
    </w:p>
    <w:p>
      <w:pPr>
        <w:spacing w:after="110" w:before="0" w:line="268"/>
        <w:jc w:val="left"/>
      </w:pPr>
      <w:r>
        <w:rPr>
          <w:rFonts w:ascii="Calibri" w:cs="Calibri" w:eastAsia="Calibri" w:hAnsi="Calibri"/>
          <w:b w:val="false"/>
          <w:bCs w:val="false"/>
          <w:i w:val="false"/>
          <w:iCs w:val="false"/>
          <w:color w:val="1A1A1A"/>
          <w:sz w:val="20"/>
          <w:szCs w:val="20"/>
        </w:rPr>
        <w:t xml:space="preserve">Here is the North Carolina landscape of who puts behavioral health clients in front of a provider. Not all carry the same weight — the LME/MCO Tailored Plans, the 988 and LME/MCO crisis system, and the detox and hospital systems matter most — but each has a role: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The LME/MCO Tailored Plans — the center of the system. </w:t>
      </w:r>
      <w:r>
        <w:rPr>
          <w:rFonts w:ascii="Calibri" w:cs="Calibri" w:eastAsia="Calibri" w:hAnsi="Calibri"/>
          <w:b w:val="false"/>
          <w:bCs w:val="false"/>
          <w:i w:val="false"/>
          <w:iCs w:val="false"/>
          <w:color w:val="1A1A1A"/>
          <w:sz w:val="20"/>
          <w:szCs w:val="20"/>
        </w:rPr>
        <w:t xml:space="preserve">North Carolina's behavioral health Medicaid AND state-funded services are managed by four LME/MCOs, now Behavioral Health and I/DD Tailored Plans — Alliance Health, Partners Health Management, Trillium Health Resources, and Vaya Health. Their care managers refer members, authorize services, and manage the state-funded safety net for the uninsured. Being enrolled and in-network with your LME/MCO is the highest-value relationship you have.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LME/MCO crisis system — the front door. </w:t>
      </w:r>
      <w:r>
        <w:rPr>
          <w:rFonts w:ascii="Calibri" w:cs="Calibri" w:eastAsia="Calibri" w:hAnsi="Calibri"/>
          <w:b w:val="false"/>
          <w:bCs w:val="false"/>
          <w:i w:val="false"/>
          <w:iCs w:val="false"/>
          <w:color w:val="1A1A1A"/>
          <w:sz w:val="20"/>
          <w:szCs w:val="20"/>
        </w:rPr>
        <w:t xml:space="preserve">The 988 Suicide and Crisis Lifeline, each LME/MCO's 24/7 behavioral health crisis line, and the mobile crisis teams they dispatch are how many people in crisis find treatment. Being known to your LME/MCO's crisis system — what you accept and how fast — is essential.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Facility-based crisis, detox &amp; withdrawal management. </w:t>
      </w:r>
      <w:r>
        <w:rPr>
          <w:rFonts w:ascii="Calibri" w:cs="Calibri" w:eastAsia="Calibri" w:hAnsi="Calibri"/>
          <w:b w:val="false"/>
          <w:bCs w:val="false"/>
          <w:i w:val="false"/>
          <w:iCs w:val="false"/>
          <w:color w:val="1A1A1A"/>
          <w:sz w:val="20"/>
          <w:szCs w:val="20"/>
        </w:rPr>
        <w:t xml:space="preserve">Facility-based crisis centers and detox and withdrawal-management programs stabilize people and then step them down to ongoing substance use treatment — a major source of referrals for SAIOP, SACOT, outpatient, and residential providers.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Hospitals &amp; emergency departments. </w:t>
      </w:r>
      <w:r>
        <w:rPr>
          <w:rFonts w:ascii="Calibri" w:cs="Calibri" w:eastAsia="Calibri" w:hAnsi="Calibri"/>
          <w:b w:val="false"/>
          <w:bCs w:val="false"/>
          <w:i w:val="false"/>
          <w:iCs w:val="false"/>
          <w:color w:val="1A1A1A"/>
          <w:sz w:val="20"/>
          <w:szCs w:val="20"/>
        </w:rPr>
        <w:t xml:space="preserve">Psychiatric units, med/psych, and EDs discharging or boarding behavioral health patients need fast, reliable outpatient and residential placements.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Withdrawal management &amp; detox. </w:t>
      </w:r>
      <w:r>
        <w:rPr>
          <w:rFonts w:ascii="Calibri" w:cs="Calibri" w:eastAsia="Calibri" w:hAnsi="Calibri"/>
          <w:b w:val="false"/>
          <w:bCs w:val="false"/>
          <w:i w:val="false"/>
          <w:iCs w:val="false"/>
          <w:color w:val="1A1A1A"/>
          <w:sz w:val="20"/>
          <w:szCs w:val="20"/>
        </w:rPr>
        <w:t xml:space="preserve">Detox programs step clients down to residential and outpatient substance use treatment — a core referral relationship for SUD services.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criminal justice. </w:t>
      </w:r>
      <w:r>
        <w:rPr>
          <w:rFonts w:ascii="Calibri" w:cs="Calibri" w:eastAsia="Calibri" w:hAnsi="Calibri"/>
          <w:b w:val="false"/>
          <w:bCs w:val="false"/>
          <w:i w:val="false"/>
          <w:iCs w:val="false"/>
          <w:color w:val="1A1A1A"/>
          <w:sz w:val="20"/>
          <w:szCs w:val="20"/>
        </w:rPr>
        <w:t xml:space="preserve">Drug courts and accountability courts, probation and parole, diversion, and jail reentry refer large numbers of clients to treatment and need reliable compliance reporting.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Safety-net &amp; other behavioral health providers. </w:t>
      </w:r>
      <w:r>
        <w:rPr>
          <w:rFonts w:ascii="Calibri" w:cs="Calibri" w:eastAsia="Calibri" w:hAnsi="Calibri"/>
          <w:b w:val="false"/>
          <w:bCs w:val="false"/>
          <w:i w:val="false"/>
          <w:iCs w:val="false"/>
          <w:color w:val="1A1A1A"/>
          <w:sz w:val="20"/>
          <w:szCs w:val="20"/>
        </w:rPr>
        <w:t xml:space="preserve">Community mental health centers and other providers refer out what they cannot serve — and you refer back. Two-way relationships.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Primary care, SBIRT &amp; other. </w:t>
      </w:r>
      <w:r>
        <w:rPr>
          <w:rFonts w:ascii="Calibri" w:cs="Calibri" w:eastAsia="Calibri" w:hAnsi="Calibri"/>
          <w:b w:val="false"/>
          <w:bCs w:val="false"/>
          <w:i w:val="false"/>
          <w:iCs w:val="false"/>
          <w:color w:val="1A1A1A"/>
          <w:sz w:val="20"/>
          <w:szCs w:val="20"/>
        </w:rPr>
        <w:t xml:space="preserve">Primary care screening, schools, child welfare, recovery residences, 211, and families all send clients.</w:t>
      </w:r>
    </w:p>
    <w:p>
      <w:pPr>
        <w:spacing w:after="110" w:before="0" w:line="268"/>
        <w:jc w:val="left"/>
      </w:pPr>
      <w:r>
        <w:rPr>
          <w:rFonts w:ascii="Calibri" w:cs="Calibri" w:eastAsia="Calibri" w:hAnsi="Calibri"/>
          <w:b w:val="false"/>
          <w:bCs w:val="false"/>
          <w:i w:val="false"/>
          <w:iCs w:val="false"/>
          <w:color w:val="1A1A1A"/>
          <w:sz w:val="20"/>
          <w:szCs w:val="20"/>
        </w:rPr>
        <w:t xml:space="preserve">Do not try to work all of these at once. For a new provider, the order that matters is simple: first, get in-network with your LME/MCO Tailored Plan,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keepNext/>
        <w:spacing w:after="90" w:before="220"/>
      </w:pPr>
      <w:r>
        <w:rPr>
          <w:rFonts w:ascii="Calibri" w:cs="Calibri" w:eastAsia="Calibri" w:hAnsi="Calibri"/>
          <w:b/>
          <w:bCs/>
          <w:i w:val="false"/>
          <w:iCs w:val="false"/>
          <w:color w:val="1F3A5F"/>
          <w:sz w:val="26"/>
          <w:szCs w:val="26"/>
        </w:rPr>
        <w:t xml:space="preserve">Part 3 — Getting Into the Pipeline (and the Legal Line)</w:t>
      </w:r>
    </w:p>
    <w:p>
      <w:pPr>
        <w:spacing w:after="110" w:before="0" w:line="268"/>
        <w:jc w:val="left"/>
      </w:pPr>
      <w:r>
        <w:rPr>
          <w:rFonts w:ascii="Calibri" w:cs="Calibri" w:eastAsia="Calibri" w:hAnsi="Calibri"/>
          <w:b w:val="false"/>
          <w:bCs w:val="false"/>
          <w:i w:val="false"/>
          <w:iCs w:val="false"/>
          <w:color w:val="1A1A1A"/>
          <w:sz w:val="20"/>
          <w:szCs w:val="20"/>
        </w:rPr>
        <w:t xml:space="preserve">Most of this playbook is about earning referrals through relationships. This part is about the formal pipeline you must be in first, and the legal line you must never cross — which in behavioral health is unusually strict.</w:t>
      </w:r>
    </w:p>
    <w:p>
      <w:pPr>
        <w:keepNext/>
        <w:spacing w:after="60" w:before="140"/>
      </w:pPr>
      <w:r>
        <w:rPr>
          <w:rFonts w:ascii="Calibri" w:cs="Calibri" w:eastAsia="Calibri" w:hAnsi="Calibri"/>
          <w:b/>
          <w:bCs/>
          <w:i w:val="false"/>
          <w:iCs w:val="false"/>
          <w:color w:val="3E5871"/>
          <w:sz w:val="21"/>
          <w:szCs w:val="21"/>
        </w:rPr>
        <w:t xml:space="preserve">Getting into the pipeline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licensed and endorsed. </w:t>
      </w:r>
      <w:r>
        <w:rPr>
          <w:rFonts w:ascii="Calibri" w:cs="Calibri" w:eastAsia="Calibri" w:hAnsi="Calibri"/>
          <w:b w:val="false"/>
          <w:bCs w:val="false"/>
          <w:i w:val="false"/>
          <w:iCs w:val="false"/>
          <w:color w:val="1A1A1A"/>
          <w:sz w:val="20"/>
          <w:szCs w:val="20"/>
        </w:rPr>
        <w:t xml:space="preserve">Hold your DHSR license for each service you provide (outpatient, SAIOP, SACOT, opioid treatment, residential) so you can legally accept the referrals you want.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Enroll and get in-network. </w:t>
      </w:r>
      <w:r>
        <w:rPr>
          <w:rFonts w:ascii="Calibri" w:cs="Calibri" w:eastAsia="Calibri" w:hAnsi="Calibri"/>
          <w:b w:val="false"/>
          <w:bCs w:val="false"/>
          <w:i w:val="false"/>
          <w:iCs w:val="false"/>
          <w:color w:val="1A1A1A"/>
          <w:sz w:val="20"/>
          <w:szCs w:val="20"/>
        </w:rPr>
        <w:t xml:space="preserve">Enroll as an NC Medicaid provider through NCTracks and contract and credential with your LME/MCO Tailored Plan — a care manager can only send a client to an enrolled, contracted provider.</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onto the crisis and hospital referral lists. </w:t>
      </w:r>
      <w:r>
        <w:rPr>
          <w:rFonts w:ascii="Calibri" w:cs="Calibri" w:eastAsia="Calibri" w:hAnsi="Calibri"/>
          <w:b w:val="false"/>
          <w:bCs w:val="false"/>
          <w:i w:val="false"/>
          <w:iCs w:val="false"/>
          <w:color w:val="1A1A1A"/>
          <w:sz w:val="20"/>
          <w:szCs w:val="20"/>
        </w:rPr>
        <w:t xml:space="preserve">Make sure your LME/MCO's crisis line, the detox and withdrawal-management programs, hospitals, and EDs know what you accept and how fast you respond, and get into any bed-availability or referral platform they use.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Build relationships with the courts. </w:t>
      </w:r>
      <w:r>
        <w:rPr>
          <w:rFonts w:ascii="Calibri" w:cs="Calibri" w:eastAsia="Calibri" w:hAnsi="Calibri"/>
          <w:b w:val="false"/>
          <w:bCs w:val="false"/>
          <w:i w:val="false"/>
          <w:iCs w:val="false"/>
          <w:color w:val="1A1A1A"/>
          <w:sz w:val="20"/>
          <w:szCs w:val="20"/>
        </w:rPr>
        <w:t xml:space="preserve">If you serve justice-involved clients, be known to the drug courts, probation, and diversion programs and clear about your reporting.</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Then work the relationships. </w:t>
      </w:r>
      <w:r>
        <w:rPr>
          <w:rFonts w:ascii="Calibri" w:cs="Calibri" w:eastAsia="Calibri" w:hAnsi="Calibri"/>
          <w:b w:val="false"/>
          <w:bCs w:val="false"/>
          <w:i w:val="false"/>
          <w:iCs w:val="false"/>
          <w:color w:val="1A1A1A"/>
          <w:sz w:val="20"/>
          <w:szCs w:val="20"/>
        </w:rPr>
        <w:t xml:space="preserve">Once you are in the pipeline, reliability and communication are what earn the referrals.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legal line — behavioral health is stricter (AKS and EKRA)</w:t>
            </w:r>
          </w:p>
          <w:p>
            <w:pPr>
              <w:spacing w:after="0" w:line="264"/>
            </w:pPr>
            <w:r>
              <w:rPr>
                <w:rFonts w:ascii="Calibri" w:cs="Calibri" w:eastAsia="Calibri" w:hAnsi="Calibri"/>
                <w:b w:val="false"/>
                <w:bCs w:val="false"/>
                <w:i w:val="false"/>
                <w:iCs w:val="false"/>
                <w:color w:val="1A1A1A"/>
                <w:sz w:val="19"/>
                <w:szCs w:val="19"/>
              </w:rPr>
              <w:t xml:space="preserve">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North Carolina law also prohibits paying for patient referrals — patient brokering and illegal remuneration for referrals are prosecuted, and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keepNext/>
        <w:spacing w:after="90" w:before="220"/>
      </w:pPr>
      <w:r>
        <w:rPr>
          <w:rFonts w:ascii="Calibri" w:cs="Calibri" w:eastAsia="Calibri" w:hAnsi="Calibri"/>
          <w:b/>
          <w:bCs/>
          <w:i w:val="false"/>
          <w:iCs w:val="false"/>
          <w:color w:val="1F3A5F"/>
          <w:sz w:val="26"/>
          <w:szCs w:val="26"/>
        </w:rPr>
        <w:t xml:space="preserve">Part 4 — What Each Source Actually Wants</w:t>
      </w:r>
    </w:p>
    <w:p>
      <w:pPr>
        <w:spacing w:after="110" w:before="0" w:line="268"/>
        <w:jc w:val="left"/>
      </w:pPr>
      <w:r>
        <w:rPr>
          <w:rFonts w:ascii="Calibri" w:cs="Calibri" w:eastAsia="Calibri" w:hAnsi="Calibri"/>
          <w:b w:val="false"/>
          <w:bCs w:val="false"/>
          <w:i w:val="false"/>
          <w:iCs w:val="false"/>
          <w:color w:val="1A1A1A"/>
          <w:sz w:val="20"/>
          <w:szCs w:val="20"/>
        </w:rPr>
        <w:t xml:space="preserve">You win referrals by solving the referrer's problem, not by talking about yourself. Each source is under a different pressure: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Tailored Plan care managers want in-network reliability. </w:t>
      </w:r>
      <w:r>
        <w:rPr>
          <w:rFonts w:ascii="Calibri" w:cs="Calibri" w:eastAsia="Calibri" w:hAnsi="Calibri"/>
          <w:b w:val="false"/>
          <w:bCs w:val="false"/>
          <w:i w:val="false"/>
          <w:iCs w:val="false"/>
          <w:color w:val="1A1A1A"/>
          <w:sz w:val="20"/>
          <w:szCs w:val="20"/>
        </w:rPr>
        <w:t xml:space="preserve">They must place members and state-funded recipients with contracted providers who accept referrals, keep them engaged, and report outcomes. They want a provider who answers, accepts, and communicates.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&amp; hospital discharge want fast acceptance and no bounce-back. </w:t>
      </w:r>
      <w:r>
        <w:rPr>
          <w:rFonts w:ascii="Calibri" w:cs="Calibri" w:eastAsia="Calibri" w:hAnsi="Calibri"/>
          <w:b w:val="false"/>
          <w:bCs w:val="false"/>
          <w:i w:val="false"/>
          <w:iCs w:val="false"/>
          <w:color w:val="1A1A1A"/>
          <w:sz w:val="20"/>
          <w:szCs w:val="20"/>
        </w:rPr>
        <w:t xml:space="preserve">They are under intense time and safety pressure to move someone to the next level of care. A provider who accepts quickly and prevents readmission is gold.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Detox &amp; withdrawal management want a warm handoff. </w:t>
      </w:r>
      <w:r>
        <w:rPr>
          <w:rFonts w:ascii="Calibri" w:cs="Calibri" w:eastAsia="Calibri" w:hAnsi="Calibri"/>
          <w:b w:val="false"/>
          <w:bCs w:val="false"/>
          <w:i w:val="false"/>
          <w:iCs w:val="false"/>
          <w:color w:val="1A1A1A"/>
          <w:sz w:val="20"/>
          <w:szCs w:val="20"/>
        </w:rPr>
        <w:t xml:space="preserve">They need the next level of care ready so the client does not fall through the gap after detox.</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probation want compliance and communication. </w:t>
      </w:r>
      <w:r>
        <w:rPr>
          <w:rFonts w:ascii="Calibri" w:cs="Calibri" w:eastAsia="Calibri" w:hAnsi="Calibri"/>
          <w:b w:val="false"/>
          <w:bCs w:val="false"/>
          <w:i w:val="false"/>
          <w:iCs w:val="false"/>
          <w:color w:val="1A1A1A"/>
          <w:sz w:val="20"/>
          <w:szCs w:val="20"/>
        </w:rPr>
        <w:t xml:space="preserve">They need reliable attendance and progress reporting and a provider who flags problems early.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Other providers &amp; families want trust. </w:t>
      </w:r>
      <w:r>
        <w:rPr>
          <w:rFonts w:ascii="Calibri" w:cs="Calibri" w:eastAsia="Calibri" w:hAnsi="Calibri"/>
          <w:b w:val="false"/>
          <w:bCs w:val="false"/>
          <w:i w:val="false"/>
          <w:iCs w:val="false"/>
          <w:color w:val="1A1A1A"/>
          <w:sz w:val="20"/>
          <w:szCs w:val="20"/>
        </w:rPr>
        <w:t xml:space="preserve">Competence, responsiveness, and the felt sense that the client will be safe and helped.</w:t>
      </w:r>
    </w:p>
    <w:p>
      <w:pPr>
        <w:spacing w:after="110" w:before="0" w:line="268"/>
        <w:jc w:val="left"/>
      </w:pPr>
      <w:r>
        <w:rPr>
          <w:rFonts w:ascii="Calibri" w:cs="Calibri" w:eastAsia="Calibri" w:hAnsi="Calibri"/>
          <w:b w:val="false"/>
          <w:bCs w:val="false"/>
          <w:i w:val="false"/>
          <w:iCs w:val="false"/>
          <w:color w:val="1A1A1A"/>
          <w:sz w:val="20"/>
          <w:szCs w:val="20"/>
        </w:rPr>
        <w:t xml:space="preserve">Understand the pressure each source is under and speak to it directly. A crisis clinician who needs a bed tonight does not want a sales pitch — they want to know you will accept the referral and keep the person safe.</w:t>
      </w:r>
    </w:p>
    <w:p>
      <w:pPr>
        <w:spacing w:after="110" w:before="0" w:line="268"/>
        <w:jc w:val="left"/>
      </w:pPr>
      <w:r>
        <w:rPr>
          <w:rFonts w:ascii="Calibri" w:cs="Calibri" w:eastAsia="Calibri" w:hAnsi="Calibri"/>
          <w:b w:val="false"/>
          <w:bCs w:val="false"/>
          <w:i w:val="false"/>
          <w:iCs w:val="false"/>
          <w:color w:val="1A1A1A"/>
          <w:sz w:val="20"/>
          <w:szCs w:val="20"/>
        </w:rPr>
        <w:t xml:space="preserve">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keepNext/>
        <w:spacing w:after="90" w:before="220"/>
      </w:pPr>
      <w:r>
        <w:rPr>
          <w:rFonts w:ascii="Calibri" w:cs="Calibri" w:eastAsia="Calibri" w:hAnsi="Calibri"/>
          <w:b/>
          <w:bCs/>
          <w:i w:val="false"/>
          <w:iCs w:val="false"/>
          <w:color w:val="1F3A5F"/>
          <w:sz w:val="26"/>
          <w:szCs w:val="26"/>
        </w:rPr>
        <w:t xml:space="preserve">Part 5 — How to Approach Them</w:t>
      </w:r>
    </w:p>
    <w:p>
      <w:pPr>
        <w:spacing w:after="110" w:before="0" w:line="268"/>
        <w:jc w:val="left"/>
      </w:pPr>
      <w:r>
        <w:rPr>
          <w:rFonts w:ascii="Calibri" w:cs="Calibri" w:eastAsia="Calibri" w:hAnsi="Calibri"/>
          <w:b w:val="false"/>
          <w:bCs w:val="false"/>
          <w:i w:val="false"/>
          <w:iCs w:val="false"/>
          <w:color w:val="1A1A1A"/>
          <w:sz w:val="20"/>
          <w:szCs w:val="20"/>
        </w:rPr>
        <w:t xml:space="preserve">Approach referral sources the way you would want to be approached: professionally, briefly, and with something useful. Start with the sources that matter most — your LME/MCO Tailored Plan, and the crisis and hospital teams near you — and work outward.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Do your homework: know your LME/MCO Tailored Plan, and the hospitals, crisis centers, detox programs, and courts that serve your area.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Lead with who you serve well, your endorsements, your availability, and how fast you accept a referral — not a sales pitch.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Make it effortless: a clear one-page leave-behind, your intake contact, your current openings, and your response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Be a resource, not a solicitor: share useful information and be genuinely helpful even when there is no immediate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Follow up consistently and respect their time — professionals refer to providers who are easy to work with.</w:t>
      </w:r>
    </w:p>
    <w:p>
      <w:pPr>
        <w:keepNext/>
        <w:spacing w:after="90" w:before="220"/>
      </w:pPr>
      <w:r>
        <w:rPr>
          <w:rFonts w:ascii="Calibri" w:cs="Calibri" w:eastAsia="Calibri" w:hAnsi="Calibri"/>
          <w:b/>
          <w:bCs/>
          <w:i w:val="false"/>
          <w:iCs w:val="false"/>
          <w:color w:val="1F3A5F"/>
          <w:sz w:val="26"/>
          <w:szCs w:val="26"/>
        </w:rPr>
        <w:t xml:space="preserve">Part 6 — What to Say: Scripts &amp; Messages</w:t>
      </w:r>
    </w:p>
    <w:p>
      <w:pPr>
        <w:keepNext/>
        <w:spacing w:after="60" w:before="140"/>
      </w:pPr>
      <w:r>
        <w:rPr>
          <w:rFonts w:ascii="Calibri" w:cs="Calibri" w:eastAsia="Calibri" w:hAnsi="Calibri"/>
          <w:b/>
          <w:bCs/>
          <w:i w:val="false"/>
          <w:iCs w:val="false"/>
          <w:color w:val="3E5871"/>
          <w:sz w:val="21"/>
          <w:szCs w:val="21"/>
        </w:rPr>
        <w:t xml:space="preserve">Your 20-second introduction</w:t>
      </w:r>
    </w:p>
    <w:p>
      <w:pPr>
        <w:spacing w:after="110" w:before="0" w:line="268"/>
        <w:jc w:val="left"/>
      </w:pPr>
      <w:r>
        <w:rPr>
          <w:rFonts w:ascii="Calibri" w:cs="Calibri" w:eastAsia="Calibri" w:hAnsi="Calibri"/>
          <w:b w:val="false"/>
          <w:bCs w:val="false"/>
          <w:i w:val="false"/>
          <w:iCs w:val="false"/>
          <w:color w:val="1A1A1A"/>
          <w:sz w:val="20"/>
          <w:szCs w:val="20"/>
        </w:rPr>
        <w:t xml:space="preserve">“Hi, I'm [name] with [entity name], a DHSR-licensed substance use disorder provider in [area]. We provide [outpatient / SAIOP / SACOT / opioid treatment / residential] services for adults with substance use and co-occurring needs, we're in-network with [LME/MCO Tailored Plan], and we currently have openings. I'd love to be a resource when you have a client who needs [level of care]. What's the best way to reach you when you have a referral?”</w:t>
      </w:r>
    </w:p>
    <w:p>
      <w:pPr>
        <w:keepNext/>
        <w:spacing w:after="60" w:before="140"/>
      </w:pPr>
      <w:r>
        <w:rPr>
          <w:rFonts w:ascii="Calibri" w:cs="Calibri" w:eastAsia="Calibri" w:hAnsi="Calibri"/>
          <w:b/>
          <w:bCs/>
          <w:i w:val="false"/>
          <w:iCs w:val="false"/>
          <w:color w:val="3E5871"/>
          <w:sz w:val="21"/>
          <w:szCs w:val="21"/>
        </w:rPr>
        <w:t xml:space="preserve">Your one-page leave-behind</w:t>
      </w:r>
    </w:p>
    <w:p>
      <w:pPr>
        <w:spacing w:after="110" w:before="0" w:line="268"/>
        <w:jc w:val="left"/>
      </w:pPr>
      <w:r>
        <w:rPr>
          <w:rFonts w:ascii="Calibri" w:cs="Calibri" w:eastAsia="Calibri" w:hAnsi="Calibri"/>
          <w:b w:val="false"/>
          <w:bCs w:val="false"/>
          <w:i w:val="false"/>
          <w:iCs w:val="false"/>
          <w:color w:val="1A1A1A"/>
          <w:sz w:val="20"/>
          <w:szCs w:val="20"/>
        </w:rPr>
        <w:t xml:space="preserve">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(LME/MCO Tailored Plan, NC Medicaid, commercial); your current availability; your intake contact and how fast you respond to a referral; and one line on what makes you reliable. Keep it factual and free of any claim you cannot back up.</w:t>
      </w:r>
    </w:p>
    <w:p>
      <w:pPr>
        <w:keepNext/>
        <w:spacing w:after="60" w:before="140"/>
      </w:pPr>
      <w:r>
        <w:rPr>
          <w:rFonts w:ascii="Calibri" w:cs="Calibri" w:eastAsia="Calibri" w:hAnsi="Calibri"/>
          <w:b/>
          <w:bCs/>
          <w:i w:val="false"/>
          <w:iCs w:val="false"/>
          <w:color w:val="3E5871"/>
          <w:sz w:val="21"/>
          <w:szCs w:val="21"/>
        </w:rPr>
        <w:t xml:space="preserve">A short introduction email you can adapt</w:t>
      </w:r>
    </w:p>
    <w:p>
      <w:pPr>
        <w:spacing w:after="110" w:before="0" w:line="268"/>
        <w:jc w:val="left"/>
      </w:pPr>
      <w:r>
        <w:rPr>
          <w:rFonts w:ascii="Calibri" w:cs="Calibri" w:eastAsia="Calibri" w:hAnsi="Calibri"/>
          <w:b w:val="false"/>
          <w:bCs w:val="false"/>
          <w:i w:val="false"/>
          <w:iCs w:val="false"/>
          <w:color w:val="1A1A1A"/>
          <w:sz w:val="20"/>
          <w:szCs w:val="20"/>
        </w:rPr>
        <w:t xml:space="preserve">“Hello [name], I'm [name] with [entity name], a DHSR-licensed substance use disorder provider in [area], in-network with [LME/MCO Tailored Plan] and enrolled with NC Medicaid.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keepNext/>
        <w:spacing w:after="90" w:before="220"/>
      </w:pPr>
      <w:r>
        <w:rPr>
          <w:rFonts w:ascii="Calibri" w:cs="Calibri" w:eastAsia="Calibri" w:hAnsi="Calibri"/>
          <w:b/>
          <w:bCs/>
          <w:i w:val="false"/>
          <w:iCs w:val="false"/>
          <w:color w:val="1F3A5F"/>
          <w:sz w:val="26"/>
          <w:szCs w:val="26"/>
        </w:rPr>
        <w:t xml:space="preserve">Part 7 — Becoming a Preferred Provider</w:t>
      </w:r>
    </w:p>
    <w:p>
      <w:pPr>
        <w:spacing w:after="110" w:before="0" w:line="268"/>
        <w:jc w:val="left"/>
      </w:pPr>
      <w:r>
        <w:rPr>
          <w:rFonts w:ascii="Calibri" w:cs="Calibri" w:eastAsia="Calibri" w:hAnsi="Calibri"/>
          <w:b w:val="false"/>
          <w:bCs w:val="false"/>
          <w:i w:val="false"/>
          <w:iCs w:val="false"/>
          <w:color w:val="1A1A1A"/>
          <w:sz w:val="20"/>
          <w:szCs w:val="20"/>
        </w:rPr>
        <w:t xml:space="preserve">Getting one referral is a start; becoming the provider a coordinator thinks of first is the goal. You earn that by making every referral easy and every professional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Accept referrals promptly and give a clear yes or no fast — speed is the single biggest driver of the next referral in behavioral health.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Give proactive updates on engagement and progress (within the bounds of 42 CFR Part 2 and HIPAA consent), and flag any problem early.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Prevent bounce-backs: a client who is safely engaged and does not return to crisis makes the referrer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Report outcomes and, for justice referrals, compliance — reliably and on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Say thank you appropriately and refer back when you can — the best relationships are two-way.</w:t>
      </w:r>
    </w:p>
    <w:p>
      <w:pPr>
        <w:spacing w:after="110" w:before="0" w:line="268"/>
        <w:jc w:val="left"/>
      </w:pPr>
      <w:r>
        <w:rPr>
          <w:rFonts w:ascii="Calibri" w:cs="Calibri" w:eastAsia="Calibri" w:hAnsi="Calibri"/>
          <w:b w:val="false"/>
          <w:bCs w:val="false"/>
          <w:i w:val="false"/>
          <w:iCs w:val="false"/>
          <w:color w:val="1A1A1A"/>
          <w:sz w:val="20"/>
          <w:szCs w:val="20"/>
        </w:rPr>
        <w:t xml:space="preserve">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A note on consent: 42 CFR Part 2 and HIPAA</w:t>
            </w:r>
          </w:p>
          <w:p>
            <w:pPr>
              <w:spacing w:after="0" w:line="264"/>
            </w:pPr>
            <w:r>
              <w:rPr>
                <w:rFonts w:ascii="Calibri" w:cs="Calibri" w:eastAsia="Calibri" w:hAnsi="Calibri"/>
                <w:b w:val="false"/>
                <w:bCs w:val="false"/>
                <w:i w:val="false"/>
                <w:iCs w:val="false"/>
                <w:color w:val="1A1A1A"/>
                <w:sz w:val="19"/>
                <w:szCs w:val="19"/>
              </w:rPr>
              <w:t xml:space="preserve">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keepNext/>
        <w:spacing w:after="90" w:before="220"/>
      </w:pPr>
      <w:r>
        <w:rPr>
          <w:rFonts w:ascii="Calibri" w:cs="Calibri" w:eastAsia="Calibri" w:hAnsi="Calibri"/>
          <w:b/>
          <w:bCs/>
          <w:i w:val="false"/>
          <w:iCs w:val="false"/>
          <w:color w:val="1F3A5F"/>
          <w:sz w:val="26"/>
          <w:szCs w:val="26"/>
        </w:rPr>
        <w:t xml:space="preserve">Part 8 — Get Found: Your Online Presence &amp; the Directories</w:t>
      </w:r>
    </w:p>
    <w:p>
      <w:pPr>
        <w:spacing w:after="110" w:before="0" w:line="268"/>
        <w:jc w:val="left"/>
      </w:pPr>
      <w:r>
        <w:rPr>
          <w:rFonts w:ascii="Calibri" w:cs="Calibri" w:eastAsia="Calibri" w:hAnsi="Calibri"/>
          <w:b w:val="false"/>
          <w:bCs w:val="false"/>
          <w:i w:val="false"/>
          <w:iCs w:val="false"/>
          <w:color w:val="1A1A1A"/>
          <w:sz w:val="20"/>
          <w:szCs w:val="20"/>
        </w:rPr>
        <w:t xml:space="preserve">When a coordinator, clinician, or family searches for a provider, you want to be found and to look credible.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the payer directories. </w:t>
      </w:r>
      <w:r>
        <w:rPr>
          <w:rFonts w:ascii="Calibri" w:cs="Calibri" w:eastAsia="Calibri" w:hAnsi="Calibri"/>
          <w:b w:val="false"/>
          <w:bCs w:val="false"/>
          <w:i w:val="false"/>
          <w:iCs w:val="false"/>
          <w:color w:val="1A1A1A"/>
          <w:sz w:val="20"/>
          <w:szCs w:val="20"/>
        </w:rPr>
        <w:t xml:space="preserve">Make sure your listing in the Tailored Plan provider directories is accurate and shows your services, openings, and intake contact.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any bed-availability / referral platform. </w:t>
      </w:r>
      <w:r>
        <w:rPr>
          <w:rFonts w:ascii="Calibri" w:cs="Calibri" w:eastAsia="Calibri" w:hAnsi="Calibri"/>
          <w:b w:val="false"/>
          <w:bCs w:val="false"/>
          <w:i w:val="false"/>
          <w:iCs w:val="false"/>
          <w:color w:val="1A1A1A"/>
          <w:sz w:val="20"/>
          <w:szCs w:val="20"/>
        </w:rPr>
        <w:t xml:space="preserve">If the crisis and hospital systems in your area use a referral or bed-tracking platform, keep your availability current in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Claim your Google Business Profile. </w:t>
      </w:r>
      <w:r>
        <w:rPr>
          <w:rFonts w:ascii="Calibri" w:cs="Calibri" w:eastAsia="Calibri" w:hAnsi="Calibri"/>
          <w:b w:val="false"/>
          <w:bCs w:val="false"/>
          <w:i w:val="false"/>
          <w:iCs w:val="false"/>
          <w:color w:val="1A1A1A"/>
          <w:sz w:val="20"/>
          <w:szCs w:val="20"/>
        </w:rPr>
        <w:t xml:space="preserve">Accurate name, location, phone, and hours so you appear in local searches.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Keep a simple, professional website. </w:t>
      </w:r>
      <w:r>
        <w:rPr>
          <w:rFonts w:ascii="Calibri" w:cs="Calibri" w:eastAsia="Calibri" w:hAnsi="Calibri"/>
          <w:b w:val="false"/>
          <w:bCs w:val="false"/>
          <w:i w:val="false"/>
          <w:iCs w:val="false"/>
          <w:color w:val="1A1A1A"/>
          <w:sz w:val="20"/>
          <w:szCs w:val="20"/>
        </w:rPr>
        <w:t xml:space="preserve">Clear on who you serve, your levels of care, your networks, and how to make a referral — a coordinator should find your intake contact in seconds.</w:t>
      </w:r>
    </w:p>
    <w:p>
      <w:pPr>
        <w:keepNext/>
        <w:spacing w:after="90" w:before="220"/>
      </w:pPr>
      <w:r>
        <w:rPr>
          <w:rFonts w:ascii="Calibri" w:cs="Calibri" w:eastAsia="Calibri" w:hAnsi="Calibri"/>
          <w:b/>
          <w:bCs/>
          <w:i w:val="false"/>
          <w:iCs w:val="false"/>
          <w:color w:val="1F3A5F"/>
          <w:sz w:val="26"/>
          <w:szCs w:val="26"/>
        </w:rPr>
        <w:t xml:space="preserve">Part 9 — The Referral System: Your Weekly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Referrals come from consistency, not bursts. Build a simple weekly rhythm and keep it: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Each week, make a set number of outreach touches — a new crisis, hospital, detox, or court contact, and a check-in with an existing one.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Respond to every referral inquiry the same day, whether or not you have an opening.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Update your current availability with your LME/MCO Tailored Plan and referral platforms.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Send one proactive update to a referring coordinator about a shared client (with proper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Log every outreach and every referral so nothing falls through the cracks (Part Three).</w:t>
      </w:r>
    </w:p>
    <w:p>
      <w:pPr>
        <w:spacing w:after="110" w:before="0" w:line="268"/>
        <w:jc w:val="left"/>
      </w:pPr>
      <w:r>
        <w:rPr>
          <w:rFonts w:ascii="Calibri" w:cs="Calibri" w:eastAsia="Calibri" w:hAnsi="Calibri"/>
          <w:b w:val="false"/>
          <w:bCs w:val="false"/>
          <w:i w:val="false"/>
          <w:iCs w:val="false"/>
          <w:color w:val="1A1A1A"/>
          <w:sz w:val="20"/>
          <w:szCs w:val="20"/>
        </w:rPr>
        <w:t xml:space="preserve">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keepNext/>
        <w:spacing w:after="90" w:before="220"/>
      </w:pPr>
      <w:r>
        <w:rPr>
          <w:rFonts w:ascii="Calibri" w:cs="Calibri" w:eastAsia="Calibri" w:hAnsi="Calibri"/>
          <w:b/>
          <w:bCs/>
          <w:i w:val="false"/>
          <w:iCs w:val="false"/>
          <w:color w:val="1F3A5F"/>
          <w:sz w:val="26"/>
          <w:szCs w:val="26"/>
        </w:rPr>
        <w:t xml:space="preserve">Part 10 — Measure What Works and Grow</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referrals actually come from so you invest in the sources that produce them:</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For every admission, record the referral source — which Tailored Plan, hospital, crisis center, detox, or court.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Watch which sources refer repeatedly and which never convert, and shift your time toward what works.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your response time to referrals — speed is one of the biggest drivers of the next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engagement and no-show rates by source, and review quarterly to set outreach priorities.</w:t>
      </w:r>
    </w:p>
    <w:p>
      <w:pPr>
        <w:spacing w:after="110" w:before="0" w:line="268"/>
        <w:jc w:val="left"/>
      </w:pPr>
      <w:r>
        <w:rPr>
          <w:rFonts w:ascii="Calibri" w:cs="Calibri" w:eastAsia="Calibri" w:hAnsi="Calibri"/>
          <w:b w:val="false"/>
          <w:bCs w:val="false"/>
          <w:i w:val="false"/>
          <w:iCs w:val="false"/>
          <w:color w:val="1A1A1A"/>
          <w:sz w:val="20"/>
          <w:szCs w:val="20"/>
        </w:rPr>
        <w:t xml:space="preserve">Honest tracking will surprise you. Most providers discover that a small number of sources produce the large majority of their admissions — often one Tailored Plan,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keepNext/>
        <w:spacing w:after="90" w:before="220"/>
      </w:pPr>
      <w:r>
        <w:rPr>
          <w:rFonts w:ascii="Calibri" w:cs="Calibri" w:eastAsia="Calibri" w:hAnsi="Calibri"/>
          <w:b/>
          <w:bCs/>
          <w:i w:val="false"/>
          <w:iCs w:val="false"/>
          <w:color w:val="1F3A5F"/>
          <w:sz w:val="26"/>
          <w:szCs w:val="26"/>
        </w:rPr>
        <w:t xml:space="preserve">Part 11 — Common Mistakes (and the Legal Line)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Waiting for clients to come to you. </w:t>
      </w:r>
      <w:r>
        <w:rPr>
          <w:rFonts w:ascii="Calibri" w:cs="Calibri" w:eastAsia="Calibri" w:hAnsi="Calibri"/>
          <w:b w:val="false"/>
          <w:bCs w:val="false"/>
          <w:i w:val="false"/>
          <w:iCs w:val="false"/>
          <w:color w:val="1A1A1A"/>
          <w:sz w:val="20"/>
          <w:szCs w:val="20"/>
        </w:rPr>
        <w:t xml:space="preserve">A license does not fill a caseload; relationships with the Tailored Plan, crisis, hospital, detox, and court systems do.</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Being slow or hard to reach. </w:t>
      </w:r>
      <w:r>
        <w:rPr>
          <w:rFonts w:ascii="Calibri" w:cs="Calibri" w:eastAsia="Calibri" w:hAnsi="Calibri"/>
          <w:b w:val="false"/>
          <w:bCs w:val="false"/>
          <w:i w:val="false"/>
          <w:iCs w:val="false"/>
          <w:color w:val="1A1A1A"/>
          <w:sz w:val="20"/>
          <w:szCs w:val="20"/>
        </w:rPr>
        <w:t xml:space="preserve">A slow or unclear response to a referral sends the next one elsewhere — speed is everything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Going quiet after intake. </w:t>
      </w:r>
      <w:r>
        <w:rPr>
          <w:rFonts w:ascii="Calibri" w:cs="Calibri" w:eastAsia="Calibri" w:hAnsi="Calibri"/>
          <w:b w:val="false"/>
          <w:bCs w:val="false"/>
          <w:i w:val="false"/>
          <w:iCs w:val="false"/>
          <w:color w:val="1A1A1A"/>
          <w:sz w:val="20"/>
          <w:szCs w:val="20"/>
        </w:rPr>
        <w:t xml:space="preserve">No updates is how you lose a referrer; proactive, consent-based communication is how you keep one.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Over-promising on who you can serve. </w:t>
      </w:r>
      <w:r>
        <w:rPr>
          <w:rFonts w:ascii="Calibri" w:cs="Calibri" w:eastAsia="Calibri" w:hAnsi="Calibri"/>
          <w:b w:val="false"/>
          <w:bCs w:val="false"/>
          <w:i w:val="false"/>
          <w:iCs w:val="false"/>
          <w:color w:val="1A1A1A"/>
          <w:sz w:val="20"/>
          <w:szCs w:val="20"/>
        </w:rPr>
        <w:t xml:space="preserve">Accepting a client you cannot safely serve damages the trust you depend on — be honest about fit.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Paying for referrals or accepting patient brokering. </w:t>
      </w:r>
      <w:r>
        <w:rPr>
          <w:rFonts w:ascii="Calibri" w:cs="Calibri" w:eastAsia="Calibri" w:hAnsi="Calibri"/>
          <w:b w:val="false"/>
          <w:bCs w:val="false"/>
          <w:i w:val="false"/>
          <w:iCs w:val="false"/>
          <w:color w:val="1A1A1A"/>
          <w:sz w:val="20"/>
          <w:szCs w:val="20"/>
        </w:rPr>
        <w:t xml:space="preserve">Never pay or accept anything of value for a referral — the Anti-Kickback Statute and EKRA apply, EKRA even for private-pay clients. Earn referrals; never buy them.</w:t>
      </w:r>
    </w:p>
    <w:p>
      <w:r>
        <w:br w:type="page"/>
      </w:r>
    </w:p>
    <w:p>
      <w:pPr>
        <w:keepNext/>
        <w:spacing w:after="90" w:before="220"/>
      </w:pPr>
      <w:r>
        <w:rPr>
          <w:rFonts w:ascii="Calibri" w:cs="Calibri" w:eastAsia="Calibri" w:hAnsi="Calibri"/>
          <w:b/>
          <w:bCs/>
          <w:i w:val="false"/>
          <w:iCs w:val="false"/>
          <w:color w:val="1F3A5F"/>
          <w:sz w:val="26"/>
          <w:szCs w:val="26"/>
        </w:rPr>
        <w:t xml:space="preserve">Part 12 — The Referral Lifecycle &amp; the Warm Handoff</w:t>
      </w:r>
    </w:p>
    <w:p>
      <w:pPr>
        <w:spacing w:after="110" w:before="0" w:line="268"/>
        <w:jc w:val="left"/>
      </w:pPr>
      <w:r>
        <w:rPr>
          <w:rFonts w:ascii="Calibri" w:cs="Calibri" w:eastAsia="Calibri" w:hAnsi="Calibri"/>
          <w:b w:val="false"/>
          <w:bCs w:val="false"/>
          <w:i w:val="false"/>
          <w:iCs w:val="false"/>
          <w:color w:val="1A1A1A"/>
          <w:sz w:val="20"/>
          <w:szCs w:val="20"/>
        </w:rPr>
        <w:t xml:space="preserve">A referral is not a single event; it is a lifecycle, and you can lose a client at every stage. Understanding the stages — and where they break down — is what turns an occasional referral into a dependable stream.</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Inquiry. </w:t>
      </w:r>
      <w:r>
        <w:rPr>
          <w:rFonts w:ascii="Calibri" w:cs="Calibri" w:eastAsia="Calibri" w:hAnsi="Calibri"/>
          <w:b w:val="false"/>
          <w:bCs w:val="false"/>
          <w:i w:val="false"/>
          <w:iCs w:val="false"/>
          <w:color w:val="1A1A1A"/>
          <w:sz w:val="20"/>
          <w:szCs w:val="20"/>
        </w:rPr>
        <w:t xml:space="preserve">A referrer calls, emails, or sends a client. The clock starts now. The single biggest predictor of whether a referral converts is how fast you respond — practitioners who reach a referred person within 24 to 48 hours complete far more referrals than those who wait.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Screening &amp; eligibility. </w:t>
      </w:r>
      <w:r>
        <w:rPr>
          <w:rFonts w:ascii="Calibri" w:cs="Calibri" w:eastAsia="Calibri" w:hAnsi="Calibri"/>
          <w:b w:val="false"/>
          <w:bCs w:val="false"/>
          <w:i w:val="false"/>
          <w:iCs w:val="false"/>
          <w:color w:val="1A1A1A"/>
          <w:sz w:val="20"/>
          <w:szCs w:val="20"/>
        </w:rPr>
        <w:t xml:space="preserve">You quickly determine fit — level of care, payer, clinical appropriateness — and give the referrer a clear yes, no, or 'here is who I'd send them to instead.' A fast, honest answer is a gift, even when it is a no.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Admission / first appointment. </w:t>
      </w:r>
      <w:r>
        <w:rPr>
          <w:rFonts w:ascii="Calibri" w:cs="Calibri" w:eastAsia="Calibri" w:hAnsi="Calibri"/>
          <w:b w:val="false"/>
          <w:bCs w:val="false"/>
          <w:i w:val="false"/>
          <w:iCs w:val="false"/>
          <w:color w:val="1A1A1A"/>
          <w:sz w:val="20"/>
          <w:szCs w:val="20"/>
        </w:rPr>
        <w:t xml:space="preserve">You make the first step easy: a single intake contact, minimal friction, and a quick first appointment or bed offer.</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Engagement. </w:t>
      </w:r>
      <w:r>
        <w:rPr>
          <w:rFonts w:ascii="Calibri" w:cs="Calibri" w:eastAsia="Calibri" w:hAnsi="Calibri"/>
          <w:b w:val="false"/>
          <w:bCs w:val="false"/>
          <w:i w:val="false"/>
          <w:iCs w:val="false"/>
          <w:color w:val="1A1A1A"/>
          <w:sz w:val="20"/>
          <w:szCs w:val="20"/>
        </w:rPr>
        <w:t xml:space="preserve">The client actually starts and stays. Referrers watch whether the people they send you disappear or get better.</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 warm handoff at transition. </w:t>
      </w:r>
      <w:r>
        <w:rPr>
          <w:rFonts w:ascii="Calibri" w:cs="Calibri" w:eastAsia="Calibri" w:hAnsi="Calibri"/>
          <w:b w:val="false"/>
          <w:bCs w:val="false"/>
          <w:i w:val="false"/>
          <w:iCs w:val="false"/>
          <w:color w:val="1A1A1A"/>
          <w:sz w:val="20"/>
          <w:szCs w:val="20"/>
        </w:rPr>
        <w:t xml:space="preserve">When a client moves between levels of care — detox to residential, residential to outpatient, crisis to community — you connect them directly to the next provider rather than handing them a phone number.</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The feedback loop. </w:t>
      </w:r>
      <w:r>
        <w:rPr>
          <w:rFonts w:ascii="Calibri" w:cs="Calibri" w:eastAsia="Calibri" w:hAnsi="Calibri"/>
          <w:b w:val="false"/>
          <w:bCs w:val="false"/>
          <w:i w:val="false"/>
          <w:iCs w:val="false"/>
          <w:color w:val="1A1A1A"/>
          <w:sz w:val="20"/>
          <w:szCs w:val="20"/>
        </w:rPr>
        <w:t xml:space="preserve">You close the loop with the original referrer (with proper consent) so they know the client is safe and progressing. This is what earns the next referral.</w:t>
      </w:r>
    </w:p>
    <w:p>
      <w:pPr>
        <w:keepNext/>
        <w:spacing w:after="60" w:before="140"/>
      </w:pPr>
      <w:r>
        <w:rPr>
          <w:rFonts w:ascii="Calibri" w:cs="Calibri" w:eastAsia="Calibri" w:hAnsi="Calibri"/>
          <w:b/>
          <w:bCs/>
          <w:i w:val="false"/>
          <w:iCs w:val="false"/>
          <w:color w:val="3E5871"/>
          <w:sz w:val="21"/>
          <w:szCs w:val="21"/>
        </w:rPr>
        <w:t xml:space="preserve">The warm handoff: the highest-value habit you can build</w:t>
      </w:r>
    </w:p>
    <w:p>
      <w:pPr>
        <w:spacing w:after="110" w:before="0" w:line="268"/>
        <w:jc w:val="left"/>
      </w:pPr>
      <w:r>
        <w:rPr>
          <w:rFonts w:ascii="Calibri" w:cs="Calibri" w:eastAsia="Calibri" w:hAnsi="Calibri"/>
          <w:b w:val="false"/>
          <w:bCs w:val="false"/>
          <w:i w:val="false"/>
          <w:iCs w:val="false"/>
          <w:color w:val="1A1A1A"/>
          <w:sz w:val="20"/>
          <w:szCs w:val="20"/>
        </w:rPr>
        <w:t xml:space="preserve">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Make the warm handoff your standard</w:t>
            </w:r>
          </w:p>
          <w:p>
            <w:pPr>
              <w:spacing w:after="0" w:line="264"/>
            </w:pPr>
            <w:r>
              <w:rPr>
                <w:rFonts w:ascii="Calibri" w:cs="Calibri" w:eastAsia="Calibri" w:hAnsi="Calibri"/>
                <w:b w:val="false"/>
                <w:bCs w:val="false"/>
                <w:i w:val="false"/>
                <w:iCs w:val="false"/>
                <w:color w:val="1A1A1A"/>
                <w:sz w:val="19"/>
                <w:szCs w:val="19"/>
              </w:rPr>
              <w:t xml:space="preserve">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keepNext/>
        <w:spacing w:after="90" w:before="220"/>
      </w:pPr>
      <w:r>
        <w:rPr>
          <w:rFonts w:ascii="Calibri" w:cs="Calibri" w:eastAsia="Calibri" w:hAnsi="Calibri"/>
          <w:b/>
          <w:bCs/>
          <w:i w:val="false"/>
          <w:iCs w:val="false"/>
          <w:color w:val="1F3A5F"/>
          <w:sz w:val="26"/>
          <w:szCs w:val="26"/>
        </w:rPr>
        <w:t xml:space="preserve">Part 13 — Running a Great First Meeting With a Referral Source</w:t>
      </w:r>
    </w:p>
    <w:p>
      <w:pPr>
        <w:spacing w:after="110" w:before="0" w:line="268"/>
        <w:jc w:val="left"/>
      </w:pPr>
      <w:r>
        <w:rPr>
          <w:rFonts w:ascii="Calibri" w:cs="Calibri" w:eastAsia="Calibri" w:hAnsi="Calibri"/>
          <w:b w:val="false"/>
          <w:bCs w:val="false"/>
          <w:i w:val="false"/>
          <w:iCs w:val="false"/>
          <w:color w:val="1A1A1A"/>
          <w:sz w:val="20"/>
          <w:szCs w:val="20"/>
        </w:rPr>
        <w:t xml:space="preserve">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Prepare. </w:t>
      </w:r>
      <w:r>
        <w:rPr>
          <w:rFonts w:ascii="Calibri" w:cs="Calibri" w:eastAsia="Calibri" w:hAnsi="Calibri"/>
          <w:b w:val="false"/>
          <w:bCs w:val="false"/>
          <w:i w:val="false"/>
          <w:iCs w:val="false"/>
          <w:color w:val="1A1A1A"/>
          <w:sz w:val="20"/>
          <w:szCs w:val="20"/>
        </w:rPr>
        <w:t xml:space="preserve">Learn what that source does, who they serve, and the pressure they are under before you walk in. Bring your one-page capabilities summary and your current openings.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Lead with their problem, not your brochure. </w:t>
      </w:r>
      <w:r>
        <w:rPr>
          <w:rFonts w:ascii="Calibri" w:cs="Calibri" w:eastAsia="Calibri" w:hAnsi="Calibri"/>
          <w:b w:val="false"/>
          <w:bCs w:val="false"/>
          <w:i w:val="false"/>
          <w:iCs w:val="false"/>
          <w:color w:val="1A1A1A"/>
          <w:sz w:val="20"/>
          <w:szCs w:val="20"/>
        </w:rPr>
        <w:t xml:space="preserve">Open with a question: 'What kind of client is hardest for you to place right now?' Then show how you solve exactly that.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specific and honest about fit. </w:t>
      </w:r>
      <w:r>
        <w:rPr>
          <w:rFonts w:ascii="Calibri" w:cs="Calibri" w:eastAsia="Calibri" w:hAnsi="Calibri"/>
          <w:b w:val="false"/>
          <w:bCs w:val="false"/>
          <w:i w:val="false"/>
          <w:iCs w:val="false"/>
          <w:color w:val="1A1A1A"/>
          <w:sz w:val="20"/>
          <w:szCs w:val="20"/>
        </w:rPr>
        <w:t xml:space="preserve">Say clearly who you serve well and who you are not right for. Referrers trust the provider who declines a poor fit far more than the one who says yes to everything.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Make the next step effortless. </w:t>
      </w:r>
      <w:r>
        <w:rPr>
          <w:rFonts w:ascii="Calibri" w:cs="Calibri" w:eastAsia="Calibri" w:hAnsi="Calibri"/>
          <w:b w:val="false"/>
          <w:bCs w:val="false"/>
          <w:i w:val="false"/>
          <w:iCs w:val="false"/>
          <w:color w:val="1A1A1A"/>
          <w:sz w:val="20"/>
          <w:szCs w:val="20"/>
        </w:rPr>
        <w:t xml:space="preserve">Leave them with one intake phone number, one email, your response-time promise, and your name. Ask exactly how they prefer to send a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Follow up within 48 hours. </w:t>
      </w:r>
      <w:r>
        <w:rPr>
          <w:rFonts w:ascii="Calibri" w:cs="Calibri" w:eastAsia="Calibri" w:hAnsi="Calibri"/>
          <w:b w:val="false"/>
          <w:bCs w:val="false"/>
          <w:i w:val="false"/>
          <w:iCs w:val="false"/>
          <w:color w:val="1A1A1A"/>
          <w:sz w:val="20"/>
          <w:szCs w:val="20"/>
        </w:rPr>
        <w:t xml:space="preserve">A short thank-you note that restates your intake contact and openings turns a pleasant meeting into a working relationship.</w:t>
      </w:r>
    </w:p>
    <w:p>
      <w:pPr>
        <w:keepNext/>
        <w:spacing w:after="90" w:before="220"/>
      </w:pPr>
      <w:r>
        <w:rPr>
          <w:rFonts w:ascii="Calibri" w:cs="Calibri" w:eastAsia="Calibri" w:hAnsi="Calibri"/>
          <w:b/>
          <w:bCs/>
          <w:i w:val="false"/>
          <w:iCs w:val="false"/>
          <w:color w:val="1F3A5F"/>
          <w:sz w:val="26"/>
          <w:szCs w:val="26"/>
        </w:rPr>
        <w:t xml:space="preserve">Part 14 — Formal Relationships Without Paying for Referrals</w:t>
      </w:r>
    </w:p>
    <w:p>
      <w:pPr>
        <w:spacing w:after="110" w:before="0" w:line="268"/>
        <w:jc w:val="left"/>
      </w:pPr>
      <w:r>
        <w:rPr>
          <w:rFonts w:ascii="Calibri" w:cs="Calibri" w:eastAsia="Calibri" w:hAnsi="Calibri"/>
          <w:b w:val="false"/>
          <w:bCs w:val="false"/>
          <w:i w:val="false"/>
          <w:iCs w:val="false"/>
          <w:color w:val="1A1A1A"/>
          <w:sz w:val="20"/>
          <w:szCs w:val="20"/>
        </w:rPr>
        <w:t xml:space="preserve">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keepNext/>
        <w:spacing w:after="60" w:before="140"/>
      </w:pPr>
      <w:r>
        <w:rPr>
          <w:rFonts w:ascii="Calibri" w:cs="Calibri" w:eastAsia="Calibri" w:hAnsi="Calibri"/>
          <w:b/>
          <w:bCs/>
          <w:i w:val="false"/>
          <w:iCs w:val="false"/>
          <w:color w:val="3E5871"/>
          <w:sz w:val="21"/>
          <w:szCs w:val="21"/>
        </w:rPr>
        <w:t xml:space="preserve">What a compliant care-coordination agreement can do</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Define how two providers will communicate, share information (within 42 CFR Part 2 and HIPAA consent), and coordinate transitions and warm handoffs.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Set expectations for response times, on-call contacts, and joint treatment planning.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Describe a genuine clinical or operational relationship — not a promise to send a certain number of clients, and not any payment tied to volume of referrals.</w:t>
      </w:r>
    </w:p>
    <w:p>
      <w:pPr>
        <w:keepNext/>
        <w:spacing w:after="60" w:before="140"/>
      </w:pPr>
      <w:r>
        <w:rPr>
          <w:rFonts w:ascii="Calibri" w:cs="Calibri" w:eastAsia="Calibri" w:hAnsi="Calibri"/>
          <w:b/>
          <w:bCs/>
          <w:i w:val="false"/>
          <w:iCs w:val="false"/>
          <w:color w:val="3E5871"/>
          <w:sz w:val="21"/>
          <w:szCs w:val="21"/>
        </w:rPr>
        <w:t xml:space="preserve">Where the legal line sits — in practice</w:t>
      </w:r>
    </w:p>
    <w:p>
      <w:pPr>
        <w:spacing w:after="110" w:before="0" w:line="268"/>
        <w:jc w:val="left"/>
      </w:pPr>
      <w:r>
        <w:rPr>
          <w:rFonts w:ascii="Calibri" w:cs="Calibri" w:eastAsia="Calibri" w:hAnsi="Calibri"/>
          <w:b w:val="false"/>
          <w:bCs w:val="false"/>
          <w:i w:val="false"/>
          <w:iCs w:val="false"/>
          <w:color w:val="1A1A1A"/>
          <w:sz w:val="20"/>
          <w:szCs w:val="20"/>
        </w:rPr>
        <w:t xml:space="preserve">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Not allowed: </w:t>
      </w:r>
      <w:r>
        <w:rPr>
          <w:rFonts w:ascii="Calibri" w:cs="Calibri" w:eastAsia="Calibri" w:hAnsi="Calibri"/>
          <w:b w:val="false"/>
          <w:bCs w:val="false"/>
          <w:i w:val="false"/>
          <w:iCs w:val="false"/>
          <w:color w:val="1A1A1A"/>
          <w:sz w:val="20"/>
          <w:szCs w:val="20"/>
        </w:rPr>
        <w:t xml:space="preserve">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Allowed: </w:t>
      </w:r>
      <w:r>
        <w:rPr>
          <w:rFonts w:ascii="Calibri" w:cs="Calibri" w:eastAsia="Calibri" w:hAnsi="Calibri"/>
          <w:b w:val="false"/>
          <w:bCs w:val="false"/>
          <w:i w:val="false"/>
          <w:iCs w:val="false"/>
          <w:color w:val="1A1A1A"/>
          <w:sz w:val="20"/>
          <w:szCs w:val="20"/>
        </w:rPr>
        <w:t xml:space="preserve">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simple test</w:t>
            </w:r>
          </w:p>
          <w:p>
            <w:pPr>
              <w:spacing w:after="0" w:line="264"/>
            </w:pPr>
            <w:r>
              <w:rPr>
                <w:rFonts w:ascii="Calibri" w:cs="Calibri" w:eastAsia="Calibri" w:hAnsi="Calibri"/>
                <w:b w:val="false"/>
                <w:bCs w:val="false"/>
                <w:i w:val="false"/>
                <w:iCs w:val="false"/>
                <w:color w:val="1A1A1A"/>
                <w:sz w:val="19"/>
                <w:szCs w:val="19"/>
              </w:rPr>
              <w:t xml:space="preserve">If money or anything of value moves because a client was referred, stop and get qualified counsel before you sign or pay. Earn referrals through reliability and relationships — never buy them. A single patient-brokering charge can end a program.</w:t>
            </w:r>
          </w:p>
        </w:tc>
      </w:tr>
    </w:tbl>
    <w:p>
      <w:pPr>
        <w:keepNext/>
        <w:spacing w:after="90" w:before="220"/>
      </w:pPr>
      <w:r>
        <w:rPr>
          <w:rFonts w:ascii="Calibri" w:cs="Calibri" w:eastAsia="Calibri" w:hAnsi="Calibri"/>
          <w:b/>
          <w:bCs/>
          <w:i w:val="false"/>
          <w:iCs w:val="false"/>
          <w:color w:val="1F3A5F"/>
          <w:sz w:val="26"/>
          <w:szCs w:val="26"/>
        </w:rPr>
        <w:t xml:space="preserve">Part 15 — Your Intake &amp; Admissions Experience Is Your Referral Engine</w:t>
      </w:r>
    </w:p>
    <w:p>
      <w:pPr>
        <w:spacing w:after="110" w:before="0" w:line="268"/>
        <w:jc w:val="left"/>
      </w:pPr>
      <w:r>
        <w:rPr>
          <w:rFonts w:ascii="Calibri" w:cs="Calibri" w:eastAsia="Calibri" w:hAnsi="Calibri"/>
          <w:b w:val="false"/>
          <w:bCs w:val="false"/>
          <w:i w:val="false"/>
          <w:iCs w:val="false"/>
          <w:color w:val="1A1A1A"/>
          <w:sz w:val="20"/>
          <w:szCs w:val="20"/>
        </w:rPr>
        <w:t xml:space="preserve">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Answer fast, every time. </w:t>
      </w:r>
      <w:r>
        <w:rPr>
          <w:rFonts w:ascii="Calibri" w:cs="Calibri" w:eastAsia="Calibri" w:hAnsi="Calibri"/>
          <w:b w:val="false"/>
          <w:bCs w:val="false"/>
          <w:i w:val="false"/>
          <w:iCs w:val="false"/>
          <w:color w:val="1A1A1A"/>
          <w:sz w:val="20"/>
          <w:szCs w:val="20"/>
        </w:rPr>
        <w:t xml:space="preserve">Same-day — ideally within a couple of hours. Every unanswered call or slow response is a referral quietly going to a competitor.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Give one point of contact. </w:t>
      </w:r>
      <w:r>
        <w:rPr>
          <w:rFonts w:ascii="Calibri" w:cs="Calibri" w:eastAsia="Calibri" w:hAnsi="Calibri"/>
          <w:b w:val="false"/>
          <w:bCs w:val="false"/>
          <w:i w:val="false"/>
          <w:iCs w:val="false"/>
          <w:color w:val="1A1A1A"/>
          <w:sz w:val="20"/>
          <w:szCs w:val="20"/>
        </w:rPr>
        <w:t xml:space="preserve">A named intake person or line the referrer can reach directly, not a general voicemail. Referrers reuse the provider who is easy to reach.</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or no clearly and quickly. </w:t>
      </w:r>
      <w:r>
        <w:rPr>
          <w:rFonts w:ascii="Calibri" w:cs="Calibri" w:eastAsia="Calibri" w:hAnsi="Calibri"/>
          <w:b w:val="false"/>
          <w:bCs w:val="false"/>
          <w:i w:val="false"/>
          <w:iCs w:val="false"/>
          <w:color w:val="1A1A1A"/>
          <w:sz w:val="20"/>
          <w:szCs w:val="20"/>
        </w:rPr>
        <w:t xml:space="preserve">A fast, honest decision — even a no with a suggestion of where else to try — respects the referrer's time pressure and earns trust.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Reduce friction for the client. </w:t>
      </w:r>
      <w:r>
        <w:rPr>
          <w:rFonts w:ascii="Calibri" w:cs="Calibri" w:eastAsia="Calibri" w:hAnsi="Calibri"/>
          <w:b w:val="false"/>
          <w:bCs w:val="false"/>
          <w:i w:val="false"/>
          <w:iCs w:val="false"/>
          <w:color w:val="1A1A1A"/>
          <w:sz w:val="20"/>
          <w:szCs w:val="20"/>
        </w:rPr>
        <w:t xml:space="preserve">Simple paperwork, help with transportation and benefits, and a quick first appointment or bed offer keep the referral from falling apart at the last step.</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Close the loop. </w:t>
      </w:r>
      <w:r>
        <w:rPr>
          <w:rFonts w:ascii="Calibri" w:cs="Calibri" w:eastAsia="Calibri" w:hAnsi="Calibri"/>
          <w:b w:val="false"/>
          <w:bCs w:val="false"/>
          <w:i w:val="false"/>
          <w:iCs w:val="false"/>
          <w:color w:val="1A1A1A"/>
          <w:sz w:val="20"/>
          <w:szCs w:val="20"/>
        </w:rPr>
        <w:t xml:space="preserve">Tell the referrer you accepted, and later that the client engaged (with consent). Silence after intake is the most common way providers lose a referral source.</w:t>
      </w:r>
    </w:p>
    <w:p>
      <w:pPr>
        <w:keepNext/>
        <w:spacing w:after="90" w:before="220"/>
      </w:pPr>
      <w:r>
        <w:rPr>
          <w:rFonts w:ascii="Calibri" w:cs="Calibri" w:eastAsia="Calibri" w:hAnsi="Calibri"/>
          <w:b/>
          <w:bCs/>
          <w:i w:val="false"/>
          <w:iCs w:val="false"/>
          <w:color w:val="1F3A5F"/>
          <w:sz w:val="26"/>
          <w:szCs w:val="26"/>
        </w:rPr>
        <w:t xml:space="preserve">Part 16 — Reputation, Outcomes &amp; Accreditation</w:t>
      </w:r>
    </w:p>
    <w:p>
      <w:pPr>
        <w:spacing w:after="110" w:before="0" w:line="268"/>
        <w:jc w:val="left"/>
      </w:pPr>
      <w:r>
        <w:rPr>
          <w:rFonts w:ascii="Calibri" w:cs="Calibri" w:eastAsia="Calibri" w:hAnsi="Calibri"/>
          <w:b w:val="false"/>
          <w:bCs w:val="false"/>
          <w:i w:val="false"/>
          <w:iCs w:val="false"/>
          <w:color w:val="1A1A1A"/>
          <w:sz w:val="20"/>
          <w:szCs w:val="20"/>
        </w:rPr>
        <w:t xml:space="preserve">Over time, referrals flow toward providers with a reputation for getting results and being safe to send people to. You build that reputation deliberately.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Track and share outcomes (appropriately). </w:t>
      </w:r>
      <w:r>
        <w:rPr>
          <w:rFonts w:ascii="Calibri" w:cs="Calibri" w:eastAsia="Calibri" w:hAnsi="Calibri"/>
          <w:b w:val="false"/>
          <w:bCs w:val="false"/>
          <w:i w:val="false"/>
          <w:iCs w:val="false"/>
          <w:color w:val="1A1A1A"/>
          <w:sz w:val="20"/>
          <w:szCs w:val="20"/>
        </w:rPr>
        <w:t xml:space="preserve">Engagement rates, completion rates, and reductions in crisis or readmission are the language referrers care about. A provider who can say 'the clients you send us stay engaged' has an enormous advantage.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Manage your online reputation. </w:t>
      </w:r>
      <w:r>
        <w:rPr>
          <w:rFonts w:ascii="Calibri" w:cs="Calibri" w:eastAsia="Calibri" w:hAnsi="Calibri"/>
          <w:b w:val="false"/>
          <w:bCs w:val="false"/>
          <w:i w:val="false"/>
          <w:iCs w:val="false"/>
          <w:color w:val="1A1A1A"/>
          <w:sz w:val="20"/>
          <w:szCs w:val="20"/>
        </w:rPr>
        <w:t xml:space="preserve">Referrers and families look you up. A current, professional online presence and thoughtful responses to reviews signal that you are credible and safe.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Consider accreditation. </w:t>
      </w:r>
      <w:r>
        <w:rPr>
          <w:rFonts w:ascii="Calibri" w:cs="Calibri" w:eastAsia="Calibri" w:hAnsi="Calibri"/>
          <w:b w:val="false"/>
          <w:bCs w:val="false"/>
          <w:i w:val="false"/>
          <w:iCs w:val="false"/>
          <w:color w:val="1A1A1A"/>
          <w:sz w:val="20"/>
          <w:szCs w:val="20"/>
        </w:rPr>
        <w:t xml:space="preserve">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Never let a referred client bounce back needlessly. </w:t>
      </w:r>
      <w:r>
        <w:rPr>
          <w:rFonts w:ascii="Calibri" w:cs="Calibri" w:eastAsia="Calibri" w:hAnsi="Calibri"/>
          <w:b w:val="false"/>
          <w:bCs w:val="false"/>
          <w:i w:val="false"/>
          <w:iCs w:val="false"/>
          <w:color w:val="1A1A1A"/>
          <w:sz w:val="20"/>
          <w:szCs w:val="20"/>
        </w:rPr>
        <w:t xml:space="preserve">The strongest reputation-builder of all is simple: the people they send you get better and do not return to crisis. That makes the referrer look good — and they remember.</w:t>
      </w:r>
    </w:p>
    <w:p>
      <w:pPr>
        <w:keepNext/>
        <w:spacing w:after="90" w:before="220"/>
      </w:pPr>
      <w:r>
        <w:rPr>
          <w:rFonts w:ascii="Calibri" w:cs="Calibri" w:eastAsia="Calibri" w:hAnsi="Calibri"/>
          <w:b/>
          <w:bCs/>
          <w:i w:val="false"/>
          <w:iCs w:val="false"/>
          <w:color w:val="1F3A5F"/>
          <w:sz w:val="26"/>
          <w:szCs w:val="26"/>
        </w:rPr>
        <w:t xml:space="preserve">Part 17 — Community Education, Objections &amp; Your 12-Month Rhythm</w:t>
      </w:r>
    </w:p>
    <w:p>
      <w:pPr>
        <w:keepNext/>
        <w:spacing w:after="60" w:before="140"/>
      </w:pPr>
      <w:r>
        <w:rPr>
          <w:rFonts w:ascii="Calibri" w:cs="Calibri" w:eastAsia="Calibri" w:hAnsi="Calibri"/>
          <w:b/>
          <w:bCs/>
          <w:i w:val="false"/>
          <w:iCs w:val="false"/>
          <w:color w:val="3E5871"/>
          <w:sz w:val="21"/>
          <w:szCs w:val="21"/>
        </w:rPr>
        <w:t xml:space="preserve">Be the educator</w:t>
      </w:r>
    </w:p>
    <w:p>
      <w:pPr>
        <w:spacing w:after="110" w:before="0" w:line="268"/>
        <w:jc w:val="left"/>
      </w:pPr>
      <w:r>
        <w:rPr>
          <w:rFonts w:ascii="Calibri" w:cs="Calibri" w:eastAsia="Calibri" w:hAnsi="Calibri"/>
          <w:b w:val="false"/>
          <w:bCs w:val="false"/>
          <w:i w:val="false"/>
          <w:iCs w:val="false"/>
          <w:color w:val="1A1A1A"/>
          <w:sz w:val="20"/>
          <w:szCs w:val="20"/>
        </w:rPr>
        <w:t xml:space="preserve">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keepNext/>
        <w:spacing w:after="60" w:before="140"/>
      </w:pPr>
      <w:r>
        <w:rPr>
          <w:rFonts w:ascii="Calibri" w:cs="Calibri" w:eastAsia="Calibri" w:hAnsi="Calibri"/>
          <w:b/>
          <w:bCs/>
          <w:i w:val="false"/>
          <w:iCs w:val="false"/>
          <w:color w:val="3E5871"/>
          <w:sz w:val="21"/>
          <w:szCs w:val="21"/>
        </w:rPr>
        <w:t xml:space="preserve">Answering the objections referrers raise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 don't know if you have space.' </w:t>
      </w:r>
      <w:r>
        <w:rPr>
          <w:rFonts w:ascii="Calibri" w:cs="Calibri" w:eastAsia="Calibri" w:hAnsi="Calibri"/>
          <w:b w:val="false"/>
          <w:bCs w:val="false"/>
          <w:i w:val="false"/>
          <w:iCs w:val="false"/>
          <w:color w:val="1A1A1A"/>
          <w:sz w:val="20"/>
          <w:szCs w:val="20"/>
        </w:rPr>
        <w:t xml:space="preserve">Keep your availability current with them and in any bed or referral platform, and answer instantly when they ask.</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'I'm not sure you take our clients / payer.' </w:t>
      </w:r>
      <w:r>
        <w:rPr>
          <w:rFonts w:ascii="Calibri" w:cs="Calibri" w:eastAsia="Calibri" w:hAnsi="Calibri"/>
          <w:b w:val="false"/>
          <w:bCs w:val="false"/>
          <w:i w:val="false"/>
          <w:iCs w:val="false"/>
          <w:color w:val="1A1A1A"/>
          <w:sz w:val="20"/>
          <w:szCs w:val="20"/>
        </w:rPr>
        <w:t xml:space="preserve">Be crystal clear about who you serve and which payers and networks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'Last time I referred somewhere, I never heard back.' </w:t>
      </w:r>
      <w:r>
        <w:rPr>
          <w:rFonts w:ascii="Calibri" w:cs="Calibri" w:eastAsia="Calibri" w:hAnsi="Calibri"/>
          <w:b w:val="false"/>
          <w:bCs w:val="false"/>
          <w:i w:val="false"/>
          <w:iCs w:val="false"/>
          <w:color w:val="1A1A1A"/>
          <w:sz w:val="20"/>
          <w:szCs w:val="20"/>
        </w:rPr>
        <w:t xml:space="preserve">Lead with your communication promise and then keep it — this is the objection you win by being different.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'Will my client actually get better?' </w:t>
      </w:r>
      <w:r>
        <w:rPr>
          <w:rFonts w:ascii="Calibri" w:cs="Calibri" w:eastAsia="Calibri" w:hAnsi="Calibri"/>
          <w:b w:val="false"/>
          <w:bCs w:val="false"/>
          <w:i w:val="false"/>
          <w:iCs w:val="false"/>
          <w:color w:val="1A1A1A"/>
          <w:sz w:val="20"/>
          <w:szCs w:val="20"/>
        </w:rPr>
        <w:t xml:space="preserve">Share your approach and outcomes honestly, and let a track record of engaged clients speak for you.</w:t>
      </w:r>
    </w:p>
    <w:p>
      <w:pPr>
        <w:keepNext/>
        <w:spacing w:after="60" w:before="140"/>
      </w:pPr>
      <w:r>
        <w:rPr>
          <w:rFonts w:ascii="Calibri" w:cs="Calibri" w:eastAsia="Calibri" w:hAnsi="Calibri"/>
          <w:b/>
          <w:bCs/>
          <w:i w:val="false"/>
          <w:iCs w:val="false"/>
          <w:color w:val="3E5871"/>
          <w:sz w:val="21"/>
          <w:szCs w:val="21"/>
        </w:rPr>
        <w:t xml:space="preserve">A twelve-month relationship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keepNext/>
        <w:spacing w:after="90" w:before="220"/>
      </w:pPr>
      <w:r>
        <w:rPr>
          <w:rFonts w:ascii="Calibri" w:cs="Calibri" w:eastAsia="Calibri" w:hAnsi="Calibri"/>
          <w:b/>
          <w:bCs/>
          <w:i w:val="false"/>
          <w:iCs w:val="false"/>
          <w:color w:val="1F3A5F"/>
          <w:sz w:val="26"/>
          <w:szCs w:val="26"/>
        </w:rPr>
        <w:t xml:space="preserve">Part 18 — Source-Type Playbooks: Each Referrer Is Different</w:t>
      </w:r>
    </w:p>
    <w:p>
      <w:pPr>
        <w:spacing w:after="110" w:before="0" w:line="268"/>
        <w:jc w:val="left"/>
      </w:pPr>
      <w:r>
        <w:rPr>
          <w:rFonts w:ascii="Calibri" w:cs="Calibri" w:eastAsia="Calibri" w:hAnsi="Calibri"/>
          <w:b w:val="false"/>
          <w:bCs w:val="false"/>
          <w:i w:val="false"/>
          <w:iCs w:val="false"/>
          <w:color w:val="1A1A1A"/>
          <w:sz w:val="20"/>
          <w:szCs w:val="20"/>
        </w:rPr>
        <w:t xml:space="preserve">A hospital discharge planner, a drug-court coordinator, a primary care clinic, and a child-welfare caseworker all send clients — but they have different pressures, different timelines, and different definitions of a good provider. Tailor your approach to each.</w:t>
      </w:r>
    </w:p>
    <w:p>
      <w:pPr>
        <w:keepNext/>
        <w:spacing w:after="60" w:before="140"/>
      </w:pPr>
      <w:r>
        <w:rPr>
          <w:rFonts w:ascii="Calibri" w:cs="Calibri" w:eastAsia="Calibri" w:hAnsi="Calibri"/>
          <w:b/>
          <w:bCs/>
          <w:i w:val="false"/>
          <w:iCs w:val="false"/>
          <w:color w:val="3E5871"/>
          <w:sz w:val="21"/>
          <w:szCs w:val="21"/>
        </w:rPr>
        <w:t xml:space="preserve">Hospitals &amp; emergency departments</w:t>
      </w:r>
    </w:p>
    <w:p>
      <w:pPr>
        <w:spacing w:after="110" w:before="0" w:line="268"/>
        <w:jc w:val="left"/>
      </w:pPr>
      <w:r>
        <w:rPr>
          <w:rFonts w:ascii="Calibri" w:cs="Calibri" w:eastAsia="Calibri" w:hAnsi="Calibri"/>
          <w:b w:val="false"/>
          <w:bCs w:val="false"/>
          <w:i w:val="false"/>
          <w:iCs w:val="false"/>
          <w:color w:val="1A1A1A"/>
          <w:sz w:val="20"/>
          <w:szCs w:val="20"/>
        </w:rPr>
        <w:t xml:space="preserve">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keepNext/>
        <w:spacing w:after="60" w:before="140"/>
      </w:pPr>
      <w:r>
        <w:rPr>
          <w:rFonts w:ascii="Calibri" w:cs="Calibri" w:eastAsia="Calibri" w:hAnsi="Calibri"/>
          <w:b/>
          <w:bCs/>
          <w:i w:val="false"/>
          <w:iCs w:val="false"/>
          <w:color w:val="3E5871"/>
          <w:sz w:val="21"/>
          <w:szCs w:val="21"/>
        </w:rPr>
        <w:t xml:space="preserve">Courts &amp; criminal justice</w:t>
      </w:r>
    </w:p>
    <w:p>
      <w:pPr>
        <w:spacing w:after="110" w:before="0" w:line="268"/>
        <w:jc w:val="left"/>
      </w:pPr>
      <w:r>
        <w:rPr>
          <w:rFonts w:ascii="Calibri" w:cs="Calibri" w:eastAsia="Calibri" w:hAnsi="Calibri"/>
          <w:b w:val="false"/>
          <w:bCs w:val="false"/>
          <w:i w:val="false"/>
          <w:iCs w:val="false"/>
          <w:color w:val="1A1A1A"/>
          <w:sz w:val="20"/>
          <w:szCs w:val="20"/>
        </w:rPr>
        <w:t xml:space="preserve">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keepNext/>
        <w:spacing w:after="60" w:before="140"/>
      </w:pPr>
      <w:r>
        <w:rPr>
          <w:rFonts w:ascii="Calibri" w:cs="Calibri" w:eastAsia="Calibri" w:hAnsi="Calibri"/>
          <w:b/>
          <w:bCs/>
          <w:i w:val="false"/>
          <w:iCs w:val="false"/>
          <w:color w:val="3E5871"/>
          <w:sz w:val="21"/>
          <w:szCs w:val="21"/>
        </w:rPr>
        <w:t xml:space="preserve">Primary care &amp; FQHCs</w:t>
      </w:r>
    </w:p>
    <w:p>
      <w:pPr>
        <w:spacing w:after="110" w:before="0" w:line="268"/>
        <w:jc w:val="left"/>
      </w:pPr>
      <w:r>
        <w:rPr>
          <w:rFonts w:ascii="Calibri" w:cs="Calibri" w:eastAsia="Calibri" w:hAnsi="Calibri"/>
          <w:b w:val="false"/>
          <w:bCs w:val="false"/>
          <w:i w:val="false"/>
          <w:iCs w:val="false"/>
          <w:color w:val="1A1A1A"/>
          <w:sz w:val="20"/>
          <w:szCs w:val="20"/>
        </w:rPr>
        <w:t xml:space="preserve">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keepNext/>
        <w:spacing w:after="60" w:before="140"/>
      </w:pPr>
      <w:r>
        <w:rPr>
          <w:rFonts w:ascii="Calibri" w:cs="Calibri" w:eastAsia="Calibri" w:hAnsi="Calibri"/>
          <w:b/>
          <w:bCs/>
          <w:i w:val="false"/>
          <w:iCs w:val="false"/>
          <w:color w:val="3E5871"/>
          <w:sz w:val="21"/>
          <w:szCs w:val="21"/>
        </w:rPr>
        <w:t xml:space="preserve">Schools, child welfare &amp; social services</w:t>
      </w:r>
    </w:p>
    <w:p>
      <w:pPr>
        <w:spacing w:after="110" w:before="0" w:line="268"/>
        <w:jc w:val="left"/>
      </w:pPr>
      <w:r>
        <w:rPr>
          <w:rFonts w:ascii="Calibri" w:cs="Calibri" w:eastAsia="Calibri" w:hAnsi="Calibri"/>
          <w:b w:val="false"/>
          <w:bCs w:val="false"/>
          <w:i w:val="false"/>
          <w:iCs w:val="false"/>
          <w:color w:val="1A1A1A"/>
          <w:sz w:val="20"/>
          <w:szCs w:val="20"/>
        </w:rPr>
        <w:t xml:space="preserve">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keepNext/>
        <w:spacing w:after="90" w:before="220"/>
      </w:pPr>
      <w:r>
        <w:rPr>
          <w:rFonts w:ascii="Calibri" w:cs="Calibri" w:eastAsia="Calibri" w:hAnsi="Calibri"/>
          <w:b/>
          <w:bCs/>
          <w:i w:val="false"/>
          <w:iCs w:val="false"/>
          <w:color w:val="1F3A5F"/>
          <w:sz w:val="26"/>
          <w:szCs w:val="26"/>
        </w:rPr>
        <w:t xml:space="preserve">Part 19 — Your Digital Front Door</w:t>
      </w:r>
    </w:p>
    <w:p>
      <w:pPr>
        <w:spacing w:after="110" w:before="0" w:line="268"/>
        <w:jc w:val="left"/>
      </w:pPr>
      <w:r>
        <w:rPr>
          <w:rFonts w:ascii="Calibri" w:cs="Calibri" w:eastAsia="Calibri" w:hAnsi="Calibri"/>
          <w:b w:val="false"/>
          <w:bCs w:val="false"/>
          <w:i w:val="false"/>
          <w:iCs w:val="false"/>
          <w:color w:val="1A1A1A"/>
          <w:sz w:val="20"/>
          <w:szCs w:val="20"/>
        </w:rPr>
        <w:t xml:space="preserve">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Google Business Profile. </w:t>
      </w:r>
      <w:r>
        <w:rPr>
          <w:rFonts w:ascii="Calibri" w:cs="Calibri" w:eastAsia="Calibri" w:hAnsi="Calibri"/>
          <w:b w:val="false"/>
          <w:bCs w:val="false"/>
          <w:i w:val="false"/>
          <w:iCs w:val="false"/>
          <w:color w:val="1A1A1A"/>
          <w:sz w:val="20"/>
          <w:szCs w:val="20"/>
        </w:rPr>
        <w:t xml:space="preserve">Claim and complete it: accurate name, address, phone, hours, services, and photos. This is often the first thing a referrer or family sees. Keep it current and respond to reviews professionally.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Provider directories. </w:t>
      </w:r>
      <w:r>
        <w:rPr>
          <w:rFonts w:ascii="Calibri" w:cs="Calibri" w:eastAsia="Calibri" w:hAnsi="Calibri"/>
          <w:b w:val="false"/>
          <w:bCs w:val="false"/>
          <w:i w:val="false"/>
          <w:iCs w:val="false"/>
          <w:color w:val="1A1A1A"/>
          <w:sz w:val="20"/>
          <w:szCs w:val="20"/>
        </w:rPr>
        <w:t xml:space="preserve">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Payer &amp; network directories. </w:t>
      </w:r>
      <w:r>
        <w:rPr>
          <w:rFonts w:ascii="Calibri" w:cs="Calibri" w:eastAsia="Calibri" w:hAnsi="Calibri"/>
          <w:b w:val="false"/>
          <w:bCs w:val="false"/>
          <w:i w:val="false"/>
          <w:iCs w:val="false"/>
          <w:color w:val="1A1A1A"/>
          <w:sz w:val="20"/>
          <w:szCs w:val="20"/>
        </w:rPr>
        <w:t xml:space="preserve">Confirm every plan you accept lists you correctly, with current contact and availability. Coordinators filter by network first.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 website that converts. </w:t>
      </w:r>
      <w:r>
        <w:rPr>
          <w:rFonts w:ascii="Calibri" w:cs="Calibri" w:eastAsia="Calibri" w:hAnsi="Calibri"/>
          <w:b w:val="false"/>
          <w:bCs w:val="false"/>
          <w:i w:val="false"/>
          <w:iCs w:val="false"/>
          <w:color w:val="1A1A1A"/>
          <w:sz w:val="20"/>
          <w:szCs w:val="20"/>
        </w:rPr>
        <w:t xml:space="preserve">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Reputation management. </w:t>
      </w:r>
      <w:r>
        <w:rPr>
          <w:rFonts w:ascii="Calibri" w:cs="Calibri" w:eastAsia="Calibri" w:hAnsi="Calibri"/>
          <w:b w:val="false"/>
          <w:bCs w:val="false"/>
          <w:i w:val="false"/>
          <w:iCs w:val="false"/>
          <w:color w:val="1A1A1A"/>
          <w:sz w:val="20"/>
          <w:szCs w:val="20"/>
        </w:rPr>
        <w:t xml:space="preserve">Monitor your reviews, respond with professionalism and without ever confirming anyone was a client, and ask satisfied clients and families — appropriately — to share their experience. A thoughtful presence signals a safe place to send people.</w:t>
      </w:r>
    </w:p>
    <w:p>
      <w:pPr>
        <w:keepNext/>
        <w:spacing w:after="90" w:before="220"/>
      </w:pPr>
      <w:r>
        <w:rPr>
          <w:rFonts w:ascii="Calibri" w:cs="Calibri" w:eastAsia="Calibri" w:hAnsi="Calibri"/>
          <w:b/>
          <w:bCs/>
          <w:i w:val="false"/>
          <w:iCs w:val="false"/>
          <w:color w:val="1F3A5F"/>
          <w:sz w:val="26"/>
          <w:szCs w:val="26"/>
        </w:rPr>
        <w:t xml:space="preserve">Part 20 — Measuring What Matters</w:t>
      </w:r>
    </w:p>
    <w:p>
      <w:pPr>
        <w:spacing w:after="110" w:before="0" w:line="268"/>
        <w:jc w:val="left"/>
      </w:pPr>
      <w:r>
        <w:rPr>
          <w:rFonts w:ascii="Calibri" w:cs="Calibri" w:eastAsia="Calibri" w:hAnsi="Calibri"/>
          <w:b w:val="false"/>
          <w:bCs w:val="false"/>
          <w:i w:val="false"/>
          <w:iCs w:val="false"/>
          <w:color w:val="1A1A1A"/>
          <w:sz w:val="20"/>
          <w:szCs w:val="20"/>
        </w:rPr>
        <w:t xml:space="preserve">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Referrals in, by source. </w:t>
      </w:r>
      <w:r>
        <w:rPr>
          <w:rFonts w:ascii="Calibri" w:cs="Calibri" w:eastAsia="Calibri" w:hAnsi="Calibri"/>
          <w:b w:val="false"/>
          <w:bCs w:val="false"/>
          <w:i w:val="false"/>
          <w:iCs w:val="false"/>
          <w:color w:val="1A1A1A"/>
          <w:sz w:val="20"/>
          <w:szCs w:val="20"/>
        </w:rPr>
        <w:t xml:space="preserve">Count how many clients each source sends. The pattern tells you where to spend your relationship time.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Conversion rate. </w:t>
      </w:r>
      <w:r>
        <w:rPr>
          <w:rFonts w:ascii="Calibri" w:cs="Calibri" w:eastAsia="Calibri" w:hAnsi="Calibri"/>
          <w:b w:val="false"/>
          <w:bCs w:val="false"/>
          <w:i w:val="false"/>
          <w:iCs w:val="false"/>
          <w:color w:val="1A1A1A"/>
          <w:sz w:val="20"/>
          <w:szCs w:val="20"/>
        </w:rPr>
        <w:t xml:space="preserve">Of the people referred, how many actually admitted or attended? A low rate points to intake friction or slow response.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Time to first contact and to admission. </w:t>
      </w:r>
      <w:r>
        <w:rPr>
          <w:rFonts w:ascii="Calibri" w:cs="Calibri" w:eastAsia="Calibri" w:hAnsi="Calibri"/>
          <w:b w:val="false"/>
          <w:bCs w:val="false"/>
          <w:i w:val="false"/>
          <w:iCs w:val="false"/>
          <w:color w:val="1A1A1A"/>
          <w:sz w:val="20"/>
          <w:szCs w:val="20"/>
        </w:rPr>
        <w:t xml:space="preserve">Track your speed. Faster response is the single strongest lever on conversion.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Engagement / completion. </w:t>
      </w:r>
      <w:r>
        <w:rPr>
          <w:rFonts w:ascii="Calibri" w:cs="Calibri" w:eastAsia="Calibri" w:hAnsi="Calibri"/>
          <w:b w:val="false"/>
          <w:bCs w:val="false"/>
          <w:i w:val="false"/>
          <w:iCs w:val="false"/>
          <w:color w:val="1A1A1A"/>
          <w:sz w:val="20"/>
          <w:szCs w:val="20"/>
        </w:rPr>
        <w:t xml:space="preserve">Do referred clients stay and progress? This is what referrers ultimately judge you 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Loop-closure rate. </w:t>
      </w:r>
      <w:r>
        <w:rPr>
          <w:rFonts w:ascii="Calibri" w:cs="Calibri" w:eastAsia="Calibri" w:hAnsi="Calibri"/>
          <w:b w:val="false"/>
          <w:bCs w:val="false"/>
          <w:i w:val="false"/>
          <w:iCs w:val="false"/>
          <w:color w:val="1A1A1A"/>
          <w:sz w:val="20"/>
          <w:szCs w:val="20"/>
        </w:rPr>
        <w:t xml:space="preserve">How often did you actually report back to the referrer (with consent)? This predicts your repeat referrals better than almost anything else.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Run a monthly referral review</w:t>
            </w:r>
          </w:p>
          <w:p>
            <w:pPr>
              <w:spacing w:after="0" w:line="264"/>
            </w:pPr>
            <w:r>
              <w:rPr>
                <w:rFonts w:ascii="Calibri" w:cs="Calibri" w:eastAsia="Calibri" w:hAnsi="Calibri"/>
                <w:b w:val="false"/>
                <w:bCs w:val="false"/>
                <w:i w:val="false"/>
                <w:iCs w:val="false"/>
                <w:color w:val="1A1A1A"/>
                <w:sz w:val="19"/>
                <w:szCs w:val="19"/>
              </w:rPr>
              <w:t xml:space="preserve">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keepNext/>
        <w:spacing w:after="90" w:before="220"/>
      </w:pPr>
      <w:r>
        <w:rPr>
          <w:rFonts w:ascii="Calibri" w:cs="Calibri" w:eastAsia="Calibri" w:hAnsi="Calibri"/>
          <w:b/>
          <w:bCs/>
          <w:i w:val="false"/>
          <w:iCs w:val="false"/>
          <w:color w:val="1F3A5F"/>
          <w:sz w:val="26"/>
          <w:szCs w:val="26"/>
        </w:rPr>
        <w:t xml:space="preserve">Part 21 — Be the Provider Who Takes the Hard Referrals</w:t>
      </w:r>
    </w:p>
    <w:p>
      <w:pPr>
        <w:spacing w:after="110" w:before="0" w:line="268"/>
        <w:jc w:val="left"/>
      </w:pPr>
      <w:r>
        <w:rPr>
          <w:rFonts w:ascii="Calibri" w:cs="Calibri" w:eastAsia="Calibri" w:hAnsi="Calibri"/>
          <w:b w:val="false"/>
          <w:bCs w:val="false"/>
          <w:i w:val="false"/>
          <w:iCs w:val="false"/>
          <w:color w:val="1A1A1A"/>
          <w:sz w:val="20"/>
          <w:szCs w:val="20"/>
        </w:rPr>
        <w:t xml:space="preserve">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to co-occurring. </w:t>
      </w:r>
      <w:r>
        <w:rPr>
          <w:rFonts w:ascii="Calibri" w:cs="Calibri" w:eastAsia="Calibri" w:hAnsi="Calibri"/>
          <w:b w:val="false"/>
          <w:bCs w:val="false"/>
          <w:i w:val="false"/>
          <w:iCs w:val="false"/>
          <w:color w:val="1A1A1A"/>
          <w:sz w:val="20"/>
          <w:szCs w:val="20"/>
        </w:rPr>
        <w:t xml:space="preserve">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Have a clear, fast answer for complex cases. </w:t>
      </w:r>
      <w:r>
        <w:rPr>
          <w:rFonts w:ascii="Calibri" w:cs="Calibri" w:eastAsia="Calibri" w:hAnsi="Calibri"/>
          <w:b w:val="false"/>
          <w:bCs w:val="false"/>
          <w:i w:val="false"/>
          <w:iCs w:val="false"/>
          <w:color w:val="1A1A1A"/>
          <w:sz w:val="20"/>
          <w:szCs w:val="20"/>
        </w:rPr>
        <w:t xml:space="preserve">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Build the capacity that makes 'yes' possible. </w:t>
      </w:r>
      <w:r>
        <w:rPr>
          <w:rFonts w:ascii="Calibri" w:cs="Calibri" w:eastAsia="Calibri" w:hAnsi="Calibri"/>
          <w:b w:val="false"/>
          <w:bCs w:val="false"/>
          <w:i w:val="false"/>
          <w:iCs w:val="false"/>
          <w:color w:val="1A1A1A"/>
          <w:sz w:val="20"/>
          <w:szCs w:val="20"/>
        </w:rPr>
        <w:t xml:space="preserve">Staff training, medication support, language access, and warm partnerships with complementary providers are what let you accept the referrals others turn away. Each capability you add opens a new stream of clients.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Reliability on the hard cases is your best marketing</w:t>
            </w:r>
          </w:p>
          <w:p>
            <w:pPr>
              <w:spacing w:after="0" w:line="264"/>
            </w:pPr>
            <w:r>
              <w:rPr>
                <w:rFonts w:ascii="Calibri" w:cs="Calibri" w:eastAsia="Calibri" w:hAnsi="Calibri"/>
                <w:b w:val="false"/>
                <w:bCs w:val="false"/>
                <w:i w:val="false"/>
                <w:iCs w:val="false"/>
                <w:color w:val="1A1A1A"/>
                <w:sz w:val="19"/>
                <w:szCs w:val="19"/>
              </w:rPr>
              <w:t xml:space="preserve">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keepNext/>
        <w:spacing w:after="90" w:before="220"/>
      </w:pPr>
      <w:r>
        <w:rPr>
          <w:rFonts w:ascii="Calibri" w:cs="Calibri" w:eastAsia="Calibri" w:hAnsi="Calibri"/>
          <w:b/>
          <w:bCs/>
          <w:i w:val="false"/>
          <w:iCs w:val="false"/>
          <w:color w:val="1F3A5F"/>
          <w:sz w:val="26"/>
          <w:szCs w:val="26"/>
        </w:rPr>
        <w:t xml:space="preserve">Part 22 — Benefits &amp; Payer Navigation as a Referral Advantage</w:t>
      </w:r>
    </w:p>
    <w:p>
      <w:pPr>
        <w:spacing w:after="110" w:before="0" w:line="268"/>
        <w:jc w:val="left"/>
      </w:pPr>
      <w:r>
        <w:rPr>
          <w:rFonts w:ascii="Calibri" w:cs="Calibri" w:eastAsia="Calibri" w:hAnsi="Calibri"/>
          <w:b w:val="false"/>
          <w:bCs w:val="false"/>
          <w:i w:val="false"/>
          <w:iCs w:val="false"/>
          <w:color w:val="1A1A1A"/>
          <w:sz w:val="20"/>
          <w:szCs w:val="20"/>
        </w:rPr>
        <w:t xml:space="preserve">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Verify benefits fast. </w:t>
      </w:r>
      <w:r>
        <w:rPr>
          <w:rFonts w:ascii="Calibri" w:cs="Calibri" w:eastAsia="Calibri" w:hAnsi="Calibri"/>
          <w:b w:val="false"/>
          <w:bCs w:val="false"/>
          <w:i w:val="false"/>
          <w:iCs w:val="false"/>
          <w:color w:val="1A1A1A"/>
          <w:sz w:val="20"/>
          <w:szCs w:val="20"/>
        </w:rPr>
        <w:t xml:space="preserve">A quick, clear verification of coverage — what is covered, what it costs, what is authorized — keeps a referral from stalling. Referrers remember the provider who gives them a straight answer the same day.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Help with enrollment. </w:t>
      </w:r>
      <w:r>
        <w:rPr>
          <w:rFonts w:ascii="Calibri" w:cs="Calibri" w:eastAsia="Calibri" w:hAnsi="Calibri"/>
          <w:b w:val="false"/>
          <w:bCs w:val="false"/>
          <w:i w:val="false"/>
          <w:iCs w:val="false"/>
          <w:color w:val="1A1A1A"/>
          <w:sz w:val="20"/>
          <w:szCs w:val="20"/>
        </w:rPr>
        <w:t xml:space="preserve">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Know the options for the uninsured. </w:t>
      </w:r>
      <w:r>
        <w:rPr>
          <w:rFonts w:ascii="Calibri" w:cs="Calibri" w:eastAsia="Calibri" w:hAnsi="Calibri"/>
          <w:b w:val="false"/>
          <w:bCs w:val="false"/>
          <w:i w:val="false"/>
          <w:iCs w:val="false"/>
          <w:color w:val="1A1A1A"/>
          <w:sz w:val="20"/>
          <w:szCs w:val="20"/>
        </w:rPr>
        <w:t xml:space="preserve">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transparent about cost. </w:t>
      </w:r>
      <w:r>
        <w:rPr>
          <w:rFonts w:ascii="Calibri" w:cs="Calibri" w:eastAsia="Calibri" w:hAnsi="Calibri"/>
          <w:b w:val="false"/>
          <w:bCs w:val="false"/>
          <w:i w:val="false"/>
          <w:iCs w:val="false"/>
          <w:color w:val="1A1A1A"/>
          <w:sz w:val="20"/>
          <w:szCs w:val="20"/>
        </w:rPr>
        <w:t xml:space="preserve">Clear, honest information about what a client will owe builds trust with families and referrers alike, and prevents the surprise bills that damage reputations and referral relationships.</w:t>
      </w:r>
    </w:p>
    <w:p>
      <w:pPr>
        <w:keepNext/>
        <w:spacing w:after="90" w:before="220"/>
      </w:pPr>
      <w:r>
        <w:rPr>
          <w:rFonts w:ascii="Calibri" w:cs="Calibri" w:eastAsia="Calibri" w:hAnsi="Calibri"/>
          <w:b/>
          <w:bCs/>
          <w:i w:val="false"/>
          <w:iCs w:val="false"/>
          <w:color w:val="1F3A5F"/>
          <w:sz w:val="26"/>
          <w:szCs w:val="26"/>
        </w:rPr>
        <w:t xml:space="preserve">Part 23 — Ready-to-Use Outreach Scripts</w:t>
      </w:r>
    </w:p>
    <w:p>
      <w:pPr>
        <w:spacing w:after="110" w:before="0" w:line="268"/>
        <w:jc w:val="left"/>
      </w:pPr>
      <w:r>
        <w:rPr>
          <w:rFonts w:ascii="Calibri" w:cs="Calibri" w:eastAsia="Calibri" w:hAnsi="Calibri"/>
          <w:b w:val="false"/>
          <w:bCs w:val="false"/>
          <w:i w:val="false"/>
          <w:iCs w:val="false"/>
          <w:color w:val="1A1A1A"/>
          <w:sz w:val="20"/>
          <w:szCs w:val="20"/>
        </w:rPr>
        <w:t xml:space="preserve">Adapt these to your program and your voice. They are starting points for the conversations that build referral relationships — keep them short, specific, and focused on the other person's problem, never on your brochure.</w:t>
      </w:r>
    </w:p>
    <w:p>
      <w:pPr>
        <w:keepNext/>
        <w:spacing w:after="60" w:before="140"/>
      </w:pPr>
      <w:r>
        <w:rPr>
          <w:rFonts w:ascii="Calibri" w:cs="Calibri" w:eastAsia="Calibri" w:hAnsi="Calibri"/>
          <w:b/>
          <w:bCs/>
          <w:i w:val="false"/>
          <w:iCs w:val="false"/>
          <w:color w:val="3E5871"/>
          <w:sz w:val="21"/>
          <w:szCs w:val="21"/>
        </w:rPr>
        <w:t xml:space="preserve">Voicemail for a discharge planner or care coordinator</w:t>
      </w:r>
    </w:p>
    <w:p>
      <w:pPr>
        <w:spacing w:after="110" w:before="0" w:line="268"/>
        <w:jc w:val="left"/>
      </w:pPr>
      <w:r>
        <w:rPr>
          <w:rFonts w:ascii="Calibri" w:cs="Calibri" w:eastAsia="Calibri" w:hAnsi="Calibri"/>
          <w:b w:val="false"/>
          <w:bCs w:val="false"/>
          <w:i w:val="false"/>
          <w:iCs w:val="false"/>
          <w:color w:val="1A1A1A"/>
          <w:sz w:val="20"/>
          <w:szCs w:val="20"/>
        </w:rPr>
        <w:t xml:space="preserve">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keepNext/>
        <w:spacing w:after="60" w:before="140"/>
      </w:pPr>
      <w:r>
        <w:rPr>
          <w:rFonts w:ascii="Calibri" w:cs="Calibri" w:eastAsia="Calibri" w:hAnsi="Calibri"/>
          <w:b/>
          <w:bCs/>
          <w:i w:val="false"/>
          <w:iCs w:val="false"/>
          <w:color w:val="3E5871"/>
          <w:sz w:val="21"/>
          <w:szCs w:val="21"/>
        </w:rPr>
        <w:t xml:space="preserve">Introduction email to a hospital or ED social worker</w:t>
      </w:r>
    </w:p>
    <w:p>
      <w:pPr>
        <w:spacing w:after="110" w:before="0" w:line="268"/>
        <w:jc w:val="left"/>
      </w:pPr>
      <w:r>
        <w:rPr>
          <w:rFonts w:ascii="Calibri" w:cs="Calibri" w:eastAsia="Calibri" w:hAnsi="Calibri"/>
          <w:b w:val="false"/>
          <w:bCs w:val="false"/>
          <w:i w:val="false"/>
          <w:iCs w:val="false"/>
          <w:color w:val="1A1A1A"/>
          <w:sz w:val="20"/>
          <w:szCs w:val="20"/>
        </w:rPr>
        <w:t xml:space="preserve">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keepNext/>
        <w:spacing w:after="60" w:before="140"/>
      </w:pPr>
      <w:r>
        <w:rPr>
          <w:rFonts w:ascii="Calibri" w:cs="Calibri" w:eastAsia="Calibri" w:hAnsi="Calibri"/>
          <w:b/>
          <w:bCs/>
          <w:i w:val="false"/>
          <w:iCs w:val="false"/>
          <w:color w:val="3E5871"/>
          <w:sz w:val="21"/>
          <w:szCs w:val="21"/>
        </w:rPr>
        <w:t xml:space="preserve">Email to a drug-court or accountability-court coordinator</w:t>
      </w:r>
    </w:p>
    <w:p>
      <w:pPr>
        <w:spacing w:after="110" w:before="0" w:line="268"/>
        <w:jc w:val="left"/>
      </w:pPr>
      <w:r>
        <w:rPr>
          <w:rFonts w:ascii="Calibri" w:cs="Calibri" w:eastAsia="Calibri" w:hAnsi="Calibri"/>
          <w:b w:val="false"/>
          <w:bCs w:val="false"/>
          <w:i w:val="false"/>
          <w:iCs w:val="false"/>
          <w:color w:val="1A1A1A"/>
          <w:sz w:val="20"/>
          <w:szCs w:val="20"/>
        </w:rPr>
        <w:t xml:space="preserve">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keepNext/>
        <w:spacing w:after="60" w:before="140"/>
      </w:pPr>
      <w:r>
        <w:rPr>
          <w:rFonts w:ascii="Calibri" w:cs="Calibri" w:eastAsia="Calibri" w:hAnsi="Calibri"/>
          <w:b/>
          <w:bCs/>
          <w:i w:val="false"/>
          <w:iCs w:val="false"/>
          <w:color w:val="3E5871"/>
          <w:sz w:val="21"/>
          <w:szCs w:val="21"/>
        </w:rPr>
        <w:t xml:space="preserve">The reconnect script (for a source that went quiet)</w:t>
      </w:r>
    </w:p>
    <w:p>
      <w:pPr>
        <w:spacing w:after="110" w:before="0" w:line="268"/>
        <w:jc w:val="left"/>
      </w:pPr>
      <w:r>
        <w:rPr>
          <w:rFonts w:ascii="Calibri" w:cs="Calibri" w:eastAsia="Calibri" w:hAnsi="Calibri"/>
          <w:b w:val="false"/>
          <w:bCs w:val="false"/>
          <w:i w:val="false"/>
          <w:iCs w:val="false"/>
          <w:color w:val="1A1A1A"/>
          <w:sz w:val="20"/>
          <w:szCs w:val="20"/>
        </w:rPr>
        <w:t xml:space="preserve">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Referral-readiness checklist</w:t>
            </w:r>
          </w:p>
          <w:p>
            <w:pPr>
              <w:spacing w:after="0" w:line="264"/>
            </w:pPr>
            <w:r>
              <w:rPr>
                <w:rFonts w:ascii="Calibri" w:cs="Calibri" w:eastAsia="Calibri" w:hAnsi="Calibri"/>
                <w:b w:val="false"/>
                <w:bCs w:val="false"/>
                <w:i w:val="false"/>
                <w:iCs w:val="false"/>
                <w:color w:val="1A1A1A"/>
                <w:sz w:val="19"/>
                <w:szCs w:val="19"/>
              </w:rPr>
              <w:t xml:space="preserve">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keepNext/>
        <w:spacing w:after="90" w:before="220"/>
      </w:pPr>
      <w:r>
        <w:rPr>
          <w:rFonts w:ascii="Calibri" w:cs="Calibri" w:eastAsia="Calibri" w:hAnsi="Calibri"/>
          <w:b/>
          <w:bCs/>
          <w:i w:val="false"/>
          <w:iCs w:val="false"/>
          <w:color w:val="1F3A5F"/>
          <w:sz w:val="26"/>
          <w:szCs w:val="26"/>
        </w:rPr>
        <w:t xml:space="preserve">Building Your Referral Story: What Makes You the Reliable Choice</w:t>
      </w:r>
    </w:p>
    <w:p>
      <w:pPr>
        <w:spacing w:after="110" w:before="0" w:line="268"/>
        <w:jc w:val="left"/>
      </w:pPr>
      <w:r>
        <w:rPr>
          <w:rFonts w:ascii="Calibri" w:cs="Calibri" w:eastAsia="Calibri" w:hAnsi="Calibri"/>
          <w:b w:val="false"/>
          <w:bCs w:val="false"/>
          <w:i w:val="false"/>
          <w:iCs w:val="false"/>
          <w:color w:val="1A1A1A"/>
          <w:sz w:val="20"/>
          <w:szCs w:val="20"/>
        </w:rPr>
        <w:t xml:space="preserve">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spacing w:after="110" w:before="0" w:line="268"/>
        <w:jc w:val="left"/>
      </w:pPr>
      <w:r>
        <w:rPr>
          <w:rFonts w:ascii="Calibri" w:cs="Calibri" w:eastAsia="Calibri" w:hAnsi="Calibri"/>
          <w:b w:val="false"/>
          <w:bCs w:val="false"/>
          <w:i w:val="false"/>
          <w:iCs w:val="false"/>
          <w:color w:val="1A1A1A"/>
          <w:sz w:val="20"/>
          <w:szCs w:val="20"/>
        </w:rPr>
        <w:t xml:space="preserve">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spacing w:after="110" w:before="0" w:line="268"/>
        <w:jc w:val="left"/>
      </w:pPr>
      <w:r>
        <w:rPr>
          <w:rFonts w:ascii="Calibri" w:cs="Calibri" w:eastAsia="Calibri" w:hAnsi="Calibri"/>
          <w:b w:val="false"/>
          <w:bCs w:val="false"/>
          <w:i w:val="false"/>
          <w:iCs w:val="false"/>
          <w:color w:val="1A1A1A"/>
          <w:sz w:val="20"/>
          <w:szCs w:val="20"/>
        </w:rPr>
        <w:t xml:space="preserve">Write your referral story down, make sure everyone who answers your intake line can express it, and keep it current as your services grow. Then let everything you do prove it true.</w:t>
      </w:r>
    </w:p>
    <w:p>
      <w:pPr>
        <w:keepNext/>
        <w:spacing w:after="90" w:before="220"/>
      </w:pPr>
      <w:r>
        <w:rPr>
          <w:rFonts w:ascii="Calibri" w:cs="Calibri" w:eastAsia="Calibri" w:hAnsi="Calibri"/>
          <w:b/>
          <w:bCs/>
          <w:i w:val="false"/>
          <w:iCs w:val="false"/>
          <w:color w:val="1F3A5F"/>
          <w:sz w:val="26"/>
          <w:szCs w:val="26"/>
        </w:rPr>
        <w:t xml:space="preserve">Your First 90 Days: An Outreach Action Plan</w:t>
      </w:r>
    </w:p>
    <w:p>
      <w:pPr>
        <w:spacing w:after="110" w:before="0" w:line="268"/>
        <w:jc w:val="left"/>
      </w:pPr>
      <w:r>
        <w:rPr>
          <w:rFonts w:ascii="Calibri" w:cs="Calibri" w:eastAsia="Calibri" w:hAnsi="Calibri"/>
          <w:b w:val="false"/>
          <w:bCs w:val="false"/>
          <w:i w:val="false"/>
          <w:iCs w:val="false"/>
          <w:color w:val="1A1A1A"/>
          <w:sz w:val="20"/>
          <w:szCs w:val="20"/>
        </w:rPr>
        <w:t xml:space="preserve">If you are opening or newly licensed, here is a concrete way to build your referral base in the first ninety days: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Weeks 1–2: get in-network. </w:t>
      </w:r>
      <w:r>
        <w:rPr>
          <w:rFonts w:ascii="Calibri" w:cs="Calibri" w:eastAsia="Calibri" w:hAnsi="Calibri"/>
          <w:b w:val="false"/>
          <w:bCs w:val="false"/>
          <w:i w:val="false"/>
          <w:iCs w:val="false"/>
          <w:color w:val="1A1A1A"/>
          <w:sz w:val="20"/>
          <w:szCs w:val="20"/>
        </w:rPr>
        <w:t xml:space="preserve">Confirm your NC Medicaid enrollment through NCTracks, your Tailored Plan contract and credentialing, and make sure your directory listings are accurate.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Weeks 2–4: map your region. </w:t>
      </w:r>
      <w:r>
        <w:rPr>
          <w:rFonts w:ascii="Calibri" w:cs="Calibri" w:eastAsia="Calibri" w:hAnsi="Calibri"/>
          <w:b w:val="false"/>
          <w:bCs w:val="false"/>
          <w:i w:val="false"/>
          <w:iCs w:val="false"/>
          <w:color w:val="1A1A1A"/>
          <w:sz w:val="20"/>
          <w:szCs w:val="20"/>
        </w:rPr>
        <w:t xml:space="preserve">Identify the crisis centers, hospitals and EDs, detox and withdrawal-management programs, courts, and other providers near you — use the directory in Part Two.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Weeks 3–6: introduce yourself to the crisis and hospital teams. </w:t>
      </w:r>
      <w:r>
        <w:rPr>
          <w:rFonts w:ascii="Calibri" w:cs="Calibri" w:eastAsia="Calibri" w:hAnsi="Calibri"/>
          <w:b w:val="false"/>
          <w:bCs w:val="false"/>
          <w:i w:val="false"/>
          <w:iCs w:val="false"/>
          <w:color w:val="1A1A1A"/>
          <w:sz w:val="20"/>
          <w:szCs w:val="20"/>
        </w:rPr>
        <w:t xml:space="preserve">Reach out with your one-page leave-behind, your openings, and your response time.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Weeks 5–8: build detox and court relationships. </w:t>
      </w:r>
      <w:r>
        <w:rPr>
          <w:rFonts w:ascii="Calibri" w:cs="Calibri" w:eastAsia="Calibri" w:hAnsi="Calibri"/>
          <w:b w:val="false"/>
          <w:bCs w:val="false"/>
          <w:i w:val="false"/>
          <w:iCs w:val="false"/>
          <w:color w:val="1A1A1A"/>
          <w:sz w:val="20"/>
          <w:szCs w:val="20"/>
        </w:rPr>
        <w:t xml:space="preserve">Meet the withdrawal-management programs and, if you serve justice-involved clients, the drug courts and probation.</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Weeks 8–12: deepen and follow up. </w:t>
      </w:r>
      <w:r>
        <w:rPr>
          <w:rFonts w:ascii="Calibri" w:cs="Calibri" w:eastAsia="Calibri" w:hAnsi="Calibri"/>
          <w:b w:val="false"/>
          <w:bCs w:val="false"/>
          <w:i w:val="false"/>
          <w:iCs w:val="false"/>
          <w:color w:val="1A1A1A"/>
          <w:sz w:val="20"/>
          <w:szCs w:val="20"/>
        </w:rPr>
        <w:t xml:space="preserve">Check back in with everyone you met, respond instantly to any referral, and start your weekly rhythm and tracking so nothing slips.</w:t>
      </w:r>
    </w:p>
    <w:p>
      <w:pPr>
        <w:spacing w:after="110" w:before="0" w:line="268"/>
        <w:jc w:val="left"/>
      </w:pPr>
      <w:r>
        <w:rPr>
          <w:rFonts w:ascii="Calibri" w:cs="Calibri" w:eastAsia="Calibri" w:hAnsi="Calibri"/>
          <w:b w:val="false"/>
          <w:bCs w:val="false"/>
          <w:i w:val="false"/>
          <w:iCs w:val="false"/>
          <w:color w:val="1A1A1A"/>
          <w:sz w:val="20"/>
          <w:szCs w:val="20"/>
        </w:rPr>
        <w:t xml:space="preserve">By the end of ninety days you will not have every relationship you need, but you will have introduced yourself to the sources that matter most and started the habits that fill a caseload over the long run. Keep going — in this business, consistency is the whole strategy.</w:t>
      </w:r>
    </w:p>
    <w:p>
      <w:r>
        <w:br w:type="page"/>
      </w:r>
    </w:p>
    <w:p>
      <w:pPr>
        <w:keepNext/>
        <w:spacing w:after="90" w:before="220"/>
      </w:pPr>
      <w:r>
        <w:rPr>
          <w:rFonts w:ascii="Calibri" w:cs="Calibri" w:eastAsia="Calibri" w:hAnsi="Calibri"/>
          <w:b/>
          <w:bCs/>
          <w:i w:val="false"/>
          <w:iCs w:val="false"/>
          <w:color w:val="1F3A5F"/>
          <w:sz w:val="26"/>
          <w:szCs w:val="26"/>
        </w:rPr>
        <w:t xml:space="preserve">Part Two — The North Carolina Substance Use Referral Directory</w:t>
      </w:r>
    </w:p>
    <w:p>
      <w:pPr>
        <w:spacing w:after="110" w:before="0" w:line="268"/>
        <w:jc w:val="left"/>
      </w:pPr>
      <w:r>
        <w:rPr>
          <w:rFonts w:ascii="Calibri" w:cs="Calibri" w:eastAsia="Calibri" w:hAnsi="Calibri"/>
          <w:b w:val="false"/>
          <w:bCs w:val="false"/>
          <w:i w:val="false"/>
          <w:iCs w:val="false"/>
          <w:color w:val="1A1A1A"/>
          <w:sz w:val="20"/>
          <w:szCs w:val="20"/>
        </w:rPr>
        <w:t xml:space="preserve">These are the North Carolina sources a substance use disorder provider builds relationships with, organized statewide and then by metro with verified named partners. Contacts change — confirm each before you rely on it, and treat this as a starting map, not a guarantee.</w:t>
      </w:r>
    </w:p>
    <w:p>
      <w:pPr>
        <w:keepNext/>
        <w:spacing w:after="60" w:before="150"/>
      </w:pPr>
      <w:r>
        <w:rPr>
          <w:rFonts w:ascii="Calibri" w:cs="Calibri" w:eastAsia="Calibri" w:hAnsi="Calibri"/>
          <w:b/>
          <w:bCs/>
          <w:i w:val="false"/>
          <w:iCs w:val="false"/>
          <w:color w:val="3E5871"/>
          <w:sz w:val="20"/>
          <w:szCs w:val="20"/>
        </w:rPr>
        <w:t xml:space="preserve">Statewide — start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LME/MCO crisis lines — the statewide access points. </w:t>
      </w:r>
      <w:r>
        <w:rPr>
          <w:rFonts w:ascii="Calibri" w:cs="Calibri" w:eastAsia="Calibri" w:hAnsi="Calibri"/>
          <w:b w:val="false"/>
          <w:bCs w:val="false"/>
          <w:i w:val="false"/>
          <w:iCs w:val="false"/>
          <w:color w:val="1A1A1A"/>
          <w:sz w:val="20"/>
          <w:szCs w:val="20"/>
        </w:rPr>
        <w:t xml:space="preserve">The 988 Suicide and Crisis Lifeline (call or text 988) and each LME/MCO's 24/7 behavioral health crisis line connect North Carolinians to treatment and dispatch mobile crisis. Make sure your LME/MCO's crisis system knows what you accept and how fast you respond.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Your LME/MCO Tailored Plan — in-network first. </w:t>
      </w:r>
      <w:r>
        <w:rPr>
          <w:rFonts w:ascii="Calibri" w:cs="Calibri" w:eastAsia="Calibri" w:hAnsi="Calibri"/>
          <w:b w:val="false"/>
          <w:bCs w:val="false"/>
          <w:i w:val="false"/>
          <w:iCs w:val="false"/>
          <w:color w:val="1A1A1A"/>
          <w:sz w:val="20"/>
          <w:szCs w:val="20"/>
        </w:rPr>
        <w:t xml:space="preserve">North Carolina behavioral health is managed by four LME/MCOs (Behavioral Health and I/DD Tailored Plans since July 1, 2024): Alliance Health, Partners Health Management (1-888-235-4673), Trillium Health Resources (1-877-685-2415), and Vaya Health. Enroll as an NC Medicaid provider through NCTracks (Enrollment Broker 1-833-870-5500 for beneficiaries) and contract with the LME/MCO serving your counties.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State-funded services — the same LME/MCO. </w:t>
      </w:r>
      <w:r>
        <w:rPr>
          <w:rFonts w:ascii="Calibri" w:cs="Calibri" w:eastAsia="Calibri" w:hAnsi="Calibri"/>
          <w:b w:val="false"/>
          <w:bCs w:val="false"/>
          <w:i w:val="false"/>
          <w:iCs w:val="false"/>
          <w:color w:val="1A1A1A"/>
          <w:sz w:val="20"/>
          <w:szCs w:val="20"/>
        </w:rPr>
        <w:t xml:space="preserve">Unlike states with a separate public safety-net agency network, North Carolina's LME/MCOs manage BOTH Medicaid and state-funded services for the uninsured — one contract relationship covers both. DMHDDSUS sets the service definitions that govern what you deliver. ncdhhs.gov.</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NC DHSR — licensing. </w:t>
      </w:r>
      <w:r>
        <w:rPr>
          <w:rFonts w:ascii="Calibri" w:cs="Calibri" w:eastAsia="Calibri" w:hAnsi="Calibri"/>
          <w:b w:val="false"/>
          <w:bCs w:val="false"/>
          <w:i w:val="false"/>
          <w:iCs w:val="false"/>
          <w:color w:val="1A1A1A"/>
          <w:sz w:val="20"/>
          <w:szCs w:val="20"/>
        </w:rPr>
        <w:t xml:space="preserve">Substance use services are licensed by the Division of Health Service Regulation, Mental Health Licensure and Certification Section, under N.C.G.S. 122C and 10A NCAC 27G — each service under its own service definition. info.ncdhhs.gov/dhsr.</w:t>
      </w:r>
    </w:p>
    <w:p>
      <w:pPr>
        <w:keepNext/>
        <w:spacing w:after="60" w:before="150"/>
      </w:pPr>
      <w:r>
        <w:rPr>
          <w:rFonts w:ascii="Calibri" w:cs="Calibri" w:eastAsia="Calibri" w:hAnsi="Calibri"/>
          <w:b/>
          <w:bCs/>
          <w:i w:val="false"/>
          <w:iCs w:val="false"/>
          <w:color w:val="3E5871"/>
          <w:sz w:val="20"/>
          <w:szCs w:val="20"/>
        </w:rPr>
        <w:t xml:space="preserve">Charlotte — verified named partners</w:t>
      </w:r>
    </w:p>
    <w:p>
      <w:pPr>
        <w:spacing w:after="60"/>
      </w:pPr>
      <w:r>
        <w:rPr>
          <w:rFonts w:ascii="Calibri" w:cs="Calibri" w:eastAsia="Calibri" w:hAnsi="Calibri"/>
          <w:b/>
          <w:bCs/>
          <w:i w:val="false"/>
          <w:iCs w:val="false"/>
          <w:color w:val="1F3A5F"/>
          <w:sz w:val="19"/>
          <w:szCs w:val="19"/>
        </w:rPr>
        <w:t xml:space="preserve">Detox, residential &amp; substance use treatment</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Anuvia Prevention &amp; Recovery Center</w:t>
      </w:r>
      <w:r>
        <w:rPr>
          <w:rFonts w:ascii="Calibri" w:cs="Calibri" w:eastAsia="Calibri" w:hAnsi="Calibri"/>
          <w:b w:val="false"/>
          <w:bCs w:val="false"/>
          <w:i w:val="false"/>
          <w:iCs w:val="false"/>
          <w:color w:val="555555"/>
          <w:sz w:val="18"/>
          <w:szCs w:val="18"/>
        </w:rPr>
        <w:t xml:space="preserve">  —  100 Billingsley Road, Charlotte, NC 28211</w:t>
      </w:r>
      <w:r>
        <w:rPr>
          <w:rFonts w:ascii="Calibri" w:cs="Calibri" w:eastAsia="Calibri" w:hAnsi="Calibri"/>
          <w:b w:val="false"/>
          <w:bCs w:val="false"/>
          <w:i w:val="false"/>
          <w:iCs w:val="false"/>
          <w:color w:val="3E5871"/>
          <w:sz w:val="18"/>
          <w:szCs w:val="18"/>
        </w:rPr>
        <w:t xml:space="preserve">  ·  704-376-7447</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McLeod Centers for Wellbeing (residential, outpatient &amp; MAT)</w:t>
      </w:r>
      <w:r>
        <w:rPr>
          <w:rFonts w:ascii="Calibri" w:cs="Calibri" w:eastAsia="Calibri" w:hAnsi="Calibri"/>
          <w:b w:val="false"/>
          <w:bCs w:val="false"/>
          <w:i w:val="false"/>
          <w:iCs w:val="false"/>
          <w:color w:val="555555"/>
          <w:sz w:val="18"/>
          <w:szCs w:val="18"/>
        </w:rPr>
        <w:t xml:space="preserve">  —  500 Archdale Drive, Charlotte, NC 28217</w:t>
      </w:r>
      <w:r>
        <w:rPr>
          <w:rFonts w:ascii="Calibri" w:cs="Calibri" w:eastAsia="Calibri" w:hAnsi="Calibri"/>
          <w:b w:val="false"/>
          <w:bCs w:val="false"/>
          <w:i w:val="false"/>
          <w:iCs w:val="false"/>
          <w:color w:val="3E5871"/>
          <w:sz w:val="18"/>
          <w:szCs w:val="18"/>
        </w:rPr>
        <w:t xml:space="preserve">  ·  704-332-9001</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Dilworth Center (outpatient)</w:t>
      </w:r>
      <w:r>
        <w:rPr>
          <w:rFonts w:ascii="Calibri" w:cs="Calibri" w:eastAsia="Calibri" w:hAnsi="Calibri"/>
          <w:b w:val="false"/>
          <w:bCs w:val="false"/>
          <w:i w:val="false"/>
          <w:iCs w:val="false"/>
          <w:color w:val="555555"/>
          <w:sz w:val="18"/>
          <w:szCs w:val="18"/>
        </w:rPr>
        <w:t xml:space="preserve">  —  2240 Park Road, Charlotte, NC 28203</w:t>
      </w:r>
      <w:r>
        <w:rPr>
          <w:rFonts w:ascii="Calibri" w:cs="Calibri" w:eastAsia="Calibri" w:hAnsi="Calibri"/>
          <w:b w:val="false"/>
          <w:bCs w:val="false"/>
          <w:i w:val="false"/>
          <w:iCs w:val="false"/>
          <w:color w:val="3E5871"/>
          <w:sz w:val="18"/>
          <w:szCs w:val="18"/>
        </w:rPr>
        <w:t xml:space="preserve">  ·  704-372-6969</w:t>
      </w:r>
    </w:p>
    <w:p>
      <w:pPr>
        <w:keepNext/>
        <w:spacing w:after="60" w:before="150"/>
      </w:pPr>
      <w:r>
        <w:rPr>
          <w:rFonts w:ascii="Calibri" w:cs="Calibri" w:eastAsia="Calibri" w:hAnsi="Calibri"/>
          <w:b/>
          <w:bCs/>
          <w:i w:val="false"/>
          <w:iCs w:val="false"/>
          <w:color w:val="3E5871"/>
          <w:sz w:val="20"/>
          <w:szCs w:val="20"/>
        </w:rPr>
        <w:t xml:space="preserve">Raleigh / Durham (Triangle) — verified named partners</w:t>
      </w:r>
    </w:p>
    <w:p>
      <w:pPr>
        <w:spacing w:after="60"/>
      </w:pPr>
      <w:r>
        <w:rPr>
          <w:rFonts w:ascii="Calibri" w:cs="Calibri" w:eastAsia="Calibri" w:hAnsi="Calibri"/>
          <w:b/>
          <w:bCs/>
          <w:i w:val="false"/>
          <w:iCs w:val="false"/>
          <w:color w:val="1F3A5F"/>
          <w:sz w:val="19"/>
          <w:szCs w:val="19"/>
        </w:rPr>
        <w:t xml:space="preserve">Recovery, treatment &amp; opioid treatment</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SouthLight Healthcare (opioid treatment, SAIOP &amp; outpatient)</w:t>
      </w:r>
      <w:r>
        <w:rPr>
          <w:rFonts w:ascii="Calibri" w:cs="Calibri" w:eastAsia="Calibri" w:hAnsi="Calibri"/>
          <w:b w:val="false"/>
          <w:bCs w:val="false"/>
          <w:i w:val="false"/>
          <w:iCs w:val="false"/>
          <w:color w:val="555555"/>
          <w:sz w:val="18"/>
          <w:szCs w:val="18"/>
        </w:rPr>
        <w:t xml:space="preserve">  —  2101 Garner Road, Raleigh, NC 27610</w:t>
      </w:r>
      <w:r>
        <w:rPr>
          <w:rFonts w:ascii="Calibri" w:cs="Calibri" w:eastAsia="Calibri" w:hAnsi="Calibri"/>
          <w:b w:val="false"/>
          <w:bCs w:val="false"/>
          <w:i w:val="false"/>
          <w:iCs w:val="false"/>
          <w:color w:val="3E5871"/>
          <w:sz w:val="18"/>
          <w:szCs w:val="18"/>
        </w:rPr>
        <w:t xml:space="preserve">  ·  919-787-6131</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Healing Transitions (peer-based recovery &amp; non-medical detox)</w:t>
      </w:r>
      <w:r>
        <w:rPr>
          <w:rFonts w:ascii="Calibri" w:cs="Calibri" w:eastAsia="Calibri" w:hAnsi="Calibri"/>
          <w:b w:val="false"/>
          <w:bCs w:val="false"/>
          <w:i w:val="false"/>
          <w:iCs w:val="false"/>
          <w:color w:val="555555"/>
          <w:sz w:val="18"/>
          <w:szCs w:val="18"/>
        </w:rPr>
        <w:t xml:space="preserve">  —  1251 Goode Street, Raleigh, NC 27603</w:t>
      </w:r>
      <w:r>
        <w:rPr>
          <w:rFonts w:ascii="Calibri" w:cs="Calibri" w:eastAsia="Calibri" w:hAnsi="Calibri"/>
          <w:b w:val="false"/>
          <w:bCs w:val="false"/>
          <w:i w:val="false"/>
          <w:iCs w:val="false"/>
          <w:color w:val="3E5871"/>
          <w:sz w:val="18"/>
          <w:szCs w:val="18"/>
        </w:rPr>
        <w:t xml:space="preserve">  ·  919-838-9800</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TROSA (long-term residential)</w:t>
      </w:r>
      <w:r>
        <w:rPr>
          <w:rFonts w:ascii="Calibri" w:cs="Calibri" w:eastAsia="Calibri" w:hAnsi="Calibri"/>
          <w:b w:val="false"/>
          <w:bCs w:val="false"/>
          <w:i w:val="false"/>
          <w:iCs w:val="false"/>
          <w:color w:val="555555"/>
          <w:sz w:val="18"/>
          <w:szCs w:val="18"/>
        </w:rPr>
        <w:t xml:space="preserve">  —  1820 James Street, Durham, NC 27707</w:t>
      </w:r>
      <w:r>
        <w:rPr>
          <w:rFonts w:ascii="Calibri" w:cs="Calibri" w:eastAsia="Calibri" w:hAnsi="Calibri"/>
          <w:b w:val="false"/>
          <w:bCs w:val="false"/>
          <w:i w:val="false"/>
          <w:iCs w:val="false"/>
          <w:color w:val="3E5871"/>
          <w:sz w:val="18"/>
          <w:szCs w:val="18"/>
        </w:rPr>
        <w:t xml:space="preserve">  ·  919-419-1059</w:t>
      </w:r>
    </w:p>
    <w:p>
      <w:pPr>
        <w:pBdr>
          <w:top w:val="single" w:color="9DB1C7" w:sz="4" w:space="6"/>
        </w:pBdr>
        <w:spacing w:after="0" w:before="140"/>
      </w:pPr>
      <w:r>
        <w:rPr>
          <w:rFonts w:ascii="Calibri" w:cs="Calibri" w:eastAsia="Calibri" w:hAnsi="Calibri"/>
          <w:b w:val="false"/>
          <w:bCs w:val="false"/>
          <w:i/>
          <w:iCs/>
          <w:color w:val="555555"/>
          <w:sz w:val="17"/>
          <w:szCs w:val="17"/>
        </w:rPr>
        <w:t xml:space="preserve">Verify every contact before you rely on it. Named partners are potential referral relationships, not endorsements or guarantees of referrals, and listing is not affiliation.</w:t>
      </w:r>
    </w:p>
    <w:p>
      <w:r>
        <w:br w:type="page"/>
      </w:r>
    </w:p>
    <w:p>
      <w:pPr>
        <w:keepNext/>
        <w:spacing w:after="90" w:before="220"/>
      </w:pPr>
      <w:r>
        <w:rPr>
          <w:rFonts w:ascii="Calibri" w:cs="Calibri" w:eastAsia="Calibri" w:hAnsi="Calibri"/>
          <w:b/>
          <w:bCs/>
          <w:i w:val="false"/>
          <w:iCs w:val="false"/>
          <w:color w:val="1F3A5F"/>
          <w:sz w:val="26"/>
          <w:szCs w:val="26"/>
        </w:rPr>
        <w:t xml:space="preserve">Part Three — The Referral Toolkit</w:t>
      </w:r>
    </w:p>
    <w:p>
      <w:pPr>
        <w:spacing w:after="110" w:before="0" w:line="268"/>
        <w:jc w:val="left"/>
      </w:pPr>
      <w:r>
        <w:rPr>
          <w:rFonts w:ascii="Calibri" w:cs="Calibri" w:eastAsia="Calibri" w:hAnsi="Calibri"/>
          <w:b w:val="false"/>
          <w:bCs w:val="false"/>
          <w:i w:val="false"/>
          <w:iCs w:val="false"/>
          <w:color w:val="1A1A1A"/>
          <w:sz w:val="20"/>
          <w:szCs w:val="20"/>
        </w:rPr>
        <w:t xml:space="preserve">Use these worksheets to run your referral system week to week. Print them, or copy them into your own tracker.</w:t>
      </w:r>
    </w:p>
    <w:p>
      <w:pPr>
        <w:keepNext/>
        <w:shd w:fill="1F3A5F" w:val="clear"/>
        <w:spacing w:after="100" w:before="40"/>
      </w:pPr>
      <w:r>
        <w:rPr>
          <w:rFonts w:ascii="Calibri" w:cs="Calibri" w:eastAsia="Calibri" w:hAnsi="Calibri"/>
          <w:b/>
          <w:bCs/>
          <w:i w:val="false"/>
          <w:iCs w:val="false"/>
          <w:color w:val="FFFFFF"/>
          <w:sz w:val="22"/>
          <w:szCs w:val="22"/>
        </w:rPr>
        <w:t xml:space="preserve">  Priority Referral Partner Target List  </w:t>
      </w:r>
    </w:p>
    <w:p>
      <w:pPr>
        <w:spacing w:after="110" w:before="0" w:line="268"/>
        <w:jc w:val="left"/>
      </w:pPr>
      <w:r>
        <w:rPr>
          <w:rFonts w:ascii="Calibri" w:cs="Calibri" w:eastAsia="Calibri" w:hAnsi="Calibri"/>
          <w:b w:val="false"/>
          <w:bCs w:val="false"/>
          <w:i w:val="false"/>
          <w:iCs w:val="false"/>
          <w:color w:val="1A1A1A"/>
          <w:sz w:val="20"/>
          <w:szCs w:val="20"/>
        </w:rPr>
        <w:t xml:space="preserve">List the sources you most want relationships with, by category, and plan your first contact.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Source (name)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Type (Tailored Plan / crisis / hospital / detox / court)</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First contact &amp; date</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Payer &amp; Network Contracting Map  </w:t>
      </w:r>
    </w:p>
    <w:p>
      <w:pPr>
        <w:spacing w:after="110" w:before="0" w:line="268"/>
        <w:jc w:val="left"/>
      </w:pPr>
      <w:r>
        <w:rPr>
          <w:rFonts w:ascii="Calibri" w:cs="Calibri" w:eastAsia="Calibri" w:hAnsi="Calibri"/>
          <w:b w:val="false"/>
          <w:bCs w:val="false"/>
          <w:i w:val="false"/>
          <w:iCs w:val="false"/>
          <w:color w:val="1A1A1A"/>
          <w:sz w:val="20"/>
          <w:szCs w:val="20"/>
        </w:rPr>
        <w:t xml:space="preserve">Track your in-network status — being contracted is what lets clients be sent to you.</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760"/>
        <w:gridCol w:w="3200"/>
        <w:gridCol w:w="2400"/>
      </w:tblGrid>
      <w:tr>
        <w:trPr>
          <w:tblHeader/>
        </w:trPr>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Payer / network (LME/MCO Tailored Plan, NC Medicaid, commercial)</w:t>
            </w:r>
          </w:p>
        </w:tc>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Status (enrolled / contracted / pending)</w:t>
            </w:r>
          </w:p>
        </w:tc>
        <w:tc>
          <w:tcPr>
            <w:tcW w:type="dxa" w:w="24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Next step &amp; date</w:t>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Outreach Contact Log  </w:t>
      </w:r>
    </w:p>
    <w:p>
      <w:pPr>
        <w:spacing w:after="110" w:before="0" w:line="268"/>
        <w:jc w:val="left"/>
      </w:pPr>
      <w:r>
        <w:rPr>
          <w:rFonts w:ascii="Calibri" w:cs="Calibri" w:eastAsia="Calibri" w:hAnsi="Calibri"/>
          <w:b w:val="false"/>
          <w:bCs w:val="false"/>
          <w:i w:val="false"/>
          <w:iCs w:val="false"/>
          <w:color w:val="1A1A1A"/>
          <w:sz w:val="20"/>
          <w:szCs w:val="20"/>
        </w:rPr>
        <w:t xml:space="preserve">Log every outreach so nothing falls through the cracks.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500"/>
        <w:gridCol w:w="3360"/>
        <w:gridCol w:w="4500"/>
      </w:tblGrid>
      <w:tr>
        <w:trPr>
          <w:tblHeader/>
        </w:trPr>
        <w:tc>
          <w:tcPr>
            <w:tcW w:type="dxa" w:w="1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Who / organization</w:t>
            </w:r>
          </w:p>
        </w:tc>
        <w:tc>
          <w:tcPr>
            <w:tcW w:type="dxa" w:w="4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What was said / next step</w:t>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Referral Source Tracker  </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admissions actually come from so you invest in what works.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admitted (initials / 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Referral source</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Level of care / notes</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Weekly Outreach Planner  </w:t>
      </w:r>
    </w:p>
    <w:p>
      <w:pPr>
        <w:spacing w:after="110" w:before="0" w:line="268"/>
        <w:jc w:val="left"/>
      </w:pPr>
      <w:r>
        <w:rPr>
          <w:rFonts w:ascii="Calibri" w:cs="Calibri" w:eastAsia="Calibri" w:hAnsi="Calibri"/>
          <w:b w:val="false"/>
          <w:bCs w:val="false"/>
          <w:i w:val="false"/>
          <w:iCs w:val="false"/>
          <w:color w:val="1A1A1A"/>
          <w:sz w:val="20"/>
          <w:szCs w:val="20"/>
        </w:rPr>
        <w:t xml:space="preserve">Plan your weekly rhythm: a set number of new contacts and check-ins each week.</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200"/>
        <w:gridCol w:w="3560"/>
        <w:gridCol w:w="3600"/>
      </w:tblGrid>
      <w:tr>
        <w:trPr>
          <w:tblHeader/>
        </w:trPr>
        <w:tc>
          <w:tcPr>
            <w:tcW w:type="dxa" w:w="2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Week of</w:t>
            </w:r>
          </w:p>
        </w:tc>
        <w:tc>
          <w:tcPr>
            <w:tcW w:type="dxa" w:w="35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contacts (goal / done)</w:t>
            </w:r>
          </w:p>
        </w:tc>
        <w:tc>
          <w:tcPr>
            <w:tcW w:type="dxa" w:w="3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availability updates</w:t>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r>
        <w:br w:type="page"/>
      </w:r>
    </w:p>
    <w:p>
      <w:pPr>
        <w:keepNext/>
        <w:shd w:fill="1F3A5F" w:val="clear"/>
        <w:spacing w:after="100" w:before="40"/>
      </w:pPr>
      <w:r>
        <w:rPr>
          <w:rFonts w:ascii="Calibri" w:cs="Calibri" w:eastAsia="Calibri" w:hAnsi="Calibri"/>
          <w:b/>
          <w:bCs/>
          <w:i w:val="false"/>
          <w:iCs w:val="false"/>
          <w:color w:val="FFFFFF"/>
          <w:sz w:val="22"/>
          <w:szCs w:val="22"/>
        </w:rPr>
        <w:t xml:space="preserve">  Template: Introduction Letter to a Referral Source  </w:t>
      </w:r>
    </w:p>
    <w:p>
      <w:pPr>
        <w:spacing w:after="110" w:before="0" w:line="268"/>
        <w:jc w:val="left"/>
      </w:pPr>
      <w:r>
        <w:rPr>
          <w:rFonts w:ascii="Calibri" w:cs="Calibri" w:eastAsia="Calibri" w:hAnsi="Calibri"/>
          <w:b w:val="false"/>
          <w:bCs w:val="false"/>
          <w:i w:val="false"/>
          <w:iCs w:val="false"/>
          <w:color w:val="1A1A1A"/>
          <w:sz w:val="20"/>
          <w:szCs w:val="20"/>
        </w:rPr>
        <w:t xml:space="preserve">Adapt and put on your letterhead. Keep it to one page.</w:t>
      </w:r>
    </w:p>
    <w:p>
      <w:pPr>
        <w:spacing w:after="110" w:before="0" w:line="268"/>
        <w:jc w:val="left"/>
      </w:pPr>
      <w:r>
        <w:rPr>
          <w:rFonts w:ascii="Calibri" w:cs="Calibri" w:eastAsia="Calibri" w:hAnsi="Calibri"/>
          <w:b w:val="false"/>
          <w:bCs w:val="false"/>
          <w:i w:val="false"/>
          <w:iCs w:val="false"/>
          <w:color w:val="1A1A1A"/>
          <w:sz w:val="20"/>
          <w:szCs w:val="20"/>
        </w:rPr>
        <w:t xml:space="preserve">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keepNext/>
        <w:shd w:fill="1F3A5F" w:val="clear"/>
        <w:spacing w:after="100" w:before="40"/>
      </w:pPr>
      <w:r>
        <w:rPr>
          <w:rFonts w:ascii="Calibri" w:cs="Calibri" w:eastAsia="Calibri" w:hAnsi="Calibri"/>
          <w:b/>
          <w:bCs/>
          <w:i w:val="false"/>
          <w:iCs w:val="false"/>
          <w:color w:val="FFFFFF"/>
          <w:sz w:val="22"/>
          <w:szCs w:val="22"/>
        </w:rPr>
        <w:t xml:space="preserve">  Template: Your Capabilities One-Pager  </w:t>
      </w:r>
    </w:p>
    <w:p>
      <w:pPr>
        <w:spacing w:after="110" w:before="0" w:line="268"/>
        <w:jc w:val="left"/>
      </w:pPr>
      <w:r>
        <w:rPr>
          <w:rFonts w:ascii="Calibri" w:cs="Calibri" w:eastAsia="Calibri" w:hAnsi="Calibri"/>
          <w:b w:val="false"/>
          <w:bCs w:val="false"/>
          <w:i w:val="false"/>
          <w:iCs w:val="false"/>
          <w:color w:val="1A1A1A"/>
          <w:sz w:val="20"/>
          <w:szCs w:val="20"/>
        </w:rPr>
        <w:t xml:space="preserve">A single page a coordinator can keep on file. Include each of these, factually and without any claim you cannot back up:</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Program name, location, and license / certification.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Levels of care and services you provide.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Who you serve well — diagnoses, co-occurring, ages, specialties — and who you are not the right fit for.</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Payers and networks accepted (Medicaid plans, county, commercial, private pay).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Current availability and typical time-to-admission.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Intake contact, hours, and your response-time promise.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One line on what makes you reliable (accreditation, outcomes, communication).</w:t>
      </w:r>
    </w:p>
    <w:p>
      <w:pPr>
        <w:keepNext/>
        <w:shd w:fill="1F3A5F" w:val="clear"/>
        <w:spacing w:after="100" w:before="40"/>
      </w:pPr>
      <w:r>
        <w:rPr>
          <w:rFonts w:ascii="Calibri" w:cs="Calibri" w:eastAsia="Calibri" w:hAnsi="Calibri"/>
          <w:b/>
          <w:bCs/>
          <w:i w:val="false"/>
          <w:iCs w:val="false"/>
          <w:color w:val="FFFFFF"/>
          <w:sz w:val="22"/>
          <w:szCs w:val="22"/>
        </w:rPr>
        <w:t xml:space="preserve">  Template: A Three-Touch Follow-Up Sequence  </w:t>
      </w:r>
    </w:p>
    <w:p>
      <w:pPr>
        <w:spacing w:after="110" w:before="0" w:line="268"/>
        <w:jc w:val="left"/>
      </w:pPr>
      <w:r>
        <w:rPr>
          <w:rFonts w:ascii="Calibri" w:cs="Calibri" w:eastAsia="Calibri" w:hAnsi="Calibri"/>
          <w:b w:val="false"/>
          <w:bCs w:val="false"/>
          <w:i w:val="false"/>
          <w:iCs w:val="false"/>
          <w:color w:val="1A1A1A"/>
          <w:sz w:val="20"/>
          <w:szCs w:val="20"/>
        </w:rPr>
        <w:t xml:space="preserve">After you meet or receive a referral, persistence — done politely — is what separates you from the providers a coordinator forgets.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Touch 1 (within 48 hours): </w:t>
      </w:r>
      <w:r>
        <w:rPr>
          <w:rFonts w:ascii="Calibri" w:cs="Calibri" w:eastAsia="Calibri" w:hAnsi="Calibri"/>
          <w:b w:val="false"/>
          <w:bCs w:val="false"/>
          <w:i w:val="false"/>
          <w:iCs w:val="false"/>
          <w:color w:val="1A1A1A"/>
          <w:sz w:val="20"/>
          <w:szCs w:val="20"/>
        </w:rPr>
        <w:t xml:space="preserve">a short thank-you that restates your intake contact, openings, and response-time promise.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Touch 2 (about two weeks later): </w:t>
      </w:r>
      <w:r>
        <w:rPr>
          <w:rFonts w:ascii="Calibri" w:cs="Calibri" w:eastAsia="Calibri" w:hAnsi="Calibri"/>
          <w:b w:val="false"/>
          <w:bCs w:val="false"/>
          <w:i w:val="false"/>
          <w:iCs w:val="false"/>
          <w:color w:val="1A1A1A"/>
          <w:sz w:val="20"/>
          <w:szCs w:val="20"/>
        </w:rPr>
        <w:t xml:space="preserve">share one useful item — an update on availability, a resource, or an offer to do a brief in-service. No ask.</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Touch 3 (about a month later): </w:t>
      </w:r>
      <w:r>
        <w:rPr>
          <w:rFonts w:ascii="Calibri" w:cs="Calibri" w:eastAsia="Calibri" w:hAnsi="Calibri"/>
          <w:b w:val="false"/>
          <w:bCs w:val="false"/>
          <w:i w:val="false"/>
          <w:iCs w:val="false"/>
          <w:color w:val="1A1A1A"/>
          <w:sz w:val="20"/>
          <w:szCs w:val="20"/>
        </w:rPr>
        <w:t xml:space="preserve">check in, confirm your current openings, and ask how they prefer to send a referral. Then move them into your regular check-in cycle.</w:t>
      </w:r>
    </w:p>
    <w:p>
      <w:pPr>
        <w:keepNext/>
        <w:shd w:fill="1F3A5F" w:val="clear"/>
        <w:spacing w:after="100" w:before="40"/>
      </w:pPr>
      <w:r>
        <w:rPr>
          <w:rFonts w:ascii="Calibri" w:cs="Calibri" w:eastAsia="Calibri" w:hAnsi="Calibri"/>
          <w:b/>
          <w:bCs/>
          <w:i w:val="false"/>
          <w:iCs w:val="false"/>
          <w:color w:val="FFFFFF"/>
          <w:sz w:val="22"/>
          <w:szCs w:val="22"/>
        </w:rPr>
        <w:t xml:space="preserve">  Template: Referral Feedback / Loop-Closure Note  </w:t>
      </w:r>
    </w:p>
    <w:p>
      <w:pPr>
        <w:spacing w:after="110" w:before="0" w:line="268"/>
        <w:jc w:val="left"/>
      </w:pPr>
      <w:r>
        <w:rPr>
          <w:rFonts w:ascii="Calibri" w:cs="Calibri" w:eastAsia="Calibri" w:hAnsi="Calibri"/>
          <w:b w:val="false"/>
          <w:bCs w:val="false"/>
          <w:i w:val="false"/>
          <w:iCs w:val="false"/>
          <w:color w:val="1A1A1A"/>
          <w:sz w:val="20"/>
          <w:szCs w:val="20"/>
        </w:rPr>
        <w:t xml:space="preserve">Send to the original referrer once you have appropriate consent. This single habit earns more repeat referrals than any other.</w:t>
      </w:r>
    </w:p>
    <w:p>
      <w:pPr>
        <w:spacing w:after="110" w:before="0" w:line="268"/>
        <w:jc w:val="left"/>
      </w:pPr>
      <w:r>
        <w:rPr>
          <w:rFonts w:ascii="Calibri" w:cs="Calibri" w:eastAsia="Calibri" w:hAnsi="Calibri"/>
          <w:b w:val="false"/>
          <w:bCs w:val="false"/>
          <w:i w:val="false"/>
          <w:iCs w:val="false"/>
          <w:color w:val="1A1A1A"/>
          <w:sz w:val="20"/>
          <w:szCs w:val="20"/>
        </w:rPr>
        <w:t xml:space="preserve">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keepNext/>
        <w:shd w:fill="1F3A5F" w:val="clear"/>
        <w:spacing w:after="100" w:before="40"/>
      </w:pPr>
      <w:r>
        <w:rPr>
          <w:rFonts w:ascii="Calibri" w:cs="Calibri" w:eastAsia="Calibri" w:hAnsi="Calibri"/>
          <w:b/>
          <w:bCs/>
          <w:i w:val="false"/>
          <w:iCs w:val="false"/>
          <w:color w:val="FFFFFF"/>
          <w:sz w:val="22"/>
          <w:szCs w:val="22"/>
        </w:rPr>
        <w:t xml:space="preserve">  Outline: A Compliant Care-Coordination Agreement (MOU)  </w:t>
      </w:r>
    </w:p>
    <w:p>
      <w:pPr>
        <w:spacing w:after="110" w:before="0" w:line="268"/>
        <w:jc w:val="left"/>
      </w:pPr>
      <w:r>
        <w:rPr>
          <w:rFonts w:ascii="Calibri" w:cs="Calibri" w:eastAsia="Calibri" w:hAnsi="Calibri"/>
          <w:b w:val="false"/>
          <w:bCs w:val="false"/>
          <w:i w:val="false"/>
          <w:iCs w:val="false"/>
          <w:color w:val="1A1A1A"/>
          <w:sz w:val="20"/>
          <w:szCs w:val="20"/>
        </w:rPr>
        <w:t xml:space="preserve">Use as a discussion outline with counsel — not as legal language. A sound agreement covers: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Purpose: to coordinate care and support safe transitions between the two providers.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Communication: named contacts, response times, and how information is shared within 42 CFR Part 2 and HIPAA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Transitions: how warm handoffs, records, and joint planning will work.</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What it does NOT include: any payment tied to referral volume, and no promise to refer a set number of clients — this is what keeps it on the right side of the Anti-Kickback Statute and EKRA.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Term, review, and termination.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 note that either party may refer elsewhere based solely on clinical fit and client choice.</w:t>
      </w:r>
    </w:p>
    <w:p>
      <w:pPr>
        <w:keepNext/>
        <w:shd w:fill="1F3A5F" w:val="clear"/>
        <w:spacing w:after="100" w:before="40"/>
      </w:pPr>
      <w:r>
        <w:rPr>
          <w:rFonts w:ascii="Calibri" w:cs="Calibri" w:eastAsia="Calibri" w:hAnsi="Calibri"/>
          <w:b/>
          <w:bCs/>
          <w:i w:val="false"/>
          <w:iCs w:val="false"/>
          <w:color w:val="FFFFFF"/>
          <w:sz w:val="22"/>
          <w:szCs w:val="22"/>
        </w:rPr>
        <w:t xml:space="preserve">  Twelve-Month Relationship Calendar  </w:t>
      </w:r>
    </w:p>
    <w:p>
      <w:pPr>
        <w:spacing w:after="110" w:before="0" w:line="268"/>
        <w:jc w:val="left"/>
      </w:pPr>
      <w:r>
        <w:rPr>
          <w:rFonts w:ascii="Calibri" w:cs="Calibri" w:eastAsia="Calibri" w:hAnsi="Calibri"/>
          <w:b w:val="false"/>
          <w:bCs w:val="false"/>
          <w:i w:val="false"/>
          <w:iCs w:val="false"/>
          <w:color w:val="1A1A1A"/>
          <w:sz w:val="20"/>
          <w:szCs w:val="20"/>
        </w:rPr>
        <w:t xml:space="preserve">Plan the year so relationships stay warm. Fill in targets and track completion.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800"/>
        <w:gridCol w:w="3760"/>
        <w:gridCol w:w="3800"/>
      </w:tblGrid>
      <w:tr>
        <w:trPr>
          <w:tblHeader/>
        </w:trPr>
        <w:tc>
          <w:tcPr>
            <w:tcW w:type="dxa" w:w="1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Quarter</w:t>
            </w:r>
          </w:p>
        </w:tc>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sources to meet (goal)</w:t>
            </w:r>
          </w:p>
        </w:tc>
        <w:tc>
          <w:tcPr>
            <w:tcW w:type="dxa" w:w="3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in-service / education</w:t>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Q1</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Q2</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Q3</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Q4</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Template: Monthly Referral Tracking Log  </w:t>
      </w:r>
    </w:p>
    <w:p>
      <w:pPr>
        <w:spacing w:after="110" w:before="0" w:line="268"/>
        <w:jc w:val="left"/>
      </w:pPr>
      <w:r>
        <w:rPr>
          <w:rFonts w:ascii="Calibri" w:cs="Calibri" w:eastAsia="Calibri" w:hAnsi="Calibri"/>
          <w:b w:val="false"/>
          <w:bCs w:val="false"/>
          <w:i w:val="false"/>
          <w:iCs w:val="false"/>
          <w:color w:val="1A1A1A"/>
          <w:sz w:val="20"/>
          <w:szCs w:val="20"/>
        </w:rPr>
        <w:t xml:space="preserve">Keep a simple running log — a spreadsheet is fine. One row per referral; review the totals each month (Part 20).</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600"/>
        <w:gridCol w:w="3900"/>
        <w:gridCol w:w="2860"/>
      </w:tblGrid>
      <w:tr>
        <w:trPr>
          <w:tblHeader/>
        </w:trPr>
        <w:tc>
          <w:tcPr>
            <w:tcW w:type="dxa" w:w="2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 &amp; referral source</w:t>
            </w:r>
          </w:p>
        </w:tc>
        <w:tc>
          <w:tcPr>
            <w:tcW w:type="dxa" w:w="39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initials — outcome (admitted / declined / no-show)</w:t>
            </w:r>
          </w:p>
        </w:tc>
        <w:tc>
          <w:tcPr>
            <w:tcW w:type="dxa" w:w="28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Time to contact — loop closed? (Y/N)</w:t>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pacing w:after="60" w:before="140"/>
      </w:pPr>
      <w:r>
        <w:rPr>
          <w:rFonts w:ascii="Calibri" w:cs="Calibri" w:eastAsia="Calibri" w:hAnsi="Calibri"/>
          <w:b/>
          <w:bCs/>
          <w:i w:val="false"/>
          <w:iCs w:val="false"/>
          <w:color w:val="3E5871"/>
          <w:sz w:val="21"/>
          <w:szCs w:val="21"/>
        </w:rPr>
        <w:t xml:space="preserve">Sources &amp; Further Reading</w:t>
      </w:r>
    </w:p>
    <w:p>
      <w:pPr>
        <w:spacing w:after="110" w:before="0" w:line="268"/>
        <w:jc w:val="left"/>
      </w:pPr>
      <w:r>
        <w:rPr>
          <w:rFonts w:ascii="Calibri" w:cs="Calibri" w:eastAsia="Calibri" w:hAnsi="Calibri"/>
          <w:b w:val="false"/>
          <w:bCs w:val="false"/>
          <w:i w:val="false"/>
          <w:iCs w:val="false"/>
          <w:color w:val="1A1A1A"/>
          <w:sz w:val="20"/>
          <w:szCs w:val="20"/>
        </w:rPr>
        <w:t xml:space="preserve">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90" w:before="0" w:line="268"/>
        <w:jc w:val="center"/>
      </w:pPr>
      <w:r>
        <w:rPr>
          <w:rFonts w:ascii="Calibri" w:cs="Calibri" w:eastAsia="Calibri" w:hAnsi="Calibri"/>
          <w:b w:val="false"/>
          <w:bCs w:val="false"/>
          <w:i/>
          <w:iCs/>
          <w:color w:val="555555"/>
          <w:sz w:val="18"/>
          <w:szCs w:val="18"/>
        </w:rPr>
        <w:t xml:space="preserve">This resource is general educational information for North Carolina behavioral health providers, not legal advice. Contacts, programs, and phone numbers change — verify each before you rely on it, and confirm the Anti-Kickback Statute, EKRA, and North Carolina anti-brokering rules with qualified counsel before entering any arrangement involving referrals. Named partners are potential referral relationships, not endorsements.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The Substance Use Referral System — North Carolina Edition  —  PolicyReady.org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Substance Use Referral System — North Carolina Edition</dc:title>
  <dc:creator>PolicyReady.org</dc:creator>
  <cp:lastModifiedBy>Un-named</cp:lastModifiedBy>
  <cp:revision>1</cp:revision>
  <dcterms:created xsi:type="dcterms:W3CDTF">2026-07-19T16:00:52.123Z</dcterms:created>
  <dcterms:modified xsi:type="dcterms:W3CDTF">2026-07-19T16:00:52.123Z</dcterms:modified>
</cp:coreProperties>
</file>

<file path=docProps/custom.xml><?xml version="1.0" encoding="utf-8"?>
<Properties xmlns="http://schemas.openxmlformats.org/officeDocument/2006/custom-properties" xmlns:vt="http://schemas.openxmlformats.org/officeDocument/2006/docPropsVTypes"/>
</file>