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300"/>
      </w:pPr>
      <w:r>
        <w:rPr>
          <w:rFonts w:ascii="Calibri" w:cs="Calibri" w:eastAsia="Calibri" w:hAnsi="Calibri"/>
          <w:b w:val="false"/>
          <w:bCs w:val="false"/>
          <w:i w:val="false"/>
          <w:iCs w:val="false"/>
          <w:color w:val="1A1A1A"/>
          <w:sz w:val="21"/>
          <w:szCs w:val="21"/>
        </w:rPr>
        <w:t xml:space="preserve"/>
      </w:r>
    </w:p>
    <w:p>
      <w:pPr>
        <w:spacing w:after="60" w:before="0" w:line="276"/>
        <w:jc w:val="center"/>
      </w:pPr>
      <w:r>
        <w:rPr>
          <w:rFonts w:ascii="Calibri" w:cs="Calibri" w:eastAsia="Calibri" w:hAnsi="Calibri"/>
          <w:b/>
          <w:bCs/>
          <w:i w:val="false"/>
          <w:iCs w:val="false"/>
          <w:color w:val="3E5871"/>
          <w:sz w:val="26"/>
          <w:szCs w:val="26"/>
        </w:rPr>
        <w:t xml:space="preserve">[FACILITY NAME]</w:t>
      </w:r>
    </w:p>
    <w:p>
      <w:pPr>
        <w:spacing w:after="60" w:before="0" w:line="276"/>
        <w:jc w:val="center"/>
      </w:pPr>
      <w:r>
        <w:rPr>
          <w:rFonts w:ascii="Calibri" w:cs="Calibri" w:eastAsia="Calibri" w:hAnsi="Calibri"/>
          <w:b/>
          <w:bCs/>
          <w:i w:val="false"/>
          <w:iCs w:val="false"/>
          <w:color w:val="1F3A5F"/>
          <w:sz w:val="46"/>
          <w:szCs w:val="46"/>
        </w:rPr>
        <w:t xml:space="preserve">Policy &amp; Procedure Manual</w:t>
      </w:r>
    </w:p>
    <w:p>
      <w:pPr>
        <w:spacing w:after="20" w:before="0" w:line="276"/>
        <w:jc w:val="center"/>
      </w:pPr>
      <w:r>
        <w:rPr>
          <w:rFonts w:ascii="Calibri" w:cs="Calibri" w:eastAsia="Calibri" w:hAnsi="Calibri"/>
          <w:b w:val="false"/>
          <w:bCs w:val="false"/>
          <w:i/>
          <w:iCs/>
          <w:color w:val="3E5871"/>
          <w:sz w:val="24"/>
          <w:szCs w:val="24"/>
        </w:rPr>
        <w:t xml:space="preserve">Adult Residential Facility — Brain Injury Residential Care (California)</w:t>
      </w:r>
    </w:p>
    <w:p>
      <w:pPr>
        <w:spacing w:after="200" w:before="0" w:line="276"/>
        <w:jc w:val="center"/>
      </w:pPr>
      <w:r>
        <w:rPr>
          <w:rFonts w:ascii="Calibri" w:cs="Calibri" w:eastAsia="Calibri" w:hAnsi="Calibri"/>
          <w:b w:val="false"/>
          <w:bCs w:val="false"/>
          <w:i w:val="false"/>
          <w:iCs w:val="false"/>
          <w:color w:val="555555"/>
          <w:sz w:val="20"/>
          <w:szCs w:val="20"/>
        </w:rPr>
        <w:t xml:space="preserve">Built to Title 22, Division 6, Chapter 6 (Adult Residential Facilities) and the Community Care Facilities Act</w:t>
      </w:r>
    </w:p>
    <w:p>
      <w:pPr>
        <w:pBdr>
          <w:bottom w:val="single" w:color="9DB1C7" w:sz="8" w:space="1"/>
        </w:pBdr>
        <w:spacing w:after="140" w:before="100"/>
      </w:pPr>
      <w:r>
        <w:rPr>
          <w:rFonts w:ascii="Calibri" w:cs="Calibri" w:eastAsia="Calibri" w:hAnsi="Calibri"/>
          <w:b w:val="false"/>
          <w:bCs w:val="false"/>
          <w:i w:val="false"/>
          <w:iCs w:val="false"/>
          <w:color w:val="1A1A1A"/>
          <w:sz w:val="2"/>
          <w:szCs w:val="2"/>
        </w:rPr>
        <w:t xml:space="preserve"/>
      </w:r>
    </w:p>
    <w:p>
      <w:pPr>
        <w:spacing w:after="160" w:before="0" w:line="276"/>
        <w:jc w:val="center"/>
      </w:pPr>
      <w:r>
        <w:rPr>
          <w:rFonts w:ascii="Calibri" w:cs="Calibri" w:eastAsia="Calibri" w:hAnsi="Calibri"/>
          <w:b/>
          <w:bCs/>
          <w:i w:val="false"/>
          <w:iCs w:val="false"/>
          <w:color w:val="3E5871"/>
          <w:sz w:val="20"/>
          <w:szCs w:val="20"/>
        </w:rPr>
        <w:t xml:space="preserve">Regulatory basis: </w:t>
      </w:r>
      <w:r>
        <w:rPr>
          <w:rFonts w:ascii="Calibri" w:cs="Calibri" w:eastAsia="Calibri" w:hAnsi="Calibri"/>
          <w:b w:val="false"/>
          <w:bCs w:val="false"/>
          <w:i w:val="false"/>
          <w:iCs w:val="false"/>
          <w:color w:val="555555"/>
          <w:sz w:val="20"/>
          <w:szCs w:val="20"/>
        </w:rPr>
        <w:t xml:space="preserve">California Code of Regulations, Title 22, Division 6, Chapter 6 (Adult Residential Facilities) and the general licensing requirements applicable to community care facilities; the California Community Care Facilities Act (Health and Safety Code Section 1500 et seq.); criminal record clearance under H.S.C. Section 1522. Licensed and inspected by the California Department of Social Services (CDSS), Community Care Licensing Division (CCLD).</w:t>
      </w:r>
    </w:p>
    <w:p>
      <w:pPr>
        <w:pBdr>
          <w:bottom w:val="single" w:color="9DB1C7" w:sz="8" w:space="1"/>
        </w:pBdr>
        <w:spacing w:after="140" w:before="100"/>
      </w:pPr>
      <w:r>
        <w:rPr>
          <w:rFonts w:ascii="Calibri" w:cs="Calibri" w:eastAsia="Calibri" w:hAnsi="Calibri"/>
          <w:b w:val="false"/>
          <w:bCs w:val="false"/>
          <w:i w:val="false"/>
          <w:iCs w:val="false"/>
          <w:color w:val="1A1A1A"/>
          <w:sz w:val="2"/>
          <w:szCs w:val="2"/>
        </w:rPr>
        <w:t xml:space="preserve"/>
      </w:r>
    </w:p>
    <w:p>
      <w:pPr>
        <w:spacing w:after="200" w:before="0" w:line="276"/>
        <w:jc w:val="center"/>
      </w:pPr>
      <w:r>
        <w:rPr>
          <w:rFonts w:ascii="Calibri" w:cs="Calibri" w:eastAsia="Calibri" w:hAnsi="Calibri"/>
          <w:b w:val="false"/>
          <w:bCs w:val="false"/>
          <w:i/>
          <w:iCs/>
          <w:color w:val="555555"/>
          <w:sz w:val="19"/>
          <w:szCs w:val="19"/>
        </w:rPr>
        <w:t xml:space="preserve">This manual is a customizable template. Replace every bracketed field with your organization’s details and adapt each policy to your operations before use.</w:t>
      </w:r>
    </w:p>
    <w:p>
      <w:pPr>
        <w:spacing w:after="20" w:before="0" w:line="276"/>
        <w:jc w:val="center"/>
      </w:pPr>
      <w:r>
        <w:rPr>
          <w:rFonts w:ascii="Calibri" w:cs="Calibri" w:eastAsia="Calibri" w:hAnsi="Calibri"/>
          <w:b w:val="false"/>
          <w:bCs w:val="false"/>
          <w:i w:val="false"/>
          <w:iCs w:val="false"/>
          <w:color w:val="1A1A1A"/>
          <w:sz w:val="21"/>
          <w:szCs w:val="21"/>
        </w:rPr>
        <w:t xml:space="preserve">Approved By: [Administrator Name], Administrator</w:t>
      </w:r>
    </w:p>
    <w:p>
      <w:pPr>
        <w:spacing w:after="90" w:before="0" w:line="276"/>
        <w:jc w:val="center"/>
      </w:pPr>
      <w:r>
        <w:rPr>
          <w:rFonts w:ascii="Calibri" w:cs="Calibri" w:eastAsia="Calibri" w:hAnsi="Calibri"/>
          <w:b w:val="false"/>
          <w:bCs w:val="false"/>
          <w:i w:val="false"/>
          <w:iCs w:val="false"/>
          <w:color w:val="555555"/>
          <w:sz w:val="18"/>
          <w:szCs w:val="18"/>
        </w:rPr>
        <w:t xml:space="preserve">Effective Date: [Date]        Version: 1.0        Review: Annual or upon rule change</w:t>
      </w:r>
    </w:p>
    <w:p>
      <w:r>
        <w:br w:type="page"/>
      </w:r>
    </w:p>
    <w:p>
      <w:pPr>
        <w:spacing w:after="120"/>
      </w:pPr>
      <w:r>
        <w:rPr>
          <w:rFonts w:ascii="Calibri" w:cs="Calibri" w:eastAsia="Calibri" w:hAnsi="Calibri"/>
          <w:b/>
          <w:bCs/>
          <w:i w:val="false"/>
          <w:iCs w:val="false"/>
          <w:color w:val="1F3A5F"/>
          <w:sz w:val="30"/>
          <w:szCs w:val="30"/>
        </w:rPr>
        <w:t xml:space="preserve">Front Matter — State Rules, Regulations &amp; Accreditation</w:t>
      </w:r>
    </w:p>
    <w:p>
      <w:pPr>
        <w:pBdr>
          <w:bottom w:val="single" w:color="9DB1C7" w:sz="8" w:space="1"/>
        </w:pBdr>
        <w:spacing w:after="140" w:before="100"/>
      </w:pPr>
      <w:r>
        <w:rPr>
          <w:rFonts w:ascii="Calibri" w:cs="Calibri" w:eastAsia="Calibri" w:hAnsi="Calibri"/>
          <w:b w:val="false"/>
          <w:bCs w:val="false"/>
          <w:i w:val="false"/>
          <w:iCs w:val="false"/>
          <w:color w:val="1A1A1A"/>
          <w:sz w:val="2"/>
          <w:szCs w:val="2"/>
        </w:rPr>
        <w:t xml:space="preserve"/>
      </w:r>
    </w:p>
    <w:p>
      <w:pPr>
        <w:spacing w:after="120" w:before="0" w:line="276"/>
        <w:jc w:val="left"/>
      </w:pPr>
      <w:r>
        <w:rPr>
          <w:rFonts w:ascii="Calibri" w:cs="Calibri" w:eastAsia="Calibri" w:hAnsi="Calibri"/>
          <w:b w:val="false"/>
          <w:bCs w:val="false"/>
          <w:i w:val="false"/>
          <w:iCs w:val="false"/>
          <w:color w:val="1A1A1A"/>
          <w:sz w:val="21"/>
          <w:szCs w:val="21"/>
        </w:rPr>
        <w:t xml:space="preserve">[Facility Name] operates in compliance with the following California authorities and aligns to the following accreditation framework, which form the basis for this manual:</w:t>
      </w:r>
    </w:p>
    <w:p>
      <w:pPr>
        <w:pStyle w:val="ListParagraph"/>
        <w:numPr>
          <w:ilvl w:val="0"/>
          <w:numId w:val="2"/>
        </w:numPr>
        <w:spacing w:after="60" w:line="276"/>
      </w:pPr>
      <w:r>
        <w:rPr>
          <w:rFonts w:ascii="Calibri" w:cs="Calibri" w:eastAsia="Calibri" w:hAnsi="Calibri"/>
          <w:b w:val="false"/>
          <w:bCs w:val="false"/>
          <w:i w:val="false"/>
          <w:iCs w:val="false"/>
          <w:color w:val="1A1A1A"/>
          <w:sz w:val="21"/>
          <w:szCs w:val="21"/>
        </w:rPr>
        <w:t xml:space="preserve">California Code of Regulations, Title 22, Division 6 — Chapter 6 (Adult Residential Facilities), together with the general community-care licensing requirements (the 80000-series) and the ARF-specific 85000-series sections.</w:t>
      </w:r>
    </w:p>
    <w:p>
      <w:pPr>
        <w:pStyle w:val="ListParagraph"/>
        <w:numPr>
          <w:ilvl w:val="0"/>
          <w:numId w:val="2"/>
        </w:numPr>
        <w:spacing w:after="60" w:line="276"/>
      </w:pPr>
      <w:r>
        <w:rPr>
          <w:rFonts w:ascii="Calibri" w:cs="Calibri" w:eastAsia="Calibri" w:hAnsi="Calibri"/>
          <w:b w:val="false"/>
          <w:bCs w:val="false"/>
          <w:i w:val="false"/>
          <w:iCs w:val="false"/>
          <w:color w:val="1A1A1A"/>
          <w:sz w:val="21"/>
          <w:szCs w:val="21"/>
        </w:rPr>
        <w:t xml:space="preserve">Key sections used here: personnel &amp; training (80065), admission agreement (80068 / 85068), needs and services plan (80068.2 / 85068.2), client medical and functional assessments (80069 / 80069.2), personal rights (80072), health-related services and medications (80075), acceptance &amp; retention limitations (85068.4), and prohibited/restricted health conditions (80091 / 80092).</w:t>
      </w:r>
    </w:p>
    <w:p>
      <w:pPr>
        <w:pStyle w:val="ListParagraph"/>
        <w:numPr>
          <w:ilvl w:val="0"/>
          <w:numId w:val="2"/>
        </w:numPr>
        <w:spacing w:after="60" w:line="276"/>
      </w:pPr>
      <w:r>
        <w:rPr>
          <w:rFonts w:ascii="Calibri" w:cs="Calibri" w:eastAsia="Calibri" w:hAnsi="Calibri"/>
          <w:b w:val="false"/>
          <w:bCs w:val="false"/>
          <w:i w:val="false"/>
          <w:iCs w:val="false"/>
          <w:color w:val="1A1A1A"/>
          <w:sz w:val="21"/>
          <w:szCs w:val="21"/>
        </w:rPr>
        <w:t xml:space="preserve">California Community Care Facilities Act — Health and Safety Code Section 1500 et seq.; criminal record clearance and Live Scan / Rap Back (H.S.C. § 1522); facility overconcentration (H.S.C. § 1520.7).</w:t>
      </w:r>
    </w:p>
    <w:p>
      <w:pPr>
        <w:pStyle w:val="ListParagraph"/>
        <w:numPr>
          <w:ilvl w:val="0"/>
          <w:numId w:val="2"/>
        </w:numPr>
        <w:spacing w:after="60" w:line="276"/>
      </w:pPr>
      <w:r>
        <w:rPr>
          <w:rFonts w:ascii="Calibri" w:cs="Calibri" w:eastAsia="Calibri" w:hAnsi="Calibri"/>
          <w:b w:val="false"/>
          <w:bCs w:val="false"/>
          <w:i w:val="false"/>
          <w:iCs w:val="false"/>
          <w:color w:val="1A1A1A"/>
          <w:sz w:val="21"/>
          <w:szCs w:val="21"/>
        </w:rPr>
        <w:t xml:space="preserve">An ARF is a NON-MEDICAL facility: it provides care, supervision, and assistance with self-administered medication (§ 80075) — not skilled nursing or medication administration — with incidental medical needs met by the resident’s physician, licensed professionals, or home health, and restricted health conditions managed under § 80092.</w:t>
      </w:r>
    </w:p>
    <w:p>
      <w:pPr>
        <w:pStyle w:val="ListParagraph"/>
        <w:numPr>
          <w:ilvl w:val="0"/>
          <w:numId w:val="2"/>
        </w:numPr>
        <w:spacing w:after="60" w:line="276"/>
      </w:pPr>
      <w:r>
        <w:rPr>
          <w:rFonts w:ascii="Calibri" w:cs="Calibri" w:eastAsia="Calibri" w:hAnsi="Calibri"/>
          <w:b w:val="false"/>
          <w:bCs w:val="false"/>
          <w:i w:val="false"/>
          <w:iCs w:val="false"/>
          <w:color w:val="1A1A1A"/>
          <w:sz w:val="21"/>
          <w:szCs w:val="21"/>
        </w:rPr>
        <w:t xml:space="preserve">Administrator certification (35 hours) and the Department-administered examination; Emergency Intervention training where secured perimeters are used (§ 85300).</w:t>
      </w:r>
    </w:p>
    <w:p>
      <w:pPr>
        <w:pStyle w:val="ListParagraph"/>
        <w:numPr>
          <w:ilvl w:val="0"/>
          <w:numId w:val="2"/>
        </w:numPr>
        <w:spacing w:after="60" w:line="276"/>
      </w:pPr>
      <w:r>
        <w:rPr>
          <w:rFonts w:ascii="Calibri" w:cs="Calibri" w:eastAsia="Calibri" w:hAnsi="Calibri"/>
          <w:b w:val="false"/>
          <w:bCs w:val="false"/>
          <w:i w:val="false"/>
          <w:iCs w:val="false"/>
          <w:color w:val="1A1A1A"/>
          <w:sz w:val="21"/>
          <w:szCs w:val="21"/>
        </w:rPr>
        <w:t xml:space="preserve">Accreditation alignment (optional): structured to align with nationally recognized rehabilitation accreditation frameworks — aligned to, not reproducing, their proprietary standards — which payers and referral sources often prefer for brain-injury providers (see Section 6).</w:t>
      </w:r>
    </w:p>
    <w:p>
      <w:pPr>
        <w:pStyle w:val="ListParagraph"/>
        <w:numPr>
          <w:ilvl w:val="0"/>
          <w:numId w:val="2"/>
        </w:numPr>
        <w:spacing w:after="60" w:line="276"/>
      </w:pPr>
      <w:r>
        <w:rPr>
          <w:rFonts w:ascii="Calibri" w:cs="Calibri" w:eastAsia="Calibri" w:hAnsi="Calibri"/>
          <w:b w:val="false"/>
          <w:bCs w:val="false"/>
          <w:i w:val="false"/>
          <w:iCs w:val="false"/>
          <w:color w:val="1A1A1A"/>
          <w:sz w:val="21"/>
          <w:szCs w:val="21"/>
        </w:rPr>
        <w:t xml:space="preserve">Funding context (see the companion How-To Guide): SSI/SSP Non-Medical Out-of-Home Care, Regional Center placements, CalAIM Community Supports, county augmentations, and private pay.</w:t>
      </w:r>
    </w:p>
    <w:p>
      <w:pPr>
        <w:spacing w:after="120" w:before="100" w:line="276"/>
        <w:jc w:val="left"/>
      </w:pPr>
      <w:r>
        <w:rPr>
          <w:rFonts w:ascii="Calibri" w:cs="Calibri" w:eastAsia="Calibri" w:hAnsi="Calibri"/>
          <w:b w:val="false"/>
          <w:bCs w:val="false"/>
          <w:i/>
          <w:iCs/>
          <w:color w:val="555555"/>
          <w:sz w:val="19"/>
          <w:szCs w:val="19"/>
        </w:rPr>
        <w:t xml:space="preserve">This manual provides general information and is not legal advice; verify current rule and accreditation standards before relying on any provision.</w:t>
      </w:r>
    </w:p>
    <w:p>
      <w:r>
        <w:br w:type="page"/>
      </w:r>
    </w:p>
    <w:p>
      <w:pPr>
        <w:spacing w:after="120"/>
      </w:pPr>
      <w:r>
        <w:rPr>
          <w:rFonts w:ascii="Calibri" w:cs="Calibri" w:eastAsia="Calibri" w:hAnsi="Calibri"/>
          <w:b/>
          <w:bCs/>
          <w:i w:val="false"/>
          <w:iCs w:val="false"/>
          <w:color w:val="1F3A5F"/>
          <w:sz w:val="30"/>
          <w:szCs w:val="30"/>
        </w:rPr>
        <w:t xml:space="preserve">Front Matter — Yearly Policy Review by Administrator</w:t>
      </w:r>
    </w:p>
    <w:p>
      <w:pPr>
        <w:pBdr>
          <w:bottom w:val="single" w:color="9DB1C7" w:sz="8" w:space="1"/>
        </w:pBdr>
        <w:spacing w:after="140" w:before="100"/>
      </w:pPr>
      <w:r>
        <w:rPr>
          <w:rFonts w:ascii="Calibri" w:cs="Calibri" w:eastAsia="Calibri" w:hAnsi="Calibri"/>
          <w:b w:val="false"/>
          <w:bCs w:val="false"/>
          <w:i w:val="false"/>
          <w:iCs w:val="false"/>
          <w:color w:val="1A1A1A"/>
          <w:sz w:val="2"/>
          <w:szCs w:val="2"/>
        </w:rPr>
        <w:t xml:space="preserve"/>
      </w:r>
    </w:p>
    <w:p>
      <w:pPr>
        <w:spacing w:after="120" w:before="0" w:line="276"/>
        <w:jc w:val="left"/>
      </w:pPr>
      <w:r>
        <w:rPr>
          <w:rFonts w:ascii="Calibri" w:cs="Calibri" w:eastAsia="Calibri" w:hAnsi="Calibri"/>
          <w:b w:val="false"/>
          <w:bCs w:val="false"/>
          <w:i w:val="false"/>
          <w:iCs w:val="false"/>
          <w:color w:val="1A1A1A"/>
          <w:sz w:val="21"/>
          <w:szCs w:val="21"/>
        </w:rPr>
        <w:t xml:space="preserve">The Administrator reviews this manual at least annually and upon any change to an applicable rule or accreditation standard, confirms each section remains current, and records the review below.</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3400"/>
        <w:gridCol w:w="1700"/>
        <w:gridCol w:w="2060"/>
        <w:gridCol w:w="2200"/>
      </w:tblGrid>
      <w:tr>
        <w:trPr>
          <w:tblHeader/>
        </w:trPr>
        <w:tc>
          <w:tcPr>
            <w:tcW w:type="dxa" w:w="3400"/>
            <w:shd w:fill="3E5871" w:val="clear"/>
            <w:tcMar>
              <w:top w:type="dxa" w:w="60"/>
              <w:left w:type="dxa" w:w="110"/>
              <w:bottom w:type="dxa" w:w="60"/>
              <w:right w:type="dxa" w:w="110"/>
            </w:tcMar>
          </w:tcPr>
          <w:p>
            <w:pPr>
              <w:spacing w:after="0" w:before="0" w:line="276"/>
              <w:jc w:val="left"/>
            </w:pPr>
            <w:r>
              <w:rPr>
                <w:rFonts w:ascii="Calibri" w:cs="Calibri" w:eastAsia="Calibri" w:hAnsi="Calibri"/>
                <w:b/>
                <w:bCs/>
                <w:i w:val="false"/>
                <w:iCs w:val="false"/>
                <w:color w:val="FFFFFF"/>
                <w:sz w:val="18"/>
                <w:szCs w:val="18"/>
              </w:rPr>
              <w:t xml:space="preserve">Section Reviewed</w:t>
            </w:r>
          </w:p>
        </w:tc>
        <w:tc>
          <w:tcPr>
            <w:tcW w:type="dxa" w:w="1700"/>
            <w:shd w:fill="3E5871" w:val="clear"/>
            <w:tcMar>
              <w:top w:type="dxa" w:w="60"/>
              <w:left w:type="dxa" w:w="110"/>
              <w:bottom w:type="dxa" w:w="60"/>
              <w:right w:type="dxa" w:w="110"/>
            </w:tcMar>
          </w:tcPr>
          <w:p>
            <w:pPr>
              <w:spacing w:after="0" w:before="0" w:line="276"/>
              <w:jc w:val="left"/>
            </w:pPr>
            <w:r>
              <w:rPr>
                <w:rFonts w:ascii="Calibri" w:cs="Calibri" w:eastAsia="Calibri" w:hAnsi="Calibri"/>
                <w:b/>
                <w:bCs/>
                <w:i w:val="false"/>
                <w:iCs w:val="false"/>
                <w:color w:val="FFFFFF"/>
                <w:sz w:val="18"/>
                <w:szCs w:val="18"/>
              </w:rPr>
              <w:t xml:space="preserve">Current? (Y/N)</w:t>
            </w:r>
          </w:p>
        </w:tc>
        <w:tc>
          <w:tcPr>
            <w:tcW w:type="dxa" w:w="2060"/>
            <w:shd w:fill="3E5871" w:val="clear"/>
            <w:tcMar>
              <w:top w:type="dxa" w:w="60"/>
              <w:left w:type="dxa" w:w="110"/>
              <w:bottom w:type="dxa" w:w="60"/>
              <w:right w:type="dxa" w:w="110"/>
            </w:tcMar>
          </w:tcPr>
          <w:p>
            <w:pPr>
              <w:spacing w:after="0" w:before="0" w:line="276"/>
              <w:jc w:val="left"/>
            </w:pPr>
            <w:r>
              <w:rPr>
                <w:rFonts w:ascii="Calibri" w:cs="Calibri" w:eastAsia="Calibri" w:hAnsi="Calibri"/>
                <w:b/>
                <w:bCs/>
                <w:i w:val="false"/>
                <w:iCs w:val="false"/>
                <w:color w:val="FFFFFF"/>
                <w:sz w:val="18"/>
                <w:szCs w:val="18"/>
              </w:rPr>
              <w:t xml:space="preserve">Notes / Change</w:t>
            </w:r>
          </w:p>
        </w:tc>
        <w:tc>
          <w:tcPr>
            <w:tcW w:type="dxa" w:w="2200"/>
            <w:shd w:fill="3E5871" w:val="clear"/>
            <w:tcMar>
              <w:top w:type="dxa" w:w="60"/>
              <w:left w:type="dxa" w:w="110"/>
              <w:bottom w:type="dxa" w:w="60"/>
              <w:right w:type="dxa" w:w="110"/>
            </w:tcMar>
          </w:tcPr>
          <w:p>
            <w:pPr>
              <w:spacing w:after="0" w:before="0" w:line="276"/>
              <w:jc w:val="left"/>
            </w:pPr>
            <w:r>
              <w:rPr>
                <w:rFonts w:ascii="Calibri" w:cs="Calibri" w:eastAsia="Calibri" w:hAnsi="Calibri"/>
                <w:b/>
                <w:bCs/>
                <w:i w:val="false"/>
                <w:iCs w:val="false"/>
                <w:color w:val="FFFFFF"/>
                <w:sz w:val="18"/>
                <w:szCs w:val="18"/>
              </w:rPr>
              <w:t xml:space="preserve">Reviewed By / Date</w:t>
            </w:r>
          </w:p>
        </w:tc>
      </w:tr>
      <w:tr>
        <w:tc>
          <w:tcPr>
            <w:tcW w:type="dxa" w:w="34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Section 1 — Administration &amp; Personnel</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2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r>
      <w:tr>
        <w:tc>
          <w:tcPr>
            <w:tcW w:type="dxa" w:w="34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Section 2 — Resident Rights, Admission &amp; Records</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2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r>
      <w:tr>
        <w:tc>
          <w:tcPr>
            <w:tcW w:type="dxa" w:w="34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Section 3 — Services &amp; Resident Care</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2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r>
      <w:tr>
        <w:tc>
          <w:tcPr>
            <w:tcW w:type="dxa" w:w="34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Section 4 — Health &amp; Medication Services</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2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r>
      <w:tr>
        <w:tc>
          <w:tcPr>
            <w:tcW w:type="dxa" w:w="34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Section 5 — Environment, Nutrition &amp; Safety</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2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r>
      <w:tr>
        <w:tc>
          <w:tcPr>
            <w:tcW w:type="dxa" w:w="34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Section 6 — Program Performance &amp; Outcomes</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2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r>
    </w:tbl>
    <w:p>
      <w:r>
        <w:br w:type="page"/>
      </w:r>
    </w:p>
    <w:p>
      <w:pPr>
        <w:spacing w:after="120"/>
      </w:pPr>
      <w:r>
        <w:rPr>
          <w:rFonts w:ascii="Calibri" w:cs="Calibri" w:eastAsia="Calibri" w:hAnsi="Calibri"/>
          <w:b/>
          <w:bCs/>
          <w:i w:val="false"/>
          <w:iCs w:val="false"/>
          <w:color w:val="1F3A5F"/>
          <w:sz w:val="30"/>
          <w:szCs w:val="30"/>
        </w:rPr>
        <w:t xml:space="preserve">Master Table of Contents</w:t>
      </w:r>
    </w:p>
    <w:p>
      <w:pPr>
        <w:pBdr>
          <w:bottom w:val="single" w:color="9DB1C7" w:sz="8" w:space="1"/>
        </w:pBdr>
        <w:spacing w:after="140" w:before="100"/>
      </w:pPr>
      <w:r>
        <w:rPr>
          <w:rFonts w:ascii="Calibri" w:cs="Calibri" w:eastAsia="Calibri" w:hAnsi="Calibri"/>
          <w:b w:val="false"/>
          <w:bCs w:val="false"/>
          <w:i w:val="false"/>
          <w:iCs w:val="false"/>
          <w:color w:val="1A1A1A"/>
          <w:sz w:val="2"/>
          <w:szCs w:val="2"/>
        </w:rPr>
        <w:t xml:space="preserve"/>
      </w:r>
    </w:p>
    <w:p>
      <w:pPr>
        <w:spacing w:after="60" w:before="140"/>
      </w:pPr>
      <w:r>
        <w:rPr>
          <w:rFonts w:ascii="Calibri" w:cs="Calibri" w:eastAsia="Calibri" w:hAnsi="Calibri"/>
          <w:b/>
          <w:bCs/>
          <w:i w:val="false"/>
          <w:iCs w:val="false"/>
          <w:color w:val="1F3A5F"/>
          <w:sz w:val="22"/>
          <w:szCs w:val="22"/>
        </w:rPr>
        <w:t xml:space="preserve">Section 1 — Administration &amp; Personnel</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300"/>
        <w:gridCol w:w="8060"/>
      </w:tblGrid>
      <w:tr>
        <w:trPr>
          <w:tblHeader/>
        </w:trPr>
        <w:tc>
          <w:tcPr>
            <w:tcW w:type="dxa" w:w="130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Policy</w:t>
            </w:r>
          </w:p>
        </w:tc>
        <w:tc>
          <w:tcPr>
            <w:tcW w:type="dxa" w:w="806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Title</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1.01</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Licensure and Operating Authority</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1.02</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Scope of Services and the Non-Medical Character of the Facility</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1.03</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1.04</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Policies, House Rules, and Required Postings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1.05</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Personnel Requirements and Training</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1.06</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Staffing and Care Coverage</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1.07</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Criminal Record Clearance</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1.08</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Personnel Records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1.09</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Assistance with Medications — Staff Qualification</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1.10</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Staff Health Screening</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1.11</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Unusual Incident and Death Reporting</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1.12</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Overconcentration, Fire Clearance, and Local Approvals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1.13</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Quality and Continuous Improvement</w:t>
            </w:r>
          </w:p>
        </w:tc>
      </w:tr>
    </w:tbl>
    <w:p>
      <w:pPr>
        <w:spacing w:after="60" w:before="140"/>
      </w:pPr>
      <w:r>
        <w:rPr>
          <w:rFonts w:ascii="Calibri" w:cs="Calibri" w:eastAsia="Calibri" w:hAnsi="Calibri"/>
          <w:b/>
          <w:bCs/>
          <w:i w:val="false"/>
          <w:iCs w:val="false"/>
          <w:color w:val="1F3A5F"/>
          <w:sz w:val="22"/>
          <w:szCs w:val="22"/>
        </w:rPr>
        <w:t xml:space="preserve">Section 2 — Resident Rights, Admission &amp; Records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300"/>
        <w:gridCol w:w="8060"/>
      </w:tblGrid>
      <w:tr>
        <w:trPr>
          <w:tblHeader/>
        </w:trPr>
        <w:tc>
          <w:tcPr>
            <w:tcW w:type="dxa" w:w="130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Policy</w:t>
            </w:r>
          </w:p>
        </w:tc>
        <w:tc>
          <w:tcPr>
            <w:tcW w:type="dxa" w:w="806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Title</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2.01</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Personal Rights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2.02</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Acceptance and Retention Limitations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2.03</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Admission Procedures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2.04</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Admission Agreement</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2.05</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Client Medical and Functional Assessments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2.06</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Needs and Services Plan</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2.07</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Client Records and Register</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2.08</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Reporting Abuse, Neglect, and Exploitation</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2.09</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Eviction and Relocation Procedures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2.10</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Confidentiality of Records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2.11</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Resident Cash, Property, and Valuables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2.12</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Complaints, Grievances, and Resident Councils</w:t>
            </w:r>
          </w:p>
        </w:tc>
      </w:tr>
    </w:tbl>
    <w:p>
      <w:pPr>
        <w:spacing w:after="60" w:before="140"/>
      </w:pPr>
      <w:r>
        <w:rPr>
          <w:rFonts w:ascii="Calibri" w:cs="Calibri" w:eastAsia="Calibri" w:hAnsi="Calibri"/>
          <w:b/>
          <w:bCs/>
          <w:i w:val="false"/>
          <w:iCs w:val="false"/>
          <w:color w:val="1F3A5F"/>
          <w:sz w:val="22"/>
          <w:szCs w:val="22"/>
        </w:rPr>
        <w:t xml:space="preserve">Section 3 — Services &amp; Resident Care</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300"/>
        <w:gridCol w:w="8060"/>
      </w:tblGrid>
      <w:tr>
        <w:trPr>
          <w:tblHeader/>
        </w:trPr>
        <w:tc>
          <w:tcPr>
            <w:tcW w:type="dxa" w:w="130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Policy</w:t>
            </w:r>
          </w:p>
        </w:tc>
        <w:tc>
          <w:tcPr>
            <w:tcW w:type="dxa" w:w="806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Title</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3.01</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Care and Supervision</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3.02</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Activities of Daily Living Support</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3.03</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Brain-Injury Care and Cognitive Support</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3.04</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Restricted Health Conditions and Care Plans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3.05</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Coordination with Regional Center, CalAIM, and Community Services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3.06</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Hazard Awareness, Impulse Control, and Elopement</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3.07</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Behavioral Supports and Least-Restrictive Practice</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3.08</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Freedom from Restraint and Punishment</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3.09</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Change in Condition and Plan Modification</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3.10</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Activities and Community Integration</w:t>
            </w:r>
          </w:p>
        </w:tc>
      </w:tr>
    </w:tbl>
    <w:p>
      <w:pPr>
        <w:spacing w:after="60" w:before="140"/>
      </w:pPr>
      <w:r>
        <w:rPr>
          <w:rFonts w:ascii="Calibri" w:cs="Calibri" w:eastAsia="Calibri" w:hAnsi="Calibri"/>
          <w:b/>
          <w:bCs/>
          <w:i w:val="false"/>
          <w:iCs w:val="false"/>
          <w:color w:val="1F3A5F"/>
          <w:sz w:val="22"/>
          <w:szCs w:val="22"/>
        </w:rPr>
        <w:t xml:space="preserve">Section 4 — Health &amp; Medication Services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300"/>
        <w:gridCol w:w="8060"/>
      </w:tblGrid>
      <w:tr>
        <w:trPr>
          <w:tblHeader/>
        </w:trPr>
        <w:tc>
          <w:tcPr>
            <w:tcW w:type="dxa" w:w="130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Policy</w:t>
            </w:r>
          </w:p>
        </w:tc>
        <w:tc>
          <w:tcPr>
            <w:tcW w:type="dxa" w:w="806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Title</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4.01</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Health-Related Services and Medical/Dental Care</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4.02</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Assistance with Self-Administered Medication</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4.03</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Centrally Stored Medications and Records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4.04</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Medication Disposal and Changes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4.05</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Incidental Medical Care and Home Health</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4.06</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Health Monitoring and Tuberculosis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4.07</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Prohibited and Restricted Health Conditions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4.08</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Advance Health Care Directives</w:t>
            </w:r>
          </w:p>
        </w:tc>
      </w:tr>
    </w:tbl>
    <w:p>
      <w:pPr>
        <w:spacing w:after="60" w:before="140"/>
      </w:pPr>
      <w:r>
        <w:rPr>
          <w:rFonts w:ascii="Calibri" w:cs="Calibri" w:eastAsia="Calibri" w:hAnsi="Calibri"/>
          <w:b/>
          <w:bCs/>
          <w:i w:val="false"/>
          <w:iCs w:val="false"/>
          <w:color w:val="1F3A5F"/>
          <w:sz w:val="22"/>
          <w:szCs w:val="22"/>
        </w:rPr>
        <w:t xml:space="preserve">Section 5 — Environment, Nutrition &amp; Safety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300"/>
        <w:gridCol w:w="8060"/>
      </w:tblGrid>
      <w:tr>
        <w:trPr>
          <w:tblHeader/>
        </w:trPr>
        <w:tc>
          <w:tcPr>
            <w:tcW w:type="dxa" w:w="130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Policy</w:t>
            </w:r>
          </w:p>
        </w:tc>
        <w:tc>
          <w:tcPr>
            <w:tcW w:type="dxa" w:w="806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Title</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5.01</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Physical Environment and Buildings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5.02</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Fire Safety and Emergency Disaster Plan</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5.03</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Buildings, Grounds, and Maintenance</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5.04</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Food Service and Nutrition</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5.05</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Modified and Special Diets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5.06</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Infection Control and Sanitation</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5.07</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Emergency Preparedness and Response</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5.08</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Telephones, Transportation, and Access</w:t>
            </w:r>
          </w:p>
        </w:tc>
      </w:tr>
    </w:tbl>
    <w:p>
      <w:pPr>
        <w:spacing w:after="60" w:before="140"/>
      </w:pPr>
      <w:r>
        <w:rPr>
          <w:rFonts w:ascii="Calibri" w:cs="Calibri" w:eastAsia="Calibri" w:hAnsi="Calibri"/>
          <w:b/>
          <w:bCs/>
          <w:i w:val="false"/>
          <w:iCs w:val="false"/>
          <w:color w:val="1F3A5F"/>
          <w:sz w:val="22"/>
          <w:szCs w:val="22"/>
        </w:rPr>
        <w:t xml:space="preserve">Section 6 — Program Performance &amp; Outcomes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300"/>
        <w:gridCol w:w="8060"/>
      </w:tblGrid>
      <w:tr>
        <w:trPr>
          <w:tblHeader/>
        </w:trPr>
        <w:tc>
          <w:tcPr>
            <w:tcW w:type="dxa" w:w="130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Policy</w:t>
            </w:r>
          </w:p>
        </w:tc>
        <w:tc>
          <w:tcPr>
            <w:tcW w:type="dxa" w:w="806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Title</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6.01</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Interdisciplinary Team</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6.02</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Community Re-Entry and Transition Planning</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6.03</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Outcome Measurement and Program Evaluation</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6.04</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Post-Discharge Follow-Up and Benchmarking</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6.05</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Accreditation Readiness and Person-Centered Practice</w:t>
            </w:r>
          </w:p>
        </w:tc>
      </w:tr>
    </w:tbl>
    <w:p>
      <w:r>
        <w:br w:type="page"/>
      </w:r>
    </w:p>
    <w:p>
      <w:pPr>
        <w:shd w:fill="1F3A5F" w:color="auto" w:val="clear"/>
        <w:spacing w:after="60" w:before="60"/>
      </w:pPr>
      <w:r>
        <w:rPr>
          <w:rFonts w:ascii="Calibri" w:cs="Calibri" w:eastAsia="Calibri" w:hAnsi="Calibri"/>
          <w:b/>
          <w:bCs/>
          <w:i w:val="false"/>
          <w:iCs w:val="false"/>
          <w:color w:val="FFFFFF"/>
          <w:sz w:val="24"/>
          <w:szCs w:val="24"/>
        </w:rPr>
        <w:t xml:space="preserve">SECTION 1 — ADMINISTRATION &amp; PERSONNEL</w:t>
      </w:r>
    </w:p>
    <w:p>
      <w:pPr>
        <w:spacing w:after="120" w:before="0" w:line="276"/>
        <w:jc w:val="left"/>
      </w:pPr>
      <w:r>
        <w:rPr>
          <w:rFonts w:ascii="Calibri" w:cs="Calibri" w:eastAsia="Calibri" w:hAnsi="Calibri"/>
          <w:b/>
          <w:bCs/>
          <w:i w:val="false"/>
          <w:iCs w:val="false"/>
          <w:color w:val="3E5871"/>
          <w:sz w:val="19"/>
          <w:szCs w:val="19"/>
        </w:rPr>
        <w:t xml:space="preserve">Regulatory basis: </w:t>
      </w:r>
      <w:r>
        <w:rPr>
          <w:rFonts w:ascii="Calibri" w:cs="Calibri" w:eastAsia="Calibri" w:hAnsi="Calibri"/>
          <w:b w:val="false"/>
          <w:bCs w:val="false"/>
          <w:i w:val="false"/>
          <w:iCs w:val="false"/>
          <w:color w:val="555555"/>
          <w:sz w:val="19"/>
          <w:szCs w:val="19"/>
        </w:rPr>
        <w:t xml:space="preserve">California Code of Regulations, Title 22, Division 6, Chapter 6 (Adult Residential Facilities) and the general licensing requirements applicable to community care facilities; the California Community Care Facilities Act (Health and Safety Code Section 1500 et seq.); criminal record clearance under H.S.C. Section 1522. Licensed and inspected by the California Department of Social Services (CDSS), Community Care Licensing Division (CCLD).</w:t>
      </w:r>
    </w:p>
    <w:p>
      <w:pPr>
        <w:keepNext/>
        <w:spacing w:after="100" w:before="240"/>
      </w:pPr>
      <w:r>
        <w:rPr>
          <w:rFonts w:ascii="Calibri" w:cs="Calibri" w:eastAsia="Calibri" w:hAnsi="Calibri"/>
          <w:b/>
          <w:bCs/>
          <w:i w:val="false"/>
          <w:iCs w:val="false"/>
          <w:color w:val="1F3A5F"/>
          <w:sz w:val="24"/>
          <w:szCs w:val="24"/>
        </w:rPr>
        <w:t xml:space="preserve">Policy 1.01 — Licensure and Operating Authority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Licensure and Operating Authority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Administration / Human Resources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H.S.C. § 1500 et seq., § 1520, § 1531; 22 C.C.R. § 80018</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operate at all times under a current Adult Residential Facility (ARF) license and a clearly identified licensee, and to confirm that the specialized brain-injury population the facility serves is within the scope the California Department of Social Services (CDSS) has authorized. Written to comply with the California Community Care Facilities Act (Health and Safety Code Section 1500 et seq.) and Title 22 of the California Code of Regulations.</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Adult Residential Facility (ARF) — </w:t>
      </w:r>
      <w:r>
        <w:rPr>
          <w:rFonts w:ascii="Calibri" w:cs="Calibri" w:eastAsia="Calibri" w:hAnsi="Calibri"/>
          <w:b w:val="false"/>
          <w:bCs w:val="false"/>
          <w:i w:val="false"/>
          <w:iCs w:val="false"/>
          <w:color w:val="1A1A1A"/>
          <w:sz w:val="21"/>
          <w:szCs w:val="21"/>
        </w:rPr>
        <w:t xml:space="preserve">a facility of any capacity that provides 24-hour non-medical care and supervision to adults ages eighteen through fifty-nine who have a physical, developmental, or mental disability and who are unable to provide for their own daily needs (Title 22, Division 6, Chapter 6).</w:t>
      </w:r>
    </w:p>
    <w:p>
      <w:pPr>
        <w:spacing w:after="70" w:line="276"/>
      </w:pPr>
      <w:r>
        <w:rPr>
          <w:rFonts w:ascii="Calibri" w:cs="Calibri" w:eastAsia="Calibri" w:hAnsi="Calibri"/>
          <w:b/>
          <w:bCs/>
          <w:i w:val="false"/>
          <w:iCs w:val="false"/>
          <w:color w:val="1A1A1A"/>
          <w:sz w:val="21"/>
          <w:szCs w:val="21"/>
        </w:rPr>
        <w:t xml:space="preserve">Resident (client) — </w:t>
      </w:r>
      <w:r>
        <w:rPr>
          <w:rFonts w:ascii="Calibri" w:cs="Calibri" w:eastAsia="Calibri" w:hAnsi="Calibri"/>
          <w:b w:val="false"/>
          <w:bCs w:val="false"/>
          <w:i w:val="false"/>
          <w:iCs w:val="false"/>
          <w:color w:val="1A1A1A"/>
          <w:sz w:val="21"/>
          <w:szCs w:val="21"/>
        </w:rPr>
        <w:t xml:space="preserve">an adult accepted for care and supervision in the facility; Title 22 uses the term ‘client,’ which includes ‘resident’ as used in the Community Care Facilities Act.</w:t>
      </w:r>
    </w:p>
    <w:p>
      <w:pPr>
        <w:spacing w:after="70" w:line="276"/>
      </w:pPr>
      <w:r>
        <w:rPr>
          <w:rFonts w:ascii="Calibri" w:cs="Calibri" w:eastAsia="Calibri" w:hAnsi="Calibri"/>
          <w:b/>
          <w:bCs/>
          <w:i w:val="false"/>
          <w:iCs w:val="false"/>
          <w:color w:val="1A1A1A"/>
          <w:sz w:val="21"/>
          <w:szCs w:val="21"/>
        </w:rPr>
        <w:t xml:space="preserve">Licensee — </w:t>
      </w:r>
      <w:r>
        <w:rPr>
          <w:rFonts w:ascii="Calibri" w:cs="Calibri" w:eastAsia="Calibri" w:hAnsi="Calibri"/>
          <w:b w:val="false"/>
          <w:bCs w:val="false"/>
          <w:i w:val="false"/>
          <w:iCs w:val="false"/>
          <w:color w:val="1A1A1A"/>
          <w:sz w:val="21"/>
          <w:szCs w:val="21"/>
        </w:rPr>
        <w:t xml:space="preserve">the individual or entity holding the license and legally responsible for the operation of the facility.</w:t>
      </w:r>
    </w:p>
    <w:p>
      <w:pPr>
        <w:spacing w:after="70" w:line="276"/>
      </w:pPr>
      <w:r>
        <w:rPr>
          <w:rFonts w:ascii="Calibri" w:cs="Calibri" w:eastAsia="Calibri" w:hAnsi="Calibri"/>
          <w:b/>
          <w:bCs/>
          <w:i w:val="false"/>
          <w:iCs w:val="false"/>
          <w:color w:val="1A1A1A"/>
          <w:sz w:val="21"/>
          <w:szCs w:val="21"/>
        </w:rPr>
        <w:t xml:space="preserve">CDSS / CCLD — </w:t>
      </w:r>
      <w:r>
        <w:rPr>
          <w:rFonts w:ascii="Calibri" w:cs="Calibri" w:eastAsia="Calibri" w:hAnsi="Calibri"/>
          <w:b w:val="false"/>
          <w:bCs w:val="false"/>
          <w:i w:val="false"/>
          <w:iCs w:val="false"/>
          <w:color w:val="1A1A1A"/>
          <w:sz w:val="21"/>
          <w:szCs w:val="21"/>
        </w:rPr>
        <w:t xml:space="preserve">the California Department of Social Services and its Community Care Licensing Division, which licenses and inspects ARFs.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[Facility Name] holds a current ARF license issued by CDSS, Community Care Licensing Division, and operates only within the capacity and category authorized by that license, in compliance with the Community Care Facilities Act (H.S.C. § 1500 et seq.) and Title 22. The licensee files the licensing application on the Department’s forms, demonstrates the ability to comply with all applicable requirements and sufficient financial resources to maintain the required level of service (H.S.C. § 1520), and secures fire clearance and, where required, verifies the facility is not overconcentrated (within 300 feet of another community care facility) under H.S.C. § 1520.7.</w:t>
      </w:r>
    </w:p>
    <w:p>
      <w:pPr>
        <w:spacing w:after="120" w:before="0" w:line="276"/>
        <w:jc w:val="left"/>
      </w:pPr>
      <w:r>
        <w:rPr>
          <w:rFonts w:ascii="Calibri" w:cs="Calibri" w:eastAsia="Calibri" w:hAnsi="Calibri"/>
          <w:b w:val="false"/>
          <w:bCs w:val="false"/>
          <w:i w:val="false"/>
          <w:iCs w:val="false"/>
          <w:color w:val="1A1A1A"/>
          <w:sz w:val="21"/>
          <w:szCs w:val="21"/>
        </w:rPr>
        <w:t xml:space="preserve">Because this facility serves adults with brain injury — a population that spans the ARF age range and presents with cognitive, behavioral, seizure, and safety-awareness needs — the licensee confirms at licensure that the facility’s program, staffing, and physical plant are appropriate to that population and that its capacity is one it can safely serve given the higher supervision those needs require. The facility does not operate beyond its licensed capacity or serve a population outside its license.</w:t>
      </w:r>
    </w:p>
    <w:p>
      <w:pPr>
        <w:spacing w:after="120" w:before="0" w:line="276"/>
        <w:jc w:val="left"/>
      </w:pPr>
      <w:r>
        <w:rPr>
          <w:rFonts w:ascii="Calibri" w:cs="Calibri" w:eastAsia="Calibri" w:hAnsi="Calibri"/>
          <w:b w:val="false"/>
          <w:bCs w:val="false"/>
          <w:i w:val="false"/>
          <w:iCs w:val="false"/>
          <w:color w:val="1A1A1A"/>
          <w:sz w:val="21"/>
          <w:szCs w:val="21"/>
        </w:rPr>
        <w:t xml:space="preserve">The license is posted in the facility, and the licensee reports changes of address, capacity, administrator, or ownership to the Department as required, and cooperates fully with the announced and unannounced inspections the Department conducts.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File the ARF licensing application on the Department’s forms with all required documentation and fees.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Demonstrate financial resources sufficient to maintain the required level of service (H.S.C. § 1520).</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Obtain fire clearance and verify the address is not overconcentrated under H.S.C. § 1520.7.</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Confirm the program, staffing, and physical plant fit the brain-injury population before licensure.</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Operate only within the licensed capacity and category.</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Post the license and report changes of address, capacity, administrator, or ownership to the Department.</w:t>
      </w:r>
    </w:p>
    <w:p>
      <w:pPr>
        <w:spacing w:after="70" w:line="276"/>
        <w:ind w:left="460" w:hanging="300"/>
      </w:pPr>
      <w:r>
        <w:rPr>
          <w:rFonts w:ascii="Calibri" w:cs="Calibri" w:eastAsia="Calibri" w:hAnsi="Calibri"/>
          <w:b/>
          <w:bCs/>
          <w:i w:val="false"/>
          <w:iCs w:val="false"/>
          <w:color w:val="3E5871"/>
          <w:sz w:val="21"/>
          <w:szCs w:val="21"/>
        </w:rPr>
        <w:t xml:space="preserve">7.  </w:t>
      </w:r>
      <w:r>
        <w:rPr>
          <w:rFonts w:ascii="Calibri" w:cs="Calibri" w:eastAsia="Calibri" w:hAnsi="Calibri"/>
          <w:b w:val="false"/>
          <w:bCs w:val="false"/>
          <w:i w:val="false"/>
          <w:iCs w:val="false"/>
          <w:color w:val="1A1A1A"/>
          <w:sz w:val="21"/>
          <w:szCs w:val="21"/>
        </w:rPr>
        <w:t xml:space="preserve">Cooperate with all Department inspections and maintain records for review.</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ARF License Record · Fire Clearance &amp; Overconcentration Verification</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1.02 — Scope of Services and the Non-Medical Character of the Facility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Scope of Services and the Non-Medical Character of the Facility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Administration / Human Resources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22 C.C.R. § 80078, § 80075, § 80001</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define the care and supervision the facility provides and to make clear that an ARF is a non-medical facility, so that residents with brain injury receive appropriate services and are neither admitted nor retained beyond what an ARF may lawfully provide. Written to comply with Title 22, Sections 80078, 80075, and 80001.</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Care and supervision — </w:t>
      </w:r>
      <w:r>
        <w:rPr>
          <w:rFonts w:ascii="Calibri" w:cs="Calibri" w:eastAsia="Calibri" w:hAnsi="Calibri"/>
          <w:b w:val="false"/>
          <w:bCs w:val="false"/>
          <w:i w:val="false"/>
          <w:iCs w:val="false"/>
          <w:color w:val="1A1A1A"/>
          <w:sz w:val="21"/>
          <w:szCs w:val="21"/>
        </w:rPr>
        <w:t xml:space="preserve">activities the facility is responsible for providing — including assistance with dressing, grooming, bathing and other personal hygiene; assistance with taking medication; central storage of medications; arrangement of and assistance with medical and dental care; supervision of resident schedules and activities; and maintenance of house rules — that are non-medical (§ 80001).</w:t>
      </w:r>
    </w:p>
    <w:p>
      <w:pPr>
        <w:spacing w:after="70" w:line="276"/>
      </w:pPr>
      <w:r>
        <w:rPr>
          <w:rFonts w:ascii="Calibri" w:cs="Calibri" w:eastAsia="Calibri" w:hAnsi="Calibri"/>
          <w:b/>
          <w:bCs/>
          <w:i w:val="false"/>
          <w:iCs w:val="false"/>
          <w:color w:val="1A1A1A"/>
          <w:sz w:val="21"/>
          <w:szCs w:val="21"/>
        </w:rPr>
        <w:t xml:space="preserve">Non-medical — </w:t>
      </w:r>
      <w:r>
        <w:rPr>
          <w:rFonts w:ascii="Calibri" w:cs="Calibri" w:eastAsia="Calibri" w:hAnsi="Calibri"/>
          <w:b w:val="false"/>
          <w:bCs w:val="false"/>
          <w:i w:val="false"/>
          <w:iCs w:val="false"/>
          <w:color w:val="1A1A1A"/>
          <w:sz w:val="21"/>
          <w:szCs w:val="21"/>
        </w:rPr>
        <w:t xml:space="preserve">care that does not include skilled nursing, the administration of injections or medications by staff as a nursing act, or other services requiring a licensed health facility.</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provides 24-hour non-medical care and supervision — room, board, personal-care assistance, assistance with self-administered medication and central storage of medications (§ 80075), supervision, and the arrangement of and assistance with medical and dental care — within the scope of Title 22. It is not a health facility and does not provide skilled nursing or administer medications as a nursing act; residents self-administer their medications with the assistance the rule permits, and any incidental medical need is met by the resident’s physician, a licensed professional, or a home health agency.</w:t>
      </w:r>
    </w:p>
    <w:p>
      <w:pPr>
        <w:spacing w:after="120" w:before="0" w:line="276"/>
        <w:jc w:val="left"/>
      </w:pPr>
      <w:r>
        <w:rPr>
          <w:rFonts w:ascii="Calibri" w:cs="Calibri" w:eastAsia="Calibri" w:hAnsi="Calibri"/>
          <w:b w:val="false"/>
          <w:bCs w:val="false"/>
          <w:i w:val="false"/>
          <w:iCs w:val="false"/>
          <w:color w:val="1A1A1A"/>
          <w:sz w:val="21"/>
          <w:szCs w:val="21"/>
        </w:rPr>
        <w:t xml:space="preserve">For a brain-injury population, this non-medical character shapes admission and retention decisions in a very concrete way. Many brain-injury residents take anticonvulsants or psychotropic medications; the facility supports them through assistance with self-administration, central storage, reminders, and coordination with prescribers — not through staff administration. Where a resident cannot direct their own medication use at all, or needs skilled nursing, the facility arranges licensed services or determines, honestly, that the resident’s needs exceed what an ARF may provide.</w:t>
      </w:r>
    </w:p>
    <w:p>
      <w:pPr>
        <w:spacing w:after="120" w:before="0" w:line="276"/>
        <w:jc w:val="left"/>
      </w:pPr>
      <w:r>
        <w:rPr>
          <w:rFonts w:ascii="Calibri" w:cs="Calibri" w:eastAsia="Calibri" w:hAnsi="Calibri"/>
          <w:b w:val="false"/>
          <w:bCs w:val="false"/>
          <w:i w:val="false"/>
          <w:iCs w:val="false"/>
          <w:color w:val="1A1A1A"/>
          <w:sz w:val="21"/>
          <w:szCs w:val="21"/>
        </w:rPr>
        <w:t xml:space="preserve">The facility does not admit or retain a resident with a prohibited health condition (§ 80091), and serves a resident with a restricted health condition only under the care plan and licensed-professional involvement that § 80092 requires (see Section 4).</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Provide only the non-medical care and supervision within the ARF scope (§ 80078, § 80001).</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Support medications through assistance with self-administration and central storage (§ 80075), not administration.</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Arrange licensed professionals or home health for any incidental medical need.</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Do not admit or retain a resident with a prohibited health condition (§ 80091).</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Serve a restricted-health-condition resident only under a § 80092 care plan with licensed involvement.</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Refer or relocate a resident whose needs exceed ARF authority.</w:t>
      </w:r>
    </w:p>
    <w:p>
      <w:pPr>
        <w:spacing w:after="70" w:line="276"/>
        <w:ind w:left="460" w:hanging="300"/>
      </w:pPr>
      <w:r>
        <w:rPr>
          <w:rFonts w:ascii="Calibri" w:cs="Calibri" w:eastAsia="Calibri" w:hAnsi="Calibri"/>
          <w:b/>
          <w:bCs/>
          <w:i w:val="false"/>
          <w:iCs w:val="false"/>
          <w:color w:val="3E5871"/>
          <w:sz w:val="21"/>
          <w:szCs w:val="21"/>
        </w:rPr>
        <w:t xml:space="preserve">7.  </w:t>
      </w:r>
      <w:r>
        <w:rPr>
          <w:rFonts w:ascii="Calibri" w:cs="Calibri" w:eastAsia="Calibri" w:hAnsi="Calibri"/>
          <w:b w:val="false"/>
          <w:bCs w:val="false"/>
          <w:i w:val="false"/>
          <w:iCs w:val="false"/>
          <w:color w:val="1A1A1A"/>
          <w:sz w:val="21"/>
          <w:szCs w:val="21"/>
        </w:rPr>
        <w:t xml:space="preserve">Document scope-of-services decisions in the resident record.</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Scope of Services Statement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1.03 — Administrator</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Administrator</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Administration / Human Resources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22 C.C.R. § 80064; H.S.C. § 1522</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ensure the facility is managed by a qualified, certified administrator accountable for its operation and for the quality of care its brain-injury residents receive. Written to comply with Title 22, Section 80064.</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Administrator — </w:t>
      </w:r>
      <w:r>
        <w:rPr>
          <w:rFonts w:ascii="Calibri" w:cs="Calibri" w:eastAsia="Calibri" w:hAnsi="Calibri"/>
          <w:b w:val="false"/>
          <w:bCs w:val="false"/>
          <w:i w:val="false"/>
          <w:iCs w:val="false"/>
          <w:color w:val="1A1A1A"/>
          <w:sz w:val="21"/>
          <w:szCs w:val="21"/>
        </w:rPr>
        <w:t xml:space="preserve">the individual designated by the licensee to act on the licensee’s behalf in the overall management of the facility, who holds a current ARF Administrator Certificate.</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is managed by an administrator who has completed the required Adult Residential Facility Administrator Certification Program (35 hours), passed the Department-administered examination, holds a current certificate with the required continuing education, and has obtained criminal record clearance (H.S.C. § 1522). The administrator is responsible for the facility’s compliance with Title 22, its day-to-day operation, staff supervision, and resident services, and designates a qualified person to act when the administrator is absent.</w:t>
      </w:r>
    </w:p>
    <w:p>
      <w:pPr>
        <w:spacing w:after="120" w:before="0" w:line="276"/>
        <w:jc w:val="left"/>
      </w:pPr>
      <w:r>
        <w:rPr>
          <w:rFonts w:ascii="Calibri" w:cs="Calibri" w:eastAsia="Calibri" w:hAnsi="Calibri"/>
          <w:b w:val="false"/>
          <w:bCs w:val="false"/>
          <w:i w:val="false"/>
          <w:iCs w:val="false"/>
          <w:color w:val="1A1A1A"/>
          <w:sz w:val="21"/>
          <w:szCs w:val="21"/>
        </w:rPr>
        <w:t xml:space="preserve">Because the residents are adults with brain injury, the administrator gives particular attention to the matters that make or break care for this population: consistent staffing across shifts (a rotating cast destabilizes residents with memory and processing deficits), reliable support with self-administered medication, individualized behavioral and safety supports, and coordination with each resident’s regional center or CalAIM care manager, physicians, and therapists. The administrator reviews unusual incidents and complaints and ensures corrective action is taken.</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Ensure the administrator holds a current ARF Administrator Certificate and required continuing education.</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Obtain and maintain the administrator’s criminal record clearance (H.S.C. § 1522).</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Designate a qualified person to act in the administrator’s absence.</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Ensure day-to-day compliance with Title 22 and this manual.</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Review unusual incidents and complaints and direct corrective action.</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Ensure coordination with residents’ external care managers and providers.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Administrator Designation &amp; Certification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1.04 — Policies, House Rules, and Required Postings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Policies, House Rules, and Required Postings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Administration / Human Resources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22 C.C.R. § 80072, § 80025</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maintain current written policies and house rules that implement Title 22 and protect residents, and to post the information residents are entitled to see. Written to comply with Title 22.</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maintains written policies and procedures implementing Title 22 and the Community Care Facilities Act, keeps them accessible to staff, and reviews them at least annually and upon any change in law, regulation, or accreditation standard. House rules exist for the protection of residents and are provided to residents; required information is posted, including the license, personal rights (LIC 613C), the Community Care Licensing complaint telephone number, and emergency information.</w:t>
      </w:r>
    </w:p>
    <w:p>
      <w:pPr>
        <w:spacing w:after="120" w:before="0" w:line="276"/>
        <w:jc w:val="left"/>
      </w:pPr>
      <w:r>
        <w:rPr>
          <w:rFonts w:ascii="Calibri" w:cs="Calibri" w:eastAsia="Calibri" w:hAnsi="Calibri"/>
          <w:b w:val="false"/>
          <w:bCs w:val="false"/>
          <w:i w:val="false"/>
          <w:iCs w:val="false"/>
          <w:color w:val="1A1A1A"/>
          <w:sz w:val="21"/>
          <w:szCs w:val="21"/>
        </w:rPr>
        <w:t xml:space="preserve">Policies are written so a new staff member — or a Licensing Program Analyst on an unannounced visit — can see exactly how the facility supports residents with brain injury: how it assists with medications, manages behavior and elopement risk, and responds to a change in a resident’s condition. The administrator records each review and revision.</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Keep a master policy manual accessible to all staff.</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Provide house rules to residents and post the license, personal rights, complaint number, and emergency information.</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Review all policies at least annually and record the review.</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Update policies promptly after any applicable change in law or standard.</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Train staff on new or revised policies and document it.</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Yearly Policy Review Log · Required Postings Checklist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1.05 — Personnel Requirements and Training</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Personnel Requirements and Training</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Administration / Human Resources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22 C.C.R. § 80065</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ensure staff are qualified and trained — before they work with residents — to meet the needs of a brain-injury population, including the specific training § 80065 requires. Written to comply with Title 22, Section 80065.</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Direct care staff — </w:t>
      </w:r>
      <w:r>
        <w:rPr>
          <w:rFonts w:ascii="Calibri" w:cs="Calibri" w:eastAsia="Calibri" w:hAnsi="Calibri"/>
          <w:b w:val="false"/>
          <w:bCs w:val="false"/>
          <w:i w:val="false"/>
          <w:iCs w:val="false"/>
          <w:color w:val="1A1A1A"/>
          <w:sz w:val="21"/>
          <w:szCs w:val="21"/>
        </w:rPr>
        <w:t xml:space="preserve">staff who provide care, supervision, and personal-care assistance to residents.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Each employee meets the qualifications for the position, is at least eighteen years of age, obtains criminal record clearance before contact with residents, and completes the training § 80065 requires — on-the-job training or equivalent experience in the physical and social needs and characteristics of the resident population, nutrition and food handling, housekeeping, resident care and communication, assisting with self-administered medications, recognizing early signs of illness and the need for professional help, and available community resources. Where the facility uses secured perimeters, each direct care staff member is trained in Emergency Intervention (§ 85300).</w:t>
      </w:r>
    </w:p>
    <w:p>
      <w:pPr>
        <w:spacing w:after="120" w:before="0" w:line="276"/>
        <w:jc w:val="left"/>
      </w:pPr>
      <w:r>
        <w:rPr>
          <w:rFonts w:ascii="Calibri" w:cs="Calibri" w:eastAsia="Calibri" w:hAnsi="Calibri"/>
          <w:b w:val="false"/>
          <w:bCs w:val="false"/>
          <w:i w:val="false"/>
          <w:iCs w:val="false"/>
          <w:color w:val="1A1A1A"/>
          <w:sz w:val="21"/>
          <w:szCs w:val="21"/>
        </w:rPr>
        <w:t xml:space="preserve">For a brain-injury home, the facility trains beyond the minimum on the content that defines good care for this population: how injury to different areas of the brain affects memory, attention, initiation, judgment, and impulse control; cueing and compensatory strategies; recognizing and de-escalating agitation; seizure recognition and response; fall prevention; and each resident’s individual strategies so care is consistent across shifts. This training is also a selling point that payers, regional centers, and referral sources expect of a specialized provider.</w:t>
      </w:r>
    </w:p>
    <w:p>
      <w:pPr>
        <w:spacing w:after="120" w:before="0" w:line="276"/>
        <w:jc w:val="left"/>
      </w:pPr>
      <w:r>
        <w:rPr>
          <w:rFonts w:ascii="Calibri" w:cs="Calibri" w:eastAsia="Calibri" w:hAnsi="Calibri"/>
          <w:b w:val="false"/>
          <w:bCs w:val="false"/>
          <w:i w:val="false"/>
          <w:iCs w:val="false"/>
          <w:color w:val="1A1A1A"/>
          <w:sz w:val="21"/>
          <w:szCs w:val="21"/>
        </w:rPr>
        <w:t xml:space="preserve">All training is documented with the topic, date, hours, and the staff member’s completion, and training is refreshed on a defined schedule and after any performance concern.</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Verify qualifications and obtain criminal record clearance before any resident contact.</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Complete § 80065 training on population needs, food handling, resident care/communication, medication assistance, illness recognition, and community resources.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Provide brain-injury, seizure-response, and de-escalation training.</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Train direct care staff in Emergency Intervention where secured perimeters are used (§ 85300).</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Refresh training on schedule and after any performance concern.</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Document topic, date, hours, and completion for each staff member.</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Staff Training Record · Orientation Checklist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1.06 — Staffing and Care Coverage</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Staffing and Care Coverage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Administration / Human Resources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22 C.C.R. § 80065, § 80078</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provide staff sufficient in number and qualifications to meet residents’ needs at all times, recognizing that a brain-injury population requires more supervision and more consistency than a typical residential census. Written to comply with Title 22, Sections 80065 and 80078.</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Awake staff — </w:t>
      </w:r>
      <w:r>
        <w:rPr>
          <w:rFonts w:ascii="Calibri" w:cs="Calibri" w:eastAsia="Calibri" w:hAnsi="Calibri"/>
          <w:b w:val="false"/>
          <w:bCs w:val="false"/>
          <w:i w:val="false"/>
          <w:iCs w:val="false"/>
          <w:color w:val="1A1A1A"/>
          <w:sz w:val="21"/>
          <w:szCs w:val="21"/>
        </w:rPr>
        <w:t xml:space="preserve">staff who remain awake and on duty to provide supervision and respond to resident needs, including overnight where residents’ needs require it.</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employs sufficient staff — in number, qualifications, and availability — to provide the care and supervision necessary to meet the needs of all residents at all times, and maintains 24-hour staff coverage; when all residents are away from the facility, a designated staff person is available to respond to sick or emergency calls. Where the facility serves regional center consumers, it maintains at least the one-to-three direct-care-staff-to-resident ratio required for that population, and the Department may require additional staffing whenever residents’ needs warrant it.</w:t>
      </w:r>
    </w:p>
    <w:p>
      <w:pPr>
        <w:spacing w:after="120" w:before="0" w:line="276"/>
        <w:jc w:val="left"/>
      </w:pPr>
      <w:r>
        <w:rPr>
          <w:rFonts w:ascii="Calibri" w:cs="Calibri" w:eastAsia="Calibri" w:hAnsi="Calibri"/>
          <w:b w:val="false"/>
          <w:bCs w:val="false"/>
          <w:i w:val="false"/>
          <w:iCs w:val="false"/>
          <w:color w:val="1A1A1A"/>
          <w:sz w:val="21"/>
          <w:szCs w:val="21"/>
        </w:rPr>
        <w:t xml:space="preserve">Brain injury drives staffing up in two ways: residents need closer supervision (for elopement and safety risk, impulsivity, fall risk, and behavioral support), and they need consistency — the same trained staff who know each resident’s cues and strategies. The facility therefore schedules for continuity and invests in retention, and provides awake overnight staffing where residents’ needs or the census require it.</w:t>
      </w:r>
    </w:p>
    <w:p>
      <w:pPr>
        <w:spacing w:after="120" w:before="0" w:line="276"/>
        <w:jc w:val="left"/>
      </w:pPr>
      <w:r>
        <w:rPr>
          <w:rFonts w:ascii="Calibri" w:cs="Calibri" w:eastAsia="Calibri" w:hAnsi="Calibri"/>
          <w:b w:val="false"/>
          <w:bCs w:val="false"/>
          <w:i w:val="false"/>
          <w:iCs w:val="false"/>
          <w:color w:val="1A1A1A"/>
          <w:sz w:val="21"/>
          <w:szCs w:val="21"/>
        </w:rPr>
        <w:t xml:space="preserve">The facility documents its staffing and adjusts it as residents are admitted, relocated, or change in condition.</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Staff to residents’ assessed needs at all times, with 24-hour coverage.</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Maintain the 1:3 direct-care ratio for regional center consumers, and more where needed.</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Ensure a designated staff person is available even when all residents are out.</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Provide awake overnight staffing where residents’ needs or census require it.</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Schedule for continuity so residents are supported by familiar staff.</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Document daily staffing and adjust as needs change.</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Staffing Schedule &amp; Coverage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1.07 — Criminal Record Clearance</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Criminal Record Clearance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Administration / Human Resources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H.S.C. § 1522; 22 C.C.R. § 80019</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protect vulnerable residents by ensuring every person present in the facility has the criminal record clearance California law requires. Written to comply with Health and Safety Code Section 1522.</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Live Scan — </w:t>
      </w:r>
      <w:r>
        <w:rPr>
          <w:rFonts w:ascii="Calibri" w:cs="Calibri" w:eastAsia="Calibri" w:hAnsi="Calibri"/>
          <w:b w:val="false"/>
          <w:bCs w:val="false"/>
          <w:i w:val="false"/>
          <w:iCs w:val="false"/>
          <w:color w:val="1A1A1A"/>
          <w:sz w:val="21"/>
          <w:szCs w:val="21"/>
        </w:rPr>
        <w:t xml:space="preserve">the electronic fingerprinting process used to submit prints to the California Department of Justice and the FBI for a background check through CDSS Community Care Licensing.</w:t>
      </w:r>
    </w:p>
    <w:p>
      <w:pPr>
        <w:spacing w:after="70" w:line="276"/>
      </w:pPr>
      <w:r>
        <w:rPr>
          <w:rFonts w:ascii="Calibri" w:cs="Calibri" w:eastAsia="Calibri" w:hAnsi="Calibri"/>
          <w:b/>
          <w:bCs/>
          <w:i w:val="false"/>
          <w:iCs w:val="false"/>
          <w:color w:val="1A1A1A"/>
          <w:sz w:val="21"/>
          <w:szCs w:val="21"/>
        </w:rPr>
        <w:t xml:space="preserve">Rap Back — </w:t>
      </w:r>
      <w:r>
        <w:rPr>
          <w:rFonts w:ascii="Calibri" w:cs="Calibri" w:eastAsia="Calibri" w:hAnsi="Calibri"/>
          <w:b w:val="false"/>
          <w:bCs w:val="false"/>
          <w:i w:val="false"/>
          <w:iCs w:val="false"/>
          <w:color w:val="1A1A1A"/>
          <w:sz w:val="21"/>
          <w:szCs w:val="21"/>
        </w:rPr>
        <w:t xml:space="preserve">the FBI service that retains fingerprints and continuously notifies the Department of any subsequent arrest, so clearance is not a one-time event.</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Before the licensee, administrator, employees, and any other person subject to the requirement have contact with residents or presence in the facility, they obtain a criminal record clearance or an approved exemption from CDSS, through Live Scan fingerprinting submitted to the Department of Justice and the FBI (H.S.C. § 1522). Because California uses Rap Back, any subsequent arrest triggers a notification to the Department, so the facility acts on new information about a cleared person.</w:t>
      </w:r>
    </w:p>
    <w:p>
      <w:pPr>
        <w:spacing w:after="120" w:before="0" w:line="276"/>
        <w:jc w:val="left"/>
      </w:pPr>
      <w:r>
        <w:rPr>
          <w:rFonts w:ascii="Calibri" w:cs="Calibri" w:eastAsia="Calibri" w:hAnsi="Calibri"/>
          <w:b w:val="false"/>
          <w:bCs w:val="false"/>
          <w:i w:val="false"/>
          <w:iCs w:val="false"/>
          <w:color w:val="1A1A1A"/>
          <w:sz w:val="21"/>
          <w:szCs w:val="21"/>
        </w:rPr>
        <w:t xml:space="preserve">This protection is especially important in a brain-injury home, where residents may have impaired memory, communication, or judgment and be less able to report mistreatment; rigorous screening is a front-line safeguard. The facility does not permit a person without clearance or an approved exemption to be present in the facility in a capacity requiring it, and it keeps clearance documentation on file.</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Complete Live Scan fingerprinting for all persons subject to the requirement before resident contact.</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Obtain criminal record clearance or an approved exemption from CDSS before presence in the facility.</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Act promptly on any Rap Back notification about a cleared person.</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Do not permit an uncleared person to be present in a capacity requiring clearance.</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Maintain clearance and exemption documentation on file.</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Criminal Record Clearance Log · Live Scan Records</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1.08 — Personnel Records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Personnel Records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Administration / Human Resources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22 C.C.R. § 80066</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maintain a complete, current, confidential record for each employee that documents qualifications, clearance, health screening, and training. Written to comply with Title 22, Section 80066.</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maintains a personnel record for the licensee, the administrator, and each employee containing the elements § 80066 requires — full name, home address and phone, date of employment, past experience, duties, driver’s license number if the employee transports residents, a signed statement of being at least eighteen, the health screening required by § 80065(g), and documentation of training — along with the criminal record clearance. Records are retained and made available to the Department to inspect, audit, and copy on demand.</w:t>
      </w:r>
    </w:p>
    <w:p>
      <w:pPr>
        <w:spacing w:after="120" w:before="0" w:line="276"/>
        <w:jc w:val="left"/>
      </w:pPr>
      <w:r>
        <w:rPr>
          <w:rFonts w:ascii="Calibri" w:cs="Calibri" w:eastAsia="Calibri" w:hAnsi="Calibri"/>
          <w:b w:val="false"/>
          <w:bCs w:val="false"/>
          <w:i w:val="false"/>
          <w:iCs w:val="false"/>
          <w:color w:val="1A1A1A"/>
          <w:sz w:val="21"/>
          <w:szCs w:val="21"/>
        </w:rPr>
        <w:t xml:space="preserve">Complete personnel documentation is how the facility proves, on an inspection or after any incident, that its brain-injury staff were cleared, qualified, and trained to do what they did. The facility secures these records and limits access to authorized persons.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Maintain a personnel record with every § 80066 element for the licensee, administrator, and each employee.</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File clearance, health-screening, and training documentation.</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Secure records and limit access to authorized persons.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Make records available to the Department on demand.</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Retain records for the required period.</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Personnel File Checklist · Job Description Templates</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1.09 — Assistance with Medications — Staff Qualification</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Assistance with Medications — Staff Qualification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Administration / Human Resources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22 C.C.R. § 80075, § 80065</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ensure staff who assist residents with medications — a high-stakes task for a brain-injury population — are trained and act within the non-medical limits of an ARF. Written to comply with Title 22, Sections 80075 and 80065.</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Staff who assist residents with self-administered medication, or who handle centrally stored medications, are trained in assisting with self-administered medications as § 80065 requires and act strictly within the limits of § 80075. They do not administer medications as a nursing act. Assistance is limited to reminding the resident to take medications, observing the resident, storing and making medications available, and similar non-medical help, with any act beyond that scope performed only by an appropriately licensed professional.</w:t>
      </w:r>
    </w:p>
    <w:p>
      <w:pPr>
        <w:spacing w:after="120" w:before="0" w:line="276"/>
        <w:jc w:val="left"/>
      </w:pPr>
      <w:r>
        <w:rPr>
          <w:rFonts w:ascii="Calibri" w:cs="Calibri" w:eastAsia="Calibri" w:hAnsi="Calibri"/>
          <w:b w:val="false"/>
          <w:bCs w:val="false"/>
          <w:i w:val="false"/>
          <w:iCs w:val="false"/>
          <w:color w:val="1A1A1A"/>
          <w:sz w:val="21"/>
          <w:szCs w:val="21"/>
        </w:rPr>
        <w:t xml:space="preserve">Because many brain-injury residents cannot reliably manage their own medications — impaired memory or judgment makes missed, doubled, or refused doses a real danger, particularly with anticonvulsants — the facility clearly identifies, resident by resident and in the Needs and Services Plan, the level of assistance each resident needs and whether a licensed professional or home health is required to safely maintain the regimen. Staff document the assistance provided.</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Train staff in assisting with self-administered medications before they assist (§ 80065).</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Limit assistance to the non-medical help permitted by § 80075.</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Arrange a licensed professional or home health for any act beyond that scope.</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Identify each resident’s medication-assistance needs in the Needs and Services Plan.</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Document the assistance provided.</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Escalate to a prescriber or licensed professional when a resident’s regimen cannot be safely maintained with assistance alone.</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Medication-Assistance Training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1.10 — Staff Health Screening</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Staff Health Screening</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Administration / Human Resources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22 C.C.R. § 80065(g)</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protect medically and cognitively vulnerable residents from communicable disease transmitted by staff. Written to comply with Title 22, Section 80065(g).</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Each employee obtains the health screening required by § 80065(g), including a tuberculosis screening consistent with public-health requirements, before or as required after beginning work, and a staff member with a communicable condition is managed — including work restriction where appropriate — to protect residents and other staff. Screening documentation is kept in the personnel record.</w:t>
      </w:r>
    </w:p>
    <w:p>
      <w:pPr>
        <w:spacing w:after="120" w:before="0" w:line="276"/>
        <w:jc w:val="left"/>
      </w:pPr>
      <w:r>
        <w:rPr>
          <w:rFonts w:ascii="Calibri" w:cs="Calibri" w:eastAsia="Calibri" w:hAnsi="Calibri"/>
          <w:b w:val="false"/>
          <w:bCs w:val="false"/>
          <w:i w:val="false"/>
          <w:iCs w:val="false"/>
          <w:color w:val="1A1A1A"/>
          <w:sz w:val="21"/>
          <w:szCs w:val="21"/>
        </w:rPr>
        <w:t xml:space="preserve">Brain-injury residents may have reduced ability to follow hygiene precautions or report early symptoms, so staff health management is an important layer of protection.</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Complete the § 80065(g) health screening, including TB screening, as required.</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Manage staff with communicable conditions to protect residents.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Follow public-health requirements before return to resident contact.</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Maintain screening documentation in the personnel record.</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Staff Health Screening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1.11 — Unusual Incident and Death Reporting</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Unusual Incident and Death Reporting</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Administration / Human Resources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22 C.C.R. § 80061</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report, document, investigate, and learn from unusual incidents affecting residents. Written to comply with Title 22, Section 80061.</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Unusual incident — </w:t>
      </w:r>
      <w:r>
        <w:rPr>
          <w:rFonts w:ascii="Calibri" w:cs="Calibri" w:eastAsia="Calibri" w:hAnsi="Calibri"/>
          <w:b w:val="false"/>
          <w:bCs w:val="false"/>
          <w:i w:val="false"/>
          <w:iCs w:val="false"/>
          <w:color w:val="1A1A1A"/>
          <w:sz w:val="21"/>
          <w:szCs w:val="21"/>
        </w:rPr>
        <w:t xml:space="preserve">an event such as an injury, death, epidemic outbreak, poisoning, fire, an incident requiring the involvement of law enforcement, or other event that threatens the health, safety, or welfare of a resident, reportable to the Department and others as § 80061 requires.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reports unusual incidents — including a resident’s death, serious injury, abuse allegations, epidemic outbreak, an incident requiring law enforcement, or an unexplained absence — to the Department (and to the resident’s authorized representative and placement or regional-center agency, as applicable) within the timeframes § 80061 requires, using the required report (LIC 624), and maintains documentation. Each incident is investigated to its cause, corrective action is taken, and the incident is reviewed through the facility’s quality process.</w:t>
      </w:r>
    </w:p>
    <w:p>
      <w:pPr>
        <w:spacing w:after="120" w:before="0" w:line="276"/>
        <w:jc w:val="left"/>
      </w:pPr>
      <w:r>
        <w:rPr>
          <w:rFonts w:ascii="Calibri" w:cs="Calibri" w:eastAsia="Calibri" w:hAnsi="Calibri"/>
          <w:b w:val="false"/>
          <w:bCs w:val="false"/>
          <w:i w:val="false"/>
          <w:iCs w:val="false"/>
          <w:color w:val="1A1A1A"/>
          <w:sz w:val="21"/>
          <w:szCs w:val="21"/>
        </w:rPr>
        <w:t xml:space="preserve">In a brain-injury home, the incidents that recur — falls, elopement attempts, behavioral episodes, and medication events — are often preventable through better individualized planning, so the facility uses incident data to adjust Needs and Services Plans, staffing, and training.</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Report unusual incidents and deaths to the Department and others within required timeframes (§ 80061), using LIC 624.</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Provide for the resident’s immediate safety and preserve any evidence.</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Investigate each incident to its cause.</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Implement corrective action and track it to closure.</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Analyze incident trends and adjust plans, staffing, and training.</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Maintain incident documentation.</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Unusual Incident / Injury Report (LIC 624) · Incident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1.12 — Overconcentration, Fire Clearance, and Local Approvals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Overconcentration, Fire Clearance, and Local Approvals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Administration / Human Resources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H.S.C. § 1520.7; fire clearance requirements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satisfy the siting, fire-clearance, and local approvals an ARF must have before and during operation. Written to comply with Health and Safety Code Section 1520.7 and applicable fire-clearance requirements.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Before licensure, the facility verifies that its address is not overconcentrated — within 300 feet of another community care facility — under H.S.C. § 1520.7 (a requirement applicable to ARFs), obtains the required fire clearance for its capacity and any non-ambulatory residents, and confirms local zoning permits the facility. The facility maintains its fire clearance and complies with any conditions on it.</w:t>
      </w:r>
    </w:p>
    <w:p>
      <w:pPr>
        <w:spacing w:after="120" w:before="0" w:line="276"/>
        <w:jc w:val="left"/>
      </w:pPr>
      <w:r>
        <w:rPr>
          <w:rFonts w:ascii="Calibri" w:cs="Calibri" w:eastAsia="Calibri" w:hAnsi="Calibri"/>
          <w:b w:val="false"/>
          <w:bCs w:val="false"/>
          <w:i w:val="false"/>
          <w:iCs w:val="false"/>
          <w:color w:val="1A1A1A"/>
          <w:sz w:val="21"/>
          <w:szCs w:val="21"/>
        </w:rPr>
        <w:t xml:space="preserve">For a brain-injury population, ambulatory status and evacuation ability directly affect fire clearance and staffing; the facility ensures its clearance matches the residents it actually serves and re-evaluates when a resident’s mobility or cognition changes.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Verify the address is not overconcentrated under H.S.C. § 1520.7 before licensure.</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Obtain fire clearance appropriate to capacity and residents’ ambulatory status.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Confirm local zoning permits the facility at the address.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Maintain the fire clearance and comply with its conditions.</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Re-evaluate clearance when residents’ mobility or cognition changes.</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Keep siting, clearance, and zoning documentation on file.</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Fire Clearance Record · Overconcentration &amp; Zoning Verification</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1.13 — Quality and Continuous Improvement</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Quality and Continuous Improvement</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Administration / Human Resources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22 C.C.R. Chapter 6; facility quality program</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monitor and continuously improve the quality, safety, and outcomes of the services the facility provides to residents with brain injury. Written to align with Title 22 and good practice.</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operates a quality process that reviews unusual incidents, complaints, medication events, and inspection findings; tracks the program-level outcomes described in Section 6; identifies trends; and implements and monitors corrective action, documented and reported to the licensee at least annually.</w:t>
      </w:r>
    </w:p>
    <w:p>
      <w:pPr>
        <w:spacing w:after="120" w:before="0" w:line="276"/>
        <w:jc w:val="left"/>
      </w:pPr>
      <w:r>
        <w:rPr>
          <w:rFonts w:ascii="Calibri" w:cs="Calibri" w:eastAsia="Calibri" w:hAnsi="Calibri"/>
          <w:b w:val="false"/>
          <w:bCs w:val="false"/>
          <w:i w:val="false"/>
          <w:iCs w:val="false"/>
          <w:color w:val="1A1A1A"/>
          <w:sz w:val="21"/>
          <w:szCs w:val="21"/>
        </w:rPr>
        <w:t xml:space="preserve">Quality improvement in a brain-injury program looks beyond compliance to whether residents are actually gaining function and moving toward greater independence; the facility uses both compliance and outcome data to drive improvement and verifies that corrective actions worked.</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Collect and review quality and outcome data on a defined schedule.</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Analyze trends across incidents, complaints, and medication events.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Implement written corrective-action plans and track them to closure.</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Verify effectiveness of corrective actions.</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Report quality findings to the licensee at least annually.</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Feed findings back into Needs and Services Plans, staffing, and training.</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Quality Review Log · Corrective Action Plan</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shd w:fill="1F3A5F" w:color="auto" w:val="clear"/>
        <w:spacing w:after="60" w:before="60"/>
      </w:pPr>
      <w:r>
        <w:rPr>
          <w:rFonts w:ascii="Calibri" w:cs="Calibri" w:eastAsia="Calibri" w:hAnsi="Calibri"/>
          <w:b/>
          <w:bCs/>
          <w:i w:val="false"/>
          <w:iCs w:val="false"/>
          <w:color w:val="FFFFFF"/>
          <w:sz w:val="24"/>
          <w:szCs w:val="24"/>
        </w:rPr>
        <w:t xml:space="preserve">SECTION 2 — RESIDENT RIGHTS, ADMISSION &amp; RECORDS</w:t>
      </w:r>
    </w:p>
    <w:p>
      <w:pPr>
        <w:spacing w:after="120" w:before="0" w:line="276"/>
        <w:jc w:val="left"/>
      </w:pPr>
      <w:r>
        <w:rPr>
          <w:rFonts w:ascii="Calibri" w:cs="Calibri" w:eastAsia="Calibri" w:hAnsi="Calibri"/>
          <w:b/>
          <w:bCs/>
          <w:i w:val="false"/>
          <w:iCs w:val="false"/>
          <w:color w:val="3E5871"/>
          <w:sz w:val="19"/>
          <w:szCs w:val="19"/>
        </w:rPr>
        <w:t xml:space="preserve">Regulatory basis: </w:t>
      </w:r>
      <w:r>
        <w:rPr>
          <w:rFonts w:ascii="Calibri" w:cs="Calibri" w:eastAsia="Calibri" w:hAnsi="Calibri"/>
          <w:b w:val="false"/>
          <w:bCs w:val="false"/>
          <w:i w:val="false"/>
          <w:iCs w:val="false"/>
          <w:color w:val="555555"/>
          <w:sz w:val="19"/>
          <w:szCs w:val="19"/>
        </w:rPr>
        <w:t xml:space="preserve">California Code of Regulations, Title 22, Division 6, Chapter 6 (Adult Residential Facilities) and the general licensing requirements applicable to community care facilities; the California Community Care Facilities Act (Health and Safety Code Section 1500 et seq.); criminal record clearance under H.S.C. Section 1522. Licensed and inspected by the California Department of Social Services (CDSS), Community Care Licensing Division (CCLD).</w:t>
      </w:r>
    </w:p>
    <w:p>
      <w:pPr>
        <w:keepNext/>
        <w:spacing w:after="100" w:before="240"/>
      </w:pPr>
      <w:r>
        <w:rPr>
          <w:rFonts w:ascii="Calibri" w:cs="Calibri" w:eastAsia="Calibri" w:hAnsi="Calibri"/>
          <w:b/>
          <w:bCs/>
          <w:i w:val="false"/>
          <w:iCs w:val="false"/>
          <w:color w:val="1F3A5F"/>
          <w:sz w:val="24"/>
          <w:szCs w:val="24"/>
        </w:rPr>
        <w:t xml:space="preserve">Policy 2.01 — Personal Rights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Personal Rights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Services / Administration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22 C.C.R. § 80072; H.S.C. § 1500 et seq.</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protect, and actively support the exercise of, every personal right Title 22 guarantees to residents — accommodating the cognitive and communication effects of brain injury so those rights are real, not merely posted. Written to comply with Title 22, Section 80072.</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Authorized representative — </w:t>
      </w:r>
      <w:r>
        <w:rPr>
          <w:rFonts w:ascii="Calibri" w:cs="Calibri" w:eastAsia="Calibri" w:hAnsi="Calibri"/>
          <w:b w:val="false"/>
          <w:bCs w:val="false"/>
          <w:i w:val="false"/>
          <w:iCs w:val="false"/>
          <w:color w:val="1A1A1A"/>
          <w:sz w:val="21"/>
          <w:szCs w:val="21"/>
        </w:rPr>
        <w:t xml:space="preserve">a person, such as a conservator or an agent under an advance directive, legally authorized to act on a resident’s behalf.</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ensures each resident enjoys the personal rights enumerated in § 80072, including the rights to dignity in personal relationships with staff and others; to safe, healthful, and comfortable accommodations; to freedom from corporal or unusual punishment, humiliation, intimidation, mental abuse, or punitive interference with daily living functions (including eating, sleeping, or toileting) or withholding of shelter, clothing, medication, or aids to physical functioning; to be informed of the appeal and complaint procedures; to confidentiality; to visitors; to possess and use personal belongings; and to leave or depart the facility. A copy of personal rights (LIC 613C) is provided and explained on admission and posted.</w:t>
      </w:r>
    </w:p>
    <w:p>
      <w:pPr>
        <w:spacing w:after="120" w:before="0" w:line="276"/>
        <w:jc w:val="left"/>
      </w:pPr>
      <w:r>
        <w:rPr>
          <w:rFonts w:ascii="Calibri" w:cs="Calibri" w:eastAsia="Calibri" w:hAnsi="Calibri"/>
          <w:b w:val="false"/>
          <w:bCs w:val="false"/>
          <w:i w:val="false"/>
          <w:iCs w:val="false"/>
          <w:color w:val="1A1A1A"/>
          <w:sz w:val="21"/>
          <w:szCs w:val="21"/>
        </w:rPr>
        <w:t xml:space="preserve">For residents with brain injury, exercising these rights often requires accommodation — simplified explanations, extra time, repetition, written or visual cues, and patience — because a right the resident cannot understand or act on is not truly protected. Staff are trained to presume capacity, to support decision-making rather than substitute for it, and to involve an authorized representative appropriately without overriding the resident. Personal belongings, freedom of movement, and the right to make choices are honored within each resident’s Needs and Services Plan.</w:t>
      </w:r>
    </w:p>
    <w:p>
      <w:pPr>
        <w:spacing w:after="120" w:before="0" w:line="276"/>
        <w:jc w:val="left"/>
      </w:pPr>
      <w:r>
        <w:rPr>
          <w:rFonts w:ascii="Calibri" w:cs="Calibri" w:eastAsia="Calibri" w:hAnsi="Calibri"/>
          <w:b w:val="false"/>
          <w:bCs w:val="false"/>
          <w:i w:val="false"/>
          <w:iCs w:val="false"/>
          <w:color w:val="1A1A1A"/>
          <w:sz w:val="21"/>
          <w:szCs w:val="21"/>
        </w:rPr>
        <w:t xml:space="preserve">All personnel are instructed to report any observed or suspected violation of personal rights, and the facility investigates and corrects any violation.</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Provide and explain personal rights (LIC 613C) on admission, with cognitive and communication accommodations, and post them.</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Train staff to presume capacity and support, not override, resident decisions.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Honor residents’ belongings, movement, visitors, and choices within the Needs and Services Plan.</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Involve an authorized representative appropriately without displacing the resident’s voice.</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Instruct all staff to report suspected rights violations.</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Investigate and correct any alleged violation and document it.</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Personal Rights (LIC 613C) · Rights Acknowledgment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2.02 — Acceptance and Retention Limitations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Acceptance and Retention Limitations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Services / Administration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22 C.C.R. § 85068.4, § 80091, § 80092</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admit and retain only residents whose needs the facility can meet within its ARF license and the health-condition limits of Title 22, based on real assessment information. Written to comply with Title 22, Sections 85068.4, 80091, and 80092.</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Prohibited health conditions — </w:t>
      </w:r>
      <w:r>
        <w:rPr>
          <w:rFonts w:ascii="Calibri" w:cs="Calibri" w:eastAsia="Calibri" w:hAnsi="Calibri"/>
          <w:b w:val="false"/>
          <w:bCs w:val="false"/>
          <w:i w:val="false"/>
          <w:iCs w:val="false"/>
          <w:color w:val="1A1A1A"/>
          <w:sz w:val="21"/>
          <w:szCs w:val="21"/>
        </w:rPr>
        <w:t xml:space="preserve">conditions an ARF may not serve at all, listed in § 80091 (for example, needs requiring inpatient care in a health facility).</w:t>
      </w:r>
    </w:p>
    <w:p>
      <w:pPr>
        <w:spacing w:after="70" w:line="276"/>
      </w:pPr>
      <w:r>
        <w:rPr>
          <w:rFonts w:ascii="Calibri" w:cs="Calibri" w:eastAsia="Calibri" w:hAnsi="Calibri"/>
          <w:b/>
          <w:bCs/>
          <w:i w:val="false"/>
          <w:iCs w:val="false"/>
          <w:color w:val="1A1A1A"/>
          <w:sz w:val="21"/>
          <w:szCs w:val="21"/>
        </w:rPr>
        <w:t xml:space="preserve">Restricted health conditions — </w:t>
      </w:r>
      <w:r>
        <w:rPr>
          <w:rFonts w:ascii="Calibri" w:cs="Calibri" w:eastAsia="Calibri" w:hAnsi="Calibri"/>
          <w:b w:val="false"/>
          <w:bCs w:val="false"/>
          <w:i w:val="false"/>
          <w:iCs w:val="false"/>
          <w:color w:val="1A1A1A"/>
          <w:sz w:val="21"/>
          <w:szCs w:val="21"/>
        </w:rPr>
        <w:t xml:space="preserve">conditions an ARF may serve only with a Restricted Health Condition Care Plan and licensed-professional involvement, under § 80092.</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accepts and retains only residents whose needs it can meet within its ARF license and § 85068.4. It does not admit or retain a person who has a prohibited health condition (§ 80091), who requires inpatient care in a health facility, who requires more care and supervision than the facility provides, or whose primary need is acute psychiatric care due to a mental disorder. A person with a restricted health condition is served only under the Restricted Health Condition Care Plan (§ 80092.2) and appropriate licensed involvement.</w:t>
      </w:r>
    </w:p>
    <w:p>
      <w:pPr>
        <w:spacing w:after="120" w:before="0" w:line="276"/>
        <w:jc w:val="left"/>
      </w:pPr>
      <w:r>
        <w:rPr>
          <w:rFonts w:ascii="Calibri" w:cs="Calibri" w:eastAsia="Calibri" w:hAnsi="Calibri"/>
          <w:b w:val="false"/>
          <w:bCs w:val="false"/>
          <w:i w:val="false"/>
          <w:iCs w:val="false"/>
          <w:color w:val="1A1A1A"/>
          <w:sz w:val="21"/>
          <w:szCs w:val="21"/>
        </w:rPr>
        <w:t xml:space="preserve">For a brain-injury applicant, this determination weighs the specific realities of the injury: the level of supervision required (including elopement and safety risk), behavioral needs, seizure management, medication-assistance needs, mobility, and the capacity to live compatibly in a shared setting. The facility admits a brain-injury resident only when it can genuinely meet those needs as a non-medical ARF — and relocates a resident whose needs later exceed ARF authority under the eviction/relocation procedures of Section 2.</w:t>
      </w:r>
    </w:p>
    <w:p>
      <w:pPr>
        <w:spacing w:after="120" w:before="0" w:line="276"/>
        <w:jc w:val="left"/>
      </w:pPr>
      <w:r>
        <w:rPr>
          <w:rFonts w:ascii="Calibri" w:cs="Calibri" w:eastAsia="Calibri" w:hAnsi="Calibri"/>
          <w:b w:val="false"/>
          <w:bCs w:val="false"/>
          <w:i w:val="false"/>
          <w:iCs w:val="false"/>
          <w:color w:val="1A1A1A"/>
          <w:sz w:val="21"/>
          <w:szCs w:val="21"/>
        </w:rPr>
        <w:t xml:space="preserve">Acceptance and retention decisions are based on the medical assessment, functional assessment, and (where applicable) mental health assessment, and are documented.</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Determine, before admission, whether the facility can meet the person’s needs within § 85068.4.</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Do not admit or retain a person with a prohibited health condition (§ 80091) or who needs a higher level of care.</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Serve a restricted-health-condition resident only under a § 80092.2 care plan with licensed involvement.</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Base decisions on the medical, functional, and mental health assessments.</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Re-evaluate retention whenever a resident’s needs change.</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Relocate a resident whose needs exceed ARF authority under the relocation procedures.</w:t>
      </w:r>
    </w:p>
    <w:p>
      <w:pPr>
        <w:spacing w:after="70" w:line="276"/>
        <w:ind w:left="460" w:hanging="300"/>
      </w:pPr>
      <w:r>
        <w:rPr>
          <w:rFonts w:ascii="Calibri" w:cs="Calibri" w:eastAsia="Calibri" w:hAnsi="Calibri"/>
          <w:b/>
          <w:bCs/>
          <w:i w:val="false"/>
          <w:iCs w:val="false"/>
          <w:color w:val="3E5871"/>
          <w:sz w:val="21"/>
          <w:szCs w:val="21"/>
        </w:rPr>
        <w:t xml:space="preserve">7.  </w:t>
      </w:r>
      <w:r>
        <w:rPr>
          <w:rFonts w:ascii="Calibri" w:cs="Calibri" w:eastAsia="Calibri" w:hAnsi="Calibri"/>
          <w:b w:val="false"/>
          <w:bCs w:val="false"/>
          <w:i w:val="false"/>
          <w:iCs w:val="false"/>
          <w:color w:val="1A1A1A"/>
          <w:sz w:val="21"/>
          <w:szCs w:val="21"/>
        </w:rPr>
        <w:t xml:space="preserve">Document acceptance and retention decisions.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Acceptance &amp; Retention Determination · Health Condition Screen</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2.03 — Admission Procedures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Admission Procedures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Services / Administration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22 C.C.R. § 85068.1, § 80069</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conduct a thorough, individualized admission that gathers the information needed to serve a resident with brain injury safely. Written to comply with Title 22, Sections 85068.1 and 80069.</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Before or upon admission, the facility completes the admission procedures of § 85068.1 — determining that the facility’s program can meet the prospective resident’s needs, obtaining the medical assessment (§ 80069, including a tuberculosis test and a record of current medications and instructions), the functional capabilities assessment (§ 80069.2), and any mental health assessment (§ 85069.3) — and develops the Needs and Services Plan before or at admission. The Admission Agreement is signed no later than seven calendar days following admission.</w:t>
      </w:r>
    </w:p>
    <w:p>
      <w:pPr>
        <w:spacing w:after="120" w:before="0" w:line="276"/>
        <w:jc w:val="left"/>
      </w:pPr>
      <w:r>
        <w:rPr>
          <w:rFonts w:ascii="Calibri" w:cs="Calibri" w:eastAsia="Calibri" w:hAnsi="Calibri"/>
          <w:b w:val="false"/>
          <w:bCs w:val="false"/>
          <w:i w:val="false"/>
          <w:iCs w:val="false"/>
          <w:color w:val="1A1A1A"/>
          <w:sz w:val="21"/>
          <w:szCs w:val="21"/>
        </w:rPr>
        <w:t xml:space="preserve">For brain-injury residents, admission is where the facility learns what it must do to keep the resident safe and support progress: the medical assessment identifies the medication regimen and health conditions, the functional assessment identifies what the resident can and cannot do, and the plan translates that into the supervision, cueing, and medication assistance the resident needs. The facility identifies the resident’s funding — SSI/SSP, regional center, CalAIM, or private pay — and coordinates placement accordingly.</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Determine that the facility’s program can meet the prospective resident’s needs.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Obtain the medical assessment (§ 80069), including TB test and current-medication record.</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Obtain the functional capabilities assessment (§ 80069.2) and any mental health assessment (§ 85069.3).</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Develop the Needs and Services Plan before or at admission.</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Coordinate funding (SSI/SSP, regional center, CalAIM, or private pay).</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Obtain the signed Admission Agreement within seven calendar days.</w:t>
      </w:r>
    </w:p>
    <w:p>
      <w:pPr>
        <w:spacing w:after="70" w:line="276"/>
        <w:ind w:left="460" w:hanging="300"/>
      </w:pPr>
      <w:r>
        <w:rPr>
          <w:rFonts w:ascii="Calibri" w:cs="Calibri" w:eastAsia="Calibri" w:hAnsi="Calibri"/>
          <w:b/>
          <w:bCs/>
          <w:i w:val="false"/>
          <w:iCs w:val="false"/>
          <w:color w:val="3E5871"/>
          <w:sz w:val="21"/>
          <w:szCs w:val="21"/>
        </w:rPr>
        <w:t xml:space="preserve">7.  </w:t>
      </w:r>
      <w:r>
        <w:rPr>
          <w:rFonts w:ascii="Calibri" w:cs="Calibri" w:eastAsia="Calibri" w:hAnsi="Calibri"/>
          <w:b w:val="false"/>
          <w:bCs w:val="false"/>
          <w:i w:val="false"/>
          <w:iCs w:val="false"/>
          <w:color w:val="1A1A1A"/>
          <w:sz w:val="21"/>
          <w:szCs w:val="21"/>
        </w:rPr>
        <w:t xml:space="preserve">File all admission documentation in the resident record.</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Admission Record · Client Medical Assessment (§ 80069) · Funding Coordination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2.04 — Admission Agreement</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Admission Agreement</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Services / Administration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22 C.C.R. § 80068, § 85068</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establish a clear, complete written Admission Agreement that discloses services, rates, and rights — including the government-rate protection for SSI/SSP residents. Written to comply with Title 22, Sections 80068 and 85068.</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Each resident (or authorized representative) enters into a written Admission Agreement meeting § 80068 and § 85068 that specifies the services included in the basic rate, the rates for optional services, payment and refund provisions, the conditions under which the agreement may be modified or terminated, and the resident’s rights and responsibilities. For a resident receiving SSI/SSP, the facility charges only the government-prescribed rate and provides the basic services at the basic rate at no additional charge. The signed agreement is dated and retained in the resident’s file, with all modifications.</w:t>
      </w:r>
    </w:p>
    <w:p>
      <w:pPr>
        <w:spacing w:after="120" w:before="0" w:line="276"/>
        <w:jc w:val="left"/>
      </w:pPr>
      <w:r>
        <w:rPr>
          <w:rFonts w:ascii="Calibri" w:cs="Calibri" w:eastAsia="Calibri" w:hAnsi="Calibri"/>
          <w:b w:val="false"/>
          <w:bCs w:val="false"/>
          <w:i w:val="false"/>
          <w:iCs w:val="false"/>
          <w:color w:val="1A1A1A"/>
          <w:sz w:val="21"/>
          <w:szCs w:val="21"/>
        </w:rPr>
        <w:t xml:space="preserve">For brain-injury residents and their families or representatives, clarity in the agreement is especially important because the resident may rely on a representative for financial matters and because vague terms about charges, refunds, and grounds for eviction are a leading source of disputes and complaints. The facility explains the agreement in accessible terms and modifies it whenever the covered circumstances change.</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Provide and explain the Admission Agreement in accessible terms.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Specify basic-rate services, optional-service rates, payment, refund, and modification/termination terms.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Charge SSI/SSP residents only the government-prescribed rate and provide basic services at no additional charge.</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Obtain dated signatures within seven calendar days of admission and provide a copy.</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Modify the agreement whenever covered circumstances change.</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Retain the original and all modifications in the resident’s file.</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Admission Agreement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2.05 — Client Medical and Functional Assessments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Client Medical and Functional Assessments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Services / Administration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22 C.C.R. § 80069, § 80069.2, § 85069.3</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assess each resident’s medical, functional, and (where applicable) mental health status so the Needs and Services Plan reflects real needs. Written to comply with Title 22, Sections 80069, 80069.2, and 85069.3.</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Functional capabilities assessment — </w:t>
      </w:r>
      <w:r>
        <w:rPr>
          <w:rFonts w:ascii="Calibri" w:cs="Calibri" w:eastAsia="Calibri" w:hAnsi="Calibri"/>
          <w:b w:val="false"/>
          <w:bCs w:val="false"/>
          <w:i w:val="false"/>
          <w:iCs w:val="false"/>
          <w:color w:val="1A1A1A"/>
          <w:sz w:val="21"/>
          <w:szCs w:val="21"/>
        </w:rPr>
        <w:t xml:space="preserve">the assessment (§ 80069.2) of the resident’s ability to perform activities of daily living and function in the facility.</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obtains a written medical assessment (§ 80069) that includes the resident’s ambulatory status, health conditions, a tuberculosis test, and a record of current medications with instructions and the prescribing physician; a functional capabilities assessment (§ 80069.2); and, where applicable, a mental health assessment (§ 85069.3). These assessments drive the Needs and Services Plan and are updated to reflect significant changes in the resident’s physical, mental, or social functioning.</w:t>
      </w:r>
    </w:p>
    <w:p>
      <w:pPr>
        <w:spacing w:after="120" w:before="0" w:line="276"/>
        <w:jc w:val="left"/>
      </w:pPr>
      <w:r>
        <w:rPr>
          <w:rFonts w:ascii="Calibri" w:cs="Calibri" w:eastAsia="Calibri" w:hAnsi="Calibri"/>
          <w:b w:val="false"/>
          <w:bCs w:val="false"/>
          <w:i w:val="false"/>
          <w:iCs w:val="false"/>
          <w:color w:val="1A1A1A"/>
          <w:sz w:val="21"/>
          <w:szCs w:val="21"/>
        </w:rPr>
        <w:t xml:space="preserve">For a brain-injury resident, the assessments are the tool that keeps care honest as the person changes — recovery, plateau, decline, new seizures, or new behaviors all shift what the resident needs, and stale assessments produce unsafe care. The facility ensures the components requiring a physician or licensed professional are performed within scope and obtains updated assessments when the resident’s condition changes.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Obtain the medical assessment (§ 80069), including ambulatory status, TB test, and current-medication record.</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Obtain the functional capabilities assessment (§ 80069.2).</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Obtain a mental health assessment (§ 85069.3) where applicable.</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Use the assessments to develop and update the Needs and Services Plan.</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Update assessments to reflect significant changes in functioning.</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Ensure licensed-professional components are performed within scope and documented.</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Client Medical Assessment · Functional Capabilities Assessment · Mental Health Assessment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2.06 — Needs and Services Plan</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Needs and Services Plan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Services / Administration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22 C.C.R. § 80068.2, § 85068.2, § 80068.3</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direct each resident’s care through an individualized, current Needs and Services Plan built from the assessments and the resident’s own goals. Written to comply with Title 22, Sections 80068.2, 85068.2, and 80068.3.</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Needs and Services Plan — </w:t>
      </w:r>
      <w:r>
        <w:rPr>
          <w:rFonts w:ascii="Calibri" w:cs="Calibri" w:eastAsia="Calibri" w:hAnsi="Calibri"/>
          <w:b w:val="false"/>
          <w:bCs w:val="false"/>
          <w:i w:val="false"/>
          <w:iCs w:val="false"/>
          <w:color w:val="1A1A1A"/>
          <w:sz w:val="21"/>
          <w:szCs w:val="21"/>
        </w:rPr>
        <w:t xml:space="preserve">the written, individualized plan (§ 80068.2 / § 85068.2) identifying a resident’s needs, the services to meet them, and who is responsible — including any Restricted Health Condition Care Plan required by § 80092.2.</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Each resident has a written Needs and Services Plan developed before or at admission from the medical, functional, and mental health assessments, identifying the resident’s specific service needs, the facility’s plans for meeting them, and — for a resident with a restricted health condition — the Restricted Health Condition Care Plan (§ 80092.2). The plan is modified whenever the resident’s needs change and is reviewed for accuracy at least annually (§ 80068.3).</w:t>
      </w:r>
    </w:p>
    <w:p>
      <w:pPr>
        <w:spacing w:after="120" w:before="0" w:line="276"/>
        <w:jc w:val="left"/>
      </w:pPr>
      <w:r>
        <w:rPr>
          <w:rFonts w:ascii="Calibri" w:cs="Calibri" w:eastAsia="Calibri" w:hAnsi="Calibri"/>
          <w:b w:val="false"/>
          <w:bCs w:val="false"/>
          <w:i w:val="false"/>
          <w:iCs w:val="false"/>
          <w:color w:val="1A1A1A"/>
          <w:sz w:val="21"/>
          <w:szCs w:val="21"/>
        </w:rPr>
        <w:t xml:space="preserve">For a brain-injury resident, the Needs and Services Plan is where the general becomes specific: it records the resident’s cueing and compensatory strategies, behavioral supports and de-escalation approach, elopement precautions, seizure protocol, medication-assistance level, and community-integration goals, so every staff member on every shift provides the same, consistent care. The plan sets goals oriented toward the greatest independence the resident can achieve, not merely maintenance.</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Develop the Needs and Services Plan from the assessments, with the resident’s participation, before or at admission.</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Identify service needs and the facility’s plans to meet them.</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Include the Restricted Health Condition Care Plan where § 80092.2 applies.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Record the resident’s cueing, behavioral, seizure, elopement, and medication-assistance strategies.</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Communicate the plan to all staff who support the resident.</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Modify the plan on any change and review it at least annually.</w:t>
      </w:r>
    </w:p>
    <w:p>
      <w:pPr>
        <w:spacing w:after="70" w:line="276"/>
        <w:ind w:left="460" w:hanging="300"/>
      </w:pPr>
      <w:r>
        <w:rPr>
          <w:rFonts w:ascii="Calibri" w:cs="Calibri" w:eastAsia="Calibri" w:hAnsi="Calibri"/>
          <w:b/>
          <w:bCs/>
          <w:i w:val="false"/>
          <w:iCs w:val="false"/>
          <w:color w:val="3E5871"/>
          <w:sz w:val="21"/>
          <w:szCs w:val="21"/>
        </w:rPr>
        <w:t xml:space="preserve">7.  </w:t>
      </w:r>
      <w:r>
        <w:rPr>
          <w:rFonts w:ascii="Calibri" w:cs="Calibri" w:eastAsia="Calibri" w:hAnsi="Calibri"/>
          <w:b w:val="false"/>
          <w:bCs w:val="false"/>
          <w:i w:val="false"/>
          <w:iCs w:val="false"/>
          <w:color w:val="1A1A1A"/>
          <w:sz w:val="21"/>
          <w:szCs w:val="21"/>
        </w:rPr>
        <w:t xml:space="preserve">Retain the plan and modifications in the resident’s file.</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Needs and Services Plan · Plan Review &amp; Modification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2.07 — Client Records and Register</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Client Records and Register</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Services / Administration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22 C.C.R. § 80070, § 80071, § 85070</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maintain complete, current, confidential resident records and a register of residents. Written to comply with Title 22, Sections 80070, 80071, and 85070.</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maintains a record for each resident containing the elements § 80070 requires — identifying information, the signed Admission Agreement, the medical and functional assessments, the Needs and Services Plan, the record of current medications with the prescribing physician and control/custody instructions, any Restricted Health Condition Care Plan, an account of the resident’s cash resources and property entrusted to the facility, and incident documentation — kept confidential and available to the Department to inspect, audit, and copy on demand. The facility keeps a current register of residents (§ 80071).</w:t>
      </w:r>
    </w:p>
    <w:p>
      <w:pPr>
        <w:spacing w:after="120" w:before="0" w:line="276"/>
        <w:jc w:val="left"/>
      </w:pPr>
      <w:r>
        <w:rPr>
          <w:rFonts w:ascii="Calibri" w:cs="Calibri" w:eastAsia="Calibri" w:hAnsi="Calibri"/>
          <w:b w:val="false"/>
          <w:bCs w:val="false"/>
          <w:i w:val="false"/>
          <w:iCs w:val="false"/>
          <w:color w:val="1A1A1A"/>
          <w:sz w:val="21"/>
          <w:szCs w:val="21"/>
        </w:rPr>
        <w:t xml:space="preserve">Good records are the backbone of safe brain-injury care and of inspection readiness: they show that assessments drove the plan, that medications and health conditions were tracked, and that changes in condition were recognized and acted on. The facility secures records and limits access to authorized persons.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Maintain a complete resident record with every § 80070 element.</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Keep the record of current medications and control/custody instructions current.</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Maintain the register of residents (§ 80071).</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Secure records and limit access to authorized persons; safeguard confidentiality.</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Make records available to the Department on demand.</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Retain records for the required period.</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Resident Record Index · Register of Residents · Progress Note Template</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2.08 — Reporting Abuse, Neglect, and Exploitation</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Reporting Abuse, Neglect, and Exploitation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Services / Administration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Welf. &amp; Inst. Code § 15630 et seq.; 22 C.C.R. § 80072</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prevent abuse, neglect, and exploitation and to ensure any suspicion is reported immediately to the proper authorities, protecting residents who may be unable to protect or advocate for themselves. Written to comply with California’s mandated-reporting law and Title 22.</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Mandated reporter — </w:t>
      </w:r>
      <w:r>
        <w:rPr>
          <w:rFonts w:ascii="Calibri" w:cs="Calibri" w:eastAsia="Calibri" w:hAnsi="Calibri"/>
          <w:b w:val="false"/>
          <w:bCs w:val="false"/>
          <w:i w:val="false"/>
          <w:iCs w:val="false"/>
          <w:color w:val="1A1A1A"/>
          <w:sz w:val="21"/>
          <w:szCs w:val="21"/>
        </w:rPr>
        <w:t xml:space="preserve">a facility employee or administrator required by law to report known or suspected abuse of an elder or dependent adult.</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All facility staff and the administrator are mandated reporters. Known or suspected abuse, neglect, or financial exploitation of a resident is reported immediately — by telephone — to the appropriate agency (Adult Protective Services or, for a facility-based incident, the local ombudsman or law enforcement, and CDSS Community Care Licensing), followed by a written report within two working days, as California law requires. The facility protects the resident’s safety, preserves evidence, cooperates fully with investigations, and takes no reprisal against a reporter.</w:t>
      </w:r>
    </w:p>
    <w:p>
      <w:pPr>
        <w:spacing w:after="120" w:before="0" w:line="276"/>
        <w:jc w:val="left"/>
      </w:pPr>
      <w:r>
        <w:rPr>
          <w:rFonts w:ascii="Calibri" w:cs="Calibri" w:eastAsia="Calibri" w:hAnsi="Calibri"/>
          <w:b w:val="false"/>
          <w:bCs w:val="false"/>
          <w:i w:val="false"/>
          <w:iCs w:val="false"/>
          <w:color w:val="1A1A1A"/>
          <w:sz w:val="21"/>
          <w:szCs w:val="21"/>
        </w:rPr>
        <w:t xml:space="preserve">This obligation is heightened in a brain-injury home: residents with memory, communication, or judgment deficits may be unable to report mistreatment or may not be believed, so staff vigilance and immediate reporting are the primary safeguard. The facility trains and drills staff to recognize the signs of abuse, neglect, and exploitation — including financial exploitation, a particular risk — so no one hesitates, and it documents every report and reviews the circumstances to prevent recurrence.</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Report known or suspected abuse immediately by telephone, then in writing within two working days.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Notify the appropriate agencies (APS or ombudsman/law enforcement) and CDSS Community Care Licensing.</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Protect the resident’s safety and preserve evidence.</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Cooperate fully with investigations and take no reprisal against a reporter.</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Train and drill staff to recognize and immediately report abuse, including financial exploitation.</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Document every report and review the circumstances through quality improvement.</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Abuse Reporting Form &amp;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2.09 — Eviction and Relocation Procedures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Eviction and Relocation Procedures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Services / Administration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22 C.C.R. § 80068.5</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relocate or evict a resident only for lawful reasons, with proper notice and planning, and to make the transition safe — recognizing that relocation is especially disruptive for a person with a brain injury. Written to comply with Title 22, Section 80068.5.</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evicts a resident only upon 30 days’ written notice and only for a reason permitted by § 80068.5 (for example, nonpayment, failure to comply with house rules, a change in the resident’s needs that the facility cannot meet, or a change in use of the facility), and it may seek an expedited eviction only where the law allows. Where the facility determines it can no longer meet a resident’s needs, it informs the resident, the authorized representative, and the placement or regional-center agency, and requests relocation to a facility that can provide the needed services, assisting with a safe transition.</w:t>
      </w:r>
    </w:p>
    <w:p>
      <w:pPr>
        <w:spacing w:after="120" w:before="0" w:line="276"/>
        <w:jc w:val="left"/>
      </w:pPr>
      <w:r>
        <w:rPr>
          <w:rFonts w:ascii="Calibri" w:cs="Calibri" w:eastAsia="Calibri" w:hAnsi="Calibri"/>
          <w:b w:val="false"/>
          <w:bCs w:val="false"/>
          <w:i w:val="false"/>
          <w:iCs w:val="false"/>
          <w:color w:val="1A1A1A"/>
          <w:sz w:val="21"/>
          <w:szCs w:val="21"/>
        </w:rPr>
        <w:t xml:space="preserve">Because relocation can set back a brain-injury resident’s progress and provoke distress, the facility plans transitions carefully — coordinating with the receiving setting, the physician, the representative, and any care manager; transferring medications, records, and belongings; and preparing the resident with the cueing and support the person needs.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Evict only for a reason permitted by § 80068.5 and only with the required written notice.</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Where needs can no longer be met, inform the resident, representative, and placement/regional-center agency and request relocation.</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Coordinate a safe transition with the receiving setting, physician, and care manager.</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Transfer medications, records, and belongings appropriately.</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Prepare the resident for the transition with appropriate support.</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Retain eviction/relocation documentation in the record.</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Eviction / Relocation Notice · Transition &amp; Release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2.10 — Confidentiality of Records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Confidentiality of Records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Services / Administration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22 C.C.R. § 80070(c)</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protect the confidentiality of resident information and records. Written to comply with Title 22, Section 80070(c).</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All information and records obtained from or about residents are confidential. The facility safeguards the confidentiality of record contents, discloses information only as authorized by the resident or representative or as required or permitted by law, and secures paper and electronic records against unauthorized access, while making records available to the Department as required.</w:t>
      </w:r>
    </w:p>
    <w:p>
      <w:pPr>
        <w:spacing w:after="120" w:before="0" w:line="276"/>
        <w:jc w:val="left"/>
      </w:pPr>
      <w:r>
        <w:rPr>
          <w:rFonts w:ascii="Calibri" w:cs="Calibri" w:eastAsia="Calibri" w:hAnsi="Calibri"/>
          <w:b w:val="false"/>
          <w:bCs w:val="false"/>
          <w:i w:val="false"/>
          <w:iCs w:val="false"/>
          <w:color w:val="1A1A1A"/>
          <w:sz w:val="21"/>
          <w:szCs w:val="21"/>
        </w:rPr>
        <w:t xml:space="preserve">For brain-injury residents, confidentiality includes protecting sensitive medical, behavioral, and financial information; the facility shares information with a representative, regional center, or provider only as authorized or legally required, and trains staff on these expectations.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Keep all resident information and records confidential.</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Disclose information only as authorized or as required/permitted by law.</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Secure paper and electronic records and limit access to authorized persons.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Make records available to the Department as required.</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Train staff on confidentiality.</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Authorization for Release of Information · Records Access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2.11 — Resident Cash, Property, and Valuables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Resident Cash, Property, and Valuables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Services / Administration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22 C.C.R. § 80026, § 80070</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safeguard residents’ cash, property, and valuables and to protect against financial exploitation, to which brain-injury residents can be especially vulnerable. Written to comply with Title 22, Sections 80026 and 80070.</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A resident may manage their own cash and property or, where the facility handles a resident’s cash resources or property, the facility keeps an account of cash, personal property, and valuables entrusted to it (§ 80070), keeps resident funds separate from facility funds, maintains an accurate accounting with receipts, and provides the resident reasonable access, as § 80026 requires. The facility maintains a personal property inventory.</w:t>
      </w:r>
    </w:p>
    <w:p>
      <w:pPr>
        <w:spacing w:after="120" w:before="0" w:line="276"/>
        <w:jc w:val="left"/>
      </w:pPr>
      <w:r>
        <w:rPr>
          <w:rFonts w:ascii="Calibri" w:cs="Calibri" w:eastAsia="Calibri" w:hAnsi="Calibri"/>
          <w:b w:val="false"/>
          <w:bCs w:val="false"/>
          <w:i w:val="false"/>
          <w:iCs w:val="false"/>
          <w:color w:val="1A1A1A"/>
          <w:sz w:val="21"/>
          <w:szCs w:val="21"/>
        </w:rPr>
        <w:t xml:space="preserve">Because financial exploitation is a real risk for residents with impaired memory or judgment, the facility uses clear controls — separate accounting, documented transactions, and prompt reporting of any suspected misappropriation under the abuse-reporting policy — and reconciles funds and property on a change of arrangement and at discharge.</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Document each resident’s choice regarding management of cash and property.</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Keep any facility-held resident funds separate with a written accounting and receipts.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Maintain and reconcile a personal property inventory.</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Provide the resident reasonable access to their funds and property.</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Report any suspected financial exploitation immediately under the abuse policy.</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Reconcile funds and property at discharge.</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Resident Cash &amp; Property Ledger · Personal Property Inventory</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2.12 — Complaints, Grievances, and Resident Councils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Complaints, Grievances, and Resident Councils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Services / Administration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22 C.C.R. § 80072, § 85080</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ensure residents can raise concerns freely and without reprisal, access the complaint process, and participate in a resident council. Written to comply with Title 22, Sections 80072 and 85080.</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Residents and their representatives are informed of, and may use, the facility’s grievance process and the Community Care Licensing complaint process and the ombudsman, without reprisal. The facility assists residents in raising concerns — including the cognitive and communication accommodations a brain-injury resident may need — investigates and documents resolution, and supports a resident council where residents choose to have one (§ 85080).</w:t>
      </w:r>
    </w:p>
    <w:p>
      <w:pPr>
        <w:spacing w:after="120" w:before="0" w:line="276"/>
        <w:jc w:val="left"/>
      </w:pPr>
      <w:r>
        <w:rPr>
          <w:rFonts w:ascii="Calibri" w:cs="Calibri" w:eastAsia="Calibri" w:hAnsi="Calibri"/>
          <w:b w:val="false"/>
          <w:bCs w:val="false"/>
          <w:i w:val="false"/>
          <w:iCs w:val="false"/>
          <w:color w:val="1A1A1A"/>
          <w:sz w:val="21"/>
          <w:szCs w:val="21"/>
        </w:rPr>
        <w:t xml:space="preserve">The facility posts complaint and ombudsman information, treats grievance patterns as quality-improvement data, and corrects underlying causes rather than only the individual complaint.</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Inform residents of the grievance process, the CCL complaint process, and the ombudsman.</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Assist residents in raising concerns, with accommodations, without reprisal.</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Investigate grievances and document resolution.</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Support a resident council where residents choose to have one (§ 85080).</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Post complaint and ombudsman information.</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Use grievance patterns to correct underlying causes.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Grievance Form &amp; Log · Resident Council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shd w:fill="1F3A5F" w:color="auto" w:val="clear"/>
        <w:spacing w:after="60" w:before="60"/>
      </w:pPr>
      <w:r>
        <w:rPr>
          <w:rFonts w:ascii="Calibri" w:cs="Calibri" w:eastAsia="Calibri" w:hAnsi="Calibri"/>
          <w:b/>
          <w:bCs/>
          <w:i w:val="false"/>
          <w:iCs w:val="false"/>
          <w:color w:val="FFFFFF"/>
          <w:sz w:val="24"/>
          <w:szCs w:val="24"/>
        </w:rPr>
        <w:t xml:space="preserve">SECTION 3 — SERVICES &amp; RESIDENT CARE</w:t>
      </w:r>
    </w:p>
    <w:p>
      <w:pPr>
        <w:spacing w:after="120" w:before="0" w:line="276"/>
        <w:jc w:val="left"/>
      </w:pPr>
      <w:r>
        <w:rPr>
          <w:rFonts w:ascii="Calibri" w:cs="Calibri" w:eastAsia="Calibri" w:hAnsi="Calibri"/>
          <w:b/>
          <w:bCs/>
          <w:i w:val="false"/>
          <w:iCs w:val="false"/>
          <w:color w:val="3E5871"/>
          <w:sz w:val="19"/>
          <w:szCs w:val="19"/>
        </w:rPr>
        <w:t xml:space="preserve">Regulatory basis: </w:t>
      </w:r>
      <w:r>
        <w:rPr>
          <w:rFonts w:ascii="Calibri" w:cs="Calibri" w:eastAsia="Calibri" w:hAnsi="Calibri"/>
          <w:b w:val="false"/>
          <w:bCs w:val="false"/>
          <w:i w:val="false"/>
          <w:iCs w:val="false"/>
          <w:color w:val="555555"/>
          <w:sz w:val="19"/>
          <w:szCs w:val="19"/>
        </w:rPr>
        <w:t xml:space="preserve">California Code of Regulations, Title 22, Division 6, Chapter 6 (Adult Residential Facilities) and the general licensing requirements applicable to community care facilities; the California Community Care Facilities Act (Health and Safety Code Section 1500 et seq.); criminal record clearance under H.S.C. Section 1522. Licensed and inspected by the California Department of Social Services (CDSS), Community Care Licensing Division (CCLD).</w:t>
      </w:r>
    </w:p>
    <w:p>
      <w:pPr>
        <w:keepNext/>
        <w:spacing w:after="100" w:before="240"/>
      </w:pPr>
      <w:r>
        <w:rPr>
          <w:rFonts w:ascii="Calibri" w:cs="Calibri" w:eastAsia="Calibri" w:hAnsi="Calibri"/>
          <w:b/>
          <w:bCs/>
          <w:i w:val="false"/>
          <w:iCs w:val="false"/>
          <w:color w:val="1F3A5F"/>
          <w:sz w:val="24"/>
          <w:szCs w:val="24"/>
        </w:rPr>
        <w:t xml:space="preserve">Policy 3.01 — Care and Supervision</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Care and Supervision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Care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22 C.C.R. § 80078, § 80001</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provide the care and supervision an ARF is responsible for, individualized to each resident’s brain-injury-related needs and delivered in a way that builds rather than replaces the resident’s independence. Written to comply with Title 22, Sections 80078 and 80001.</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Care and supervision — </w:t>
      </w:r>
      <w:r>
        <w:rPr>
          <w:rFonts w:ascii="Calibri" w:cs="Calibri" w:eastAsia="Calibri" w:hAnsi="Calibri"/>
          <w:b w:val="false"/>
          <w:bCs w:val="false"/>
          <w:i w:val="false"/>
          <w:iCs w:val="false"/>
          <w:color w:val="1A1A1A"/>
          <w:sz w:val="21"/>
          <w:szCs w:val="21"/>
        </w:rPr>
        <w:t xml:space="preserve">the non-medical services the facility is responsible for providing — assistance with ADLs and hygiene, assistance with self-administered medication, supervision of schedules and activities, arrangement of medical and dental care, and house-rule maintenance (§ 80001).</w:t>
      </w:r>
    </w:p>
    <w:p>
      <w:pPr>
        <w:spacing w:after="70" w:line="276"/>
      </w:pPr>
      <w:r>
        <w:rPr>
          <w:rFonts w:ascii="Calibri" w:cs="Calibri" w:eastAsia="Calibri" w:hAnsi="Calibri"/>
          <w:b/>
          <w:bCs/>
          <w:i w:val="false"/>
          <w:iCs w:val="false"/>
          <w:color w:val="1A1A1A"/>
          <w:sz w:val="21"/>
          <w:szCs w:val="21"/>
        </w:rPr>
        <w:t xml:space="preserve">Cueing — </w:t>
      </w:r>
      <w:r>
        <w:rPr>
          <w:rFonts w:ascii="Calibri" w:cs="Calibri" w:eastAsia="Calibri" w:hAnsi="Calibri"/>
          <w:b w:val="false"/>
          <w:bCs w:val="false"/>
          <w:i w:val="false"/>
          <w:iCs w:val="false"/>
          <w:color w:val="1A1A1A"/>
          <w:sz w:val="21"/>
          <w:szCs w:val="21"/>
        </w:rPr>
        <w:t xml:space="preserve">verbal, visual, or physical prompts that help a resident with cognitive impairment initiate or complete a task.</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provides the care and supervision defined in § 80078 and § 80001 — personal-care assistance, assistance with self-administered medication, supervision, and arrangement of medical and dental care — individualized to each resident through the Needs and Services Plan and delivered by trained staff. Services are not imposed on a resident able to perform an activity independently.</w:t>
      </w:r>
    </w:p>
    <w:p>
      <w:pPr>
        <w:spacing w:after="120" w:before="0" w:line="276"/>
        <w:jc w:val="left"/>
      </w:pPr>
      <w:r>
        <w:rPr>
          <w:rFonts w:ascii="Calibri" w:cs="Calibri" w:eastAsia="Calibri" w:hAnsi="Calibri"/>
          <w:b w:val="false"/>
          <w:bCs w:val="false"/>
          <w:i w:val="false"/>
          <w:iCs w:val="false"/>
          <w:color w:val="1A1A1A"/>
          <w:sz w:val="21"/>
          <w:szCs w:val="21"/>
        </w:rPr>
        <w:t xml:space="preserve">For residents with brain injury, how care is delivered matters as much as whether it is delivered: the goal is to use cueing and compensatory strategies so the resident does as much as possible independently, rebuilding skills rather than fostering dependence. A resident who can complete a task with step-by-step verbal prompts is cued, not done for; a resident who fatigues partway is supported to finish. Staff follow each resident’s specific approach from the Needs and Services Plan so support is consistent across shifts.</w:t>
      </w:r>
    </w:p>
    <w:p>
      <w:pPr>
        <w:spacing w:after="120" w:before="0" w:line="276"/>
        <w:jc w:val="left"/>
      </w:pPr>
      <w:r>
        <w:rPr>
          <w:rFonts w:ascii="Calibri" w:cs="Calibri" w:eastAsia="Calibri" w:hAnsi="Calibri"/>
          <w:b w:val="false"/>
          <w:bCs w:val="false"/>
          <w:i w:val="false"/>
          <w:iCs w:val="false"/>
          <w:color w:val="1A1A1A"/>
          <w:sz w:val="21"/>
          <w:szCs w:val="21"/>
        </w:rPr>
        <w:t xml:space="preserve">The facility supervises residents at the level their safety requires and documents the care and supervision provided, adjusting as abilities change.</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Provide care and supervision per each resident’s Needs and Services Plan.</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Use cueing and compensatory strategies so residents do as much as possible independently.</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Do not impose services on a resident able to perform the activity.</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Supervise at the level each resident’s safety requires.</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Follow each resident’s specific approach consistently across shifts.</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Document care and supervision and adjust as abilities change.</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Care &amp; Supervision / Service Delivery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3.02 — Activities of Daily Living Support</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Activities of Daily Living Support</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Care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22 C.C.R. § 80001, § 80078</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assist residents with activities of daily living respectfully and individually, promoting dignity and independence for adults relearning skills after a brain injury. Written to comply with Title 22.</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assists residents as needed with bathing, grooming and personal hygiene, dressing, toileting, eating, mobility, and similar activities of daily living, using each resident’s cueing and compensatory strategies and preserving privacy and dignity throughout.</w:t>
      </w:r>
    </w:p>
    <w:p>
      <w:pPr>
        <w:spacing w:after="120" w:before="0" w:line="276"/>
        <w:jc w:val="left"/>
      </w:pPr>
      <w:r>
        <w:rPr>
          <w:rFonts w:ascii="Calibri" w:cs="Calibri" w:eastAsia="Calibri" w:hAnsi="Calibri"/>
          <w:b w:val="false"/>
          <w:bCs w:val="false"/>
          <w:i w:val="false"/>
          <w:iCs w:val="false"/>
          <w:color w:val="1A1A1A"/>
          <w:sz w:val="21"/>
          <w:szCs w:val="21"/>
        </w:rPr>
        <w:t xml:space="preserve">Brain injury affects ADLs unevenly — a resident may manage dressing independently but need close cueing for medication or safe eating, or may fatigue partway and need support to finish. Staff match assistance to the resident’s actual, current ability rather than a diagnosis or a bad day, watch for changes signaling decline or a new problem, and build ADL practice into the day as part of the resident’s independence goals. Changes in ability are fed back into the assessment and Needs and Services Plan.</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Identify each resident’s ADL abilities and needs in the Needs and Services Plan.</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Provide assistance matched to current ability, preserving dignity and privacy.</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Use cueing and compensatory strategies and build ADL practice into the day.</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Watch for fatigue or changes signaling decline or a new problem.</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Document assistance provided and changes in ability.</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Feed changes back into the assessment and plan.</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ADL Support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3.03 — Brain-Injury Care and Cognitive Support</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Brain-Injury Care and Cognitive Support</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Care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22 C.C.R. § 80068.2, § 80078</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deliver the brain-injury-specific care that is the reason this facility exists — support that accounts for the cognitive, behavioral, physical, and communication effects of injury to the brain. Written to align with the Needs and Services Plan requirements of Title 22.</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Compensatory strategy — </w:t>
      </w:r>
      <w:r>
        <w:rPr>
          <w:rFonts w:ascii="Calibri" w:cs="Calibri" w:eastAsia="Calibri" w:hAnsi="Calibri"/>
          <w:b w:val="false"/>
          <w:bCs w:val="false"/>
          <w:i w:val="false"/>
          <w:iCs w:val="false"/>
          <w:color w:val="1A1A1A"/>
          <w:sz w:val="21"/>
          <w:szCs w:val="21"/>
        </w:rPr>
        <w:t xml:space="preserve">an external aid or routine (checklist, calendar, alarm, labeled storage) that substitutes for an impaired cognitive function such as memory or organization.</w:t>
      </w:r>
    </w:p>
    <w:p>
      <w:pPr>
        <w:spacing w:after="70" w:line="276"/>
      </w:pPr>
      <w:r>
        <w:rPr>
          <w:rFonts w:ascii="Calibri" w:cs="Calibri" w:eastAsia="Calibri" w:hAnsi="Calibri"/>
          <w:b/>
          <w:bCs/>
          <w:i w:val="false"/>
          <w:iCs w:val="false"/>
          <w:color w:val="1A1A1A"/>
          <w:sz w:val="21"/>
          <w:szCs w:val="21"/>
        </w:rPr>
        <w:t xml:space="preserve">Initiation deficit — </w:t>
      </w:r>
      <w:r>
        <w:rPr>
          <w:rFonts w:ascii="Calibri" w:cs="Calibri" w:eastAsia="Calibri" w:hAnsi="Calibri"/>
          <w:b w:val="false"/>
          <w:bCs w:val="false"/>
          <w:i w:val="false"/>
          <w:iCs w:val="false"/>
          <w:color w:val="1A1A1A"/>
          <w:sz w:val="21"/>
          <w:szCs w:val="21"/>
        </w:rPr>
        <w:t xml:space="preserve">difficulty starting a task despite knowing how to do it, a common effect of frontal-lobe injury.</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provides brain-injury-informed support built around structure and consistency: predictable daily routines, environmental cues and labeling, memory and organization supports (calendars, checklists, alarms), and step-by-step cueing that helps residents with initiation and sequencing deficits carry out tasks they can no longer start or organize on their own. Support is coordinated with each resident’s physicians, therapists, and regional-center or CalAIM care manager and documented in the Needs and Services Plan.</w:t>
      </w:r>
    </w:p>
    <w:p>
      <w:pPr>
        <w:spacing w:after="120" w:before="0" w:line="276"/>
        <w:jc w:val="left"/>
      </w:pPr>
      <w:r>
        <w:rPr>
          <w:rFonts w:ascii="Calibri" w:cs="Calibri" w:eastAsia="Calibri" w:hAnsi="Calibri"/>
          <w:b w:val="false"/>
          <w:bCs w:val="false"/>
          <w:i w:val="false"/>
          <w:iCs w:val="false"/>
          <w:color w:val="1A1A1A"/>
          <w:sz w:val="21"/>
          <w:szCs w:val="21"/>
        </w:rPr>
        <w:t xml:space="preserve">Staff are trained on how injury to different parts of the brain produces different challenges — memory loss, impaired attention and safety awareness, fatigue, disinhibition, emotional lability, and communication deficits — and on each resident’s individual strategies, so support is consistent on every shift. Consistency is itself therapeutic: for a resident with a brain injury, the same routine delivered the same way by familiar staff reduces confusion, anxiety, and behavioral escalation.</w:t>
      </w:r>
    </w:p>
    <w:p>
      <w:pPr>
        <w:spacing w:after="120" w:before="0" w:line="276"/>
        <w:jc w:val="left"/>
      </w:pPr>
      <w:r>
        <w:rPr>
          <w:rFonts w:ascii="Calibri" w:cs="Calibri" w:eastAsia="Calibri" w:hAnsi="Calibri"/>
          <w:b w:val="false"/>
          <w:bCs w:val="false"/>
          <w:i w:val="false"/>
          <w:iCs w:val="false"/>
          <w:color w:val="1A1A1A"/>
          <w:sz w:val="21"/>
          <w:szCs w:val="21"/>
        </w:rPr>
        <w:t xml:space="preserve">The facility documents the resident’s strategies and progress and revises them as the resident recovers, plateaus, or declines, keeping goals oriented toward the greatest independence the resident can achieve.</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Identify each resident’s cognitive, behavioral, communication, and safety needs in the Needs and Services Plan.</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Establish predictable routines, environmental cues, and memory/organization supports.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Use step-by-step cueing for initiation and sequencing deficits.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Coordinate with the resident’s physicians, therapists, and care manager.</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Train all staff on brain-injury effects and each resident’s specific strategies.</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Keep support consistent across every shift.</w:t>
      </w:r>
    </w:p>
    <w:p>
      <w:pPr>
        <w:spacing w:after="70" w:line="276"/>
        <w:ind w:left="460" w:hanging="300"/>
      </w:pPr>
      <w:r>
        <w:rPr>
          <w:rFonts w:ascii="Calibri" w:cs="Calibri" w:eastAsia="Calibri" w:hAnsi="Calibri"/>
          <w:b/>
          <w:bCs/>
          <w:i w:val="false"/>
          <w:iCs w:val="false"/>
          <w:color w:val="3E5871"/>
          <w:sz w:val="21"/>
          <w:szCs w:val="21"/>
        </w:rPr>
        <w:t xml:space="preserve">7.  </w:t>
      </w:r>
      <w:r>
        <w:rPr>
          <w:rFonts w:ascii="Calibri" w:cs="Calibri" w:eastAsia="Calibri" w:hAnsi="Calibri"/>
          <w:b w:val="false"/>
          <w:bCs w:val="false"/>
          <w:i w:val="false"/>
          <w:iCs w:val="false"/>
          <w:color w:val="1A1A1A"/>
          <w:sz w:val="21"/>
          <w:szCs w:val="21"/>
        </w:rPr>
        <w:t xml:space="preserve">Document strategies and progress and revise as the resident changes.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Brain-Injury Support Plan · Cognitive/Behavioral Strategy Sheet · Progress Notes</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3.04 — Restricted Health Conditions and Care Plans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Restricted Health Conditions and Care Plans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Care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22 C.C.R. § 80092, § 80092.2; § 80069.1</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serve a resident with a restricted health condition only within the limits of Title 22, using a Restricted Health Condition Care Plan and appropriate licensed involvement. Written to comply with Title 22, Sections 80092 and 80092.2.</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Restricted health condition — </w:t>
      </w:r>
      <w:r>
        <w:rPr>
          <w:rFonts w:ascii="Calibri" w:cs="Calibri" w:eastAsia="Calibri" w:hAnsi="Calibri"/>
          <w:b w:val="false"/>
          <w:bCs w:val="false"/>
          <w:i w:val="false"/>
          <w:iCs w:val="false"/>
          <w:color w:val="1A1A1A"/>
          <w:sz w:val="21"/>
          <w:szCs w:val="21"/>
        </w:rPr>
        <w:t xml:space="preserve">a health condition listed in § 80092 that an ARF may serve only when the condition is managed under a Restricted Health Condition Care Plan by, or with the training and supervision of, an appropriately skilled professional.</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Where a resident has a restricted health condition (§ 80092), the facility serves the resident only under a Restricted Health Condition Care Plan (§ 80092.2) developed with the appropriate licensed professional (such as a home health nurse, physical therapist, or the resident’s physician), incorporated into the Needs and Services Plan, and specifying who performs each health-related task, the training and supervision required, and the monitoring involved. The facility does not exceed the non-medical scope of an ARF; skilled tasks are performed by licensed professionals, not facility care staff.</w:t>
      </w:r>
    </w:p>
    <w:p>
      <w:pPr>
        <w:spacing w:after="120" w:before="0" w:line="276"/>
        <w:jc w:val="left"/>
      </w:pPr>
      <w:r>
        <w:rPr>
          <w:rFonts w:ascii="Calibri" w:cs="Calibri" w:eastAsia="Calibri" w:hAnsi="Calibri"/>
          <w:b w:val="false"/>
          <w:bCs w:val="false"/>
          <w:i w:val="false"/>
          <w:iCs w:val="false"/>
          <w:color w:val="1A1A1A"/>
          <w:sz w:val="21"/>
          <w:szCs w:val="21"/>
        </w:rPr>
        <w:t xml:space="preserve">For brain-injury residents, restricted-health-condition management commonly involves seizure conditions, certain medication needs, or mobility-related conditions; the facility ensures the care plan is in place and current, that staff know their (non-skilled) role, and that the licensed professional remains involved. A resident whose condition cannot be safely managed within § 80092 is referred to a higher level of care.</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Identify any restricted health condition at admission and on change (§ 80092).</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Develop a Restricted Health Condition Care Plan (§ 80092.2) with the appropriate licensed professional.</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Incorporate the care plan into the Needs and Services Plan.</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Ensure skilled tasks are performed by licensed professionals, not facility care staff.</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Define staff’s non-skilled role, training, and supervision.</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Monitor and update the care plan; refer to a higher level of care if the condition cannot be safely managed.</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Restricted Health Condition Care Plan · Individual Health Condition Care Plan</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3.05 — Coordination with Regional Center, CalAIM, and Community Services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Coordination with Regional Center, CalAIM, and Community Services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Care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22 C.C.R. § 80068.2, § 80078</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coordinate the facility’s care with each resident’s regional center, CalAIM managed-care plan, or other funder and service providers, so services fit together and the resident receives everything they are authorized to receive. Written to align with Title 22.</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For residents whose services are funded or coordinated by a regional center, a CalAIM Community Supports program through a Medi-Cal managed-care plan, the state TBI program, or another agency, the facility coordinates its care and supervision with the resident’s external service plan and care manager, aligns the Needs and Services Plan with it, avoids duplicating services, communicates changes in condition promptly, and supports the resident’s access to authorized services.</w:t>
      </w:r>
    </w:p>
    <w:p>
      <w:pPr>
        <w:spacing w:after="120" w:before="0" w:line="276"/>
        <w:jc w:val="left"/>
      </w:pPr>
      <w:r>
        <w:rPr>
          <w:rFonts w:ascii="Calibri" w:cs="Calibri" w:eastAsia="Calibri" w:hAnsi="Calibri"/>
          <w:b w:val="false"/>
          <w:bCs w:val="false"/>
          <w:i w:val="false"/>
          <w:iCs w:val="false"/>
          <w:color w:val="1A1A1A"/>
          <w:sz w:val="21"/>
          <w:szCs w:val="21"/>
        </w:rPr>
        <w:t xml:space="preserve">Coordination protects both the resident and the facility’s funding: a brain-injury resident’s authorized services and placement rate depend on accurate, current information, so the facility keeps the care manager informed, participates in required planning meetings and reassessments, and documents the coordination. Where the resident is a regional center consumer, the facility meets the additional requirements (including staffing ratios) that apply.</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Identify each resident’s external funder, service plan, and care manager.</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Align the Needs and Services Plan with the external service plan.</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Avoid duplicating authorized services.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Communicate condition changes to the care manager promptly.</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Participate in required planning meetings and reassessments.</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Meet regional-center requirements where applicable and document coordination.</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External Service Coordination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3.06 — Hazard Awareness, Impulse Control, and Elopement</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Hazard Awareness, Impulse Control, and Elopement</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Care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22 C.C.R. § 80077.3; H.S.C. § 1531.15; 22 C.C.R. § 85300</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identify and protect residents who lack hazard awareness or impulse control or who are at risk of leaving unsafely, using individualized, least-restrictive precautions while respecting residents’ freedom. Written to comply with Title 22, Section 80077.3, and the secured-perimeter provisions of Health and Safety Code Section 1531.15.</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Lack of hazard awareness or impulse control — </w:t>
      </w:r>
      <w:r>
        <w:rPr>
          <w:rFonts w:ascii="Calibri" w:cs="Calibri" w:eastAsia="Calibri" w:hAnsi="Calibri"/>
          <w:b w:val="false"/>
          <w:bCs w:val="false"/>
          <w:i w:val="false"/>
          <w:iCs w:val="false"/>
          <w:color w:val="1A1A1A"/>
          <w:sz w:val="21"/>
          <w:szCs w:val="21"/>
        </w:rPr>
        <w:t xml:space="preserve">a condition (§ 80077.3) in which a resident, because of a cognitive or other impairment, cannot recognize or avoid common dangers, requiring additional supervision and planning.</w:t>
      </w:r>
    </w:p>
    <w:p>
      <w:pPr>
        <w:spacing w:after="70" w:line="276"/>
      </w:pPr>
      <w:r>
        <w:rPr>
          <w:rFonts w:ascii="Calibri" w:cs="Calibri" w:eastAsia="Calibri" w:hAnsi="Calibri"/>
          <w:b/>
          <w:bCs/>
          <w:i w:val="false"/>
          <w:iCs w:val="false"/>
          <w:color w:val="1A1A1A"/>
          <w:sz w:val="21"/>
          <w:szCs w:val="21"/>
        </w:rPr>
        <w:t xml:space="preserve">Secured perimeters — </w:t>
      </w:r>
      <w:r>
        <w:rPr>
          <w:rFonts w:ascii="Calibri" w:cs="Calibri" w:eastAsia="Calibri" w:hAnsi="Calibri"/>
          <w:b w:val="false"/>
          <w:bCs w:val="false"/>
          <w:i w:val="false"/>
          <w:iCs w:val="false"/>
          <w:color w:val="1A1A1A"/>
          <w:sz w:val="21"/>
          <w:szCs w:val="21"/>
        </w:rPr>
        <w:t xml:space="preserve">delayed-egress or secured-perimeter features permitted only for approved facilities under H.S.C. § 1531.15, with additional staff training (§ 85300).</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assesses each resident for hazard awareness, impulse control, and the risk of leaving the facility unsafely, and documents individualized, least-restrictive precautions in the Needs and Services Plan — environmental cues, redirection, structured activity, supervision, and supervised community access. Only a facility approved by the Department may use secured perimeters or delayed egress under H.S.C. § 1531.15, and then only with the Emergency Intervention training § 85300 requires; the facility does not otherwise confine residents, and honors the personal right of a resident to leave.</w:t>
      </w:r>
    </w:p>
    <w:p>
      <w:pPr>
        <w:spacing w:after="120" w:before="0" w:line="276"/>
        <w:jc w:val="left"/>
      </w:pPr>
      <w:r>
        <w:rPr>
          <w:rFonts w:ascii="Calibri" w:cs="Calibri" w:eastAsia="Calibri" w:hAnsi="Calibri"/>
          <w:b w:val="false"/>
          <w:bCs w:val="false"/>
          <w:i w:val="false"/>
          <w:iCs w:val="false"/>
          <w:color w:val="1A1A1A"/>
          <w:sz w:val="21"/>
          <w:szCs w:val="21"/>
        </w:rPr>
        <w:t xml:space="preserve">Elopement and hazard-unawareness are real, specific dangers in a brain-injury population: impaired safety awareness, disorientation, impulsivity, and the drive to ‘go home’ can lead a resident into traffic or extreme weather. The facility manages that risk with the least restriction that keeps the resident safe, follows a written response protocol if a resident is missing, and reports and reviews every elopement or near-elopement.</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Assess hazard awareness, impulse control, and elopement risk on admission and after changes.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Document individualized, least-restrictive precautions in the Needs and Services Plan.</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Use secured perimeters/delayed egress only if Department-approved under H.S.C. § 1531.15, with § 85300 training.</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Respect the personal right of capable residents to leave.</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Follow a written missing-resident response protocol.</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Report and review every elopement or near-elopement and adjust precautions.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Hazard/Elopement Risk Assessment · Missing-Resident Response Protocol</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3.07 — Behavioral Supports and Least-Restrictive Practice</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Behavioral Supports and Least-Restrictive Practice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Care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22 C.C.R. § 80072, § 80068.2</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support residents whose brain injury affects behavior using positive, individualized, least-restrictive approaches, coordinated with behavioral and medical providers. Written to comply with Title 22.</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Behavioral trigger — </w:t>
      </w:r>
      <w:r>
        <w:rPr>
          <w:rFonts w:ascii="Calibri" w:cs="Calibri" w:eastAsia="Calibri" w:hAnsi="Calibri"/>
          <w:b w:val="false"/>
          <w:bCs w:val="false"/>
          <w:i w:val="false"/>
          <w:iCs w:val="false"/>
          <w:color w:val="1A1A1A"/>
          <w:sz w:val="21"/>
          <w:szCs w:val="21"/>
        </w:rPr>
        <w:t xml:space="preserve">an antecedent — such as overstimulation, pain, fatigue, or an unmet need — that precipitates a behavior; identifying triggers is central to prevention.</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uses individualized, positive, least-restrictive behavioral supports for residents whose brain injury affects behavior, built on identifying and reducing triggers, teaching and reinforcing alternatives, and trained de-escalation, and coordinated with the resident’s behavioral and medical providers and care manager. Each resident’s behavioral support approach is written into the Needs and Services Plan so staff respond consistently and calmly across shifts.</w:t>
      </w:r>
    </w:p>
    <w:p>
      <w:pPr>
        <w:spacing w:after="120" w:before="0" w:line="276"/>
        <w:jc w:val="left"/>
      </w:pPr>
      <w:r>
        <w:rPr>
          <w:rFonts w:ascii="Calibri" w:cs="Calibri" w:eastAsia="Calibri" w:hAnsi="Calibri"/>
          <w:b w:val="false"/>
          <w:bCs w:val="false"/>
          <w:i w:val="false"/>
          <w:iCs w:val="false"/>
          <w:color w:val="1A1A1A"/>
          <w:sz w:val="21"/>
          <w:szCs w:val="21"/>
        </w:rPr>
        <w:t xml:space="preserve">Brain injury can cause disinhibition, agitation, impulsivity, and emotional lability that are symptoms of the injury, not willful misconduct; the facility responds with structure, redirection, and de-escalation, never with corporal or unusual punishment, humiliation, or intimidation, which § 80072 prohibits. Behavioral episodes are documented and analyzed for triggers and patterns, and the support approach is revised to prevent recurrence.</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Develop an individualized behavioral support approach identifying triggers and alternatives.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Write the approach into the Needs and Services Plan and train all staff on it.</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Use positive, least-restrictive strategies and de-escalation — never punishment.</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Coordinate with behavioral and medical providers and the care manager.</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Document behavioral episodes and analyze triggers and patterns.</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Revise the support approach to prevent recurrence.</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Behavioral Support Plan · Behavior Incident / ABC Report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3.08 — Freedom from Restraint and Punishment</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Freedom from Restraint and Punishment</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Care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22 C.C.R. § 80072</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protect residents from restraint used as punishment or for convenience and from any prohibited punishment, consistent with personal rights. Written to comply with Title 22, Section 80072.</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does not subject residents to corporal or unusual punishment, humiliation, intimidation, mental abuse, punitive interference with daily living functions, or the withholding of shelter, clothing, medication, or aids to physical functioning (§ 80072). As a non-medical facility, the ARF does not use medical or physical restraints; resident safety and behavior are managed through supervision, environmental design, and the positive behavioral supports of Policy 3.07, and any postural support or protective device is used only as permitted, with authorization, for the resident’s benefit, and never for discipline or staff convenience.</w:t>
      </w:r>
    </w:p>
    <w:p>
      <w:pPr>
        <w:spacing w:after="120" w:before="0" w:line="276"/>
        <w:jc w:val="left"/>
      </w:pPr>
      <w:r>
        <w:rPr>
          <w:rFonts w:ascii="Calibri" w:cs="Calibri" w:eastAsia="Calibri" w:hAnsi="Calibri"/>
          <w:b w:val="false"/>
          <w:bCs w:val="false"/>
          <w:i w:val="false"/>
          <w:iCs w:val="false"/>
          <w:color w:val="1A1A1A"/>
          <w:sz w:val="21"/>
          <w:szCs w:val="21"/>
        </w:rPr>
        <w:t xml:space="preserve">Because residents with communication deficits may be unable to object, staff vigilance against prohibited punishment or improper restriction is a specific safeguard, and any concern is reported under the abuse-reporting policy.</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Prohibit all forms of punishment listed in § 80072.</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Manage safety and behavior through supervision, environment, and positive supports — not restraint.</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Use any permitted postural support or protective device only with authorization and for the resident’s benefit.</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Never restrict or withhold necessities for discipline or convenience.</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Report any prohibited punishment or improper restriction under the abuse policy.</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Train staff on prohibited practices.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Personal Rights Acknowledgment · Protective Device Authorization (if used)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3.09 — Change in Condition and Plan Modification</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Change in Condition and Plan Modification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Care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22 C.C.R. § 80068.3, § 80069</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recognize, respond to, and document changes in a resident’s condition and to modify the Needs and Services Plan accordingly. Written to comply with Title 22, Sections 80068.3 and 80069.</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monitors residents for changes in physical, cognitive, or behavioral condition, updates the medical or functional assessment as needed, modifies the Needs and Services Plan (§ 80068.3), notifies the resident’s physician, authorized representative, and care manager of significant changes, and takes timely action — including arranging licensed services or relocation where the resident’s needs now exceed ARF authority.</w:t>
      </w:r>
    </w:p>
    <w:p>
      <w:pPr>
        <w:spacing w:after="120" w:before="0" w:line="276"/>
        <w:jc w:val="left"/>
      </w:pPr>
      <w:r>
        <w:rPr>
          <w:rFonts w:ascii="Calibri" w:cs="Calibri" w:eastAsia="Calibri" w:hAnsi="Calibri"/>
          <w:b w:val="false"/>
          <w:bCs w:val="false"/>
          <w:i w:val="false"/>
          <w:iCs w:val="false"/>
          <w:color w:val="1A1A1A"/>
          <w:sz w:val="21"/>
          <w:szCs w:val="21"/>
        </w:rPr>
        <w:t xml:space="preserve">Change in a brain-injury resident may present subtly — increased confusion, new or increased seizures, withdrawal, or new agitation can signal a medical problem, a medication issue, an infection, or a decline requiring a higher level of care. Staff are trained to notice and report these changes rather than dismiss them as ‘how the resident is,’ and the facility acts promptly.</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Monitor residents for physical, cognitive, and behavioral changes on every shift.</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Train staff to recognize and report subtle changes rather than normalize them.</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Update the assessment and modify the Needs and Services Plan (§ 80068.3).</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Notify the physician, representative, and care manager of significant changes.</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Take timely action, including licensed services or relocation where needs exceed ARF authority.</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Document the change, action taken, and notifications.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Change-of-Condition Note · Plan Modification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3.10 — Activities and Community Integration</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Activities and Community Integration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Care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22 C.C.R. § 85079</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provide meaningful activity and supervised community integration that support engagement, skill-building, and progress toward the greatest independence each resident can achieve. Written to comply with Title 22, Section 85079.</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provides an activity program (§ 85079) offering social, recreational, and skill-building activities suited to residents’ interests, abilities, and goals, and supervised community-integration opportunities, reflected in each resident’s Needs and Services Plan. Activities are chosen for engagement and their value in rebuilding skills, and where residents are self-directed, they are supported to plan and conduct activities themselves.</w:t>
      </w:r>
    </w:p>
    <w:p>
      <w:pPr>
        <w:spacing w:after="120" w:before="0" w:line="276"/>
        <w:jc w:val="left"/>
      </w:pPr>
      <w:r>
        <w:rPr>
          <w:rFonts w:ascii="Calibri" w:cs="Calibri" w:eastAsia="Calibri" w:hAnsi="Calibri"/>
          <w:b w:val="false"/>
          <w:bCs w:val="false"/>
          <w:i w:val="false"/>
          <w:iCs w:val="false"/>
          <w:color w:val="1A1A1A"/>
          <w:sz w:val="21"/>
          <w:szCs w:val="21"/>
        </w:rPr>
        <w:t xml:space="preserve">Community integration is central to a brain-injury program: graduated, supervised practice in real settings — shopping, using transportation, managing money, attending appointments — builds the skills a resident needs to move toward greater independence, and connection to vocational rehabilitation or the state TBI program supports residents whose goals include work. The facility matches supervision to each resident’s safety needs and expands independence as readiness grows, documenting participation and outcomes.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Provide an activity program suited to residents’ interests, abilities, and goals (§ 85079).</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Plan graduated, supervised community outings tied to skill-building.</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Support self-directed residents to plan and conduct activities.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Match supervision to each resident’s safety needs and expand independence as readiness grows.</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Connect residents to vocational rehabilitation or the TBI program where goals include work.</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Document participation and outcomes and update goals.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Activity &amp; Community-Integration Plan · Participation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shd w:fill="1F3A5F" w:color="auto" w:val="clear"/>
        <w:spacing w:after="60" w:before="60"/>
      </w:pPr>
      <w:r>
        <w:rPr>
          <w:rFonts w:ascii="Calibri" w:cs="Calibri" w:eastAsia="Calibri" w:hAnsi="Calibri"/>
          <w:b/>
          <w:bCs/>
          <w:i w:val="false"/>
          <w:iCs w:val="false"/>
          <w:color w:val="FFFFFF"/>
          <w:sz w:val="24"/>
          <w:szCs w:val="24"/>
        </w:rPr>
        <w:t xml:space="preserve">SECTION 4 — HEALTH &amp; MEDICATION SERVICES</w:t>
      </w:r>
    </w:p>
    <w:p>
      <w:pPr>
        <w:spacing w:after="120" w:before="0" w:line="276"/>
        <w:jc w:val="left"/>
      </w:pPr>
      <w:r>
        <w:rPr>
          <w:rFonts w:ascii="Calibri" w:cs="Calibri" w:eastAsia="Calibri" w:hAnsi="Calibri"/>
          <w:b/>
          <w:bCs/>
          <w:i w:val="false"/>
          <w:iCs w:val="false"/>
          <w:color w:val="3E5871"/>
          <w:sz w:val="19"/>
          <w:szCs w:val="19"/>
        </w:rPr>
        <w:t xml:space="preserve">Regulatory basis: </w:t>
      </w:r>
      <w:r>
        <w:rPr>
          <w:rFonts w:ascii="Calibri" w:cs="Calibri" w:eastAsia="Calibri" w:hAnsi="Calibri"/>
          <w:b w:val="false"/>
          <w:bCs w:val="false"/>
          <w:i w:val="false"/>
          <w:iCs w:val="false"/>
          <w:color w:val="555555"/>
          <w:sz w:val="19"/>
          <w:szCs w:val="19"/>
        </w:rPr>
        <w:t xml:space="preserve">California Code of Regulations, Title 22, Division 6, Chapter 6 (Adult Residential Facilities) and the general licensing requirements applicable to community care facilities; the California Community Care Facilities Act (Health and Safety Code Section 1500 et seq.); criminal record clearance under H.S.C. Section 1522. Licensed and inspected by the California Department of Social Services (CDSS), Community Care Licensing Division (CCLD).</w:t>
      </w:r>
    </w:p>
    <w:p>
      <w:pPr>
        <w:keepNext/>
        <w:spacing w:after="100" w:before="240"/>
      </w:pPr>
      <w:r>
        <w:rPr>
          <w:rFonts w:ascii="Calibri" w:cs="Calibri" w:eastAsia="Calibri" w:hAnsi="Calibri"/>
          <w:b/>
          <w:bCs/>
          <w:i w:val="false"/>
          <w:iCs w:val="false"/>
          <w:color w:val="1F3A5F"/>
          <w:sz w:val="24"/>
          <w:szCs w:val="24"/>
        </w:rPr>
        <w:t xml:space="preserve">Policy 4.01 — Health-Related Services and Medical/Dental Care</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Health-Related Services and Medical/Dental Care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Health Services / Medication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22 C.C.R. § 80075, § 80069</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arrange and support each resident’s medical, dental, and health-related care within the non-medical scope of an ARF. Written to comply with Title 22, Sections 80075 and 80069.</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provides the health-related services permitted by § 80075 — assistance with self-administered medication, central storage and distribution of medications, and arrangement of and assistance with medical and dental care — and ensures each resident has a source of medical care. It arranges appointments, supports the resident in attending, communicates with providers, and follows through on recommendations that fall within the ARF’s non-medical scope, referring skilled needs to licensed professionals or home health.</w:t>
      </w:r>
    </w:p>
    <w:p>
      <w:pPr>
        <w:spacing w:after="120" w:before="0" w:line="276"/>
        <w:jc w:val="left"/>
      </w:pPr>
      <w:r>
        <w:rPr>
          <w:rFonts w:ascii="Calibri" w:cs="Calibri" w:eastAsia="Calibri" w:hAnsi="Calibri"/>
          <w:b w:val="false"/>
          <w:bCs w:val="false"/>
          <w:i w:val="false"/>
          <w:iCs w:val="false"/>
          <w:color w:val="1A1A1A"/>
          <w:sz w:val="21"/>
          <w:szCs w:val="21"/>
        </w:rPr>
        <w:t xml:space="preserve">Brain-injury residents often see multiple providers — neurology, physiatry, psychiatry, therapy — and may not track or report their own care, so the facility acts as the coordinating hub, ensuring appointments happen, bringing findings and orders into the Needs and Services Plan, and making sure recommendations within scope are carried out and skilled needs are arranged through licensed providers.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Confirm each resident’s source of medical care at admission.</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Arrange and support medical, dental, and therapy appointments.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Communicate with providers and bring findings into the Needs and Services Plan.</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Carry out recommendations within the ARF’s non-medical scope.</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Arrange licensed professionals or home health for skilled needs.</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Document health-related services and coordination.</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Health-Related Services Record · Appointment &amp; Follow-Up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4.02 — Assistance with Self-Administered Medication</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Assistance with Self-Administered Medication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Health Services / Medication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22 C.C.R. § 80075</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support residents in taking their own medications safely within the non-medical limits of an ARF — a high-stakes function for a brain-injury population on anticonvulsants and psychotropics. Written to comply with Title 22, Section 80075.</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Assistance with self-administration — </w:t>
      </w:r>
      <w:r>
        <w:rPr>
          <w:rFonts w:ascii="Calibri" w:cs="Calibri" w:eastAsia="Calibri" w:hAnsi="Calibri"/>
          <w:b w:val="false"/>
          <w:bCs w:val="false"/>
          <w:i w:val="false"/>
          <w:iCs w:val="false"/>
          <w:color w:val="1A1A1A"/>
          <w:sz w:val="21"/>
          <w:szCs w:val="21"/>
        </w:rPr>
        <w:t xml:space="preserve">the non-medical help an ARF may provide — reminding the resident to take medications, observing to ensure they are taken as directed, and making centrally stored medications available — without administering the medication as a nursing act (§ 80075).</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assists residents with self-administered medication only within § 80075: reminding the resident when a medication is due, observing the resident take it, making centrally stored medications available, and ensuring the medication is taken according to the label and the prescriber’s instructions. Staff who provide this assistance are trained (§ 80065). The facility does not administer medications as a nursing act; where a resident cannot self-administer even with assistance, the facility arranges a licensed professional or home health, or determines the resident needs a higher level of care.</w:t>
      </w:r>
    </w:p>
    <w:p>
      <w:pPr>
        <w:spacing w:after="120" w:before="0" w:line="276"/>
        <w:jc w:val="left"/>
      </w:pPr>
      <w:r>
        <w:rPr>
          <w:rFonts w:ascii="Calibri" w:cs="Calibri" w:eastAsia="Calibri" w:hAnsi="Calibri"/>
          <w:b w:val="false"/>
          <w:bCs w:val="false"/>
          <w:i w:val="false"/>
          <w:iCs w:val="false"/>
          <w:color w:val="1A1A1A"/>
          <w:sz w:val="21"/>
          <w:szCs w:val="21"/>
        </w:rPr>
        <w:t xml:space="preserve">Because many brain-injury residents have impaired memory or judgment, accurate assistance and timing are safety-critical — a missed anticonvulsant dose can cause seizures. The facility identifies each resident’s medication-assistance needs in the Needs and Services Plan, keeps the current-medication record accurate, verifies the medication matches the label and the resident, and documents assistance and any missed or refused doses, following up with the prescriber as needed.</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Assist only within § 80075 — remind, observe, and make centrally stored medications available.</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Use only staff trained in medication assistance (§ 80065).</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Verify the medication matches the label and the resident before assisting.</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Identify each resident’s medication-assistance needs in the Needs and Services Plan.</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Document assistance and any missed or refused doses and follow up with the prescriber.</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Arrange a licensed professional or higher level of care where assistance is not enough.</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Medication Assistance Record · Current Medication List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4.03 — Centrally Stored Medications and Records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Centrally Stored Medications and Records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Health Services / Medication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22 C.C.R. § 80075, § 80070</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store, control, and record centrally stored medications safely, protecting residents from error and diversion. Written to comply with Title 22, Sections 80075 and 80070.</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Where medications are centrally stored under § 80075, they are kept safely and securely, stored per the label, accessible only to authorized staff, and recorded — including the name of the prescribing physician, the medication and instructions, and any instructions regarding control and custody (§ 80070). Medications requiring refrigeration are refrigerated, and medications that are controlled substances are stored and accounted for with additional security.</w:t>
      </w:r>
    </w:p>
    <w:p>
      <w:pPr>
        <w:spacing w:after="120" w:before="0" w:line="276"/>
        <w:jc w:val="left"/>
      </w:pPr>
      <w:r>
        <w:rPr>
          <w:rFonts w:ascii="Calibri" w:cs="Calibri" w:eastAsia="Calibri" w:hAnsi="Calibri"/>
          <w:b w:val="false"/>
          <w:bCs w:val="false"/>
          <w:i w:val="false"/>
          <w:iCs w:val="false"/>
          <w:color w:val="1A1A1A"/>
          <w:sz w:val="21"/>
          <w:szCs w:val="21"/>
        </w:rPr>
        <w:t xml:space="preserve">For a brain-injury population, secure central storage reduces the risk of a resident with impaired judgment taking the wrong medication or a doubled dose, and reduces diversion risk; the facility keeps the medication record current and reconciles centrally stored medications on a defined schedule.</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Store centrally stored medications safely, securely, and per the label (§ 80075).</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Limit access to authorized staff and refrigerate medications that require it.</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Store and account for controlled substances with additional security.</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Maintain the medication record with prescriber, instructions, and control/custody notes (§ 80070).</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Reconcile centrally stored medications on a defined schedule.</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Audit storage and records periodically.</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Centrally Stored Medication Record · Controlled-Substance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4.04 — Medication Disposal and Changes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Medication Disposal and Changes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Health Services / Medication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22 C.C.R. § 80075, § 80070</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handle medication changes, discontinued and expired medications, and disposal safely and with proper documentation. Written to comply with Title 22.</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updates the current-medication record whenever a prescriber changes a resident’s medications, disposes of discontinued and expired medications safely and in accordance with applicable law (with documentation and, for controlled substances, the required witness), and sends or arranges a resident’s medications on relocation or discharge per the prescriber’s instructions.</w:t>
      </w:r>
    </w:p>
    <w:p>
      <w:pPr>
        <w:spacing w:after="120" w:before="0" w:line="276"/>
        <w:jc w:val="left"/>
      </w:pPr>
      <w:r>
        <w:rPr>
          <w:rFonts w:ascii="Calibri" w:cs="Calibri" w:eastAsia="Calibri" w:hAnsi="Calibri"/>
          <w:b w:val="false"/>
          <w:bCs w:val="false"/>
          <w:i w:val="false"/>
          <w:iCs w:val="false"/>
          <w:color w:val="1A1A1A"/>
          <w:sz w:val="21"/>
          <w:szCs w:val="21"/>
        </w:rPr>
        <w:t xml:space="preserve">Because brain-injury regimens change as residents recover or decline, keeping the medication record and central storage synchronized with current orders prevents dangerous errors; the facility reconciles on every change.</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Update the current-medication record on every prescriber change.</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Dispose of discontinued and expired medications safely and per law, with documentation.</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Witness and document controlled-substance disposal.</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Send or arrange medications on relocation/discharge per prescriber instructions.</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Reconcile central storage with current orders on every change.</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Medication Change &amp; Disposal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4.05 — Incidental Medical Care and Home Health</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Incidental Medical Care and Home Health</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Health Services / Medication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22 C.C.R. § 80075, § 80092</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meet residents’ incidental and skilled medical needs through licensed professionals and home health, within the non-medical scope of an ARF. Written to comply with Title 22, Sections 80075 and 80092.</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arranges incidental medical and dental care, and any skilled care a resident needs, through the resident’s physician, appropriately licensed professionals, or a licensed home health or hospice agency — not through facility care staff, who provide only non-medical support. Where a resident has a restricted health condition, skilled tasks are performed under the Restricted Health Condition Care Plan by or under the supervision of the licensed professional (Policy 3.04).</w:t>
      </w:r>
    </w:p>
    <w:p>
      <w:pPr>
        <w:spacing w:after="120" w:before="0" w:line="276"/>
        <w:jc w:val="left"/>
      </w:pPr>
      <w:r>
        <w:rPr>
          <w:rFonts w:ascii="Calibri" w:cs="Calibri" w:eastAsia="Calibri" w:hAnsi="Calibri"/>
          <w:b w:val="false"/>
          <w:bCs w:val="false"/>
          <w:i w:val="false"/>
          <w:iCs w:val="false"/>
          <w:color w:val="1A1A1A"/>
          <w:sz w:val="21"/>
          <w:szCs w:val="21"/>
        </w:rPr>
        <w:t xml:space="preserve">For brain-injury residents, this commonly means coordinating home health for wound care or skilled nursing needs, therapy services, and specialist visits; the facility supports access, follows the non-skilled portions of any plan, and keeps the Needs and Services Plan current. A resident whose skilled needs exceed what licensed services in an ARF can safely support is referred to a higher level of care.</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Arrange incidental and skilled medical care through physicians, licensed professionals, or home health.</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Keep facility care staff within the non-medical scope of the ARF.</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Manage restricted-health-condition tasks under the § 80092.2 care plan with licensed involvement.</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Support residents’ access to therapy and specialist care.</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Keep the Needs and Services Plan current with external care.</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Refer to a higher level of care where skilled needs exceed ARF support.</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External / Home Health Coordination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4.06 — Health Monitoring and Tuberculosis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Health Monitoring and Tuberculosis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Health Services / Medication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22 C.C.R. § 80069</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monitor residents’ health and meet tuberculosis and communicable-disease requirements. Written to comply with Title 22, Section 80069.</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ensures each resident has the tuberculosis test § 80069 requires and monitors residents’ health and functional status, watching for signs of illness or change that a resident may not report, arranging professional evaluation as needed, and following public-health requirements for communicable disease. Health observations and actions are documented.</w:t>
      </w:r>
    </w:p>
    <w:p>
      <w:pPr>
        <w:spacing w:after="120" w:before="0" w:line="276"/>
        <w:jc w:val="left"/>
      </w:pPr>
      <w:r>
        <w:rPr>
          <w:rFonts w:ascii="Calibri" w:cs="Calibri" w:eastAsia="Calibri" w:hAnsi="Calibri"/>
          <w:b w:val="false"/>
          <w:bCs w:val="false"/>
          <w:i w:val="false"/>
          <w:iCs w:val="false"/>
          <w:color w:val="1A1A1A"/>
          <w:sz w:val="21"/>
          <w:szCs w:val="21"/>
        </w:rPr>
        <w:t xml:space="preserve">Brain-injury residents may not recognize or communicate symptoms, so proactive monitoring by trained staff is an important safeguard; staff escalate changes under the change-of-condition policy.</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Ensure each resident has the required tuberculosis test (§ 80069).</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Monitor residents’ health and functional status and watch for unreported symptoms.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Arrange professional evaluation as needed.</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Follow public-health requirements for communicable disease.</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Escalate changes under the change-of-condition policy and document monitoring.</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Health Monitoring Log · TB Test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4.07 — Prohibited and Restricted Health Conditions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Prohibited and Restricted Health Conditions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Health Services / Medication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22 C.C.R. § 80091, § 80092</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keep admission and retention within the health-condition limits of an ARF, protecting residents from being served where they cannot safely be served. Written to comply with Title 22, Sections 80091 and 80092.</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does not admit or retain a resident with a prohibited health condition (§ 80091), and serves a resident with a restricted health condition (§ 80092) only under a Restricted Health Condition Care Plan with appropriate licensed involvement (Policy 3.04). The facility screens for these conditions at admission and reassesses on any change of condition, and refers a resident whose condition is or becomes prohibited, or cannot be safely managed as restricted, to an appropriate higher level of care.</w:t>
      </w:r>
    </w:p>
    <w:p>
      <w:pPr>
        <w:spacing w:after="120" w:before="0" w:line="276"/>
        <w:jc w:val="left"/>
      </w:pPr>
      <w:r>
        <w:rPr>
          <w:rFonts w:ascii="Calibri" w:cs="Calibri" w:eastAsia="Calibri" w:hAnsi="Calibri"/>
          <w:b w:val="false"/>
          <w:bCs w:val="false"/>
          <w:i w:val="false"/>
          <w:iCs w:val="false"/>
          <w:color w:val="1A1A1A"/>
          <w:sz w:val="21"/>
          <w:szCs w:val="21"/>
        </w:rPr>
        <w:t xml:space="preserve">For brain-injury residents whose medical needs can change, this screening is ongoing, not one-time; the facility acts honestly on what it finds rather than stretching its non-medical scope.</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Screen for prohibited and restricted health conditions at admission.</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Do not admit or retain a resident with a prohibited health condition (§ 80091).</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Serve a restricted-health-condition resident only under a § 80092.2 care plan with licensed involvement.</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Reassess health conditions on any change of condition.</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Refer to a higher level of care where a condition is prohibited or cannot be safely managed.</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Document health-condition screening and decisions.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Health Condition Screen &amp; Determination</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4.08 — Advance Health Care Directives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Advance Health Care Directives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Health Services / Medication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22 C.C.R. § 80072; PUB 325</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inform residents of their right to make health care decisions and to honor their advance health care directives. Written to comply with Title 22 and the resident’s right to make decisions about medical treatment (PUB 325).</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provides each resident information about the right to make decisions about medical treatment (PUB 325), asks about and documents each resident’s advance health care directive and treatment preferences, keeps them in the resident record and accessible to staff and providers, and honors them consistent with law and the resident’s rights.</w:t>
      </w:r>
    </w:p>
    <w:p>
      <w:pPr>
        <w:spacing w:after="120" w:before="0" w:line="276"/>
        <w:jc w:val="left"/>
      </w:pPr>
      <w:r>
        <w:rPr>
          <w:rFonts w:ascii="Calibri" w:cs="Calibri" w:eastAsia="Calibri" w:hAnsi="Calibri"/>
          <w:b w:val="false"/>
          <w:bCs w:val="false"/>
          <w:i w:val="false"/>
          <w:iCs w:val="false"/>
          <w:color w:val="1A1A1A"/>
          <w:sz w:val="21"/>
          <w:szCs w:val="21"/>
        </w:rPr>
        <w:t xml:space="preserve">Where a brain injury affects a resident’s decision-making capacity, the facility involves the resident to the extent of their ability and the authorized representative as needed, makes staff and emergency responders aware of a resident’s directive, and revisits advance care planning as the resident’s condition changes.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Provide PUB 325 information about the right to make medical-treatment decisions.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Ask about and document advance health care directives and preferences.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Keep directives accessible to staff and providers.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Involve the resident to the extent of their ability and the representative as needed.</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Make staff and responders aware of a resident’s directive and honor it consistent with law.</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Revisit advance care planning as the resident’s condition changes.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Advance Health Care Directive Record · PUB 325 Acknowledgment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shd w:fill="1F3A5F" w:color="auto" w:val="clear"/>
        <w:spacing w:after="60" w:before="60"/>
      </w:pPr>
      <w:r>
        <w:rPr>
          <w:rFonts w:ascii="Calibri" w:cs="Calibri" w:eastAsia="Calibri" w:hAnsi="Calibri"/>
          <w:b/>
          <w:bCs/>
          <w:i w:val="false"/>
          <w:iCs w:val="false"/>
          <w:color w:val="FFFFFF"/>
          <w:sz w:val="24"/>
          <w:szCs w:val="24"/>
        </w:rPr>
        <w:t xml:space="preserve">SECTION 5 — ENVIRONMENT, NUTRITION &amp; SAFETY</w:t>
      </w:r>
    </w:p>
    <w:p>
      <w:pPr>
        <w:spacing w:after="120" w:before="0" w:line="276"/>
        <w:jc w:val="left"/>
      </w:pPr>
      <w:r>
        <w:rPr>
          <w:rFonts w:ascii="Calibri" w:cs="Calibri" w:eastAsia="Calibri" w:hAnsi="Calibri"/>
          <w:b/>
          <w:bCs/>
          <w:i w:val="false"/>
          <w:iCs w:val="false"/>
          <w:color w:val="3E5871"/>
          <w:sz w:val="19"/>
          <w:szCs w:val="19"/>
        </w:rPr>
        <w:t xml:space="preserve">Regulatory basis: </w:t>
      </w:r>
      <w:r>
        <w:rPr>
          <w:rFonts w:ascii="Calibri" w:cs="Calibri" w:eastAsia="Calibri" w:hAnsi="Calibri"/>
          <w:b w:val="false"/>
          <w:bCs w:val="false"/>
          <w:i w:val="false"/>
          <w:iCs w:val="false"/>
          <w:color w:val="555555"/>
          <w:sz w:val="19"/>
          <w:szCs w:val="19"/>
        </w:rPr>
        <w:t xml:space="preserve">California Code of Regulations, Title 22, Division 6, Chapter 6 (Adult Residential Facilities) and the general licensing requirements applicable to community care facilities; the California Community Care Facilities Act (Health and Safety Code Section 1500 et seq.); criminal record clearance under H.S.C. Section 1522. Licensed and inspected by the California Department of Social Services (CDSS), Community Care Licensing Division (CCLD).</w:t>
      </w:r>
    </w:p>
    <w:p>
      <w:pPr>
        <w:keepNext/>
        <w:spacing w:after="100" w:before="240"/>
      </w:pPr>
      <w:r>
        <w:rPr>
          <w:rFonts w:ascii="Calibri" w:cs="Calibri" w:eastAsia="Calibri" w:hAnsi="Calibri"/>
          <w:b/>
          <w:bCs/>
          <w:i w:val="false"/>
          <w:iCs w:val="false"/>
          <w:color w:val="1F3A5F"/>
          <w:sz w:val="24"/>
          <w:szCs w:val="24"/>
        </w:rPr>
        <w:t xml:space="preserve">Policy 5.01 — Physical Environment and Buildings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Physical Environment and Buildings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Environmental Services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22 C.C.R. § 80087, § 80088; fire clearance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maintain a safe, sanitary, well-maintained physical environment designed and equipped for residents whose brain injury may affect mobility, perception, safety awareness, and behavior. Written to comply with the buildings and grounds requirements of Title 22.</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Fire clearance — </w:t>
      </w:r>
      <w:r>
        <w:rPr>
          <w:rFonts w:ascii="Calibri" w:cs="Calibri" w:eastAsia="Calibri" w:hAnsi="Calibri"/>
          <w:b w:val="false"/>
          <w:bCs w:val="false"/>
          <w:i w:val="false"/>
          <w:iCs w:val="false"/>
          <w:color w:val="1A1A1A"/>
          <w:sz w:val="21"/>
          <w:szCs w:val="21"/>
        </w:rPr>
        <w:t xml:space="preserve">the approval from the fire authority that the building meets fire-safety requirements for the facility’s capacity and residents’ ambulatory status.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maintains buildings and grounds that are safe, sanitary, and in good repair, with resident bedrooms, sufficient bathrooms, living and dining space, and a kitchen meeting the requirements of Title 22, and holds the fire clearance appropriate to its capacity and to any non-ambulatory residents. Storage of medications, cleaning agents, and other hazardous items is safe and secure.</w:t>
      </w:r>
    </w:p>
    <w:p>
      <w:pPr>
        <w:spacing w:after="120" w:before="0" w:line="276"/>
        <w:jc w:val="left"/>
      </w:pPr>
      <w:r>
        <w:rPr>
          <w:rFonts w:ascii="Calibri" w:cs="Calibri" w:eastAsia="Calibri" w:hAnsi="Calibri"/>
          <w:b w:val="false"/>
          <w:bCs w:val="false"/>
          <w:i w:val="false"/>
          <w:iCs w:val="false"/>
          <w:color w:val="1A1A1A"/>
          <w:sz w:val="21"/>
          <w:szCs w:val="21"/>
        </w:rPr>
        <w:t xml:space="preserve">Design for a brain-injury population goes beyond the minimum: the environment is kept accessible for residents with mobility or sensory impairment, low-clutter and clearly organized to reduce confusion and falls, and equipped with features (labeling, cueing, lighting, safe water temperature) that support cognitive impairment and reduce injury. The facility identifies and removes hazards relevant to residents’ specific impairments during regular inspections and documents repairs.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Maintain buildings and grounds safe, sanitary, and in good repair.</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Maintain fire clearance appropriate to capacity and ambulatory status.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Keep the environment accessible, low-clutter, and organized to reduce confusion and falls.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Store medications and hazardous items safely and securely.</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Inspect regularly, remove hazards relevant to residents’ impairments, and document repairs.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Physical Environment Inspection Checklist · Maintenance &amp; Hazard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5.02 — Fire Safety and Emergency Disaster Plan</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Fire Safety and Emergency Disaster Plan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Environmental Services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22 C.C.R. § 80023; LIC 610E; fire clearance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protect residents through fire-safety compliance, a current emergency disaster plan, staff training, and drills — with evacuation planning that accounts for cognitive and mobility impairments. Written to comply with Title 22 and fire-clearance requirements.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maintains its fire clearance and the fire-protection features it requires, maintains a current Emergency Disaster Plan (LIC 610E) covering evacuation, shelter-in-place, and relocation, trains all staff on it, and conducts and documents fire drills across all shifts. Evacuation planning is individualized to each resident’s mobility and cognitive needs, because a resident with a brain injury may not react appropriately to an alarm, may freeze or wander, or may need assistance to evacuate.</w:t>
      </w:r>
    </w:p>
    <w:p>
      <w:pPr>
        <w:spacing w:after="120" w:before="0" w:line="276"/>
        <w:jc w:val="left"/>
      </w:pPr>
      <w:r>
        <w:rPr>
          <w:rFonts w:ascii="Calibri" w:cs="Calibri" w:eastAsia="Calibri" w:hAnsi="Calibri"/>
          <w:b w:val="false"/>
          <w:bCs w:val="false"/>
          <w:i w:val="false"/>
          <w:iCs w:val="false"/>
          <w:color w:val="1A1A1A"/>
          <w:sz w:val="21"/>
          <w:szCs w:val="21"/>
        </w:rPr>
        <w:t xml:space="preserve">The facility runs drills realistically, including at night, uses the results to improve the plan and staff response, and corrects fire-safety deficiencies promptly.</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Maintain fire clearance and required fire-protection features.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Maintain a current Emergency Disaster Plan (LIC 610E) and post evacuation routes.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Train all staff on fire response and their assigned duties.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Individualize evacuation planning for each resident’s mobility and cognition.</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Conduct and document fire drills across all shifts, including at night.</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Correct fire-safety deficiencies promptly.</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Emergency Disaster Plan (LIC 610E) · Fire Drill Log · Individualized Evacuation Needs List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5.03 — Buildings, Grounds, and Maintenance</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Buildings, Grounds, and Maintenance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Environmental Services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22 C.C.R. § 80088</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keep the facility clean, safe, and in good repair through ongoing maintenance and sanitation. Written to comply with Title 22, Section 80088.</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maintains buildings, equipment, furnishings, and grounds in a safe, clean, sanitary, and operable condition, with slip-resistant flooring maintained in good condition, timely waste removal, safe water temperature, and prompt repair of hazards. Maintenance is documented.</w:t>
      </w:r>
    </w:p>
    <w:p>
      <w:pPr>
        <w:spacing w:after="120" w:before="0" w:line="276"/>
        <w:jc w:val="left"/>
      </w:pPr>
      <w:r>
        <w:rPr>
          <w:rFonts w:ascii="Calibri" w:cs="Calibri" w:eastAsia="Calibri" w:hAnsi="Calibri"/>
          <w:b w:val="false"/>
          <w:bCs w:val="false"/>
          <w:i w:val="false"/>
          <w:iCs w:val="false"/>
          <w:color w:val="1A1A1A"/>
          <w:sz w:val="21"/>
          <w:szCs w:val="21"/>
        </w:rPr>
        <w:t xml:space="preserve">For a brain-injury population, environmental upkeep is also a safety intervention — clutter, poor lighting, or a wet floor is a fall or confusion risk — so the facility maintains the environment with residents’ impairments in mind.</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Maintain buildings, equipment, furnishings, and grounds safe, clean, and operable.</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Maintain slip-resistant flooring and safe water temperature; remove waste timely.</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Repair hazards promptly and document maintenance.</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Maintain the environment with residents’ impairments in mind.</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Inspect regularly and act on findings.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Maintenance &amp; Sanitation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5.04 — Food Service and Nutrition</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Food Service and Nutrition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Environmental Services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22 C.C.R. § 80076</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meet residents’ nutritional needs with meals that are safe, adequate, and suited to the swallowing, feeding, and cognitive needs a brain injury can create. Written to comply with Title 22, Section 80076.</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provides meals and snacks that meet residents’ nutritional needs and the requirements of § 80076, prepared, stored, and served safely and sanitarily, accommodating residents’ preferences, cultural needs, and any swallowing or feeding needs. Menus are planned, and food is stored and handled to prevent contamination.</w:t>
      </w:r>
    </w:p>
    <w:p>
      <w:pPr>
        <w:spacing w:after="120" w:before="0" w:line="276"/>
        <w:jc w:val="left"/>
      </w:pPr>
      <w:r>
        <w:rPr>
          <w:rFonts w:ascii="Calibri" w:cs="Calibri" w:eastAsia="Calibri" w:hAnsi="Calibri"/>
          <w:b w:val="false"/>
          <w:bCs w:val="false"/>
          <w:i w:val="false"/>
          <w:iCs w:val="false"/>
          <w:color w:val="1A1A1A"/>
          <w:sz w:val="21"/>
          <w:szCs w:val="21"/>
        </w:rPr>
        <w:t xml:space="preserve">Brain injury can affect nutrition in specific ways — dysphagia (swallowing difficulty) creating aspiration risk, impaired appetite regulation, impulsive or unsafe eating, or the need for cueing and supervision at meals — so the facility identifies these needs in the Needs and Services Plan, provides the required supervision and any texture-modified food a physician orders, and monitors residents’ intake and weight.</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Plan menus to meet nutritional needs, requirements, and preferences (§ 80076).</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Identify swallowing, feeding, and mealtime-supervision needs in the Needs and Services Plan.</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Provide supervision and physician-ordered texture-modified food with aspiration precautions.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Store, prepare, and serve food safely and sanitarily.</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Monitor residents’ intake and weight and document food-safety practices.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Menu Plan · Mealtime Supervision Note · Kitchen Sanitation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5.05 — Modified and Special Diets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Modified and Special Diets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Environmental Services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22 C.C.R. § 80076</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provide modified and special diets accurately for residents whose medical or swallowing needs require them. Written to comply with Title 22, Section 80076.</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provides modified or special diets — including texture-modified food and thickened liquids where indicated — as ordered by the resident’s physician, and ensures staff who prepare and serve food know each resident’s ordered diet and that the right diet reaches the right resident. The facility monitors acceptance, tolerance, and weight and obtains updated orders when needs change.</w:t>
      </w:r>
    </w:p>
    <w:p>
      <w:pPr>
        <w:spacing w:after="120" w:before="0" w:line="276"/>
        <w:jc w:val="left"/>
      </w:pPr>
      <w:r>
        <w:rPr>
          <w:rFonts w:ascii="Calibri" w:cs="Calibri" w:eastAsia="Calibri" w:hAnsi="Calibri"/>
          <w:b w:val="false"/>
          <w:bCs w:val="false"/>
          <w:i w:val="false"/>
          <w:iCs w:val="false"/>
          <w:color w:val="1A1A1A"/>
          <w:sz w:val="21"/>
          <w:szCs w:val="21"/>
        </w:rPr>
        <w:t xml:space="preserve">Because a wrong diet can be dangerous for a resident with dysphagia, the facility treats diet orders as safety-critical and watches for choking risk, refusal, or weight change that warrants reassessment.</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Obtain physician orders for modified or special diets.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Ensure staff know each resident’s ordered diet and that the right diet reaches the right resident.</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Provide texture-modified food and thickened liquids per order.</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Monitor acceptance, tolerance, and weight.</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Obtain updated orders when needs change and document diet service.</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Special Diet Plan &amp; Monitoring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5.06 — Infection Control and Sanitation</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Infection Control and Sanitation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Environmental Services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22 C.C.R. § 80088; public-health requirements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provide a sanitary environment and prevent the transmission of communicable disease among residents who may be less able to follow precautions or report symptoms. Written to comply with Title 22 and public-health requirements.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maintains infection-control and sanitation practices — hand hygiene, standard precautions, safe handling and disposal of contaminated items and waste, environmental cleaning and disinfection, and stocked first-aid supplies — and follows public-health requirements, including reporting reportable conditions.</w:t>
      </w:r>
    </w:p>
    <w:p>
      <w:pPr>
        <w:spacing w:after="120" w:before="0" w:line="276"/>
        <w:jc w:val="left"/>
      </w:pPr>
      <w:r>
        <w:rPr>
          <w:rFonts w:ascii="Calibri" w:cs="Calibri" w:eastAsia="Calibri" w:hAnsi="Calibri"/>
          <w:b w:val="false"/>
          <w:bCs w:val="false"/>
          <w:i w:val="false"/>
          <w:iCs w:val="false"/>
          <w:color w:val="1A1A1A"/>
          <w:sz w:val="21"/>
          <w:szCs w:val="21"/>
        </w:rPr>
        <w:t xml:space="preserve">Residents with brain injury may not reliably perform hand hygiene, cover coughs, or report early symptoms, so staff provide cueing and supervision, monitor residents for signs of illness, and respond promptly to any suspected outbreak. Practices are documented and staff are trained.</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Maintain hand-hygiene, standard-precaution, and cleaning/disinfection practices.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Provide cueing and supervision to help residents follow precautions.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Handle and dispose of contaminated items and waste safely.</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Keep first-aid supplies stocked and monitor residents for illness.</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Respond promptly to suspected outbreaks and report reportable conditions.</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Train staff and document practices.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Infection Control Plan · Cleaning &amp; Supply Checklist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5.07 — Emergency Preparedness and Response</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Emergency Preparedness and Response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Environmental Services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22 C.C.R. § 80023; LIC 610E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prepare for and respond to fires, earthquakes, utility loss, medical emergencies, and other disasters, with individualized planning for residents whose brain injury complicates response. Written to comply with Title 22.</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maintains and follows its Emergency Disaster Plan (LIC 610E) addressing fire, earthquake, severe weather, utility loss, medical emergencies, and evacuation or relocation, individualized to residents whose brain injury affects mobility or cognition, with a plan for continuity of medications and records during an emergency. Emergency supplies and current contact information are maintained, and staff are trained and drilled.</w:t>
      </w:r>
    </w:p>
    <w:p>
      <w:pPr>
        <w:spacing w:after="120" w:before="0" w:line="276"/>
        <w:jc w:val="left"/>
      </w:pPr>
      <w:r>
        <w:rPr>
          <w:rFonts w:ascii="Calibri" w:cs="Calibri" w:eastAsia="Calibri" w:hAnsi="Calibri"/>
          <w:b w:val="false"/>
          <w:bCs w:val="false"/>
          <w:i w:val="false"/>
          <w:iCs w:val="false"/>
          <w:color w:val="1A1A1A"/>
          <w:sz w:val="21"/>
          <w:szCs w:val="21"/>
        </w:rPr>
        <w:t xml:space="preserve">Because a resident with a brain injury may not understand an emergency, may not evacuate on instruction, or may need medication continuity that cannot be interrupted, each resident’s emergency needs are individualized and practiced, and the facility ensures essential medications and records can move with residents.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Maintain and follow the Emergency Disaster Plan (LIC 610E) for all hazard types.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Individualize each resident’s emergency and evacuation needs.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Maintain continuity of medications and records during emergencies.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Maintain emergency supplies and current contacts.</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Train staff and conduct documented drills.</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Review and update the plan after any event or drill.</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Emergency Disaster Plan (LIC 610E) · Individualized Evacuation Plan · Drill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5.08 — Telephones, Transportation, and Access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Telephones, Transportation, and Access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Environmental Services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22 C.C.R. § 80073, § 80074</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ensure residents have telephone access and safe transportation. Written to comply with Title 22, Sections 80073 and 80074.</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provides residents reasonable access to a telephone (§ 80073), including for private communication with family, representatives, the ombudsman, and outside agencies, and provides or arranges safe transportation (§ 80074) for medical appointments and community activities, with drivers meeting applicable requirements and residents supervised appropriately during transport.</w:t>
      </w:r>
    </w:p>
    <w:p>
      <w:pPr>
        <w:spacing w:after="120" w:before="0" w:line="276"/>
        <w:jc w:val="left"/>
      </w:pPr>
      <w:r>
        <w:rPr>
          <w:rFonts w:ascii="Calibri" w:cs="Calibri" w:eastAsia="Calibri" w:hAnsi="Calibri"/>
          <w:b w:val="false"/>
          <w:bCs w:val="false"/>
          <w:i w:val="false"/>
          <w:iCs w:val="false"/>
          <w:color w:val="1A1A1A"/>
          <w:sz w:val="21"/>
          <w:szCs w:val="21"/>
        </w:rPr>
        <w:t xml:space="preserve">For brain-injury residents, telephone access supports the exercise of personal rights, and safe, supervised transportation supports the community-integration goals in their Needs and Services Plans; the facility accommodates residents’ cognitive or communication needs in both.</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Provide reasonable telephone access, including for private communication (§ 80073).</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Provide or arrange safe transportation for appointments and activities (§ 80074).</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Ensure drivers meet applicable requirements and residents are supervised during transport.</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Accommodate residents’ cognitive or communication needs.</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Document transportation provided for community integration.</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Transportation Log · Telephone Access Note</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shd w:fill="1F3A5F" w:color="auto" w:val="clear"/>
        <w:spacing w:after="60" w:before="60"/>
      </w:pPr>
      <w:r>
        <w:rPr>
          <w:rFonts w:ascii="Calibri" w:cs="Calibri" w:eastAsia="Calibri" w:hAnsi="Calibri"/>
          <w:b/>
          <w:bCs/>
          <w:i w:val="false"/>
          <w:iCs w:val="false"/>
          <w:color w:val="FFFFFF"/>
          <w:sz w:val="24"/>
          <w:szCs w:val="24"/>
        </w:rPr>
        <w:t xml:space="preserve">SECTION 6 — PROGRAM PERFORMANCE &amp; OUTCOMES</w:t>
      </w:r>
    </w:p>
    <w:p>
      <w:pPr>
        <w:spacing w:after="120" w:before="0" w:line="276"/>
        <w:jc w:val="left"/>
      </w:pPr>
      <w:r>
        <w:rPr>
          <w:rFonts w:ascii="Calibri" w:cs="Calibri" w:eastAsia="Calibri" w:hAnsi="Calibri"/>
          <w:b/>
          <w:bCs/>
          <w:i w:val="false"/>
          <w:iCs w:val="false"/>
          <w:color w:val="3E5871"/>
          <w:sz w:val="19"/>
          <w:szCs w:val="19"/>
        </w:rPr>
        <w:t xml:space="preserve">Regulatory basis: </w:t>
      </w:r>
      <w:r>
        <w:rPr>
          <w:rFonts w:ascii="Calibri" w:cs="Calibri" w:eastAsia="Calibri" w:hAnsi="Calibri"/>
          <w:b w:val="false"/>
          <w:bCs w:val="false"/>
          <w:i w:val="false"/>
          <w:iCs w:val="false"/>
          <w:color w:val="555555"/>
          <w:sz w:val="19"/>
          <w:szCs w:val="19"/>
        </w:rPr>
        <w:t xml:space="preserve">California Code of Regulations, Title 22, Division 6, Chapter 6 (Adult Residential Facilities) and the general licensing requirements applicable to community care facilities; the California Community Care Facilities Act (Health and Safety Code Section 1500 et seq.); criminal record clearance under H.S.C. Section 1522. Licensed and inspected by the California Department of Social Services (CDSS), Community Care Licensing Division (CCLD).</w:t>
      </w:r>
    </w:p>
    <w:p>
      <w:pPr>
        <w:spacing w:after="120" w:before="0" w:line="276"/>
        <w:jc w:val="left"/>
      </w:pPr>
      <w:r>
        <w:rPr>
          <w:rFonts w:ascii="Calibri" w:cs="Calibri" w:eastAsia="Calibri" w:hAnsi="Calibri"/>
          <w:b w:val="false"/>
          <w:bCs w:val="false"/>
          <w:i/>
          <w:iCs/>
          <w:color w:val="555555"/>
          <w:sz w:val="20"/>
          <w:szCs w:val="20"/>
        </w:rPr>
        <w:t xml:space="preserve">Accreditation alignment (optional, but market-relevant): this manual is structured to align with nationally recognized rehabilitation accreditation frameworks — the Joint Commission and CARF (Commission on Accreditation of Rehabilitation Facilities) — which payers, regional centers, and referral sources often prefer for brain-injury providers. This section aligns the facility’s practices to those frameworks; it does not reproduce their proprietary standards, which should be obtained directly from the accreditor. The policies below build the interdisciplinary, outcomes-oriented, person-centered program that distinguishes a specialized brain-injury home from an ordinary adult residential facility.</w:t>
      </w:r>
    </w:p>
    <w:p>
      <w:pPr>
        <w:keepNext/>
        <w:spacing w:after="100" w:before="240"/>
      </w:pPr>
      <w:r>
        <w:rPr>
          <w:rFonts w:ascii="Calibri" w:cs="Calibri" w:eastAsia="Calibri" w:hAnsi="Calibri"/>
          <w:b/>
          <w:bCs/>
          <w:i w:val="false"/>
          <w:iCs w:val="false"/>
          <w:color w:val="1F3A5F"/>
          <w:sz w:val="24"/>
          <w:szCs w:val="24"/>
        </w:rPr>
        <w:t xml:space="preserve">Policy 6.01 — Interdisciplinary Team</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Interdisciplinary Team</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Program Evaluation / Quality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National rehabilitation accreditation standards; 22 C.C.R. § 80068.2</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coordinate each resident’s brain-injury care through an interdisciplinary team so that medical, therapeutic, behavioral, and daily-living supports work toward shared goals. Written to align with national rehabilitation accreditation standards and the Needs and Services Plan requirements of Title 22.</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Brain-injury services are coordinated by an interdisciplinary team appropriate to each resident’s needs, which may include the resident and authorized representative, the resident’s physician and specialists, the resident’s therapists (physical, occupational, speech, behavioral), the regional center or CalAIM care manager, home health where involved, and trained direct care staff. The team works from a shared, person-centered plan toward the resident’s independence and community-integration goals, with documented communication.</w:t>
      </w:r>
    </w:p>
    <w:p>
      <w:pPr>
        <w:spacing w:after="120" w:before="0" w:line="276"/>
        <w:jc w:val="left"/>
      </w:pPr>
      <w:r>
        <w:rPr>
          <w:rFonts w:ascii="Calibri" w:cs="Calibri" w:eastAsia="Calibri" w:hAnsi="Calibri"/>
          <w:b w:val="false"/>
          <w:bCs w:val="false"/>
          <w:i w:val="false"/>
          <w:iCs w:val="false"/>
          <w:color w:val="1A1A1A"/>
          <w:sz w:val="21"/>
          <w:szCs w:val="21"/>
        </w:rPr>
        <w:t xml:space="preserve">The interdisciplinary approach is what turns a residence into a rehabilitation-oriented program: rather than each provider working in isolation, the team aligns the resident’s therapy goals, behavioral supports, medication regimen, and daily routine so they reinforce one another. Contracted and external providers are held to the same expectations of coordination.</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Identify the interdisciplinary team members for each resident.</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Establish how the team communicates and coordinates in writing.</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Align therapy, behavioral, medical, and daily-living goals in a shared plan.</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Hold and document regular team communication on progress.</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Include the resident and representative as appropriate.</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Hold external providers to the same coordination expectations.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IDT Roster &amp; Communication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6.02 — Community Re-Entry and Transition Planning</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Community Re-Entry and Transition Planning</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Program Evaluation / Quality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National rehabilitation accreditation standards; 22 C.C.R. § 80068.5</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plan from admission for each resident’s safe, supported transition toward the most independent setting they can achieve. Written to align with national rehabilitation accreditation standards and the relocation provisions of Title 22.</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From admission, each resident’s record includes a community re-entry / transition plan identifying the anticipated discharge or step-down setting, the home and environmental modifications and supports the resident will need, the community services to be arranged, and the follow-up plan. The facility provides supported community-integration activities that build toward that transition and documents outcomes.</w:t>
      </w:r>
    </w:p>
    <w:p>
      <w:pPr>
        <w:spacing w:after="120" w:before="0" w:line="276"/>
        <w:jc w:val="left"/>
      </w:pPr>
      <w:r>
        <w:rPr>
          <w:rFonts w:ascii="Calibri" w:cs="Calibri" w:eastAsia="Calibri" w:hAnsi="Calibri"/>
          <w:b w:val="false"/>
          <w:bCs w:val="false"/>
          <w:i w:val="false"/>
          <w:iCs w:val="false"/>
          <w:color w:val="1A1A1A"/>
          <w:sz w:val="21"/>
          <w:szCs w:val="21"/>
        </w:rPr>
        <w:t xml:space="preserve">Treating the program as transitional — aimed at moving residents toward greater independence rather than indefinite custodial care — is central to a brain-injury rehabilitation model and to how payers, regional centers, and CalAIM evaluate it. The facility begins transition planning early, coordinates with the receiving setting and supports, prepares the resident with cueing and practice, and follows the eviction/relocation protections of Section 2.</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Begin community re-entry / transition planning at admission.</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Identify the target setting, needed modifications, and community supports.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Provide supported community-integration activities toward the transition.</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Coordinate with the receiving setting and community supports.</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Prepare the resident with cueing and practice and follow the relocation protections of Section 2.</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Document transition outcomes.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Community Re-Entry / Transition Plan · Discharge Disposition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6.03 — Outcome Measurement and Program Evaluation</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Outcome Measurement and Program Evaluation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Program Evaluation / Quality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National rehabilitation accreditation standards; facility quality program</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measure whether the program actually works — at the program level, not just for individuals — and to use the results to improve. Written to align with national rehabilitation accreditation standards.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defines, collects, and analyzes program-level outcome data, which may include aggregate functional-gain measures (for example, change scores on a recognized instrument such as the Functional Independence Measure or Disability Rating Scale where used by the resident’s providers), length-of-stay data, and discharge-disposition data, and uses the analysis to set targets and improve the program.</w:t>
      </w:r>
    </w:p>
    <w:p>
      <w:pPr>
        <w:spacing w:after="120" w:before="0" w:line="276"/>
        <w:jc w:val="left"/>
      </w:pPr>
      <w:r>
        <w:rPr>
          <w:rFonts w:ascii="Calibri" w:cs="Calibri" w:eastAsia="Calibri" w:hAnsi="Calibri"/>
          <w:b w:val="false"/>
          <w:bCs w:val="false"/>
          <w:i w:val="false"/>
          <w:iCs w:val="false"/>
          <w:color w:val="1A1A1A"/>
          <w:sz w:val="21"/>
          <w:szCs w:val="21"/>
        </w:rPr>
        <w:t xml:space="preserve">Program-level outcomes are what a specialized brain-injury provider can show referral sources, regional centers, CalAIM plans, and accreditors to prove its value, and they reveal whether the program is achieving the independence gains it promises. The facility reports outcomes to the licensee, compares performance over time, and feeds findings into planning, staffing, and training.</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Define outcome measures and data-collection methods.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Collect and aggregate functional-gain, length-of-stay, and disposition data.</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Analyze results, set improvement targets, and compare performance over time.</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Report outcomes to the licensee.</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Use findings to improve Needs and Services Plans, staffing, and training.</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Outcome Measures Dashboard · Program Evaluation Report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6.04 — Post-Discharge Follow-Up and Benchmarking</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Post-Discharge Follow-Up and Benchmarking</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Program Evaluation / Quality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National rehabilitation accreditation standards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track how residents fare after discharge and to benchmark the program against comparable providers. Written to align with national rehabilitation accreditation standards.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conducts post-discharge follow-up at defined intervals (for example, at ninety days and one year), tracks community-integration outcomes (living setting, stability, community participation, and where applicable employment or return to a lower level of care), and, where available, participates in a national outcomes or benchmarking database to compare performance against comparable programs.</w:t>
      </w:r>
    </w:p>
    <w:p>
      <w:pPr>
        <w:spacing w:after="120" w:before="0" w:line="276"/>
        <w:jc w:val="left"/>
      </w:pPr>
      <w:r>
        <w:rPr>
          <w:rFonts w:ascii="Calibri" w:cs="Calibri" w:eastAsia="Calibri" w:hAnsi="Calibri"/>
          <w:b w:val="false"/>
          <w:bCs w:val="false"/>
          <w:i w:val="false"/>
          <w:iCs w:val="false"/>
          <w:color w:val="1A1A1A"/>
          <w:sz w:val="21"/>
          <w:szCs w:val="21"/>
        </w:rPr>
        <w:t xml:space="preserve">Follow-up closes the loop on the program’s purpose — lasting community integration — and surfaces whether discharges are sustainable or residents are cycling back; the facility uses this information to strengthen transition planning.</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Establish a post-discharge follow-up schedule and method for each resident.</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Collect community-integration outcome data at the defined intervals.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Benchmark performance against comparable programs where data are available.</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Analyze whether discharges are sustainable.</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Use findings to improve community re-entry and transition planning.</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Follow-Up Contact Log · Community-Integration Outcome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6.05 — Accreditation Readiness and Person-Centered Practice</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Accreditation Readiness and Person-Centered Practice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Program Evaluation / Quality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National rehabilitation accreditation standards; 22 C.C.R. Chapter 6</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deliver accessible, person-centered services and maintain continuous readiness for CDSS inspection and any accreditation review. Written to align with national rehabilitation accreditation standards and Title 22.</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identifies and reduces architectural, attitudinal, and communication barriers; delivers person-centered services that reflect each resident’s own goals, preferences, and culture; and maintains continuous conformance with both licensing requirements and national accreditation standards through periodic self-assessment, mock tracers, organized evidence, and prompt correction of identified gaps, so it is prepared at any time for a Licensing Program Analyst visit and for accreditation review.</w:t>
      </w:r>
    </w:p>
    <w:p>
      <w:pPr>
        <w:spacing w:after="120" w:before="0" w:line="276"/>
        <w:jc w:val="left"/>
      </w:pPr>
      <w:r>
        <w:rPr>
          <w:rFonts w:ascii="Calibri" w:cs="Calibri" w:eastAsia="Calibri" w:hAnsi="Calibri"/>
          <w:b w:val="false"/>
          <w:bCs w:val="false"/>
          <w:i w:val="false"/>
          <w:iCs w:val="false"/>
          <w:color w:val="1A1A1A"/>
          <w:sz w:val="21"/>
          <w:szCs w:val="21"/>
        </w:rPr>
        <w:t xml:space="preserve">Readiness is treated as an ongoing practice, not a scramble before an inspection: the facility keeps its policies, records, and outcome data organized as living evidence, runs mock tracers to test whether practice matches policy, and corrects gaps through quality improvement. Person-centered practice — building services around what each brain-injury resident wants and can do — is both an accreditation expectation and the heart of good care.</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Conduct periodic self-assessment against licensing and accreditation standards.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Reflect each resident’s goals, preferences, and culture in the Needs and Services Plan and provide communication accommodations.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Identify and reduce architectural, attitudinal, and communication barriers.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Run mock tracers to test whether practice matches policy.</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Maintain organized evidence (policies, records, outcome data) as living documentation.</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Correct identified gaps through quality improvement and verify effectiveness.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Self-Assessment Checklist · Mock Tracer Record · Accessibility Review &amp; Plan</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shd w:fill="1F3A5F" w:color="auto" w:val="clear"/>
        <w:spacing w:after="60" w:before="60"/>
      </w:pPr>
      <w:r>
        <w:rPr>
          <w:rFonts w:ascii="Calibri" w:cs="Calibri" w:eastAsia="Calibri" w:hAnsi="Calibri"/>
          <w:b/>
          <w:bCs/>
          <w:i w:val="false"/>
          <w:iCs w:val="false"/>
          <w:color w:val="FFFFFF"/>
          <w:sz w:val="24"/>
          <w:szCs w:val="24"/>
        </w:rPr>
        <w:t xml:space="preserve">APPENDIX — REFERENCED FORMS</w:t>
      </w:r>
    </w:p>
    <w:p>
      <w:pPr>
        <w:spacing w:after="120" w:before="0" w:line="276"/>
        <w:jc w:val="left"/>
      </w:pPr>
      <w:r>
        <w:rPr>
          <w:rFonts w:ascii="Calibri" w:cs="Calibri" w:eastAsia="Calibri" w:hAnsi="Calibri"/>
          <w:b w:val="false"/>
          <w:bCs w:val="false"/>
          <w:i w:val="false"/>
          <w:iCs w:val="false"/>
          <w:color w:val="1A1A1A"/>
          <w:sz w:val="21"/>
          <w:szCs w:val="21"/>
        </w:rPr>
        <w:t xml:space="preserve">The following forms are referenced across this manual and are provided in the companion Forms Packet, ready to customize:</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ARF License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Fire Clearance &amp; Overconcentration Verification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Scope of Services Statement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Administrator Designation &amp; Certification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Yearly Policy Review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Required Postings Checklist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Staff Training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Orientation Checklist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Staffing Schedule &amp; Coverage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Criminal Record Clearance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Live Scan Records</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Personnel File Checklist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Job Description Templates</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Medication-Assistance Training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Staff Health Screening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Unusual Incident / Injury Report (LIC 624)</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Incident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Fire Clearance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Overconcentration &amp; Zoning Verification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Quality Review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Corrective Action Plan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Personal Rights (LIC 613C)</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Rights Acknowledgment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Acceptance &amp; Retention Determination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Health Condition Screen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Admission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Client Medical Assessment (§ 80069)</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Funding Coordination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Admission Agreement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Client Medical Assessment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Functional Capabilities Assessment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Mental Health Assessment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Needs and Services Plan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Plan Review &amp; Modification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Resident Record Index</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Register of Residents</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Progress Note Template</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Abuse Reporting Form &amp;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Eviction / Relocation Notice</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Transition &amp; Release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Authorization for Release of Information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Records Access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Resident Cash &amp; Property Ledger</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Personal Property Inventory</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Grievance Form &amp;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Resident Council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Care &amp; Supervision / Service Delivery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ADL Support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Brain-Injury Support Plan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Cognitive/Behavioral Strategy Sheet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Progress Notes</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Restricted Health Condition Care Plan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Individual Health Condition Care Plan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External Service Coordination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Hazard/Elopement Risk Assessment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Missing-Resident Response Protocol</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Behavioral Support Plan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Behavior Incident / ABC Report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Personal Rights Acknowledgment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Protective Device Authorization (if used)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Change-of-Condition Note</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Plan Modification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Activity &amp; Community-Integration Plan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Participation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Health-Related Services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Appointment &amp; Follow-Up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Medication Assistance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Current Medication List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Centrally Stored Medication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Controlled-Substance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Medication Change &amp; Disposal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External / Home Health Coordination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Health Monitoring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TB Test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Health Condition Screen &amp; Determination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Advance Health Care Directive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PUB 325 Acknowledgment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Physical Environment Inspection Checklist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Maintenance &amp; Hazard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Emergency Disaster Plan (LIC 610E)</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Fire Drill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Individualized Evacuation Needs List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Maintenance &amp; Sanitation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Menu Plan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Mealtime Supervision Note</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Kitchen Sanitation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Special Diet Plan &amp; Monitoring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Infection Control Plan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Cleaning &amp; Supply Checklist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Individualized Evacuation Plan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Drill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Transportation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Telephone Access Note</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IDT Roster &amp; Communication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Community Re-Entry / Transition Plan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Discharge Disposition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Outcome Measures Dashboard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Program Evaluation Report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Follow-Up Contact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Community-Integration Outcome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Self-Assessment Checklist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Mock Tracer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Accessibility Review &amp; Plan</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b w:val="false"/>
        <w:bCs w:val="false"/>
        <w:i w:val="false"/>
        <w:iCs w:val="false"/>
        <w:color w:val="555555"/>
        <w:sz w:val="16"/>
        <w:szCs w:val="16"/>
      </w:rPr>
      <w:t xml:space="preserve">Built to Title 22 (ARF) &amp; H.S.C. § 1500 et seq.  —  Ready to customize  —  Page </w:t>
    </w:r>
    <w:r>
      <w:rPr>
        <w:rFonts w:ascii="Calibri" w:cs="Calibri" w:eastAsia="Calibri" w:hAnsi="Calibri"/>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val="false"/>
        <w:bCs w:val="false"/>
        <w:i w:val="false"/>
        <w:iCs w:val="false"/>
        <w:color w:val="555555"/>
        <w:sz w:val="16"/>
        <w:szCs w:val="16"/>
      </w:rPr>
      <w:t xml:space="preserve">[Facility Name]  •  Adult Residential Facility  •  California Brain Injury Residential Care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California Adult Residential Facility (Brain Injury) — Policy &amp; Procedure Manual</dc:title>
  <dc:creator>PolicyReady.org</dc:creator>
  <cp:lastModifiedBy>Un-named</cp:lastModifiedBy>
  <cp:revision>1</cp:revision>
  <dcterms:created xsi:type="dcterms:W3CDTF">2026-07-10T05:18:20.642Z</dcterms:created>
  <dcterms:modified xsi:type="dcterms:W3CDTF">2026-07-10T05:18:20.665Z</dcterms:modified>
</cp:coreProperties>
</file>

<file path=docProps/custom.xml><?xml version="1.0" encoding="utf-8"?>
<Properties xmlns="http://schemas.openxmlformats.org/officeDocument/2006/custom-properties" xmlns:vt="http://schemas.openxmlformats.org/officeDocument/2006/docPropsVTypes"/>
</file>