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Normal"/>
        <w:spacing w:before="0" w:after="200"/>
        <w:jc w:val="center"/>
        <w:rPr/>
      </w:pPr>
      <w:r>
        <w:rPr>
          <w:rFonts w:eastAsia="Calibri" w:cs="Calibri"/>
          <w:b/>
          <w:bCs/>
          <w:i w:val="false"/>
          <w:iCs w:val="false"/>
          <w:color w:val="3E5871"/>
          <w:sz w:val="26"/>
          <w:szCs w:val="26"/>
        </w:rPr>
        <w:t>[AGENCY NAME]</w:t>
      </w:r>
    </w:p>
    <w:p>
      <w:pPr>
        <w:pStyle w:val="Normal"/>
        <w:spacing w:before="120" w:after="200"/>
        <w:jc w:val="center"/>
        <w:rPr/>
      </w:pPr>
      <w:r>
        <w:rPr>
          <w:rFonts w:eastAsia="Calibri" w:cs="Calibri"/>
          <w:b/>
          <w:bCs/>
          <w:i w:val="false"/>
          <w:iCs w:val="false"/>
          <w:color w:val="1F3A5F"/>
          <w:sz w:val="46"/>
          <w:szCs w:val="46"/>
        </w:rPr>
        <w:t>Forms Packet</w:t>
      </w:r>
    </w:p>
    <w:p>
      <w:pPr>
        <w:pStyle w:val="Normal"/>
        <w:spacing w:before="60" w:after="40"/>
        <w:jc w:val="center"/>
        <w:rPr/>
      </w:pPr>
      <w:r>
        <w:rPr>
          <w:rFonts w:eastAsia="Calibri" w:cs="Calibri"/>
          <w:b w:val="false"/>
          <w:bCs w:val="false"/>
          <w:i/>
          <w:iCs/>
          <w:color w:val="3E5871"/>
          <w:sz w:val="24"/>
          <w:szCs w:val="24"/>
        </w:rPr>
        <w:t>In-Home Care — Oregon</w:t>
      </w:r>
    </w:p>
    <w:p>
      <w:pPr>
        <w:pStyle w:val="Normal"/>
        <w:spacing w:before="0" w:after="200"/>
        <w:jc w:val="center"/>
        <w:rPr/>
      </w:pPr>
      <w:r>
        <w:rPr>
          <w:rFonts w:eastAsia="Calibri" w:cs="Calibri"/>
          <w:b w:val="false"/>
          <w:bCs w:val="false"/>
          <w:i w:val="false"/>
          <w:iCs w:val="false"/>
          <w:color w:val="555555"/>
          <w:sz w:val="19"/>
          <w:szCs w:val="19"/>
        </w:rPr>
        <w:t>Companion to the Policy &amp; Procedure Manual — for Oregon in-home care agencies licensed by the Oregon Health Authority under OAR 333-536, with Oregon Health Plan (OHP) readiness</w:t>
      </w:r>
    </w:p>
    <w:p>
      <w:pPr>
        <w:pStyle w:val="Normal"/>
        <w:pBdr>
          <w:bottom w:val="single" w:sz="8" w:space="1" w:color="9DB1C7"/>
        </w:pBdr>
        <w:spacing w:before="60" w:after="120"/>
        <w:rPr/>
      </w:pPr>
      <w:r>
        <w:rPr/>
      </w:r>
    </w:p>
    <w:p>
      <w:pPr>
        <w:pStyle w:val="Normal"/>
        <w:spacing w:before="0" w:after="120"/>
        <w:jc w:val="center"/>
        <w:rPr/>
      </w:pPr>
      <w:r>
        <w:rPr>
          <w:rFonts w:eastAsia="Calibri" w:cs="Calibri"/>
          <w:b w:val="false"/>
          <w:bCs w:val="false"/>
          <w:i/>
          <w:iCs/>
          <w:color w:val="555555"/>
          <w:sz w:val="19"/>
          <w:szCs w:val="19"/>
        </w:rPr>
        <w:t>These forms are templates. Replace bracketed fields with your organization’s details and adapt each form to your operations. General information, not legal advice; verify current requirements with the Oregon Secretary of State, the Oregon Health Authority (OHA), and the Oregon Background Check Unit. Oregon LICENSES in-home care agencies through OHA under one of four classes (Limited, Basic, Intermediate, Comprehensive); the class sets which services — personal care, homemaker, and medication and nursing services — the agency may provide.</w:t>
      </w:r>
    </w:p>
    <w:p>
      <w:pPr>
        <w:pStyle w:val="Normal"/>
        <w:spacing w:before="0" w:after="0"/>
        <w:jc w:val="center"/>
        <w:rPr/>
      </w:pPr>
      <w:r>
        <w:rPr>
          <w:rFonts w:eastAsia="Calibri" w:cs="Calibri"/>
          <w:b w:val="false"/>
          <w:bCs w:val="false"/>
          <w:i w:val="false"/>
          <w:iCs w:val="false"/>
          <w:color w:val="1A1A1A"/>
          <w:sz w:val="20"/>
          <w:szCs w:val="20"/>
        </w:rPr>
        <w:t>Approved By: [Administrator Name]</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1 — LICENSING, ADMINISTRATION &amp; GOVERNANCE</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F-01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Business &amp; Ownership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Agency legal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Assumed business name (DBA):</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Oregon Secretary of State entity ID: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EIN: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Owners / controlling interests: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Administrator: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 area (county / counties):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OHA In-Home Care Agency license # / class (Limited / Basic / Intermediate / Comprehensive):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Oregon licenses in-home care agencies through the Oregon Health Authority under OAR Chapter 333, Division 536. Record your business formation (Oregon Secretary of State registration and EIN) and your OHA license number and class. The license class sets your permitted scope of services; skilled home health is a separate license under OAR 333, Division 27.</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Regulatory Reference &amp; Crosswalk List (OAR 333-536)</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2500"/>
        <w:gridCol w:w="2899"/>
        <w:gridCol w:w="1700"/>
        <w:gridCol w:w="2260"/>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List each applicable standard — the OAR Chapter 333, Division 536 rule, plus OHP/APD policy and federal wage and privacy law — and the agency policy that satisfies it. Build this crosswalk to the OHA application and survey checklist so a surveyor can trace each rule to your policy.</w:t>
            </w:r>
          </w:p>
        </w:tc>
      </w:tr>
      <w:tr>
        <w:trPr/>
        <w:tc>
          <w:tcPr>
            <w:tcW w:w="25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Standard / policy</w:t>
            </w:r>
          </w:p>
        </w:tc>
        <w:tc>
          <w:tcPr>
            <w:tcW w:w="28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Requirement (short)</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Policy # / page</w:t>
            </w:r>
          </w:p>
        </w:tc>
        <w:tc>
          <w:tcPr>
            <w:tcW w:w="226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Notes</w:t>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Organizational Chart &amp; Lines of Authority</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Licensee: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Administrator / alternate: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Supervisor(s):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Lines of authority (describe or attach chart):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an organizational chart showing lines of authority from the licensee through the Administrator to caregivers.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Administrator Qualification &amp; Alternate Designation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Administrator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Meets OAR 333-536 administrator qualifications:</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Documentation attached: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Relevant qualifications / experience (per Division 536) (describe):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Alternate authorized to act in the Administrator’s absence: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The agency must have a qualified administrator who meets the qualifications in OAR 333-536 and is responsible for the day-to-day operation of the agency; OHA holds the administrator accountable. Document how the administrator meets the rule and name an alternate.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Description of Services, Client Population &amp; Service Area</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Services provided (personal care / homemaker / companion / medication services per class / nursing services if Comprehensive):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Client population served:</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Geographic service area:</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a written description of the services provided, the client population served, and the geographic service area; the services must stay within your OHA license class (Limited, Basic, Intermediate, or Comprehensive).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Business Registration, Tax &amp; Insurance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Oregon Secretary of State entity ID: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EIN: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General &amp; professional liability carrier / policy #:</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Surety / fidelity bond (or third-party crime insurance) carrier / policy #:</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Workers’ compensation carrier / policy #:</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Register the business with the Oregon Secretary of State; obtain an EIN; carry general and professional liability insurance and workers’ compensation coverage, and consider a bond or crime coverage protecting clients against theft. Oregon has no statewide sales tax.</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Physical Business Address &amp; Records Location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Physical business street address (not a PO box):</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Records maintained at (location):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Available for OHA survey?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Relocation notice to OHA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physical business address (not a PO box) where records are kept and available for OHA survey; notify OHA of any change of location or information as required by OAR 333-536.</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Referral Financial-Interest Disclosure</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Entity client referred to:</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Agency financial interest?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Disclosure given to client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Disclose to the client any financial interest the agency holds in an entity to which it refers the client; make referrals in the client’s best interest.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Business Setup &amp; Readiness Checklist</w:t>
            </w:r>
          </w:p>
        </w:tc>
      </w:tr>
    </w:tbl>
    <w:p>
      <w:pPr>
        <w:pStyle w:val="Normal"/>
        <w:spacing w:before="0" w:after="12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LLC/corp registered (Oregon Secretary of State)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EIN obtained; business bank account</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OHA In-Home Care Agency application submitted (≥ 60 days before opening)</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License class chosen (Limited / Basic / Intermediate / Comprehensive)</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Qualified administrator documented (OAR 333-536)</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Policies &amp; procedures, client forms &amp; caregiver handbook adopted</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General &amp; professional liability insurance; workers’ compensation</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Caregiver screening system (Background Check Unit + caregiver registry)</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Orientation, training &amp; competency program in place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OHP/APD provider enrollment path (if serving Medicaid)</w:t>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License issued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License renewal due:</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Oregon requires an OHA In-Home Care Agency license before you serve any client. This checklist confirms lawful business setup and licensing readiness. Apply through the OHA licensing portal at least 60 days before opening; if serving Medicaid, enroll separately as an Oregon Health Plan / APD provider.</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2 — CLIENT RIGHTS, INTAKE &amp; SERVICE AGREEMENT</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F-10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Statement of Client Rights &amp; Acknowledgment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Provide each client, before or at the start of services, a statement of rights: to be treated with consideration, respect, and dignity; to be free from abuse, neglect, and exploitation; to accept or refuse care; to be informed of services and charges; to confidentiality; and to voice grievances without reprisal.</w:t>
            </w:r>
          </w:p>
        </w:tc>
      </w:tr>
    </w:tbl>
    <w:p>
      <w:pPr>
        <w:pStyle w:val="Normal"/>
        <w:spacing w:lineRule="exact" w:line="264" w:before="40" w:after="90"/>
        <w:rPr/>
      </w:pPr>
      <w:r>
        <w:rPr>
          <w:rFonts w:eastAsia="Calibri" w:cs="Calibri"/>
          <w:b w:val="false"/>
          <w:bCs w:val="false"/>
          <w:i w:val="false"/>
          <w:iCs w:val="false"/>
          <w:color w:val="1A1A1A"/>
          <w:sz w:val="19"/>
          <w:szCs w:val="19"/>
        </w:rPr>
        <w:t>I received and understand my rights and how to file a grievance with the agency and the Department.</w:t>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Service Agreement &amp; Schedule of Charges</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Services, frequency &amp; schedule: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3200"/>
        <w:gridCol w:w="1360"/>
        <w:gridCol w:w="239"/>
        <w:gridCol w:w="201"/>
        <w:gridCol w:w="1800"/>
        <w:gridCol w:w="2559"/>
      </w:tblGrid>
      <w:tr>
        <w:trPr>
          <w:tblHeader w:val="true"/>
        </w:trPr>
        <w:tc>
          <w:tcPr>
            <w:tcW w:w="320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Service</w:t>
            </w:r>
          </w:p>
        </w:tc>
        <w:tc>
          <w:tcPr>
            <w:tcW w:w="1800" w:type="dxa"/>
            <w:gridSpan w:val="3"/>
            <w:tcBorders/>
            <w:shd w:color="auto" w:fill="3E5871" w:val="clear"/>
          </w:tcPr>
          <w:p>
            <w:pPr>
              <w:pStyle w:val="Normal"/>
              <w:spacing w:lineRule="exact" w:line="264" w:before="0" w:after="0"/>
              <w:rPr/>
            </w:pPr>
            <w:r>
              <w:rPr>
                <w:rFonts w:eastAsia="Calibri" w:cs="Calibri"/>
                <w:b/>
                <w:bCs/>
                <w:i w:val="false"/>
                <w:iCs w:val="false"/>
                <w:color w:val="FFFFFF"/>
                <w:sz w:val="16"/>
                <w:szCs w:val="16"/>
              </w:rPr>
              <w:t>Unit</w:t>
            </w:r>
          </w:p>
        </w:tc>
        <w:tc>
          <w:tcPr>
            <w:tcW w:w="18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Charge</w:t>
            </w:r>
          </w:p>
        </w:tc>
        <w:tc>
          <w:tcPr>
            <w:tcW w:w="255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Notes</w:t>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Client / representative signature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Agency signature date:</w:t>
            </w:r>
          </w:p>
          <w:p>
            <w:pPr>
              <w:pStyle w:val="Normal"/>
              <w:pBdr>
                <w:bottom w:val="single" w:sz="6" w:space="7" w:color="AEBECF"/>
              </w:pBdr>
              <w:spacing w:lineRule="exact" w:line="300" w:before="0" w:after="1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Enter a written service agreement disclosing services and charges before services begin; give the client a copy; bill only for services provided.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Assessment Form</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Needs &amp; preferences: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Home environment / safety review:</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Can needs be met within the agency’s license class? (Y/N — if no, refer):</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Assess each client’s needs, preferences, and home before or at the start of services; refer clients whose needs exceed the agency’s license class or require services the agency is not licensed to provide.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 (Care) Plan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Non-medical services &amp; tasks to provide: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Frequency, schedule &amp; special instructions:</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Developed with client/representative: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services under a written service plan of tasks within the agency’s license class; caregivers follow it and do not add or drop tasks on their own; review on change of condition and on schedule.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Acceptance / Service Termination &amp; Referral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Accepted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Terminated (date):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Reason for termination (per criteria):</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Advance notice given &amp; referral/transition assistance: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Accept only within scope/capacity; terminate only for defined reasons with reasonable notice and transition help; never abandon or retaliate.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Complaint / Grievance Form &amp;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 received: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Received by:</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Nature of grievance: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Investigation / resolution: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 resolved:</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Accept and resolve grievances free of reprisal; inform the client of the outcome; provide OHA contact information.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Confidentiality &amp; Photograph Consent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20" w:after="90"/>
        <w:rPr/>
      </w:pPr>
      <w:r>
        <w:rPr>
          <w:rFonts w:eastAsia="Calibri" w:cs="Calibri"/>
          <w:b w:val="false"/>
          <w:bCs w:val="false"/>
          <w:i w:val="false"/>
          <w:iCs w:val="false"/>
          <w:color w:val="1A1A1A"/>
          <w:sz w:val="19"/>
          <w:szCs w:val="19"/>
        </w:rPr>
        <w:t>The agency protects client information under applicable confidentiality law and, where applicable, HIPAA. Identifiable photographs or recordings are used only with written, signed consent. No client information is posted on social media.</w:t>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Photograph consent given?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Signature of client/representative: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Comply with confidentiality law and HIPAA; obtain written signed consent before any identifiable photograph or recording.</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Funds Handling Authorization &amp; Ledger</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Authorization to handle funds for shopping/errands (scope):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584"/>
        <w:gridCol w:w="3592"/>
        <w:gridCol w:w="1796"/>
        <w:gridCol w:w="2387"/>
      </w:tblGrid>
      <w:tr>
        <w:trPr>
          <w:tblHeader w:val="true"/>
        </w:trPr>
        <w:tc>
          <w:tcPr>
            <w:tcW w:w="1584"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59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Transaction</w:t>
            </w:r>
          </w:p>
        </w:tc>
        <w:tc>
          <w:tcPr>
            <w:tcW w:w="179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Amount</w:t>
            </w:r>
          </w:p>
        </w:tc>
        <w:tc>
          <w:tcPr>
            <w:tcW w:w="2387"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Receipt / change returned</w:t>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Handle client money only within the service plan — keep receipts, return exact change, record each transaction, never commingle; no gifts, tips, loans, or bequests.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3 — PERSONNEL, SCREENING &amp; TRAINING</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F-18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Personnel File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Job description &amp; role acknowledgment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Oregon criminal background check — approved fitness determination (Background Check Unit)</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Enrolled on the applicable Oregon caregiver registry</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Age verified (≥ 18; ≥ 21 to work alone extended periods)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Orientation (≥ 4 hours) completed</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Initial caregiver training completed (matched to services)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Medication-services training (≥ 4 hours) if Basic/Intermediate/Comprehensive</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Competency evaluated (observation + testing)</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Any Oregon health-care credential verified (if held)</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Driver’s license, insurance &amp; driving record (if transporting)</w:t>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confidential personnel record documenting the approved Oregon background check, caregiver registry enrollment, age, orientation, initial and (where applicable) medication training, and the competency evaluation before the caregiver serves a client independently.</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Background Check &amp; Caregiver Registry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applicant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Position:</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Check requested (date):</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Oregon criminal records check submitted (Background Check Unit)</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Approved fitness determination received — before any client contact</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Enrolled on the applicable Oregon caregiver registry</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Registry status verified — no bar to service</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Rechecks scheduled per rule</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Fitness determination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Registry status (clear / barred):</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Every owner, administrator, and caregiver must complete an Oregon criminal records check through the Background Check Unit and receive an approved fitness determination, and be enrolled and verified on the applicable caregiver registry, BEFORE providing services or having client contact. No approval, no client contact.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Medicaid &amp; Federal Exclusion Screening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contractor / vendor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Federal OIG List of Excluded Individuals/Entities (LEIE)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System for Award Management (SAM) exclusions</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Oregon Health Plan / Medicaid exclusion &amp; terminated-provider list</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Screened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Result (clear / excluded):</w:t>
            </w:r>
          </w:p>
          <w:p>
            <w:pPr>
              <w:pStyle w:val="Normal"/>
              <w:pBdr>
                <w:bottom w:val="single" w:sz="6" w:space="7" w:color="AEBECF"/>
              </w:pBdr>
              <w:spacing w:lineRule="exact" w:line="300" w:before="0" w:after="1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Monthly re-screen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Result:</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If serving Medicaid, screen every employee, contractor, and vendor against the OIG-LEIE, SAM, and the Oregon Health Plan exclusion list before hire/engagement and monthly thereafter; do not employ, contract with, or pay any excluded person for program-reimbursed services.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Attestation &amp; Disclosure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Applicant / 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Position:</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Statement signed (date):</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Signed disclosure of criminal history and any prior abuse/neglect findings (Oregon and any other state)</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Reviewed against the Background Check Unit fitness determination and caregiver registry results</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No disqualifying finding disclosed or found</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bl>
    <w:p>
      <w:pPr>
        <w:pStyle w:val="Normal"/>
        <w:spacing w:lineRule="exact" w:line="264" w:before="60" w:after="14"/>
        <w:rPr/>
      </w:pPr>
      <w:r>
        <w:rPr>
          <w:rFonts w:eastAsia="Calibri" w:cs="Calibri"/>
          <w:b/>
          <w:bCs/>
          <w:i w:val="false"/>
          <w:iCs w:val="false"/>
          <w:color w:val="3E5871"/>
          <w:sz w:val="19"/>
          <w:szCs w:val="19"/>
        </w:rPr>
        <w:t>Discrepancies / follow-up:</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Obtain a signed disclosure from every applicant covering criminal history and any prior abuse/neglect findings in Oregon or any other state; review it against the Background Check Unit fitness determination and caregiver registry results before assignment.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Orientation, Training &amp; Competency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Hire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Cleared for independent service (date):</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Orientation — at least 4 hours (policies, client care, rights, abuse reporting, travel)</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Initial caregiver training matched to services provided</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Medication-services training — at least 4 hours (Basic / Intermediate / Comprehensive)</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Competency evaluated by observation AND written or oral testing</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Population-specific training (e.g., dementia) as needed</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Oregon health-care credential verified — exempt from caregiver training (still evaluate competency)</w:t>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Competency evaluated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Evaluated by:</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Before a caregiver serves clients independently, complete at least 4 hours of orientation and the initial training matched to your services, and evaluate competency by a combination of direct observation and testing. Caregivers who provide medication services at a Basic, Intermediate, or Comprehensive agency complete at least 4 hours of medication training first. Verify any Oregon health-care credential a caregiver holds.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Health Assessment &amp; TB Screening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Aide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Health assessment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Able to perform duties (Y/N):</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TB screening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Result / follow-up:</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Clearance for client contact: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Confirm a pre-assignment health assessment and tuberculosis screening consistent with current Oregon public-health guidance before a caregiver serves a client; keep a caregiver with an endangering communicable condition off assignment until cleared; keep health information confidential.</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Qualification &amp; Driving-Record Verification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Transportation part of duties?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Valid driver’s license # / expires:</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Proof of insurance / expires:</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Driving record verified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Where transportation is a duty, require a valid driver’s license and proof of insurance and verify the official highway-department driving record; keep the license valid while transporting; re-verify on schedule.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Orientation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Role, scope &amp; the agency’s license class</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rights, dignity &amp; confidentiality</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Abuse/neglect prevention, detection &amp; reporting (Oregon SAFEline; ORS 124)</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Assisting with ADLs &amp; personal care</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Infection control / standard precautions</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safety, emergency &amp; disaster procedures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Medication services within the agency’s class (and training required)</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Rules for traveling with a client</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Condition-specific care (dementia, cognitive)</w:t>
            </w:r>
          </w:p>
        </w:tc>
        <w:tc>
          <w:tcPr>
            <w:tcW w:w="4679" w:type="dxa"/>
            <w:tcBorders/>
            <w:tcMar>
              <w:top w:w="0" w:type="dxa"/>
              <w:start w:w="108" w:type="dxa"/>
              <w:bottom w:w="0" w:type="dxa"/>
              <w:end w:w="108" w:type="dxa"/>
            </w:tcMar>
          </w:tcPr>
          <w:p>
            <w:pPr>
              <w:pStyle w:val="Normal"/>
              <w:spacing w:lineRule="exact" w:line="264" w:before="0" w:after="90"/>
              <w:rPr/>
            </w:pPr>
            <w:r>
              <w:rPr/>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Orient every caregiver for at least four hours before client contact and verify competency; cover the caregiver’s role and the agency’s license class, client rights, abuse reporting, ADL/personal care, infection control, safety, medication services within the class, and travel with clients.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Competency Evaluation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Tasks/competencies demonstrated: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Competency demonstrated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Evaluated by:</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Each caregiver demonstrates competency in assigned tasks before serving clients independently; document the evaluation.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Training Curriculum &amp; Continuing Training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02"/>
        <w:gridCol w:w="3633"/>
        <w:gridCol w:w="2564"/>
        <w:gridCol w:w="1560"/>
      </w:tblGrid>
      <w:tr>
        <w:trPr>
          <w:tblHeader w:val="true"/>
        </w:trPr>
        <w:tc>
          <w:tcPr>
            <w:tcW w:w="1602"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63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Topic</w:t>
            </w:r>
          </w:p>
        </w:tc>
        <w:tc>
          <w:tcPr>
            <w:tcW w:w="256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Method (in-person / computer-based)</w:t>
            </w:r>
          </w:p>
        </w:tc>
        <w:tc>
          <w:tcPr>
            <w:tcW w:w="15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Trainer</w:t>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continuing training and client-specific training; document completion (trainer signature may be omitted for computer-based training).</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4 — SERVICE DELIVERY &amp; SUPERVISION</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F-28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Staff Assignment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486"/>
        <w:gridCol w:w="2053"/>
        <w:gridCol w:w="3351"/>
        <w:gridCol w:w="1469"/>
      </w:tblGrid>
      <w:tr>
        <w:trPr>
          <w:tblHeader w:val="true"/>
        </w:trPr>
        <w:tc>
          <w:tcPr>
            <w:tcW w:w="2486"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c>
          <w:tcPr>
            <w:tcW w:w="205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Role</w:t>
            </w:r>
          </w:p>
        </w:tc>
        <w:tc>
          <w:tcPr>
            <w:tcW w:w="335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Tasks assigned</w:t>
            </w:r>
          </w:p>
        </w:tc>
        <w:tc>
          <w:tcPr>
            <w:tcW w:w="146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Effective date</w:t>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Assign work matched to each caregiver’s competency and the client’s service plan; do not assign tasks a caregiver is not trained and found competent to perform.</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 Visit Note (with EVV)</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EVV check-in / check-out:</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Services provided (per service plan):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Observations reported to supervisor:</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Deliver services per the service plan and within your license class; check in/out via Electronic Visit Verification where required for Oregon Health Plan clients; sign and date; never record a visit or service not provided.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ADL &amp; Task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468"/>
        <w:gridCol w:w="3525"/>
        <w:gridCol w:w="2154"/>
        <w:gridCol w:w="2212"/>
      </w:tblGrid>
      <w:tr>
        <w:trPr>
          <w:tblHeader w:val="true"/>
        </w:trPr>
        <w:tc>
          <w:tcPr>
            <w:tcW w:w="1468"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525"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Task / ADL assisted</w:t>
            </w:r>
          </w:p>
        </w:tc>
        <w:tc>
          <w:tcPr>
            <w:tcW w:w="215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Notes</w:t>
            </w:r>
          </w:p>
        </w:tc>
        <w:tc>
          <w:tcPr>
            <w:tcW w:w="221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Document the personal care and daily-living tasks provided, consistent with the service plan.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Change-in-Condition / Observation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Change observed / concern: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Reported to (supervisor) &amp; action: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Observe and report changes in the client’s condition to the supervisor promptly so the service plan can be adjusted.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Supervisory Visit / Contact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Supervisor:</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Observations (plan followed, quality, rights honored, satisfaction):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Concerns identified &amp; action: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qualified supervision of caregivers and service delivery on a schedule appropriate to client needs; document supervisory contacts and address deficiencies.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Supervision Tracker</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3134"/>
        <w:gridCol w:w="2351"/>
        <w:gridCol w:w="2128"/>
        <w:gridCol w:w="1746"/>
      </w:tblGrid>
      <w:tr>
        <w:trPr>
          <w:tblHeader w:val="true"/>
        </w:trPr>
        <w:tc>
          <w:tcPr>
            <w:tcW w:w="3134"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Client name:</w:t>
            </w:r>
          </w:p>
        </w:tc>
        <w:tc>
          <w:tcPr>
            <w:tcW w:w="235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Last supervisory contact</w:t>
            </w:r>
          </w:p>
        </w:tc>
        <w:tc>
          <w:tcPr>
            <w:tcW w:w="212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Next due</w:t>
            </w:r>
          </w:p>
        </w:tc>
        <w:tc>
          <w:tcPr>
            <w:tcW w:w="174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Completed (date)</w:t>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Track supervisory contacts so none is missed for any active client.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Medication Services Record (by License Class)</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Agency license class:</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Caregiver medication training on file (date):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Client medications (list):</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Reminding (all classes)</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Assistance with self-administration (Basic and above)</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Medication set-up into containers (Intermediate and above)</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Medication administration (Comprehensive only, per rule &amp; training)</w:t>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only the medication services your OHA license class allows: reminding at any class; assistance with self-administration at Basic and above; set-up at Intermediate and above; administration only at a Comprehensive agency and only by qualified staff. Caregivers providing medication services complete the required medication training first. Nursing tasks require the Comprehensive class and an Oregon-licensed RN.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Transportation Authorization &amp; Incident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 (license/insurance verified):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Transport authorized in plan? (Y/N):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Incident during transport (if any) &amp; report: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Transport clients only with a valid license, insurance, and verified driving record; use seat belts and safe securement; report and document any incident.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5 — HEALTH, SAFETY &amp; EMERGENCY</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F-36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Abuse / Neglect / Exploitation Report &amp; Contact 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Observation / suspicion: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to Oregon SAFEline (1-855-503-SAFE / 7233) date/time: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911 called? (Y/N):</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 type (adult / child):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Administrator notified: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Cooperation with APS / investigation: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suspected abuse, neglect, or exploitation of a vulnerable adult — or of a child — to the Oregon SAFEline (1-855-503-SAFE / 7233), available 24 hours a day; call 911 first if the client is in immediate danger. Home care workers are mandatory reporters under ORS 124; report on a reasonable, good-faith suspicion, and treat financial exploitation as reportable abuse.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Incident Report</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Date/time of incident:</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Description of incident (fall / injury / safety event):</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Immediate action taken / client protected: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Reported to OHA (if required,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Report and document incidents affecting a client’s safety; notify the client, the responsible party, and OHA where required.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Incident Investigation &amp; Corrective Action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Incident reference / date: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Investigation findings / cause: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Corrective action &amp; prevention: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Review incidents to identify causes and prevent recurrence; update the service plan or care approach as needed.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Infection Control &amp; Universal Precautions Training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516"/>
        <w:gridCol w:w="2628"/>
        <w:gridCol w:w="3133"/>
        <w:gridCol w:w="2082"/>
      </w:tblGrid>
      <w:tr>
        <w:trPr>
          <w:tblHeader w:val="true"/>
        </w:trPr>
        <w:tc>
          <w:tcPr>
            <w:tcW w:w="1516"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62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c>
          <w:tcPr>
            <w:tcW w:w="313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Topic (precautions / infection control)</w:t>
            </w:r>
          </w:p>
        </w:tc>
        <w:tc>
          <w:tcPr>
            <w:tcW w:w="208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Trainer</w:t>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Train caregivers in universal precautions and infection control; require hand hygiene, gloves/PPE, and safe handling of soiled materials in every home.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Exposure / Illness Report</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 / client involved: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Exposure / illness description &amp; follow-up:</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exposures and communicable illnesses; keep ill caregivers with communicable conditions from providing care until cleared.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Home Safety &amp; Hazard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Hazard identified (fall / fire / electrical / other):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Action taken / escalation: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Resolved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Identify and reduce home hazards; reflect findings in the service plan and supervision.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Emergency &amp; Disaster Plan / Client Priority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Agency emergency &amp; disaster plan summary (wildfire &amp; smoke, winter storms &amp; ice, flooding, extreme heat, earthquake, power outage, continuity):</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910"/>
        <w:gridCol w:w="2464"/>
        <w:gridCol w:w="2686"/>
        <w:gridCol w:w="1299"/>
      </w:tblGrid>
      <w:tr>
        <w:trPr>
          <w:tblHeader w:val="true"/>
        </w:trPr>
        <w:tc>
          <w:tcPr>
            <w:tcW w:w="291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Client name:</w:t>
            </w:r>
          </w:p>
        </w:tc>
        <w:tc>
          <w:tcPr>
            <w:tcW w:w="246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Acuity / dependence</w:t>
            </w:r>
          </w:p>
        </w:tc>
        <w:tc>
          <w:tcPr>
            <w:tcW w:w="268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Emergency contact</w:t>
            </w:r>
          </w:p>
        </w:tc>
        <w:tc>
          <w:tcPr>
            <w:tcW w:w="129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Priority</w:t>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an emergency and disaster plan addressing Oregon hazards (wildfire and smoke, winter storms and ice, flooding, extreme heat, earthquake, and power outages); identify at-risk clients and keep current emergency contacts; in an emergency call 911 first.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6 — RECORDS, QUALITY &amp; COMPLIANCE</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F-43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Quality Assessment &amp; Performance Improvement Log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709"/>
        <w:gridCol w:w="2779"/>
        <w:gridCol w:w="3098"/>
        <w:gridCol w:w="1773"/>
      </w:tblGrid>
      <w:tr>
        <w:trPr>
          <w:tblHeader w:val="true"/>
        </w:trPr>
        <w:tc>
          <w:tcPr>
            <w:tcW w:w="1709"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Review date</w:t>
            </w:r>
          </w:p>
        </w:tc>
        <w:tc>
          <w:tcPr>
            <w:tcW w:w="277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Area reviewed</w:t>
            </w:r>
          </w:p>
        </w:tc>
        <w:tc>
          <w:tcPr>
            <w:tcW w:w="309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Findings</w:t>
            </w:r>
          </w:p>
        </w:tc>
        <w:tc>
          <w:tcPr>
            <w:tcW w:w="177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Action / owner</w:t>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Monitor service delivery, satisfaction, complaints, incidents, and compliance with OAR 333-536 and agency standards; identify trends and drive corrective and preventive action.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OHA Survey Readiness &amp; Plan of Correction</w:t>
            </w:r>
          </w:p>
        </w:tc>
      </w:tr>
    </w:tbl>
    <w:p>
      <w:pPr>
        <w:pStyle w:val="Normal"/>
        <w:spacing w:before="0" w:after="12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Policies implemented &amp; crosswalk to OAR 333-536 current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License, class &amp; governance records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Personnel: background check, registry, orientation, training, competency</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rights, agreement, assessment, service plan, notes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Supervision current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Incident &amp; grievance records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Medicaid / EVV records (if applicable)</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Quality records</w:t>
            </w:r>
          </w:p>
        </w:tc>
      </w:tr>
    </w:tbl>
    <w:p>
      <w:pPr>
        <w:pStyle w:val="Normal"/>
        <w:spacing w:lineRule="exact" w:line="264" w:before="60" w:after="14"/>
        <w:rPr/>
      </w:pPr>
      <w:r>
        <w:rPr>
          <w:rFonts w:eastAsia="Calibri" w:cs="Calibri"/>
          <w:b/>
          <w:bCs/>
          <w:i w:val="false"/>
          <w:iCs w:val="false"/>
          <w:color w:val="3E5871"/>
          <w:sz w:val="19"/>
          <w:szCs w:val="19"/>
        </w:rPr>
        <w:t>Deficiency cited / plan of correction / date corrected: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continuous survey readiness; cooperate with OHA surveys and complaint investigations; submit a timely plan of correction and prevent repeat deficiencies.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Record Content &amp; Retention Index</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service agreement</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Statement of rights acknowledgment</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Assessment &amp; service plan (with reviews)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Visit documentation</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Change-in-condition &amp; incident reports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Communications</w:t>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Retention period:</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Secured &amp; confidential (Y/N):</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complete, confidential client record at the business address; retain for the period required by regulation and law; protect against loss and unauthorized access.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Medicaid Enrollment (Oregon Health Plan / APD) Log</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2457"/>
        <w:gridCol w:w="2103"/>
        <w:gridCol w:w="239"/>
        <w:gridCol w:w="436"/>
        <w:gridCol w:w="2457"/>
        <w:gridCol w:w="1667"/>
      </w:tblGrid>
      <w:tr>
        <w:trPr/>
        <w:tc>
          <w:tcPr>
            <w:tcW w:w="4560" w:type="dxa"/>
            <w:gridSpan w:val="2"/>
            <w:tcBorders/>
          </w:tcPr>
          <w:p>
            <w:pPr>
              <w:pStyle w:val="Normal"/>
              <w:spacing w:lineRule="exact" w:line="264" w:before="0" w:after="12"/>
              <w:rPr/>
            </w:pPr>
            <w:r>
              <w:rPr>
                <w:rFonts w:eastAsia="Calibri" w:cs="Calibri"/>
                <w:b/>
                <w:bCs/>
                <w:i w:val="false"/>
                <w:iCs w:val="false"/>
                <w:color w:val="3E5871"/>
                <w:sz w:val="19"/>
                <w:szCs w:val="19"/>
              </w:rPr>
              <w:t>OHP / Medicaid provider ID / NPI:</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Pr>
          <w:p>
            <w:pPr>
              <w:pStyle w:val="Normal"/>
              <w:spacing w:lineRule="exact" w:line="264" w:before="0" w:after="12"/>
              <w:rPr/>
            </w:pPr>
            <w:r>
              <w:rPr>
                <w:rFonts w:eastAsia="Calibri" w:cs="Calibri"/>
                <w:b/>
                <w:bCs/>
                <w:i w:val="false"/>
                <w:iCs w:val="false"/>
                <w:color w:val="3E5871"/>
                <w:sz w:val="19"/>
                <w:szCs w:val="19"/>
              </w:rPr>
              <w:t>Enrollment date:</w:t>
            </w:r>
          </w:p>
          <w:p>
            <w:pPr>
              <w:pStyle w:val="Normal"/>
              <w:pBdr>
                <w:bottom w:val="single" w:sz="6" w:space="7" w:color="AEBECF"/>
              </w:pBdr>
              <w:spacing w:lineRule="exact" w:line="300" w:before="0" w:after="10"/>
              <w:rPr/>
            </w:pPr>
            <w:r>
              <w:rPr/>
            </w:r>
          </w:p>
        </w:tc>
      </w:tr>
      <w:tr>
        <w:trPr/>
        <w:tc>
          <w:tcPr>
            <w:tcW w:w="2457" w:type="dxa"/>
            <w:tcBorders>
              <w:start w:val="single" w:sz="18"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Client name:</w:t>
            </w:r>
          </w:p>
        </w:tc>
        <w:tc>
          <w:tcPr>
            <w:tcW w:w="2778" w:type="dxa"/>
            <w:gridSpan w:val="3"/>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APD / case-management office</w:t>
            </w:r>
          </w:p>
        </w:tc>
        <w:tc>
          <w:tcPr>
            <w:tcW w:w="2457"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Authorization # / dates</w:t>
            </w:r>
          </w:p>
        </w:tc>
        <w:tc>
          <w:tcPr>
            <w:tcW w:w="1667"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Units / hours authorized</w:t>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Enroll as an Oregon Health Plan / Aging and People with Disabilities (APD) provider — a step separate from your OHA license — before serving Medicaid clients; provide only authorized, delivered services per the client’s service plan, and capture Electronic Visit Verification where required.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Electronic Visit Verification (EVV) Setup &amp; Reconciliation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2903"/>
        <w:gridCol w:w="1657"/>
        <w:gridCol w:w="239"/>
        <w:gridCol w:w="310"/>
        <w:gridCol w:w="2439"/>
        <w:gridCol w:w="1811"/>
      </w:tblGrid>
      <w:tr>
        <w:trPr/>
        <w:tc>
          <w:tcPr>
            <w:tcW w:w="4560" w:type="dxa"/>
            <w:gridSpan w:val="2"/>
            <w:tcBorders/>
          </w:tcPr>
          <w:p>
            <w:pPr>
              <w:pStyle w:val="Normal"/>
              <w:spacing w:lineRule="exact" w:line="264" w:before="0" w:after="12"/>
              <w:rPr/>
            </w:pPr>
            <w:r>
              <w:rPr>
                <w:rFonts w:eastAsia="Calibri" w:cs="Calibri"/>
                <w:b/>
                <w:bCs/>
                <w:i w:val="false"/>
                <w:iCs w:val="false"/>
                <w:color w:val="3E5871"/>
                <w:sz w:val="19"/>
                <w:szCs w:val="19"/>
              </w:rPr>
              <w:t>EVV system (Oregon-approved):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Pr>
          <w:p>
            <w:pPr>
              <w:pStyle w:val="Normal"/>
              <w:spacing w:lineRule="exact" w:line="264" w:before="0" w:after="12"/>
              <w:rPr/>
            </w:pPr>
            <w:r>
              <w:rPr>
                <w:rFonts w:eastAsia="Calibri" w:cs="Calibri"/>
                <w:b/>
                <w:bCs/>
                <w:i w:val="false"/>
                <w:iCs w:val="false"/>
                <w:color w:val="3E5871"/>
                <w:sz w:val="19"/>
                <w:szCs w:val="19"/>
              </w:rPr>
              <w:t>Set up (date):</w:t>
            </w:r>
          </w:p>
          <w:p>
            <w:pPr>
              <w:pStyle w:val="Normal"/>
              <w:pBdr>
                <w:bottom w:val="single" w:sz="6" w:space="7" w:color="AEBECF"/>
              </w:pBdr>
              <w:spacing w:lineRule="exact" w:line="300" w:before="0" w:after="10"/>
              <w:rPr/>
            </w:pPr>
            <w:r>
              <w:rPr/>
            </w:r>
          </w:p>
        </w:tc>
      </w:tr>
      <w:tr>
        <w:trPr/>
        <w:tc>
          <w:tcPr>
            <w:tcW w:w="2903" w:type="dxa"/>
            <w:tcBorders>
              <w:start w:val="single" w:sz="18"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Client name:</w:t>
            </w:r>
          </w:p>
        </w:tc>
        <w:tc>
          <w:tcPr>
            <w:tcW w:w="2206" w:type="dxa"/>
            <w:gridSpan w:val="3"/>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Visit date</w:t>
            </w:r>
          </w:p>
        </w:tc>
        <w:tc>
          <w:tcPr>
            <w:tcW w:w="2439"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EVV captured (Y/N)</w:t>
            </w:r>
          </w:p>
        </w:tc>
        <w:tc>
          <w:tcPr>
            <w:tcW w:w="1811"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Reconciled to claim</w:t>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For Oregon Health Plan-funded personal care and in-home services, capture Electronic Visit Verification on every visit using the Oregon-approved EVV system, which records the federally required data elements; keep documentation and billing consistent with EVV. Verify current requirements with the Oregon Health Authority / APD.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Billing &amp; Anti-Kickback Compliance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Payer / claim reference: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Service dates:</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Amount / status:</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Referral relationship (no payment for referrals):</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Bill only for authorized, delivered, EVV-verified services; do not submit false or duplicate claims; comply with the federal Anti-Kickback Statute — never pay for referrals of publicly funded clients.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Wage, Time &amp; Travel / Workers’ Comp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71"/>
        <w:gridCol w:w="2298"/>
        <w:gridCol w:w="591"/>
        <w:gridCol w:w="239"/>
        <w:gridCol w:w="2200"/>
        <w:gridCol w:w="2360"/>
      </w:tblGrid>
      <w:tr>
        <w:trPr>
          <w:tblHeader w:val="true"/>
        </w:trPr>
        <w:tc>
          <w:tcPr>
            <w:tcW w:w="1671"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29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Hours worked</w:t>
            </w:r>
          </w:p>
        </w:tc>
        <w:tc>
          <w:tcPr>
            <w:tcW w:w="3030" w:type="dxa"/>
            <w:gridSpan w:val="3"/>
            <w:tcBorders/>
            <w:shd w:color="auto" w:fill="3E5871" w:val="clear"/>
          </w:tcPr>
          <w:p>
            <w:pPr>
              <w:pStyle w:val="Normal"/>
              <w:spacing w:lineRule="exact" w:line="264" w:before="0" w:after="0"/>
              <w:rPr/>
            </w:pPr>
            <w:r>
              <w:rPr>
                <w:rFonts w:eastAsia="Calibri" w:cs="Calibri"/>
                <w:b/>
                <w:bCs/>
                <w:i w:val="false"/>
                <w:iCs w:val="false"/>
                <w:color w:val="FFFFFF"/>
                <w:sz w:val="16"/>
                <w:szCs w:val="16"/>
              </w:rPr>
              <w:t>Travel time (compensable)</w:t>
            </w:r>
          </w:p>
        </w:tc>
        <w:tc>
          <w:tcPr>
            <w:tcW w:w="23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Overtime (&gt;40/wk)</w:t>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4560" w:type="dxa"/>
            <w:gridSpan w:val="3"/>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Workers’ comp carrier / policy #:</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Injury reported (if any):</w:t>
            </w:r>
          </w:p>
          <w:p>
            <w:pPr>
              <w:pStyle w:val="Normal"/>
              <w:pBdr>
                <w:bottom w:val="single" w:sz="6" w:space="7" w:color="AEBECF"/>
              </w:pBdr>
              <w:spacing w:lineRule="exact" w:line="300" w:before="0" w:after="1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Employ caregivers as W-2; comply with the FLSA and Oregon’s minimum wage, which varies by region (Portland metro, standard counties, and non-urban counties) and is adjusted each year — confirm the current rate for your area — including overtime over 40 hours per week and Oregon earned paid sick time; carry workers’ compensation. As a third-party employer you cannot claim the FLSA companionship exemption.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F-50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Regulatory Reporting &amp; Change-of-Information Log</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1791"/>
        <w:gridCol w:w="3583"/>
        <w:gridCol w:w="2686"/>
        <w:gridCol w:w="1299"/>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required changes (ownership, administrator, name, location) and reportable events to OHA within the timeframes in OAR 333-536; keep licensure information current; maintain records of reports and Department communications.</w:t>
            </w:r>
          </w:p>
        </w:tc>
      </w:tr>
      <w:tr>
        <w:trPr/>
        <w:tc>
          <w:tcPr>
            <w:tcW w:w="1791"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Date</w:t>
            </w:r>
          </w:p>
        </w:tc>
        <w:tc>
          <w:tcPr>
            <w:tcW w:w="3583"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Report / change</w:t>
            </w:r>
          </w:p>
        </w:tc>
        <w:tc>
          <w:tcPr>
            <w:tcW w:w="2686"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Submitted to OHA (date)</w:t>
            </w:r>
          </w:p>
        </w:tc>
        <w:tc>
          <w:tcPr>
            <w:tcW w:w="12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Notes</w:t>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for Oregon  —  Ready to customize  —  Page </w:t>
    </w:r>
    <w:r>
      <w:rPr/>
      <w:fldChar w:fldCharType="begin"/>
    </w:r>
    <w:r>
      <w:rPr/>
      <w:instrText xml:space="preserve"> PAGE </w:instrText>
    </w:r>
    <w:r>
      <w:rPr/>
      <w:fldChar w:fldCharType="separate"/>
    </w:r>
    <w:r>
      <w:rPr/>
      <w:t>51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for Oregon  —  Ready to customize  —  Page </w:t>
    </w:r>
    <w:r>
      <w:rPr/>
      <w:fldChar w:fldCharType="begin"/>
    </w:r>
    <w:r>
      <w:rPr/>
      <w:instrText xml:space="preserve"> PAGE </w:instrText>
    </w:r>
    <w:r>
      <w:rPr/>
      <w:fldChar w:fldCharType="separate"/>
    </w:r>
    <w:r>
      <w:rPr/>
      <w:t>51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In-Home Care (Oregon)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In-Home Care (Oregon)</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2026-07-13T22:03:00Z</dcterms:created>
  <dc:creator>PolicyReady.org</dc:creator>
  <dc:description/>
  <dc:language>en-US</dc:language>
  <cp:lastModifiedBy>Un-named</cp:lastModifiedBy>
  <dcterms:modified xsi:type="dcterms:W3CDTF">2026-07-13T22:03:00Z</dcterms:modified>
  <cp:revision>1</cp:revision>
  <dc:subject/>
  <dc:title>Oregon In-Home Care — Forms Packet</dc:title>
</cp:coreProperties>
</file>