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8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REFERRAL SYSTEM</w:t>
            </w:r>
          </w:p>
          <w:p>
            <w:pPr>
              <w:pStyle w:val="Normal"/>
              <w:spacing w:before="0" w:after="40"/>
              <w:jc w:val="center"/>
              <w:rPr/>
            </w:pPr>
            <w:r>
              <w:rPr>
                <w:rFonts w:eastAsia="Calibri" w:cs="Calibri"/>
                <w:b/>
                <w:bCs/>
                <w:i w:val="false"/>
                <w:iCs w:val="false"/>
                <w:color w:val="FFFFFF"/>
                <w:sz w:val="34"/>
                <w:szCs w:val="34"/>
              </w:rPr>
              <w:t>Playbook · Directory · Toolkit</w:t>
            </w:r>
          </w:p>
          <w:p>
            <w:pPr>
              <w:pStyle w:val="Normal"/>
              <w:spacing w:before="0" w:after="0"/>
              <w:jc w:val="center"/>
              <w:rPr/>
            </w:pPr>
            <w:r>
              <w:rPr>
                <w:rFonts w:eastAsia="Calibri" w:cs="Calibri"/>
                <w:b/>
                <w:bCs/>
                <w:i w:val="false"/>
                <w:iCs w:val="false"/>
                <w:color w:val="FFFFFF"/>
                <w:sz w:val="34"/>
                <w:szCs w:val="34"/>
              </w:rPr>
              <w:t>California Edition</w:t>
            </w:r>
          </w:p>
        </w:tc>
      </w:tr>
    </w:tbl>
    <w:p>
      <w:pPr>
        <w:pStyle w:val="Normal"/>
        <w:spacing w:before="160" w:after="0"/>
        <w:rPr/>
      </w:pPr>
      <w:r>
        <w:rPr/>
      </w:r>
    </w:p>
    <w:p>
      <w:pPr>
        <w:pStyle w:val="Normal"/>
        <w:spacing w:lineRule="exact" w:line="268" w:before="0" w:after="60"/>
        <w:jc w:val="center"/>
        <w:rPr/>
      </w:pPr>
      <w:r>
        <w:rPr>
          <w:rFonts w:eastAsia="Calibri" w:cs="Calibri"/>
          <w:b w:val="false"/>
          <w:bCs w:val="false"/>
          <w:i w:val="false"/>
          <w:iCs w:val="false"/>
          <w:color w:val="1A1A1A"/>
          <w:sz w:val="22"/>
          <w:szCs w:val="22"/>
        </w:rPr>
        <w:t>Everything a California care provider needs to build a steady stream of referrals — the strategy, a verified local resource directory, and the worksheets to run it week to week.</w:t>
      </w:r>
    </w:p>
    <w:p>
      <w:pPr>
        <w:pStyle w:val="Normal"/>
        <w:spacing w:lineRule="exact" w:line="268" w:before="0" w:after="160"/>
        <w:jc w:val="center"/>
        <w:rPr/>
      </w:pPr>
      <w:r>
        <w:rPr>
          <w:rFonts w:eastAsia="Calibri" w:cs="Calibri"/>
          <w:b/>
          <w:bCs/>
          <w:i w:val="false"/>
          <w:iCs w:val="false"/>
          <w:color w:val="3E5871"/>
          <w:sz w:val="18"/>
          <w:szCs w:val="18"/>
        </w:rPr>
        <w:t>For home care, residential care, brain-injury, behavioral-health, and other care providers</w:t>
      </w:r>
    </w:p>
    <w:p>
      <w:pPr>
        <w:pStyle w:val="Normal"/>
        <w:pBdr>
          <w:bottom w:val="single" w:sz="8" w:space="1" w:color="9DB1C7"/>
        </w:pBdr>
        <w:spacing w:before="80" w:after="120"/>
        <w:rPr/>
      </w:pPr>
      <w:r>
        <w:rPr/>
      </w:r>
    </w:p>
    <w:p>
      <w:pPr>
        <w:pStyle w:val="Normal"/>
        <w:spacing w:lineRule="exact" w:line="268" w:before="0" w:after="110"/>
        <w:jc w:val="center"/>
        <w:rPr/>
      </w:pPr>
      <w:r>
        <w:rPr>
          <w:rFonts w:eastAsia="Calibri" w:cs="Calibri"/>
          <w:b/>
          <w:bCs/>
          <w:i w:val="false"/>
          <w:iCs w:val="false"/>
          <w:color w:val="3E5871"/>
          <w:sz w:val="18"/>
          <w:szCs w:val="18"/>
        </w:rPr>
        <w:t xml:space="preserve">Three parts, one resource: </w:t>
      </w:r>
      <w:r>
        <w:rPr>
          <w:rFonts w:eastAsia="Calibri" w:cs="Calibri"/>
          <w:b w:val="false"/>
          <w:bCs w:val="false"/>
          <w:i w:val="false"/>
          <w:iCs w:val="false"/>
          <w:color w:val="555555"/>
          <w:sz w:val="18"/>
          <w:szCs w:val="18"/>
        </w:rPr>
        <w:t>Part One — The Playbook (how to earn referrals). Part Two — The California Referral Directory (verified contacts). Part Three — The Worksheets &amp; Tracker (run it weekly). General business guidance, not legal advice; follow all applicable anti-kickback and referral laws.</w:t>
      </w:r>
    </w:p>
    <w:p>
      <w:pPr>
        <w:pStyle w:val="Normal"/>
        <w:pBdr>
          <w:bottom w:val="single" w:sz="8" w:space="1" w:color="9DB1C7"/>
        </w:pBdr>
        <w:spacing w:before="80" w:after="120"/>
        <w:rPr/>
      </w:pPr>
      <w:r>
        <w:rPr/>
      </w:r>
    </w:p>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Part One — The Playbook: How to Earn Referrals  </w:t>
      </w:r>
    </w:p>
    <w:p>
      <w:pPr>
        <w:pStyle w:val="Normal"/>
        <w:keepNext w:val="true"/>
        <w:spacing w:before="220" w:after="90"/>
        <w:rPr/>
      </w:pPr>
      <w:r>
        <w:rPr>
          <w:rFonts w:eastAsia="Calibri" w:cs="Calibri"/>
          <w:b/>
          <w:bCs/>
          <w:i w:val="false"/>
          <w:iCs w:val="false"/>
          <w:color w:val="1F3A5F"/>
          <w:sz w:val="26"/>
          <w:szCs w:val="26"/>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to get clients the way successful care providers actually get them: through relationships with the people and organizations that already have your future clients in front of them. It works whether you run a home care agency, a residential care home, a brain-injury or behavioral-health program, or any other care business — the sources differ a little, but the system is the same.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one idea to hold onto</w:t>
            </w:r>
          </w:p>
          <w:p>
            <w:pPr>
              <w:pStyle w:val="Normal"/>
              <w:spacing w:lineRule="exact" w:line="264" w:before="0" w:after="0"/>
              <w:rPr/>
            </w:pPr>
            <w:r>
              <w:rPr>
                <w:rFonts w:eastAsia="Calibri" w:cs="Calibri"/>
                <w:b w:val="false"/>
                <w:bCs w:val="false"/>
                <w:i w:val="false"/>
                <w:iCs w:val="false"/>
                <w:color w:val="1A1A1A"/>
                <w:sz w:val="19"/>
                <w:szCs w:val="19"/>
              </w:rPr>
              <w:t xml:space="preserve">People don’t choose a care provider from an ad — they choose the one a trusted professional recommends at the moment of need. </w:t>
            </w:r>
            <w:r>
              <w:rPr>
                <w:rFonts w:eastAsia="Calibri" w:cs="Calibri"/>
                <w:b/>
                <w:bCs/>
                <w:i w:val="false"/>
                <w:iCs w:val="false"/>
                <w:color w:val="1A1A1A"/>
                <w:sz w:val="19"/>
                <w:szCs w:val="19"/>
              </w:rPr>
              <w:t>Your job is to become that trusted, recommended provider</w:t>
            </w:r>
            <w:r>
              <w:rPr>
                <w:rFonts w:eastAsia="Calibri" w:cs="Calibri"/>
                <w:b w:val="false"/>
                <w:bCs w:val="false"/>
                <w:i w:val="false"/>
                <w:iCs w:val="false"/>
                <w:color w:val="1A1A1A"/>
                <w:sz w:val="19"/>
                <w:szCs w:val="19"/>
              </w:rPr>
              <w:t xml:space="preserve"> for the handful of people who send clients your way. Do that, and referrals become steady and mostly free.</w:t>
            </w:r>
          </w:p>
        </w:tc>
      </w:tr>
    </w:tbl>
    <w:p>
      <w:pPr>
        <w:pStyle w:val="Normal"/>
        <w:keepNext w:val="true"/>
        <w:spacing w:before="140" w:after="60"/>
        <w:rPr/>
      </w:pPr>
      <w:r>
        <w:rPr>
          <w:rFonts w:eastAsia="Calibri" w:cs="Calibri"/>
          <w:b/>
          <w:bCs/>
          <w:i w:val="false"/>
          <w:iCs w:val="false"/>
          <w:color w:val="3E5871"/>
          <w:sz w:val="21"/>
          <w:szCs w:val="21"/>
        </w:rPr>
        <w:t>The whole system in one paragraph</w:t>
      </w:r>
    </w:p>
    <w:p>
      <w:pPr>
        <w:pStyle w:val="Normal"/>
        <w:spacing w:lineRule="exact" w:line="268" w:before="0" w:after="110"/>
        <w:jc w:val="start"/>
        <w:rPr/>
      </w:pPr>
      <w:r>
        <w:rPr>
          <w:rFonts w:eastAsia="Calibri" w:cs="Calibri"/>
          <w:b w:val="false"/>
          <w:bCs w:val="false"/>
          <w:i w:val="false"/>
          <w:iCs w:val="false"/>
          <w:color w:val="1A1A1A"/>
          <w:sz w:val="20"/>
          <w:szCs w:val="20"/>
        </w:rPr>
        <w:t>Here is the entire playbook in miniature. You identify the people who already serve your future clients (Part 2). You get into their official referral pipeline — discharge lists, payer contracts, and waiver enrollment — while staying on the right side of the law (Part 3). You understand what each of them actually needs from a provider (Part 4). You reach out and build real relationships with a small, focused list of them (Parts 5 and 6). You become the provider they trust and prefer by being reliable and easy to work with (Part 7). You show up online so you’re easy to find and check out (Part 8). And you run it as a weekly habit and track what works, so it compounds (Parts 9 and 10). Identify, get in, understand, reach out, deliver, track.</w:t>
      </w:r>
    </w:p>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val="false"/>
          <w:bCs w:val="false"/>
          <w:i w:val="false"/>
          <w:iCs w:val="false"/>
          <w:color w:val="1A1A1A"/>
          <w:sz w:val="20"/>
          <w:szCs w:val="20"/>
        </w:rPr>
        <w:t>Build your referral-source list — who, near you, has your clients in front of them (Part 2 + the Tracker).</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val="false"/>
          <w:bCs w:val="false"/>
          <w:i w:val="false"/>
          <w:iCs w:val="false"/>
          <w:color w:val="1A1A1A"/>
          <w:sz w:val="20"/>
          <w:szCs w:val="20"/>
        </w:rPr>
        <w:t>Pick your “Target 25” — the highest-value sources to focus on first.</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val="false"/>
          <w:bCs w:val="false"/>
          <w:i w:val="false"/>
          <w:iCs w:val="false"/>
          <w:color w:val="1A1A1A"/>
          <w:sz w:val="20"/>
          <w:szCs w:val="20"/>
        </w:rPr>
        <w:t>Get into the official referral pipeline — discharge lists, payer contracts, and waiver enrollment — and know the legal line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val="false"/>
          <w:bCs w:val="false"/>
          <w:i w:val="false"/>
          <w:iCs w:val="false"/>
          <w:color w:val="1A1A1A"/>
          <w:sz w:val="20"/>
          <w:szCs w:val="20"/>
        </w:rPr>
        <w:t>Learn what each one wants, so your outreach speaks to their needs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val="false"/>
          <w:bCs w:val="false"/>
          <w:i w:val="false"/>
          <w:iCs w:val="false"/>
          <w:color w:val="1A1A1A"/>
          <w:sz w:val="20"/>
          <w:szCs w:val="20"/>
        </w:rPr>
        <w:t>Reach out and meet them — with a clear, short message about how you help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val="false"/>
          <w:bCs w:val="false"/>
          <w:i w:val="false"/>
          <w:iCs w:val="false"/>
          <w:color w:val="1A1A1A"/>
          <w:sz w:val="20"/>
          <w:szCs w:val="20"/>
        </w:rPr>
        <w:t>Deliver so well that they refer again — reliability and communication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val="false"/>
          <w:bCs w:val="false"/>
          <w:i w:val="false"/>
          <w:iCs w:val="false"/>
          <w:color w:val="1A1A1A"/>
          <w:sz w:val="20"/>
          <w:szCs w:val="20"/>
        </w:rPr>
        <w:t>Get found online — Google Business Profile, reviews, website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val="false"/>
          <w:bCs w:val="false"/>
          <w:i w:val="false"/>
          <w:iCs w:val="false"/>
          <w:color w:val="1A1A1A"/>
          <w:sz w:val="20"/>
          <w:szCs w:val="20"/>
        </w:rPr>
        <w:t>Run the weekly rhythm and track results — double down on what produces (Parts 9–10).</w:t>
      </w:r>
    </w:p>
    <w:p>
      <w:pPr>
        <w:pStyle w:val="Normal"/>
        <w:keepNext w:val="true"/>
        <w:spacing w:before="220" w:after="90"/>
        <w:rPr/>
      </w:pPr>
      <w:r>
        <w:rPr>
          <w:rFonts w:eastAsia="Calibri" w:cs="Calibri"/>
          <w:b/>
          <w:bCs/>
          <w:i w:val="false"/>
          <w:iCs w:val="false"/>
          <w:color w:val="1F3A5F"/>
          <w:sz w:val="26"/>
          <w:szCs w:val="26"/>
        </w:rPr>
        <w:t>Part 1 — Why Referrals Are Your #1 Growth Engine</w:t>
      </w:r>
    </w:p>
    <w:p>
      <w:pPr>
        <w:pStyle w:val="Normal"/>
        <w:spacing w:lineRule="exact" w:line="268" w:before="0" w:after="110"/>
        <w:jc w:val="start"/>
        <w:rPr/>
      </w:pPr>
      <w:r>
        <w:rPr>
          <w:rFonts w:eastAsia="Calibri" w:cs="Calibri"/>
          <w:b w:val="false"/>
          <w:bCs w:val="false"/>
          <w:i w:val="false"/>
          <w:iCs w:val="false"/>
          <w:color w:val="1A1A1A"/>
          <w:sz w:val="20"/>
          <w:szCs w:val="20"/>
        </w:rPr>
        <w:t>Most new care providers make the same mistake: they spend their limited money on ads and wait for the phone to ring. But care is a trust purchase made at a stressful moment — a hospital discharge, a fall, a diagnosis, a caregiver burning out — and at that moment people ask someone they trust: the discharge planner, the doctor, the care manager, the friend whose mother had a good experience. The provider that professional names is the one that gets the client.</w:t>
      </w:r>
    </w:p>
    <w:p>
      <w:pPr>
        <w:pStyle w:val="Normal"/>
        <w:spacing w:lineRule="exact" w:line="268" w:before="0" w:after="110"/>
        <w:jc w:val="start"/>
        <w:rPr/>
      </w:pPr>
      <w:r>
        <w:rPr>
          <w:rFonts w:eastAsia="Calibri" w:cs="Calibri"/>
          <w:b w:val="false"/>
          <w:bCs w:val="false"/>
          <w:i w:val="false"/>
          <w:iCs w:val="false"/>
          <w:color w:val="1A1A1A"/>
          <w:sz w:val="20"/>
          <w:szCs w:val="20"/>
        </w:rPr>
        <w:t>That’s why referrals beat advertising for care businesses on almost every measure: they cost little, they arrive pre-trusted (so they convert far better than a cold lead), and they compound — a discharge planner who trusts you sends you clients month after month, and a happy family tells other families. A single strong referral relationship can be worth more than an entire year’s ad budget. Your growth job, especially early, is not ‘marketing’ in the abstract — it is building and keeping a small number of referral relationships.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math that should change how you spend your time</w:t>
            </w:r>
          </w:p>
          <w:p>
            <w:pPr>
              <w:pStyle w:val="Normal"/>
              <w:spacing w:lineRule="exact" w:line="264" w:before="0" w:after="0"/>
              <w:rPr/>
            </w:pPr>
            <w:r>
              <w:rPr>
                <w:rFonts w:eastAsia="Calibri" w:cs="Calibri"/>
                <w:b w:val="false"/>
                <w:bCs w:val="false"/>
                <w:i w:val="false"/>
                <w:iCs w:val="false"/>
                <w:color w:val="1A1A1A"/>
                <w:sz w:val="19"/>
                <w:szCs w:val="19"/>
              </w:rPr>
              <w:t>One hospital discharge planner or one senior-community director who trusts you might send several clients a month, for years. Winning that one relationship is worth more than thousands of ad impressions — and it costs you time and reliability, not dollars. Spend your time where the clients actually come from.</w:t>
            </w:r>
          </w:p>
        </w:tc>
      </w:tr>
    </w:tbl>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referrals matter so much in care: the people who refer you are betting their own credibility on you. When a discharge planner sends a patient home with your agency, or a care manager recommends your program to a family, they are staking their professional reputation on your performance. That is why a referral converts so well — the client arrives already trusting you because someone they trust vouched for you — and it is also why referral relationships, once earned, are so durable and so worth protecting. You are not just getting a client; you are being trusted, and every good outcome deepens that trust into a stream of future clients.</w:t>
      </w:r>
    </w:p>
    <w:p>
      <w:pPr>
        <w:pStyle w:val="Normal"/>
        <w:keepNext w:val="true"/>
        <w:spacing w:before="220" w:after="90"/>
        <w:rPr/>
      </w:pPr>
      <w:r>
        <w:rPr>
          <w:rFonts w:eastAsia="Calibri" w:cs="Calibri"/>
          <w:b/>
          <w:bCs/>
          <w:i w:val="false"/>
          <w:iCs w:val="false"/>
          <w:color w:val="1F3A5F"/>
          <w:sz w:val="26"/>
          <w:szCs w:val="26"/>
        </w:rPr>
        <w:t>Part 2 — The Referral Source Map: Who Refers</w:t>
      </w:r>
    </w:p>
    <w:p>
      <w:pPr>
        <w:pStyle w:val="Normal"/>
        <w:spacing w:lineRule="exact" w:line="268" w:before="0" w:after="110"/>
        <w:jc w:val="start"/>
        <w:rPr/>
      </w:pPr>
      <w:r>
        <w:rPr>
          <w:rFonts w:eastAsia="Calibri" w:cs="Calibri"/>
          <w:b w:val="false"/>
          <w:bCs w:val="false"/>
          <w:i w:val="false"/>
          <w:iCs w:val="false"/>
          <w:color w:val="1A1A1A"/>
          <w:sz w:val="20"/>
          <w:szCs w:val="20"/>
        </w:rPr>
        <w:t>Here is the landscape of who sends clients to care providers. Not all of these fit every business — pick the ones whose clients match yours — but this is the full menu to choose from. (The companion Tracker gives you a worksheet to build your own local list from this map.)</w:t>
      </w:r>
    </w:p>
    <w:p>
      <w:pPr>
        <w:pStyle w:val="Normal"/>
        <w:spacing w:lineRule="exact" w:line="268" w:before="0" w:after="110"/>
        <w:jc w:val="start"/>
        <w:rPr/>
      </w:pPr>
      <w:r>
        <w:rPr>
          <w:rFonts w:eastAsia="Calibri" w:cs="Calibri"/>
          <w:b w:val="false"/>
          <w:bCs w:val="false"/>
          <w:i w:val="false"/>
          <w:iCs w:val="false"/>
          <w:color w:val="1A1A1A"/>
          <w:sz w:val="20"/>
          <w:szCs w:val="20"/>
        </w:rPr>
        <w:t>Which of these matter most depends on your business. A home care agency lives on hospital and skilled-nursing discharge planners, geriatric care managers, and senior communities. A residential care or assisted-living home leans on discharge planners, care managers, hospitals, and families touring for a placement. A brain-injury program depends on rehabilitation hospitals, trauma-center case managers, neurologists and physiatrists, and regional-center or insurance case managers. A behavioral-health provider works with hospitals, crisis teams, courts and probation, schools, and health-plan care coordinators. Read the whole map, then choose the six or eight source types where your future clients actually are, and build your list there.</w:t>
      </w:r>
    </w:p>
    <w:p>
      <w:pPr>
        <w:pStyle w:val="Normal"/>
        <w:keepNext w:val="true"/>
        <w:spacing w:before="140" w:after="60"/>
        <w:rPr/>
      </w:pPr>
      <w:r>
        <w:rPr>
          <w:rFonts w:eastAsia="Calibri" w:cs="Calibri"/>
          <w:b/>
          <w:bCs/>
          <w:i w:val="false"/>
          <w:iCs w:val="false"/>
          <w:color w:val="3E5871"/>
          <w:sz w:val="21"/>
          <w:szCs w:val="21"/>
        </w:rPr>
        <w:t>1. Healthcare discharge sources — usually the biggest</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Hospital discharge planners / case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arrange where a patient goes next and need reliable providers who respond fast and prevent readmissions. Often your single highest-volume source. Reach them through the case management / social work department.</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Skilled nursing &amp; rehab facility discharge planners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discharge people who still need support at home or a lower level of care. Build relationships with their social workers and admissions/discharge staff.</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Emergency department &amp; hospital social workers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handle crisis discharges that need care set up quickly. Being responsive and available is what earns their trust.</w:t>
            </w:r>
          </w:p>
        </w:tc>
      </w:tr>
    </w:tbl>
    <w:p>
      <w:pPr>
        <w:pStyle w:val="Normal"/>
        <w:keepNext w:val="true"/>
        <w:spacing w:before="140" w:after="60"/>
        <w:rPr/>
      </w:pPr>
      <w:r>
        <w:rPr>
          <w:rFonts w:eastAsia="Calibri" w:cs="Calibri"/>
          <w:b/>
          <w:bCs/>
          <w:i w:val="false"/>
          <w:iCs w:val="false"/>
          <w:color w:val="3E5871"/>
          <w:sz w:val="21"/>
          <w:szCs w:val="21"/>
        </w:rPr>
        <w:t>2. Physicians and clinical offices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Primary care physicians &amp; geriatricians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know which patients are declining or unsafe at home. Reach the office manager and nurses, not just the doctor.</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Specialists (neurology, cardiology, oncology, physiatry)</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Relevant to specific niches — e.g., neurology for brain injury. Their care coordinators are the door.</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Clinic &amp; FQHC social workers / care coordinators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connect patients to community services and appreciate providers who make their job easier.</w:t>
            </w:r>
          </w:p>
        </w:tc>
      </w:tr>
    </w:tbl>
    <w:p>
      <w:pPr>
        <w:pStyle w:val="Normal"/>
        <w:keepNext w:val="true"/>
        <w:spacing w:before="140" w:after="60"/>
        <w:rPr/>
      </w:pPr>
      <w:r>
        <w:rPr>
          <w:rFonts w:eastAsia="Calibri" w:cs="Calibri"/>
          <w:b/>
          <w:bCs/>
          <w:i w:val="false"/>
          <w:iCs w:val="false"/>
          <w:color w:val="3E5871"/>
          <w:sz w:val="21"/>
          <w:szCs w:val="21"/>
        </w:rPr>
        <w:t>3. The aging &amp; disability network</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Geriatric care managers / aging life care professionals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Private care managers who advise families and recommend providers — high-trust, high-value referrers.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Area Agencies on Aging &amp; senior information lines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Local hubs that field “I need help for my parent” calls and maintain provider lists.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County / Medicaid case managers, waiver &amp; regional-center coordinators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authorize and coordinate publicly funded services and place clients with providers.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Managed-care &amp; MLTSS/CalAIM care coordinators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Health-plan staff who arrange long-term services and supports for members.</w:t>
            </w:r>
          </w:p>
        </w:tc>
      </w:tr>
    </w:tbl>
    <w:p>
      <w:pPr>
        <w:pStyle w:val="Normal"/>
        <w:keepNext w:val="true"/>
        <w:spacing w:before="140" w:after="60"/>
        <w:rPr/>
      </w:pPr>
      <w:r>
        <w:rPr>
          <w:rFonts w:eastAsia="Calibri" w:cs="Calibri"/>
          <w:b/>
          <w:bCs/>
          <w:i w:val="false"/>
          <w:iCs w:val="false"/>
          <w:color w:val="3E5871"/>
          <w:sz w:val="21"/>
          <w:szCs w:val="21"/>
        </w:rPr>
        <w:t>4. Senior living, housing &amp; other providers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Assisted living, independent living, memory care &amp; CCRCs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Residents often need added in-home help, or a different level of care; directors refer both ways.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Board-and-care / residential care homes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refer residents who need more or different care, and take your referrals in return.</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Hospice &amp; palliative care</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partner with care providers for extra support hours; a strong reciprocal relationship.</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Pharmacies, home medical equipment &amp; home health</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see people managing illness at home and are natural referral partners (and partners you refer to).</w:t>
            </w:r>
          </w:p>
        </w:tc>
      </w:tr>
    </w:tbl>
    <w:p>
      <w:pPr>
        <w:pStyle w:val="Normal"/>
        <w:keepNext w:val="true"/>
        <w:spacing w:before="140" w:after="60"/>
        <w:rPr/>
      </w:pPr>
      <w:r>
        <w:rPr>
          <w:rFonts w:eastAsia="Calibri" w:cs="Calibri"/>
          <w:b/>
          <w:bCs/>
          <w:i w:val="false"/>
          <w:iCs w:val="false"/>
          <w:color w:val="3E5871"/>
          <w:sz w:val="21"/>
          <w:szCs w:val="21"/>
        </w:rPr>
        <w:t>5. Payers and benefit sources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VA &amp; veteran service organizations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Route eligible veterans to care; many families don’t know these benefits exist.</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Long-term-care insurance case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coordinate benefits for policyholders and can steer to responsive providers.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Workers’ comp &amp; auto/injury case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Relevant for injury-related care, including brain injury.</w:t>
            </w:r>
          </w:p>
        </w:tc>
      </w:tr>
    </w:tbl>
    <w:p>
      <w:pPr>
        <w:pStyle w:val="Normal"/>
        <w:keepNext w:val="true"/>
        <w:spacing w:before="140" w:after="60"/>
        <w:rPr/>
      </w:pPr>
      <w:r>
        <w:rPr>
          <w:rFonts w:eastAsia="Calibri" w:cs="Calibri"/>
          <w:b/>
          <w:bCs/>
          <w:i w:val="false"/>
          <w:iCs w:val="false"/>
          <w:color w:val="3E5871"/>
          <w:sz w:val="21"/>
          <w:szCs w:val="21"/>
        </w:rPr>
        <w:t>6. Community &amp; professional influencers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Elder-law &amp; estate attorneys, fiduciaries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advise families in exactly the moments care is needed — excellent, underused referrers.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Financial planners &amp; trust officers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help families plan for care costs and are asked “who do you recommend?”</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Faith communities, senior centers &amp; support groups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Clergy, senior-center staff, and group leaders (e.g., Alzheimer’s support) are trusted local voices.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Funeral homes, senior real-estate specialists, move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work with aging families and hear about care needs early.</w:t>
            </w:r>
          </w:p>
        </w:tc>
      </w:tr>
    </w:tbl>
    <w:p>
      <w:pPr>
        <w:pStyle w:val="Normal"/>
        <w:keepNext w:val="true"/>
        <w:spacing w:before="140" w:after="60"/>
        <w:rPr/>
      </w:pPr>
      <w:r>
        <w:rPr>
          <w:rFonts w:eastAsia="Calibri" w:cs="Calibri"/>
          <w:b/>
          <w:bCs/>
          <w:i w:val="false"/>
          <w:iCs w:val="false"/>
          <w:color w:val="3E5871"/>
          <w:sz w:val="21"/>
          <w:szCs w:val="21"/>
        </w:rPr>
        <w:t>7. Families, past clients, and your own team</w:t>
      </w:r>
    </w:p>
    <w:p>
      <w:pPr>
        <w:pStyle w:val="Normal"/>
        <w:spacing w:lineRule="exact" w:line="268" w:before="0" w:after="110"/>
        <w:jc w:val="start"/>
        <w:rPr/>
      </w:pPr>
      <w:r>
        <w:rPr>
          <w:rFonts w:eastAsia="Calibri" w:cs="Calibri"/>
          <w:b w:val="false"/>
          <w:bCs w:val="false"/>
          <w:i w:val="false"/>
          <w:iCs w:val="false"/>
          <w:color w:val="1A1A1A"/>
          <w:sz w:val="20"/>
          <w:szCs w:val="20"/>
        </w:rPr>
        <w:t>Never overlook the warmest source of all: the families you’ve served, your past and current clients, and your own caregivers and staff (who know others in the field). A happy client and a well-treated caregiver are walking advertisements. Ask — politely and at the right moment — for reviews and referrals, and make it easy for people to send others your way.</w:t>
      </w:r>
    </w:p>
    <w:p>
      <w:pPr>
        <w:pStyle w:val="Normal"/>
        <w:keepNext w:val="true"/>
        <w:spacing w:before="220" w:after="90"/>
        <w:rPr/>
      </w:pPr>
      <w:r>
        <w:rPr>
          <w:rFonts w:eastAsia="Calibri" w:cs="Calibri"/>
          <w:b/>
          <w:bCs/>
          <w:i w:val="false"/>
          <w:iCs w:val="false"/>
          <w:color w:val="1F3A5F"/>
          <w:sz w:val="26"/>
          <w:szCs w:val="26"/>
        </w:rPr>
        <w:t>Part 3 — Official Referral Pathways: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Everything else in this playbook is about earning referrals through relationships. This part is about the formal, official routes into institutional referral pipelines — how you actually get onto a hospital’s discharge list, into a health plan’s network, and onto a case manager’s roster — and about a bright legal line you must never cross while doing it. Get this right and you unlock steady, high-quality referrals; get it wrong and you can face serious penalties. Read this part carefully.</w:t>
      </w:r>
    </w:p>
    <w:p>
      <w:pPr>
        <w:pStyle w:val="Normal"/>
        <w:keepNext w:val="true"/>
        <w:spacing w:before="140" w:after="60"/>
        <w:rPr/>
      </w:pPr>
      <w:r>
        <w:rPr>
          <w:rFonts w:eastAsia="Calibri" w:cs="Calibri"/>
          <w:b/>
          <w:bCs/>
          <w:i w:val="false"/>
          <w:iCs w:val="false"/>
          <w:color w:val="3E5871"/>
          <w:sz w:val="21"/>
          <w:szCs w:val="21"/>
        </w:rPr>
        <w:t>The official pathways — how to get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Get onto the discharge and community-provider list. </w:t>
      </w:r>
      <w:r>
        <w:rPr>
          <w:rFonts w:eastAsia="Calibri" w:cs="Calibri"/>
          <w:b w:val="false"/>
          <w:bCs w:val="false"/>
          <w:i w:val="false"/>
          <w:iCs w:val="false"/>
          <w:color w:val="1A1A1A"/>
          <w:sz w:val="20"/>
          <w:szCs w:val="20"/>
        </w:rPr>
        <w:t>Hospitals and skilled-nursing facilities give discharging patients a list of providers and let the patient choose. You cannot pay to be steered to — but you can get onto the list by being licensed, introducing yourself to the case-management and social-work department, and being known as reliable. This is free, and it is the front door.</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Become a contracted, in-network provider with payers. </w:t>
      </w:r>
      <w:r>
        <w:rPr>
          <w:rFonts w:eastAsia="Calibri" w:cs="Calibri"/>
          <w:b w:val="false"/>
          <w:bCs w:val="false"/>
          <w:i w:val="false"/>
          <w:iCs w:val="false"/>
          <w:color w:val="1A1A1A"/>
          <w:sz w:val="20"/>
          <w:szCs w:val="20"/>
        </w:rPr>
        <w:t>Credential and contract with Medi-Cal managed-care plans (including CalAIM), the VA, and long-term-care insurers. Once you are in-network, their care coordinators refer within the network as a matter of routine — an official, ongoing pipeline.</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Enroll as a Medi-Cal and waiver provider. </w:t>
      </w:r>
      <w:r>
        <w:rPr>
          <w:rFonts w:eastAsia="Calibri" w:cs="Calibri"/>
          <w:b w:val="false"/>
          <w:bCs w:val="false"/>
          <w:i w:val="false"/>
          <w:iCs w:val="false"/>
          <w:color w:val="1A1A1A"/>
          <w:sz w:val="20"/>
          <w:szCs w:val="20"/>
        </w:rPr>
        <w:t>Enroll with the state and the relevant home-and-community-based waivers (such as HCBA and MSSP) and CalAIM Community Supports. Waiver and plan case managers place clients with enrolled providers — so enrollment itself becomes a referral channel.</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preferred-provider or partnership agreements — carefully. </w:t>
      </w:r>
      <w:r>
        <w:rPr>
          <w:rFonts w:eastAsia="Calibri" w:cs="Calibri"/>
          <w:b w:val="false"/>
          <w:bCs w:val="false"/>
          <w:i w:val="false"/>
          <w:iCs w:val="false"/>
          <w:color w:val="1A1A1A"/>
          <w:sz w:val="20"/>
          <w:szCs w:val="20"/>
        </w:rPr>
        <w:t>Hospitals, health systems, ACOs, and senior communities sometimes set up preferred-provider relationships. These can be legitimate, but only if they are structured correctly (see the legal line below), which is the one place you should have a healthcare attorney paper the arrangement before you sign.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on the lists and in the networks, the rest of this playbook — building trust with the discharge planners, case managers, and physicians who actually pick the provider — is what turns being eligible into being chosen.</w:t>
      </w:r>
    </w:p>
    <w:p>
      <w:pPr>
        <w:pStyle w:val="Normal"/>
        <w:keepNext w:val="true"/>
        <w:spacing w:before="140" w:after="60"/>
        <w:rPr/>
      </w:pPr>
      <w:r>
        <w:rPr>
          <w:rFonts w:eastAsia="Calibri" w:cs="Calibri"/>
          <w:b/>
          <w:bCs/>
          <w:i w:val="false"/>
          <w:iCs w:val="false"/>
          <w:color w:val="3E5871"/>
          <w:sz w:val="21"/>
          <w:szCs w:val="21"/>
        </w:rPr>
        <w:t>The legal line — you can earn referrals, but you cannot buy them</w:t>
      </w:r>
    </w:p>
    <w:p>
      <w:pPr>
        <w:pStyle w:val="Normal"/>
        <w:spacing w:lineRule="exact" w:line="268" w:before="0" w:after="110"/>
        <w:jc w:val="start"/>
        <w:rPr/>
      </w:pPr>
      <w:r>
        <w:rPr>
          <w:rFonts w:eastAsia="Calibri" w:cs="Calibri"/>
          <w:b w:val="false"/>
          <w:bCs w:val="false"/>
          <w:i w:val="false"/>
          <w:iCs w:val="false"/>
          <w:color w:val="1A1A1A"/>
          <w:sz w:val="20"/>
          <w:szCs w:val="20"/>
        </w:rPr>
        <w:t>One rule sits above all the rest, and it is where new agencies get into the most serious trouble: you may not pay for referrals of clients whose care is paid, even partly, by a federal health care program (Medicare, Medi-Cal/Medicaid, TRICARE, or the VA). The federal Anti-Kickback Statute makes it a crime to knowingly offer or pay — or to solicit or receive — anything of value to induce those referrals. “Anything of value” is broad: cash, gift cards, free rent, free services, meals, or a per-client fee all count, and both the payer and the receiver are liable. Because your home care, residential, and brain-injury clients are often funded through Medi-Cal, waivers, or the VA, this applies squarely to you.</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bright-line test</w:t>
            </w:r>
          </w:p>
          <w:p>
            <w:pPr>
              <w:pStyle w:val="Normal"/>
              <w:spacing w:lineRule="exact" w:line="264" w:before="0" w:after="0"/>
              <w:rPr/>
            </w:pPr>
            <w:r>
              <w:rPr>
                <w:rFonts w:eastAsia="Calibri" w:cs="Calibri"/>
                <w:b w:val="false"/>
                <w:bCs w:val="false"/>
                <w:i w:val="false"/>
                <w:iCs w:val="false"/>
                <w:color w:val="1A1A1A"/>
                <w:sz w:val="19"/>
                <w:szCs w:val="19"/>
              </w:rPr>
              <w:t xml:space="preserve">If a payment is tied to the number of clients someone sends you — a fee per referral, per admission, or per lead — and any of those clients are federally funded, assume it is illegal. </w:t>
            </w:r>
            <w:r>
              <w:rPr>
                <w:rFonts w:eastAsia="Calibri" w:cs="Calibri"/>
                <w:b/>
                <w:bCs/>
                <w:i w:val="false"/>
                <w:iCs w:val="false"/>
                <w:color w:val="1A1A1A"/>
                <w:sz w:val="19"/>
                <w:szCs w:val="19"/>
              </w:rPr>
              <w:t>“Send me clients and I’ll pay you $X each” is the arrangement that gets agencies prosecuted.</w:t>
            </w:r>
          </w:p>
        </w:tc>
      </w:tr>
    </w:tbl>
    <w:p>
      <w:pPr>
        <w:pStyle w:val="Normal"/>
        <w:keepNext w:val="true"/>
        <w:spacing w:before="140" w:after="60"/>
        <w:rPr/>
      </w:pPr>
      <w:r>
        <w:rPr>
          <w:rFonts w:eastAsia="Calibri" w:cs="Calibri"/>
          <w:b/>
          <w:bCs/>
          <w:i w:val="false"/>
          <w:iCs w:val="false"/>
          <w:color w:val="3E5871"/>
          <w:sz w:val="21"/>
          <w:szCs w:val="21"/>
        </w:rPr>
        <w:t>Be careful with “referral services” and lead-sellers</w:t>
      </w:r>
    </w:p>
    <w:p>
      <w:pPr>
        <w:pStyle w:val="Normal"/>
        <w:spacing w:lineRule="exact" w:line="268" w:before="0" w:after="110"/>
        <w:jc w:val="start"/>
        <w:rPr/>
      </w:pPr>
      <w:r>
        <w:rPr>
          <w:rFonts w:eastAsia="Calibri" w:cs="Calibri"/>
          <w:b w:val="false"/>
          <w:bCs w:val="false"/>
          <w:i w:val="false"/>
          <w:iCs w:val="false"/>
          <w:color w:val="1A1A1A"/>
          <w:sz w:val="20"/>
          <w:szCs w:val="20"/>
        </w:rPr>
        <w:t>This is why online and social-media offers to ‘give you referrals’ deserve real caution. Some lead-generation and referral services are lawful, but many are not — and regulators have specifically flagged paying a platform for preferential access to hospital discharge referrals as a likely violation. If someone is charging you per client, per admission, or for a ‘pipeline’ of federally funded patients, treat it as a red flag until a healthcare attorney tells you otherwise. And know that some states go further than federal law and prohibit paying for any patient referral at all — even private-pay — so ‘but they’re private-pay’ is not a safe assumption.</w:t>
      </w:r>
    </w:p>
    <w:p>
      <w:pPr>
        <w:pStyle w:val="Normal"/>
        <w:keepNext w:val="true"/>
        <w:spacing w:before="140" w:after="60"/>
        <w:rPr/>
      </w:pPr>
      <w:r>
        <w:rPr>
          <w:rFonts w:eastAsia="Calibri" w:cs="Calibri"/>
          <w:b/>
          <w:bCs/>
          <w:i w:val="false"/>
          <w:iCs w:val="false"/>
          <w:color w:val="3E5871"/>
          <w:sz w:val="21"/>
          <w:szCs w:val="21"/>
        </w:rPr>
        <w:t>What you can do</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Market legitimately: </w:t>
      </w:r>
      <w:r>
        <w:rPr>
          <w:rFonts w:eastAsia="Calibri" w:cs="Calibri"/>
          <w:b w:val="false"/>
          <w:bCs w:val="false"/>
          <w:i w:val="false"/>
          <w:iCs w:val="false"/>
          <w:color w:val="1A1A1A"/>
          <w:sz w:val="20"/>
          <w:szCs w:val="20"/>
        </w:rPr>
        <w:t>a website, online listings, Google ads, brochures, and events are all fine.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Employ a marketer or business-development person on a real salary: </w:t>
      </w:r>
      <w:r>
        <w:rPr>
          <w:rFonts w:eastAsia="Calibri" w:cs="Calibri"/>
          <w:b w:val="false"/>
          <w:bCs w:val="false"/>
          <w:i w:val="false"/>
          <w:iCs w:val="false"/>
          <w:color w:val="1A1A1A"/>
          <w:sz w:val="20"/>
          <w:szCs w:val="20"/>
        </w:rPr>
        <w:t>a genuine employee doing genuine work is generally fine — just don’t tie their pay to the volume of federally funded referrals in a way that looks like a per-head bounty.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Educate and build relationships: </w:t>
      </w:r>
      <w:r>
        <w:rPr>
          <w:rFonts w:eastAsia="Calibri" w:cs="Calibri"/>
          <w:b w:val="false"/>
          <w:bCs w:val="false"/>
          <w:i w:val="false"/>
          <w:iCs w:val="false"/>
          <w:color w:val="1A1A1A"/>
          <w:sz w:val="20"/>
          <w:szCs w:val="20"/>
        </w:rPr>
        <w:t>lunch-and-learns, being a genuine resource, and sharing outcomes — value delivered through service and information, not payments to the source.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 fair-market value for actual, documented services (not referrals): </w:t>
      </w:r>
      <w:r>
        <w:rPr>
          <w:rFonts w:eastAsia="Calibri" w:cs="Calibri"/>
          <w:b w:val="false"/>
          <w:bCs w:val="false"/>
          <w:i w:val="false"/>
          <w:iCs w:val="false"/>
          <w:color w:val="1A1A1A"/>
          <w:sz w:val="20"/>
          <w:szCs w:val="20"/>
        </w:rPr>
        <w:t>under a written agreement — and have an attorney confirm it fits a recognized safe harbor.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Thank referrers appropriately: </w:t>
      </w:r>
      <w:r>
        <w:rPr>
          <w:rFonts w:eastAsia="Calibri" w:cs="Calibri"/>
          <w:b w:val="false"/>
          <w:bCs w:val="false"/>
          <w:i w:val="false"/>
          <w:iCs w:val="false"/>
          <w:color w:val="1A1A1A"/>
          <w:sz w:val="20"/>
          <w:szCs w:val="20"/>
        </w:rPr>
        <w:t>a phone call or a handwritten note — gratitude, not a fee.</w:t>
      </w:r>
    </w:p>
    <w:p>
      <w:pPr>
        <w:pStyle w:val="Normal"/>
        <w:spacing w:lineRule="exact" w:line="268" w:before="0" w:after="110"/>
        <w:jc w:val="start"/>
        <w:rPr/>
      </w:pPr>
      <w:r>
        <w:rPr>
          <w:rFonts w:eastAsia="Calibri" w:cs="Calibri"/>
          <w:b w:val="false"/>
          <w:bCs w:val="false"/>
          <w:i w:val="false"/>
          <w:iCs w:val="false"/>
          <w:color w:val="1A1A1A"/>
          <w:sz w:val="20"/>
          <w:szCs w:val="20"/>
        </w:rPr>
        <w:t>Take this seriously: home care and personal-care agencies are named high-risk service lines in current federal fraud enforcement, and penalties for kickbacks include criminal charges, heavy fines, and being barred from Medicare and Medi-Cal — which would end the business. None of this is legal advice, and the safe harbors are technical, so before you sign any arrangement that involves paying anyone in connection with getting clients, have a healthcare attorney review it. The good news: the official pathways above — discharge lists, payer contracts, waiver enrollment, and earned relationships — are exactly how the best agencies grow, and they are completely legal.</w:t>
      </w:r>
    </w:p>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won’t win referrals by talking about yourself — you win them by solving the referrer’s problem. Each source has a different worry. Speak to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Discharge planners want: </w:t>
      </w:r>
      <w:r>
        <w:rPr>
          <w:rFonts w:eastAsia="Calibri" w:cs="Calibri"/>
          <w:b w:val="false"/>
          <w:bCs w:val="false"/>
          <w:i w:val="false"/>
          <w:iCs w:val="false"/>
          <w:color w:val="1A1A1A"/>
          <w:sz w:val="20"/>
          <w:szCs w:val="20"/>
        </w:rPr>
        <w:t>speed and reliability. They need a provider who answers the phone, accepts the referral quickly, starts on time, and doesn’t send the patient back to the hospital. Make their discharge easy and safe and you’ll be their go-to.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Care managers want: </w:t>
      </w:r>
      <w:r>
        <w:rPr>
          <w:rFonts w:eastAsia="Calibri" w:cs="Calibri"/>
          <w:b w:val="false"/>
          <w:bCs w:val="false"/>
          <w:i w:val="false"/>
          <w:iCs w:val="false"/>
          <w:color w:val="1A1A1A"/>
          <w:sz w:val="20"/>
          <w:szCs w:val="20"/>
        </w:rPr>
        <w:t>communication and partnership. They’ve staked their reputation on you; they want updates, quick responses, and no surprises.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Physicians’ offices want: </w:t>
      </w:r>
      <w:r>
        <w:rPr>
          <w:rFonts w:eastAsia="Calibri" w:cs="Calibri"/>
          <w:b w:val="false"/>
          <w:bCs w:val="false"/>
          <w:i w:val="false"/>
          <w:iCs w:val="false"/>
          <w:color w:val="1A1A1A"/>
          <w:sz w:val="20"/>
          <w:szCs w:val="20"/>
        </w:rPr>
        <w:t>to know their patient is safe and that you’ll flag problems. Low-hassle, trustworthy, and communicative wins.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Senior-living &amp; facility directors want: </w:t>
      </w:r>
      <w:r>
        <w:rPr>
          <w:rFonts w:eastAsia="Calibri" w:cs="Calibri"/>
          <w:b w:val="false"/>
          <w:bCs w:val="false"/>
          <w:i w:val="false"/>
          <w:iCs w:val="false"/>
          <w:color w:val="1A1A1A"/>
          <w:sz w:val="20"/>
          <w:szCs w:val="20"/>
        </w:rPr>
        <w:t>a partner who makes them look good to their residents and refers back appropriately.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Attorneys &amp; financial advisors want: </w:t>
      </w:r>
      <w:r>
        <w:rPr>
          <w:rFonts w:eastAsia="Calibri" w:cs="Calibri"/>
          <w:b w:val="false"/>
          <w:bCs w:val="false"/>
          <w:i w:val="false"/>
          <w:iCs w:val="false"/>
          <w:color w:val="1A1A1A"/>
          <w:sz w:val="20"/>
          <w:szCs w:val="20"/>
        </w:rPr>
        <w:t>a provider they can recommend without risk to their own reputation — professional, ethical, and dependable.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Families want: </w:t>
      </w:r>
      <w:r>
        <w:rPr>
          <w:rFonts w:eastAsia="Calibri" w:cs="Calibri"/>
          <w:b w:val="false"/>
          <w:bCs w:val="false"/>
          <w:i w:val="false"/>
          <w:iCs w:val="false"/>
          <w:color w:val="1A1A1A"/>
          <w:sz w:val="20"/>
          <w:szCs w:val="20"/>
        </w:rPr>
        <w:t>trust, warmth, and competence — the feeling that their loved one is safe and cared for.</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reframe that wins referrals</w:t>
            </w:r>
          </w:p>
          <w:p>
            <w:pPr>
              <w:pStyle w:val="Normal"/>
              <w:spacing w:lineRule="exact" w:line="264" w:before="0" w:after="0"/>
              <w:rPr/>
            </w:pPr>
            <w:r>
              <w:rPr>
                <w:rFonts w:eastAsia="Calibri" w:cs="Calibri"/>
                <w:b w:val="false"/>
                <w:bCs w:val="false"/>
                <w:i w:val="false"/>
                <w:iCs w:val="false"/>
                <w:color w:val="1A1A1A"/>
                <w:sz w:val="19"/>
                <w:szCs w:val="19"/>
              </w:rPr>
              <w:t>Every referrer is really asking one silent question: “Will this provider make me look good or make me look bad?” Everything you do — responsiveness, communication, reliability — answers that question. Be the provider who always makes the referrer look good, and the referrals never stop.</w:t>
            </w:r>
          </w:p>
        </w:tc>
      </w:tr>
    </w:tbl>
    <w:p>
      <w:pPr>
        <w:pStyle w:val="Normal"/>
        <w:spacing w:lineRule="exact" w:line="268" w:before="0" w:after="110"/>
        <w:jc w:val="start"/>
        <w:rPr/>
      </w:pPr>
      <w:r>
        <w:rPr>
          <w:rFonts w:eastAsia="Calibri" w:cs="Calibri"/>
          <w:b w:val="false"/>
          <w:bCs w:val="false"/>
          <w:i w:val="false"/>
          <w:iCs w:val="false"/>
          <w:color w:val="1A1A1A"/>
          <w:sz w:val="20"/>
          <w:szCs w:val="20"/>
        </w:rPr>
        <w:t>It helps to understand the pressures your referrers are under. Hospital discharge planners are measured on how fast they discharge and on whether patients come back — a readmission is a black mark, so a provider who keeps clients safe and out of the hospital is gold to them. Care managers juggle heavy caseloads and can’t chase providers for updates, so one who communicates proactively saves them time and worry. Facility directors answer to families and owners and can’t afford a partner who embarrasses them. When you show a referrer that you understand their pressure and take it off their shoulders, you stop being a vendor and become an ally — and allies get the referrals.</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Referral relationships are built like any professional relationship: with research, a genuine first contact, a real conversation, and consistent follow-up. Here is the approach that works.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val="false"/>
          <w:bCs w:val="false"/>
          <w:i w:val="false"/>
          <w:iCs w:val="false"/>
          <w:color w:val="1A1A1A"/>
          <w:sz w:val="20"/>
          <w:szCs w:val="20"/>
        </w:rPr>
        <w:t>Research first. Know the organization, what clients they serve, and the name of the right person (the case manager, the director, the office manager) before you reach out.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val="false"/>
          <w:bCs w:val="false"/>
          <w:i w:val="false"/>
          <w:iCs w:val="false"/>
          <w:color w:val="1A1A1A"/>
          <w:sz w:val="20"/>
          <w:szCs w:val="20"/>
        </w:rPr>
        <w:t>Make a warm, specific first contact. Introduce yourself and your business in one or two sentences focused on how you help their clients — not a sales pitch. Ask for a brief meeting or a chance to drop off information.</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val="false"/>
          <w:bCs w:val="false"/>
          <w:i w:val="false"/>
          <w:iCs w:val="false"/>
          <w:color w:val="1A1A1A"/>
          <w:sz w:val="20"/>
          <w:szCs w:val="20"/>
        </w:rPr>
        <w:t>Show up prepared. Bring a simple one-page leave-behind (who you are, who you serve, what makes you reliable, how to refer, your contact info). Be brief and respectful of their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val="false"/>
          <w:bCs w:val="false"/>
          <w:i w:val="false"/>
          <w:iCs w:val="false"/>
          <w:color w:val="1A1A1A"/>
          <w:sz w:val="20"/>
          <w:szCs w:val="20"/>
        </w:rPr>
        <w:t>Listen more than you talk. Ask what they need from a provider and what frustrates them about the ones they use. Their answer is your playbook.</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val="false"/>
          <w:bCs w:val="false"/>
          <w:i w:val="false"/>
          <w:iCs w:val="false"/>
          <w:color w:val="1A1A1A"/>
          <w:sz w:val="20"/>
          <w:szCs w:val="20"/>
        </w:rPr>
        <w:t>Make referring easy. Give them a simple way to send a client — a direct phone number, a referral form, an email — and tell them exactly what happens when they do.</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val="false"/>
          <w:bCs w:val="false"/>
          <w:i w:val="false"/>
          <w:iCs w:val="false"/>
          <w:color w:val="1A1A1A"/>
          <w:sz w:val="20"/>
          <w:szCs w:val="20"/>
        </w:rPr>
        <w:t>Follow up consistently. One visit rarely creates a referral relationship. Check in on a regular cadence (Part 9), share a success (respecting privacy), and stay top of mind without being a pest.</w:t>
      </w:r>
    </w:p>
    <w:p>
      <w:pPr>
        <w:pStyle w:val="Normal"/>
        <w:keepNext w:val="true"/>
        <w:spacing w:before="140" w:after="60"/>
        <w:rPr/>
      </w:pPr>
      <w:r>
        <w:rPr>
          <w:rFonts w:eastAsia="Calibri" w:cs="Calibri"/>
          <w:b/>
          <w:bCs/>
          <w:i w:val="false"/>
          <w:iCs w:val="false"/>
          <w:color w:val="3E5871"/>
          <w:sz w:val="21"/>
          <w:szCs w:val="21"/>
        </w:rPr>
        <w:t>The first-meeting mindset</w:t>
      </w:r>
    </w:p>
    <w:p>
      <w:pPr>
        <w:pStyle w:val="Normal"/>
        <w:spacing w:lineRule="exact" w:line="268" w:before="0" w:after="110"/>
        <w:jc w:val="start"/>
        <w:rPr/>
      </w:pPr>
      <w:r>
        <w:rPr>
          <w:rFonts w:eastAsia="Calibri" w:cs="Calibri"/>
          <w:b w:val="false"/>
          <w:bCs w:val="false"/>
          <w:i w:val="false"/>
          <w:iCs w:val="false"/>
          <w:color w:val="1A1A1A"/>
          <w:sz w:val="20"/>
          <w:szCs w:val="20"/>
        </w:rPr>
        <w:t>Go in to help, not to sell. The professionals you’re meeting are protective of their clients and their own reputation, and they can smell a pushy salesperson instantly. Be warm, brief, knowledgeable, and genuinely useful — even offer to be a resource before you’ve gotten a single referral. Relationships, not transactions, are what you’re building.</w:t>
      </w:r>
    </w:p>
    <w:p>
      <w:pPr>
        <w:pStyle w:val="Normal"/>
        <w:keepNext w:val="true"/>
        <w:spacing w:before="140" w:after="60"/>
        <w:rPr/>
      </w:pPr>
      <w:r>
        <w:rPr>
          <w:rFonts w:eastAsia="Calibri" w:cs="Calibri"/>
          <w:b/>
          <w:bCs/>
          <w:i w:val="false"/>
          <w:iCs w:val="false"/>
          <w:color w:val="3E5871"/>
          <w:sz w:val="21"/>
          <w:szCs w:val="21"/>
        </w:rPr>
        <w:t>Getting past the gatekeeper</w:t>
      </w:r>
    </w:p>
    <w:p>
      <w:pPr>
        <w:pStyle w:val="Normal"/>
        <w:spacing w:lineRule="exact" w:line="268" w:before="0" w:after="110"/>
        <w:jc w:val="start"/>
        <w:rPr/>
      </w:pPr>
      <w:r>
        <w:rPr>
          <w:rFonts w:eastAsia="Calibri" w:cs="Calibri"/>
          <w:b w:val="false"/>
          <w:bCs w:val="false"/>
          <w:i w:val="false"/>
          <w:iCs w:val="false"/>
          <w:color w:val="1A1A1A"/>
          <w:sz w:val="20"/>
          <w:szCs w:val="20"/>
        </w:rPr>
        <w:t>You often can’t reach the decision-maker directly, and that’s fine — the gatekeeper (the front desk, the office manager, the admissions coordinator) is often the real relationship. Treat them with genuine respect and warmth, learn their name, make their day a little easier, and they will open doors for you. Ask them who handles referrals or discharges, the best way to get information to that person, and how they prefer providers to reach out. A gatekeeper who likes you is worth more than a dozen cold calls to someone who doesn’t know you.</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spacing w:lineRule="exact" w:line="268" w:before="0" w:after="110"/>
        <w:jc w:val="start"/>
        <w:rPr/>
      </w:pPr>
      <w:r>
        <w:rPr>
          <w:rFonts w:eastAsia="Calibri" w:cs="Calibri"/>
          <w:b w:val="false"/>
          <w:bCs w:val="false"/>
          <w:i w:val="false"/>
          <w:iCs w:val="false"/>
          <w:color w:val="1A1A1A"/>
          <w:sz w:val="20"/>
          <w:szCs w:val="20"/>
        </w:rPr>
        <w:t>You don’t need to be slick — you need to be clear, warm, and brief. Adapt these to your business and your voice.</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I’m [name] with [agency]. We provide [what you do] for [who you serve] in [area]. I work with discharge planners and care managers to make sure their clients get [the outcome you deliver — safe, reliable care at home / a smooth transition]. I’d love to learn what you look for in a provider so we can be a good resource for you.”</w:t>
      </w:r>
    </w:p>
    <w:p>
      <w:pPr>
        <w:pStyle w:val="Normal"/>
        <w:keepNext w:val="true"/>
        <w:spacing w:before="140" w:after="60"/>
        <w:rPr/>
      </w:pPr>
      <w:r>
        <w:rPr>
          <w:rFonts w:eastAsia="Calibri" w:cs="Calibri"/>
          <w:b/>
          <w:bCs/>
          <w:i w:val="false"/>
          <w:iCs w:val="false"/>
          <w:color w:val="3E5871"/>
          <w:sz w:val="21"/>
          <w:szCs w:val="21"/>
        </w:rPr>
        <w:t>Voicemail</w:t>
      </w:r>
    </w:p>
    <w:p>
      <w:pPr>
        <w:pStyle w:val="Normal"/>
        <w:spacing w:lineRule="exact" w:line="268" w:before="0" w:after="11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[name], this is [name] with [agency] — we provide [service] for [population] in [area]. I’m reaching out to introduce us as a resource for your clients. My direct line is [number]; I’d welcome a quick conversation whenever it’s convenient. Thank you.”</w:t>
      </w:r>
    </w:p>
    <w:p>
      <w:pPr>
        <w:pStyle w:val="Normal"/>
        <w:keepNext w:val="true"/>
        <w:spacing w:before="140" w:after="60"/>
        <w:rPr/>
      </w:pPr>
      <w:r>
        <w:rPr>
          <w:rFonts w:eastAsia="Calibri" w:cs="Calibri"/>
          <w:b/>
          <w:bCs/>
          <w:i w:val="false"/>
          <w:iCs w:val="false"/>
          <w:color w:val="3E5871"/>
          <w:sz w:val="21"/>
          <w:szCs w:val="21"/>
        </w:rPr>
        <w:t>Introductory email</w:t>
      </w:r>
    </w:p>
    <w:p>
      <w:pPr>
        <w:pStyle w:val="Normal"/>
        <w:spacing w:lineRule="exact" w:line="268" w:before="0" w:after="110"/>
        <w:jc w:val="start"/>
        <w:rPr/>
      </w:pPr>
      <w:r>
        <w:rPr>
          <w:rFonts w:eastAsia="Calibri" w:cs="Calibri"/>
          <w:b/>
          <w:bCs/>
          <w:i/>
          <w:iCs/>
          <w:color w:val="1A1A1A"/>
          <w:sz w:val="20"/>
          <w:szCs w:val="20"/>
        </w:rPr>
        <w:t>Subject: A reliable [service] resource for your clients in [area]</w:t>
      </w:r>
    </w:p>
    <w:p>
      <w:pPr>
        <w:pStyle w:val="Normal"/>
        <w:spacing w:lineRule="exact" w:line="268" w:before="0" w:after="11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[name], I’m [name] with [agency]. We help [population] with [service], and we work closely with [discharge planners / care managers / physicians] to make sure clients get [outcome]. I’d love a few minutes to introduce us and learn what you look for in a provider. Could I stop by or set up a brief call? A one-page overview is attached. Thank you — [name], [phone], [email].”</w:t>
      </w:r>
    </w:p>
    <w:p>
      <w:pPr>
        <w:pStyle w:val="Normal"/>
        <w:keepNext w:val="true"/>
        <w:spacing w:before="140" w:after="60"/>
        <w:rPr/>
      </w:pPr>
      <w:r>
        <w:rPr>
          <w:rFonts w:eastAsia="Calibri" w:cs="Calibri"/>
          <w:b/>
          <w:bCs/>
          <w:i w:val="false"/>
          <w:iCs w:val="false"/>
          <w:color w:val="3E5871"/>
          <w:sz w:val="21"/>
          <w:szCs w:val="21"/>
        </w:rPr>
        <w:t>What makes you different (have this ready)</w:t>
      </w:r>
    </w:p>
    <w:p>
      <w:pPr>
        <w:pStyle w:val="Normal"/>
        <w:spacing w:lineRule="exact" w:line="268" w:before="0" w:after="110"/>
        <w:jc w:val="start"/>
        <w:rPr/>
      </w:pPr>
      <w:r>
        <w:rPr>
          <w:rFonts w:eastAsia="Calibri" w:cs="Calibri"/>
          <w:b w:val="false"/>
          <w:bCs w:val="false"/>
          <w:i w:val="false"/>
          <w:iCs w:val="false"/>
          <w:color w:val="1A1A1A"/>
          <w:sz w:val="20"/>
          <w:szCs w:val="20"/>
        </w:rPr>
        <w:t>Referrers will ask, directly or silently, ‘why you?’ Have a specific, honest answer — not ‘we care about our clients’ (everyone says that). Better: ‘We answer every referral within [X] hours and start within [Y].’ ‘Our caregivers are trained in [specialty].’ ‘We send you an update after every start.’ Specific, reliable, and about them.</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Give every source something simple to keep and to hand to a client. One page, uncluttered, with: who you are and who you serve; your service area; three specific things that make you reliable (not fluffy claims); exactly how to refer (a direct phone number and a simple form or email); and what happens after they refer (‘we respond within [X] hours and keep you informed’). Put a real person’s name and direct line on it. Skip the stock photos and marketing speak — professionals want clarity and a name they can call, not a brochure. This one page, left in the right hands, does quiet work long after your visit.</w:t>
      </w:r>
    </w:p>
    <w:p>
      <w:pPr>
        <w:pStyle w:val="Normal"/>
        <w:keepNext w:val="true"/>
        <w:spacing w:before="140" w:after="60"/>
        <w:rPr/>
      </w:pPr>
      <w:r>
        <w:rPr>
          <w:rFonts w:eastAsia="Calibri" w:cs="Calibri"/>
          <w:b/>
          <w:bCs/>
          <w:i w:val="false"/>
          <w:iCs w:val="false"/>
          <w:color w:val="3E5871"/>
          <w:sz w:val="21"/>
          <w:szCs w:val="21"/>
        </w:rPr>
        <w:t>Asking a happy family for a referral or review</w:t>
      </w:r>
    </w:p>
    <w:p>
      <w:pPr>
        <w:pStyle w:val="Normal"/>
        <w:spacing w:lineRule="exact" w:line="268" w:before="0" w:after="11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It’s meant so much to care for [name]. If you know another family who could use support like this, we’d be honored to help — and if you have a moment, a short review online helps other families find us.”</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a first referral is the beginning. The goal is to become the provider a source refers to by default — their ‘preferred’ provider. That is earned by how you perform after the referral, not by how good your pitch was. What earns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Responsiveness: </w:t>
      </w:r>
      <w:r>
        <w:rPr>
          <w:rFonts w:eastAsia="Calibri" w:cs="Calibri"/>
          <w:b w:val="false"/>
          <w:bCs w:val="false"/>
          <w:i w:val="false"/>
          <w:iCs w:val="false"/>
          <w:color w:val="1A1A1A"/>
          <w:sz w:val="20"/>
          <w:szCs w:val="20"/>
        </w:rPr>
        <w:t>answer referrals fast — same day, ideally within hours. Slow response is the number-one reason sources stop referring.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Reliability: </w:t>
      </w:r>
      <w:r>
        <w:rPr>
          <w:rFonts w:eastAsia="Calibri" w:cs="Calibri"/>
          <w:b w:val="false"/>
          <w:bCs w:val="false"/>
          <w:i w:val="false"/>
          <w:iCs w:val="false"/>
          <w:color w:val="1A1A1A"/>
          <w:sz w:val="20"/>
          <w:szCs w:val="20"/>
        </w:rPr>
        <w:t>do what you said, when you said. Start on time, show up, and don’t drop the ball. One dropped ball can cost a relationship.</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Communication loop: </w:t>
      </w:r>
      <w:r>
        <w:rPr>
          <w:rFonts w:eastAsia="Calibri" w:cs="Calibri"/>
          <w:b w:val="false"/>
          <w:bCs w:val="false"/>
          <w:i w:val="false"/>
          <w:iCs w:val="false"/>
          <w:color w:val="1A1A1A"/>
          <w:sz w:val="20"/>
          <w:szCs w:val="20"/>
        </w:rPr>
        <w:t>close the loop — tell the referrer you accepted, that you started, and how it’s going (within privacy rules). Referrers love providers who keep them informed.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Good outcomes: </w:t>
      </w:r>
      <w:r>
        <w:rPr>
          <w:rFonts w:eastAsia="Calibri" w:cs="Calibri"/>
          <w:b w:val="false"/>
          <w:bCs w:val="false"/>
          <w:i w:val="false"/>
          <w:iCs w:val="false"/>
          <w:color w:val="1A1A1A"/>
          <w:sz w:val="20"/>
          <w:szCs w:val="20"/>
        </w:rPr>
        <w:t>keep clients safe and satisfied, prevent hospital readmissions, and make the referrer look good.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easy to work with: </w:t>
      </w:r>
      <w:r>
        <w:rPr>
          <w:rFonts w:eastAsia="Calibri" w:cs="Calibri"/>
          <w:b w:val="false"/>
          <w:bCs w:val="false"/>
          <w:i w:val="false"/>
          <w:iCs w:val="false"/>
          <w:color w:val="1A1A1A"/>
          <w:sz w:val="20"/>
          <w:szCs w:val="20"/>
        </w:rPr>
        <w:t>simple referral process, no drama, gracious even when you can’t take a case (and refer it on when you can’t).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Gratitude: </w:t>
      </w:r>
      <w:r>
        <w:rPr>
          <w:rFonts w:eastAsia="Calibri" w:cs="Calibri"/>
          <w:b w:val="false"/>
          <w:bCs w:val="false"/>
          <w:i w:val="false"/>
          <w:iCs w:val="false"/>
          <w:color w:val="1A1A1A"/>
          <w:sz w:val="20"/>
          <w:szCs w:val="20"/>
        </w:rPr>
        <w:t>thank referrers sincerely — a call, a note. (Keep it appropriate and lawful; see Part 11 — never pay for referrals of federally funded clients.)</w:t>
      </w:r>
    </w:p>
    <w:p>
      <w:pPr>
        <w:pStyle w:val="Normal"/>
        <w:keepNext w:val="true"/>
        <w:spacing w:before="140" w:after="60"/>
        <w:rPr/>
      </w:pPr>
      <w:r>
        <w:rPr>
          <w:rFonts w:eastAsia="Calibri" w:cs="Calibri"/>
          <w:b/>
          <w:bCs/>
          <w:i w:val="false"/>
          <w:iCs w:val="false"/>
          <w:color w:val="3E5871"/>
          <w:sz w:val="21"/>
          <w:szCs w:val="21"/>
        </w:rPr>
        <w:t>The communication loop that sets you apart</w:t>
      </w:r>
    </w:p>
    <w:p>
      <w:pPr>
        <w:pStyle w:val="Normal"/>
        <w:spacing w:lineRule="exact" w:line="268" w:before="0" w:after="110"/>
        <w:jc w:val="start"/>
        <w:rPr/>
      </w:pPr>
      <w:r>
        <w:rPr>
          <w:rFonts w:eastAsia="Calibri" w:cs="Calibri"/>
          <w:b w:val="false"/>
          <w:bCs w:val="false"/>
          <w:i w:val="false"/>
          <w:iCs w:val="false"/>
          <w:color w:val="1A1A1A"/>
          <w:sz w:val="20"/>
          <w:szCs w:val="20"/>
        </w:rPr>
        <w:t>Most providers go silent after they get a referral, which leaves the referrer wondering what happened to their client and their reputation. Do the opposite. Close the loop at three moments: when you receive the referral (‘Got it, thank you — we’re on it’), when you start (‘We started today; here’s who’s on the case’), and periodically after (‘Just so you know, things are going well’ — within privacy rules). This simple habit costs you minutes and makes you unforgettable, because it answers the referrer’s silent worry before they have to ask. Providers who close the loop become the preferred provider; providers who go silent get replaced.</w:t>
      </w:r>
    </w:p>
    <w:p>
      <w:pPr>
        <w:pStyle w:val="Normal"/>
        <w:spacing w:lineRule="exact" w:line="268" w:before="0" w:after="110"/>
        <w:jc w:val="start"/>
        <w:rPr/>
      </w:pPr>
      <w:r>
        <w:rPr>
          <w:rFonts w:eastAsia="Calibri" w:cs="Calibri"/>
          <w:b w:val="false"/>
          <w:bCs w:val="false"/>
          <w:i w:val="false"/>
          <w:iCs w:val="false"/>
          <w:color w:val="1A1A1A"/>
          <w:sz w:val="20"/>
          <w:szCs w:val="20"/>
        </w:rPr>
        <w:t>Preferred-provider status compounds in a way that’s worth understanding. The first referral is a test. If you pass — responsive, reliable, communicative — the second comes faster, and the third faster still, until the source stops thinking about who to refer to and simply thinks of you. At that point you’ve moved from ‘a provider they’ve used’ to ‘their provider,’ and a single such relationship can anchor your census. That is the whole game: turn a first referral into a default choice by never giving them a reason to look elsewhere.</w:t>
      </w:r>
    </w:p>
    <w:p>
      <w:pPr>
        <w:pStyle w:val="Normal"/>
        <w:keepNext w:val="true"/>
        <w:spacing w:before="220" w:after="90"/>
        <w:rPr/>
      </w:pPr>
      <w:r>
        <w:rPr>
          <w:rFonts w:eastAsia="Calibri" w:cs="Calibri"/>
          <w:b/>
          <w:bCs/>
          <w:i w:val="false"/>
          <w:iCs w:val="false"/>
          <w:color w:val="1F3A5F"/>
          <w:sz w:val="26"/>
          <w:szCs w:val="26"/>
        </w:rPr>
        <w:t>Part 8 — Get Found: Your Online Presence</w:t>
      </w:r>
    </w:p>
    <w:p>
      <w:pPr>
        <w:pStyle w:val="Normal"/>
        <w:spacing w:lineRule="exact" w:line="268" w:before="0" w:after="110"/>
        <w:jc w:val="start"/>
        <w:rPr/>
      </w:pPr>
      <w:r>
        <w:rPr>
          <w:rFonts w:eastAsia="Calibri" w:cs="Calibri"/>
          <w:b w:val="false"/>
          <w:bCs w:val="false"/>
          <w:i w:val="false"/>
          <w:iCs w:val="false"/>
          <w:color w:val="1A1A1A"/>
          <w:sz w:val="20"/>
          <w:szCs w:val="20"/>
        </w:rPr>
        <w:t>Even referred clients check you out online before they call, and some clients find you there directly. You don’t need a big marketing budget — you need to be findable and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Google Business Profile: </w:t>
      </w:r>
      <w:r>
        <w:rPr>
          <w:rFonts w:eastAsia="Calibri" w:cs="Calibri"/>
          <w:b w:val="false"/>
          <w:bCs w:val="false"/>
          <w:i w:val="false"/>
          <w:iCs w:val="false"/>
          <w:color w:val="1A1A1A"/>
          <w:sz w:val="20"/>
          <w:szCs w:val="20"/>
        </w:rPr>
        <w:t>claim and complete it — this is how you show up in local ‘[service] near me’ searches and on the map. Keep hours, phone, and service area current.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Reviews: </w:t>
      </w:r>
      <w:r>
        <w:rPr>
          <w:rFonts w:eastAsia="Calibri" w:cs="Calibri"/>
          <w:b w:val="false"/>
          <w:bCs w:val="false"/>
          <w:i w:val="false"/>
          <w:iCs w:val="false"/>
          <w:color w:val="1A1A1A"/>
          <w:sz w:val="20"/>
          <w:szCs w:val="20"/>
        </w:rPr>
        <w:t>ask satisfied families for Google reviews — they’re the modern word of mouth, and referrers check them too. Respond to every review graciously.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 clear, honest website: </w:t>
      </w:r>
      <w:r>
        <w:rPr>
          <w:rFonts w:eastAsia="Calibri" w:cs="Calibri"/>
          <w:b w:val="false"/>
          <w:bCs w:val="false"/>
          <w:i w:val="false"/>
          <w:iCs w:val="false"/>
          <w:color w:val="1A1A1A"/>
          <w:sz w:val="20"/>
          <w:szCs w:val="20"/>
        </w:rPr>
        <w:t>who you serve, what you do, your service area, and how to reach you — with a phone number that’s answered. It doesn’t need to be fancy; it needs to be clear and trustworthy.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Directories &amp; listings: </w:t>
      </w:r>
      <w:r>
        <w:rPr>
          <w:rFonts w:eastAsia="Calibri" w:cs="Calibri"/>
          <w:b w:val="false"/>
          <w:bCs w:val="false"/>
          <w:i w:val="false"/>
          <w:iCs w:val="false"/>
          <w:color w:val="1A1A1A"/>
          <w:sz w:val="20"/>
          <w:szCs w:val="20"/>
        </w:rPr>
        <w:t>list on the aging-network and referral directories your sources use (Area Agency on Aging lists, senior-referral sites, payer provider directories).</w:t>
      </w:r>
    </w:p>
    <w:p>
      <w:pPr>
        <w:pStyle w:val="Normal"/>
        <w:spacing w:lineRule="exact" w:line="268" w:before="0" w:after="110"/>
        <w:jc w:val="start"/>
        <w:rPr/>
      </w:pPr>
      <w:r>
        <w:rPr>
          <w:rFonts w:eastAsia="Calibri" w:cs="Calibri"/>
          <w:b w:val="false"/>
          <w:bCs w:val="false"/>
          <w:i w:val="false"/>
          <w:iCs w:val="false"/>
          <w:color w:val="1A1A1A"/>
          <w:sz w:val="20"/>
          <w:szCs w:val="20"/>
        </w:rPr>
        <w:t>Reviews deserve special attention, because they now do what word of mouth used to do — at scale. Families read them before they call, and referrers quietly check them too, because recommending a provider with poor reviews reflects on them. Build a gentle, consistent habit of asking satisfied families for a review at a natural moment (after a milestone, when they express gratitude), make it easy with a direct link, and respond to every review — grateful for the good ones, calm and constructive with the rare hard one. A steady trickle of genuine, recent reviews is one of the highest-return, lowest-cost things you can do, and it reinforces every referral relationship you build.</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 development fails when it’s a burst of activity that fizzles. It works when it’s a habit. Build a simple weekly rhythm and use the companion Tracker to run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Pick your Target 25. </w:t>
      </w:r>
      <w:r>
        <w:rPr>
          <w:rFonts w:eastAsia="Calibri" w:cs="Calibri"/>
          <w:b w:val="false"/>
          <w:bCs w:val="false"/>
          <w:i w:val="false"/>
          <w:iCs w:val="false"/>
          <w:color w:val="1A1A1A"/>
          <w:sz w:val="20"/>
          <w:szCs w:val="20"/>
        </w:rPr>
        <w:t>From your source list, choose the 25 highest-value sources to focus on. Depth beats breadth — 25 real relationships outperform 200 business cards.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Set a weekly outreach goal. </w:t>
      </w:r>
      <w:r>
        <w:rPr>
          <w:rFonts w:eastAsia="Calibri" w:cs="Calibri"/>
          <w:b w:val="false"/>
          <w:bCs w:val="false"/>
          <w:i w:val="false"/>
          <w:iCs w:val="false"/>
          <w:color w:val="1A1A1A"/>
          <w:sz w:val="20"/>
          <w:szCs w:val="20"/>
        </w:rPr>
        <w:t>For example: 5 new contacts and 5 follow-ups a week. Small and consistent wins.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Log every touch. </w:t>
      </w:r>
      <w:r>
        <w:rPr>
          <w:rFonts w:eastAsia="Calibri" w:cs="Calibri"/>
          <w:b w:val="false"/>
          <w:bCs w:val="false"/>
          <w:i w:val="false"/>
          <w:iCs w:val="false"/>
          <w:color w:val="1A1A1A"/>
          <w:sz w:val="20"/>
          <w:szCs w:val="20"/>
        </w:rPr>
        <w:t>Who you contacted, when, what happened, and the next step — in the Tracker. A relationship with no next step goes cold.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Nurture on a cadence. </w:t>
      </w:r>
      <w:r>
        <w:rPr>
          <w:rFonts w:eastAsia="Calibri" w:cs="Calibri"/>
          <w:b w:val="false"/>
          <w:bCs w:val="false"/>
          <w:i w:val="false"/>
          <w:iCs w:val="false"/>
          <w:color w:val="1A1A1A"/>
          <w:sz w:val="20"/>
          <w:szCs w:val="20"/>
        </w:rPr>
        <w:t>Stay in front of your top sources regularly — a check-in, a helpful resource, a thank-you — without being a nuisance.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Block the time. </w:t>
      </w:r>
      <w:r>
        <w:rPr>
          <w:rFonts w:eastAsia="Calibri" w:cs="Calibri"/>
          <w:b w:val="false"/>
          <w:bCs w:val="false"/>
          <w:i w:val="false"/>
          <w:iCs w:val="false"/>
          <w:color w:val="1A1A1A"/>
          <w:sz w:val="20"/>
          <w:szCs w:val="20"/>
        </w:rPr>
        <w:t>Put referral outreach on your calendar like a client shift. If it’s not scheduled, it won’t happen when you get busy.</w:t>
      </w:r>
    </w:p>
    <w:p>
      <w:pPr>
        <w:pStyle w:val="Normal"/>
        <w:spacing w:lineRule="exact" w:line="268" w:before="0" w:after="110"/>
        <w:jc w:val="start"/>
        <w:rPr/>
      </w:pPr>
      <w:r>
        <w:rPr>
          <w:rFonts w:eastAsia="Calibri" w:cs="Calibri"/>
          <w:b w:val="false"/>
          <w:bCs w:val="false"/>
          <w:i w:val="false"/>
          <w:iCs w:val="false"/>
          <w:color w:val="1A1A1A"/>
          <w:sz w:val="20"/>
          <w:szCs w:val="20"/>
        </w:rPr>
        <w:t>One multiplier is worth building into every step: make it effortless to refer to you. A source will send a client to the provider who is easiest to use — the one whose number they have, whose intake takes two minutes, who answers on the first call, and who never makes them fill out a maze of forms. Audit your own referral process by pretending to be a busy discharge planner at 4:45 on a Friday: can they reach you, hand off the client, and move on in five minutes? If not, fix it. Being the easiest provider to refer to is a quiet, powerful advantage that compounds every single week.</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If you’re just starting, here is a concrete first-30-days plan: Week 1 — build your source list in the Tracker and pick your Target 25. Week 2 — prepare your one-page leave-behind and your scripts, and make your first five contacts. Week 3 — hold your first meetings, listen hard, and log every touch and next step. Week 4 — follow up with everyone, thank anyone who’s helped, and add five new sources to the top of your list. Then repeat, every week. In ninety days of this, you will have real relationships forming; in six months, a referral engine.</w:t>
      </w:r>
    </w:p>
    <w:p>
      <w:pPr>
        <w:pStyle w:val="Normal"/>
        <w:spacing w:lineRule="exact" w:line="268" w:before="0" w:after="110"/>
        <w:jc w:val="start"/>
        <w:rPr/>
      </w:pPr>
      <w:r>
        <w:rPr>
          <w:rFonts w:eastAsia="Calibri" w:cs="Calibri"/>
          <w:b w:val="false"/>
          <w:bCs w:val="false"/>
          <w:i w:val="false"/>
          <w:iCs w:val="false"/>
          <w:color w:val="1A1A1A"/>
          <w:sz w:val="20"/>
          <w:szCs w:val="20"/>
        </w:rPr>
        <w:t>Track where your clients actually come from, and let the data steer you. Ask every new client (and referrer) how they found you, and record it in the Tracker.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Track referrals by source. </w:t>
      </w:r>
      <w:r>
        <w:rPr>
          <w:rFonts w:eastAsia="Calibri" w:cs="Calibri"/>
          <w:b w:val="false"/>
          <w:bCs w:val="false"/>
          <w:i w:val="false"/>
          <w:iCs w:val="false"/>
          <w:color w:val="1A1A1A"/>
          <w:sz w:val="20"/>
          <w:szCs w:val="20"/>
        </w:rPr>
        <w:t>Which sources send clients, how many, and how often — so you know where your business really comes from.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Watch conversion. </w:t>
      </w:r>
      <w:r>
        <w:rPr>
          <w:rFonts w:eastAsia="Calibri" w:cs="Calibri"/>
          <w:b w:val="false"/>
          <w:bCs w:val="false"/>
          <w:i w:val="false"/>
          <w:iCs w:val="false"/>
          <w:color w:val="1A1A1A"/>
          <w:sz w:val="20"/>
          <w:szCs w:val="20"/>
        </w:rPr>
        <w:t>Referrals that turn into clients — a source that sends many that don’t fit is different from one that sends a few perfect ones.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Double down on producers. </w:t>
      </w:r>
      <w:r>
        <w:rPr>
          <w:rFonts w:eastAsia="Calibri" w:cs="Calibri"/>
          <w:b w:val="false"/>
          <w:bCs w:val="false"/>
          <w:i w:val="false"/>
          <w:iCs w:val="false"/>
          <w:color w:val="1A1A1A"/>
          <w:sz w:val="20"/>
          <w:szCs w:val="20"/>
        </w:rPr>
        <w:t>Give your best sources more time and gratitude; they’re your growth engine.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Diagnose the quiet ones. </w:t>
      </w:r>
      <w:r>
        <w:rPr>
          <w:rFonts w:eastAsia="Calibri" w:cs="Calibri"/>
          <w:b w:val="false"/>
          <w:bCs w:val="false"/>
          <w:i w:val="false"/>
          <w:iCs w:val="false"/>
          <w:color w:val="1A1A1A"/>
          <w:sz w:val="20"/>
          <w:szCs w:val="20"/>
        </w:rPr>
        <w:t>A source that stopped referring is a signal — reconnect and find out why.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Replace and expand. </w:t>
      </w:r>
      <w:r>
        <w:rPr>
          <w:rFonts w:eastAsia="Calibri" w:cs="Calibri"/>
          <w:b w:val="false"/>
          <w:bCs w:val="false"/>
          <w:i w:val="false"/>
          <w:iCs w:val="false"/>
          <w:color w:val="1A1A1A"/>
          <w:sz w:val="20"/>
          <w:szCs w:val="20"/>
        </w:rPr>
        <w:t>Keep adding new sources to the top of your list as relationships mature, so growth never stalls.</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Spending on ads before building relationships. </w:t>
      </w:r>
      <w:r>
        <w:rPr>
          <w:rFonts w:eastAsia="Calibri" w:cs="Calibri"/>
          <w:b w:val="false"/>
          <w:bCs w:val="false"/>
          <w:i w:val="false"/>
          <w:iCs w:val="false"/>
          <w:color w:val="1A1A1A"/>
          <w:sz w:val="20"/>
          <w:szCs w:val="20"/>
        </w:rPr>
        <w:t>Referrals convert better and cost less — start there.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Chasing breadth over depth. </w:t>
      </w:r>
      <w:r>
        <w:rPr>
          <w:rFonts w:eastAsia="Calibri" w:cs="Calibri"/>
          <w:b w:val="false"/>
          <w:bCs w:val="false"/>
          <w:i w:val="false"/>
          <w:iCs w:val="false"/>
          <w:color w:val="1A1A1A"/>
          <w:sz w:val="20"/>
          <w:szCs w:val="20"/>
        </w:rPr>
        <w:t>A stack of business cards isn’t relationships. Focus on your Target 25.</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Pitching instead of listening. </w:t>
      </w:r>
      <w:r>
        <w:rPr>
          <w:rFonts w:eastAsia="Calibri" w:cs="Calibri"/>
          <w:b w:val="false"/>
          <w:bCs w:val="false"/>
          <w:i w:val="false"/>
          <w:iCs w:val="false"/>
          <w:color w:val="1A1A1A"/>
          <w:sz w:val="20"/>
          <w:szCs w:val="20"/>
        </w:rPr>
        <w:t>Ask what they need; don’t monologue about yourself.</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unreliable after the referral. </w:t>
      </w:r>
      <w:r>
        <w:rPr>
          <w:rFonts w:eastAsia="Calibri" w:cs="Calibri"/>
          <w:b w:val="false"/>
          <w:bCs w:val="false"/>
          <w:i w:val="false"/>
          <w:iCs w:val="false"/>
          <w:color w:val="1A1A1A"/>
          <w:sz w:val="20"/>
          <w:szCs w:val="20"/>
        </w:rPr>
        <w:t>Performance, not pitch, keeps referrals coming. One dropped ball can end a relationship.</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Not tracking anything. </w:t>
      </w:r>
      <w:r>
        <w:rPr>
          <w:rFonts w:eastAsia="Calibri" w:cs="Calibri"/>
          <w:b w:val="false"/>
          <w:bCs w:val="false"/>
          <w:i w:val="false"/>
          <w:iCs w:val="false"/>
          <w:color w:val="1A1A1A"/>
          <w:sz w:val="20"/>
          <w:szCs w:val="20"/>
        </w:rPr>
        <w:t>If you don’t know where clients come from, you can’t grow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Giving up too soon. </w:t>
      </w:r>
      <w:r>
        <w:rPr>
          <w:rFonts w:eastAsia="Calibri" w:cs="Calibri"/>
          <w:b w:val="false"/>
          <w:bCs w:val="false"/>
          <w:i w:val="false"/>
          <w:iCs w:val="false"/>
          <w:color w:val="1A1A1A"/>
          <w:sz w:val="20"/>
          <w:szCs w:val="20"/>
        </w:rPr>
        <w:t>Referral relationships take months to mature — consistency wins.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Stay on the right side of the law</w:t>
            </w:r>
          </w:p>
          <w:p>
            <w:pPr>
              <w:pStyle w:val="Normal"/>
              <w:spacing w:lineRule="exact" w:line="264" w:before="0" w:after="0"/>
              <w:rPr/>
            </w:pPr>
            <w:r>
              <w:rPr>
                <w:rFonts w:eastAsia="Calibri" w:cs="Calibri"/>
                <w:b w:val="false"/>
                <w:bCs w:val="false"/>
                <w:i w:val="false"/>
                <w:iCs w:val="false"/>
                <w:color w:val="1A1A1A"/>
                <w:sz w:val="19"/>
                <w:szCs w:val="19"/>
              </w:rPr>
              <w:t xml:space="preserve">Referral relationships must be built on trust and service — </w:t>
            </w:r>
            <w:r>
              <w:rPr>
                <w:rFonts w:eastAsia="Calibri" w:cs="Calibri"/>
                <w:b/>
                <w:bCs/>
                <w:i w:val="false"/>
                <w:iCs w:val="false"/>
                <w:color w:val="1A1A1A"/>
                <w:sz w:val="19"/>
                <w:szCs w:val="19"/>
              </w:rPr>
              <w:t>never on payment for referrals of clients covered by Medicare, Medicaid, or other federal programs.</w:t>
            </w:r>
            <w:r>
              <w:rPr>
                <w:rFonts w:eastAsia="Calibri" w:cs="Calibri"/>
                <w:b w:val="false"/>
                <w:bCs w:val="false"/>
                <w:i w:val="false"/>
                <w:iCs w:val="false"/>
                <w:color w:val="1A1A1A"/>
                <w:sz w:val="19"/>
                <w:szCs w:val="19"/>
              </w:rPr>
              <w:t xml:space="preserve"> The federal Anti-Kickback Statute and related laws (and many state laws) prohibit paying or receiving anything of value for such referrals. Keep gratitude appropriate (a thank-you, not a fee), and when in doubt, consult a healthcare attorney. Ethical referral-building is also better business — it’s built to last.</w:t>
            </w:r>
          </w:p>
        </w:tc>
      </w:tr>
    </w:tbl>
    <w:p>
      <w:pPr>
        <w:pStyle w:val="Normal"/>
        <w:keepNext w:val="true"/>
        <w:spacing w:before="220" w:after="90"/>
        <w:rPr/>
      </w:pPr>
      <w:r>
        <w:rPr>
          <w:rFonts w:eastAsia="Calibri" w:cs="Calibri"/>
          <w:b/>
          <w:bCs/>
          <w:i w:val="false"/>
          <w:iCs w:val="false"/>
          <w:color w:val="1F3A5F"/>
          <w:sz w:val="26"/>
          <w:szCs w:val="26"/>
        </w:rPr>
        <w:t>The Referral Source Directory at a Glance</w:t>
      </w:r>
    </w:p>
    <w:p>
      <w:pPr>
        <w:pStyle w:val="Normal"/>
        <w:spacing w:lineRule="exact" w:line="268" w:before="0" w:after="110"/>
        <w:jc w:val="start"/>
        <w:rPr/>
      </w:pPr>
      <w:r>
        <w:rPr>
          <w:rFonts w:eastAsia="Calibri" w:cs="Calibri"/>
          <w:b w:val="false"/>
          <w:bCs w:val="false"/>
          <w:i w:val="false"/>
          <w:iCs w:val="false"/>
          <w:color w:val="1A1A1A"/>
          <w:sz w:val="20"/>
          <w:szCs w:val="20"/>
        </w:rPr>
        <w:t>A quick-scan checklist of sources to consider for your list (build your local version in the Tracker):</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Hospital discharge planners / case managers · ED &amp; hospital social workers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Skilled nursing &amp; rehab facility discharge planners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Primary care physicians, geriatricians &amp; relevant specialists (+ their care coordinators)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Geriatric care managers / aging life care professionals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Area Agencies on Aging &amp; senior information/referral lines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County / Medicaid / waiver / regional-center case managers; managed-care &amp; CalAIM coordinators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Assisted living, independent living, memory care, CCRCs &amp; board-and-care homes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Hospice &amp; palliative care; home health; pharmacies; home medical equipment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VA &amp; veteran service organizations; long-term-care insurance &amp; injury case managers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Elder-law attorneys, fiduciaries, financial planners &amp; trust officers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Faith communities, senior centers, support groups; funeral homes, senior realtors, move managers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Past &amp; current clients and families; your own caregivers and staff</w:t>
      </w:r>
    </w:p>
    <w:p>
      <w:pPr>
        <w:pStyle w:val="Normal"/>
        <w:keepNext w:val="true"/>
        <w:spacing w:before="220" w:after="90"/>
        <w:rPr/>
      </w:pPr>
      <w:r>
        <w:rPr>
          <w:rFonts w:eastAsia="Calibri" w:cs="Calibri"/>
          <w:b/>
          <w:bCs/>
          <w:i w:val="false"/>
          <w:iCs w:val="false"/>
          <w:color w:val="1F3A5F"/>
          <w:sz w:val="26"/>
          <w:szCs w:val="26"/>
        </w:rPr>
        <w:t>Putting It to Work</w:t>
      </w:r>
    </w:p>
    <w:p>
      <w:pPr>
        <w:pStyle w:val="Normal"/>
        <w:spacing w:lineRule="exact" w:line="268" w:before="0" w:after="110"/>
        <w:jc w:val="start"/>
        <w:rPr/>
      </w:pPr>
      <w:r>
        <w:rPr>
          <w:rFonts w:eastAsia="Calibri" w:cs="Calibri"/>
          <w:b w:val="false"/>
          <w:bCs w:val="false"/>
          <w:i w:val="false"/>
          <w:iCs w:val="false"/>
          <w:color w:val="1A1A1A"/>
          <w:sz w:val="20"/>
          <w:szCs w:val="20"/>
        </w:rPr>
        <w:t>Referrals aren’t luck — they’re a system. Build your source list, focus on your Target 25, learn what each one needs, reach out consistently, deliver so well they refer again, and track what works. Do it as a weekly habit and it compounds into a steady stream of pre-trusted clients. Open the companion Referral Source Tracker &amp; Worksheets and start building your list today.</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Your next step</w:t>
            </w:r>
          </w:p>
          <w:p>
            <w:pPr>
              <w:pStyle w:val="Normal"/>
              <w:spacing w:lineRule="exact" w:line="264" w:before="0" w:after="0"/>
              <w:rPr/>
            </w:pPr>
            <w:r>
              <w:rPr>
                <w:rFonts w:eastAsia="Calibri" w:cs="Calibri"/>
                <w:b w:val="false"/>
                <w:bCs w:val="false"/>
                <w:i w:val="false"/>
                <w:iCs w:val="false"/>
                <w:color w:val="1A1A1A"/>
                <w:sz w:val="19"/>
                <w:szCs w:val="19"/>
              </w:rPr>
              <w:t>Turn to the companion Tracker, list every referral source you can think of near you, star your Target 25, and schedule your first five outreach contacts this week. Momentum starts with one conversation.</w:t>
            </w:r>
          </w:p>
        </w:tc>
      </w:tr>
    </w:tbl>
    <w:p>
      <w:pPr>
        <w:pStyle w:val="Normal"/>
        <w:shd w:val="clear" w:color="auto" w:fill="1F3A5F"/>
        <w:spacing w:before="24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Part Two — The California Referral Directory (Verified)  </w:t>
      </w:r>
    </w:p>
    <w:p>
      <w:pPr>
        <w:pStyle w:val="Normal"/>
        <w:spacing w:lineRule="exact" w:line="268" w:before="0" w:after="110"/>
        <w:jc w:val="start"/>
        <w:rPr/>
      </w:pPr>
      <w:r>
        <w:rPr>
          <w:rFonts w:eastAsia="Calibri" w:cs="Calibri"/>
          <w:b w:val="false"/>
          <w:bCs w:val="false"/>
          <w:i w:val="false"/>
          <w:iCs w:val="false"/>
          <w:color w:val="1A1A1A"/>
          <w:sz w:val="20"/>
          <w:szCs w:val="20"/>
        </w:rPr>
        <w:t>This is your verified contact directory for building referrals and connecting clients to help in California. Every number and website below was verified from official California and federal sources as this resource was prepared. Government phone numbers and programs do change, so confirm a contact before you rely on it — and update this directory as you go.</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Three ways to use this directory</w:t>
            </w:r>
          </w:p>
          <w:p>
            <w:pPr>
              <w:pStyle w:val="Normal"/>
              <w:spacing w:lineRule="exact" w:line="264" w:before="0" w:after="0"/>
              <w:rPr/>
            </w:pPr>
            <w:r>
              <w:rPr>
                <w:rFonts w:eastAsia="Calibri" w:cs="Calibri"/>
                <w:b/>
                <w:bCs/>
                <w:i w:val="false"/>
                <w:iCs w:val="false"/>
                <w:color w:val="1A1A1A"/>
                <w:sz w:val="19"/>
                <w:szCs w:val="19"/>
              </w:rPr>
              <w:t xml:space="preserve">(1) Relationships to build — </w:t>
            </w:r>
            <w:r>
              <w:rPr>
                <w:rFonts w:eastAsia="Calibri" w:cs="Calibri"/>
                <w:b w:val="false"/>
                <w:bCs w:val="false"/>
                <w:i w:val="false"/>
                <w:iCs w:val="false"/>
                <w:color w:val="1A1A1A"/>
                <w:sz w:val="19"/>
                <w:szCs w:val="19"/>
              </w:rPr>
              <w:t xml:space="preserve">many of these are referral sources; introduce yourself. </w:t>
            </w:r>
            <w:r>
              <w:rPr>
                <w:rFonts w:eastAsia="Calibri" w:cs="Calibri"/>
                <w:b/>
                <w:bCs/>
                <w:i w:val="false"/>
                <w:iCs w:val="false"/>
                <w:color w:val="1A1A1A"/>
                <w:sz w:val="19"/>
                <w:szCs w:val="19"/>
              </w:rPr>
              <w:t xml:space="preserve">(2) Places to get listed — </w:t>
            </w:r>
            <w:r>
              <w:rPr>
                <w:rFonts w:eastAsia="Calibri" w:cs="Calibri"/>
                <w:b w:val="false"/>
                <w:bCs w:val="false"/>
                <w:i w:val="false"/>
                <w:iCs w:val="false"/>
                <w:color w:val="1A1A1A"/>
                <w:sz w:val="19"/>
                <w:szCs w:val="19"/>
              </w:rPr>
              <w:t xml:space="preserve">get your agency into the aging-network and payer pipelines. </w:t>
            </w:r>
            <w:r>
              <w:rPr>
                <w:rFonts w:eastAsia="Calibri" w:cs="Calibri"/>
                <w:b/>
                <w:bCs/>
                <w:i w:val="false"/>
                <w:iCs w:val="false"/>
                <w:color w:val="1A1A1A"/>
                <w:sz w:val="19"/>
                <w:szCs w:val="19"/>
              </w:rPr>
              <w:t xml:space="preserve">(3) Resources to hand clients — </w:t>
            </w:r>
            <w:r>
              <w:rPr>
                <w:rFonts w:eastAsia="Calibri" w:cs="Calibri"/>
                <w:b w:val="false"/>
                <w:bCs w:val="false"/>
                <w:i w:val="false"/>
                <w:iCs w:val="false"/>
                <w:color w:val="1A1A1A"/>
                <w:sz w:val="19"/>
                <w:szCs w:val="19"/>
              </w:rPr>
              <w:t>give families the right number for what they need.</w:t>
            </w:r>
          </w:p>
        </w:tc>
      </w:tr>
    </w:tbl>
    <w:p>
      <w:pPr>
        <w:pStyle w:val="Normal"/>
        <w:keepNext w:val="true"/>
        <w:spacing w:before="140" w:after="60"/>
        <w:rPr/>
      </w:pPr>
      <w:r>
        <w:rPr>
          <w:rFonts w:eastAsia="Calibri" w:cs="Calibri"/>
          <w:b/>
          <w:bCs/>
          <w:i w:val="false"/>
          <w:iCs w:val="false"/>
          <w:color w:val="3E5871"/>
          <w:sz w:val="21"/>
          <w:szCs w:val="21"/>
        </w:rPr>
        <w:t>National gateways (work anywhere in the U.S.)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Eldercare Locator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1-800-677-1116 · eldercare.acl.gov — routes any caller to their local Area Agency on Aging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211</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Dial 2-1-1 · 211.org — local health &amp; human-services information and referral</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Medicare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1-800-633-4227 (1-800-MEDICARE) · medicare.gov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Social Security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1-800-772-1213 · ssa.gov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VA — health benefits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1-877-222-8387 · va.gov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Alzheimer’s Association 24/7 Helpline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1-800-272-3900 · alz.org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SAMHSA National Helpline (mental health / substance use)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1-800-662-4357 · samhsa.gov/find-help</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988 Suicide &amp; Crisis Lifeline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Dial 988 (Veterans press 1)</w:t>
            </w:r>
          </w:p>
        </w:tc>
      </w:tr>
    </w:tbl>
    <w:p>
      <w:pPr>
        <w:pStyle w:val="Normal"/>
        <w:keepNext w:val="true"/>
        <w:spacing w:before="140" w:after="60"/>
        <w:rPr/>
      </w:pPr>
      <w:r>
        <w:rPr>
          <w:rFonts w:eastAsia="Calibri" w:cs="Calibri"/>
          <w:b/>
          <w:bCs/>
          <w:i w:val="false"/>
          <w:iCs w:val="false"/>
          <w:color w:val="3E5871"/>
          <w:sz w:val="21"/>
          <w:szCs w:val="21"/>
        </w:rPr>
        <w:t>California — aging &amp; access to services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California Department of Aging (statewide line — routes to your local Area Agency on Aging)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1-800-510-2020 · aging.ca.gov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Aging &amp; Disability Resource Connection (ADRC — “No Wrong Door”)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916-437-1465 · aging.ca.gov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HICAP — free Medicare counseling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1-800-434-0222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Friendship Line California (warmline for isolated older adults)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1-888-670-1360</w:t>
            </w:r>
          </w:p>
        </w:tc>
      </w:tr>
    </w:tbl>
    <w:p>
      <w:pPr>
        <w:pStyle w:val="Normal"/>
        <w:keepNext w:val="true"/>
        <w:spacing w:before="140" w:after="60"/>
        <w:rPr/>
      </w:pPr>
      <w:r>
        <w:rPr>
          <w:rFonts w:eastAsia="Calibri" w:cs="Calibri"/>
          <w:b/>
          <w:bCs/>
          <w:i w:val="false"/>
          <w:iCs w:val="false"/>
          <w:color w:val="3E5871"/>
          <w:sz w:val="21"/>
          <w:szCs w:val="21"/>
        </w:rPr>
        <w:t>California — Medi-Cal &amp; health coverage</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Department of Health Care Services (Medi-Cal)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1-800-541-5555 · dhcs.ca.gov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Medi-Cal Managed Care Ombudsman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1-888-452-8609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Home &amp; Community-Based Alternatives (HCBA) Waiver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1-833-388-4551 · HCBAlternatives@dhcs.ca.gov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Department of Managed Health Care (health-plan issues)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1-888-466-2219</w:t>
            </w:r>
          </w:p>
        </w:tc>
      </w:tr>
    </w:tbl>
    <w:p>
      <w:pPr>
        <w:pStyle w:val="Normal"/>
        <w:keepNext w:val="true"/>
        <w:spacing w:before="140" w:after="60"/>
        <w:rPr/>
      </w:pPr>
      <w:r>
        <w:rPr>
          <w:rFonts w:eastAsia="Calibri" w:cs="Calibri"/>
          <w:b/>
          <w:bCs/>
          <w:i w:val="false"/>
          <w:iCs w:val="false"/>
          <w:color w:val="3E5871"/>
          <w:sz w:val="21"/>
          <w:szCs w:val="21"/>
        </w:rPr>
        <w:t>California — developmental disability &amp; brain injury</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Dept. of Developmental Services — Regional Centers (21 statewide; assessment, case management &amp; placement)</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Find yours by county: dds.ca.gov/rc</w:t>
            </w:r>
          </w:p>
        </w:tc>
      </w:tr>
    </w:tbl>
    <w:p>
      <w:pPr>
        <w:pStyle w:val="Normal"/>
        <w:spacing w:lineRule="exact" w:line="268" w:before="0" w:after="110"/>
        <w:jc w:val="start"/>
        <w:rPr/>
      </w:pPr>
      <w:r>
        <w:rPr>
          <w:rFonts w:eastAsia="Calibri" w:cs="Calibri"/>
          <w:b w:val="false"/>
          <w:bCs w:val="false"/>
          <w:i w:val="false"/>
          <w:iCs w:val="false"/>
          <w:color w:val="1A1A1A"/>
          <w:sz w:val="20"/>
          <w:szCs w:val="20"/>
        </w:rPr>
        <w:t>For brain-injury and developmentally disabled clients, the regional center serving your county is a key referral and case-management partner — look up the one for your area and build that relationship.</w:t>
      </w:r>
    </w:p>
    <w:p>
      <w:pPr>
        <w:pStyle w:val="Normal"/>
        <w:keepNext w:val="true"/>
        <w:spacing w:before="140" w:after="60"/>
        <w:rPr/>
      </w:pPr>
      <w:r>
        <w:rPr>
          <w:rFonts w:eastAsia="Calibri" w:cs="Calibri"/>
          <w:b/>
          <w:bCs/>
          <w:i w:val="false"/>
          <w:iCs w:val="false"/>
          <w:color w:val="3E5871"/>
          <w:sz w:val="21"/>
          <w:szCs w:val="21"/>
        </w:rPr>
        <w:t>California — client protection &amp; safety</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Adult Protective Services (statewide — abuse/neglect of adults in the community)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1-833-401-0832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Long-Term Care Ombudsman CRISISline (concerns in a facility)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1-800-231-4024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Department of Consumer Affairs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1-800-952-5210</w:t>
            </w:r>
          </w:p>
        </w:tc>
      </w:tr>
    </w:tbl>
    <w:p>
      <w:pPr>
        <w:pStyle w:val="Normal"/>
        <w:keepNext w:val="true"/>
        <w:spacing w:before="140" w:after="60"/>
        <w:rPr/>
      </w:pPr>
      <w:r>
        <w:rPr>
          <w:rFonts w:eastAsia="Calibri" w:cs="Calibri"/>
          <w:b/>
          <w:bCs/>
          <w:i w:val="false"/>
          <w:iCs w:val="false"/>
          <w:color w:val="3E5871"/>
          <w:sz w:val="21"/>
          <w:szCs w:val="21"/>
        </w:rPr>
        <w:t>California — veterans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CalVet (California Dept. of Veterans Affairs)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1-800-952-5626 · calvet.ca.gov</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Local CalVet Service Officers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1-844-737-8368</w:t>
            </w:r>
          </w:p>
        </w:tc>
      </w:tr>
    </w:tbl>
    <w:p>
      <w:pPr>
        <w:pStyle w:val="Normal"/>
        <w:keepNext w:val="true"/>
        <w:spacing w:before="140" w:after="60"/>
        <w:rPr/>
      </w:pPr>
      <w:r>
        <w:rPr>
          <w:rFonts w:eastAsia="Calibri" w:cs="Calibri"/>
          <w:b/>
          <w:bCs/>
          <w:i w:val="false"/>
          <w:iCs w:val="false"/>
          <w:color w:val="3E5871"/>
          <w:sz w:val="21"/>
          <w:szCs w:val="21"/>
        </w:rPr>
        <w:t>California — your licensing regulators (know these cold)</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Dept. of Social Services (CDSS) — licenses non-medical Home Care Organizations &amp; maintains the Home Care Aide Registry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916-651-8848 · cdss.ca.gov · registry: ccld.dss.ca.gov/hcsregistry</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Dept. of Public Health (CDPH) — licenses hospitals, skilled nursing &amp; home health</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916-558-1784 · cdph.ca.gov</w:t>
            </w:r>
          </w:p>
        </w:tc>
      </w:tr>
    </w:tbl>
    <w:p>
      <w:pPr>
        <w:pStyle w:val="Normal"/>
        <w:keepNext w:val="true"/>
        <w:spacing w:before="140" w:after="60"/>
        <w:rPr/>
      </w:pPr>
      <w:r>
        <w:rPr>
          <w:rFonts w:eastAsia="Calibri" w:cs="Calibri"/>
          <w:b/>
          <w:bCs/>
          <w:i w:val="false"/>
          <w:iCs w:val="false"/>
          <w:color w:val="3E5871"/>
          <w:sz w:val="21"/>
          <w:szCs w:val="21"/>
        </w:rPr>
        <w:t>California — industry &amp; networking (build relationships here)</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California Association for Health Services at Home (CAHSAH — statewide home care/home health/hospice association)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916-641-5795 · cahsah.org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California Hospital Association (get to know your hospitals)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916-443-7401 · calhospital.org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California Assisted Living Association (CALA)</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916-448-1900 · caassistedliving.org</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LeadingAge California (nonprofit senior services)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916-392-5111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California Advocates for Nursing Home Reform (CANHR)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916-322-3350 · canhr.org</w:t>
            </w:r>
          </w:p>
        </w:tc>
      </w:tr>
    </w:tbl>
    <w:p>
      <w:pPr>
        <w:pStyle w:val="Normal"/>
        <w:keepNext w:val="true"/>
        <w:spacing w:before="140" w:after="60"/>
        <w:rPr/>
      </w:pPr>
      <w:r>
        <w:rPr>
          <w:rFonts w:eastAsia="Calibri" w:cs="Calibri"/>
          <w:b/>
          <w:bCs/>
          <w:i w:val="false"/>
          <w:iCs w:val="false"/>
          <w:color w:val="3E5871"/>
          <w:sz w:val="21"/>
          <w:szCs w:val="21"/>
        </w:rPr>
        <w:t>Find your LOCAL contacts (county level)</w:t>
      </w:r>
    </w:p>
    <w:p>
      <w:pPr>
        <w:pStyle w:val="Normal"/>
        <w:spacing w:lineRule="exact" w:line="268" w:before="0" w:after="110"/>
        <w:jc w:val="start"/>
        <w:rPr/>
      </w:pPr>
      <w:r>
        <w:rPr>
          <w:rFonts w:eastAsia="Calibri" w:cs="Calibri"/>
          <w:b w:val="false"/>
          <w:bCs w:val="false"/>
          <w:i w:val="false"/>
          <w:iCs w:val="false"/>
          <w:color w:val="1A1A1A"/>
          <w:sz w:val="20"/>
          <w:szCs w:val="20"/>
        </w:rPr>
        <w:t>The statewide lines above route you to the right local office, but your strongest relationships are built locally. To find the specific people near you:</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val="false"/>
          <w:bCs w:val="false"/>
          <w:i w:val="false"/>
          <w:iCs w:val="false"/>
          <w:color w:val="1A1A1A"/>
          <w:sz w:val="20"/>
          <w:szCs w:val="20"/>
        </w:rPr>
        <w:t>Call the Eldercare Locator (1-800-677-1116) or use aging.ca.gov to get your county’s Area Agency on Aging — your local aging-network hub.</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val="false"/>
          <w:bCs w:val="false"/>
          <w:i w:val="false"/>
          <w:iCs w:val="false"/>
          <w:color w:val="1A1A1A"/>
          <w:sz w:val="20"/>
          <w:szCs w:val="20"/>
        </w:rPr>
        <w:t>Find your county’s Adult Protective Services and In-Home Supportive Services (IHSS) offices through your county social- or human-services department.</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val="false"/>
          <w:bCs w:val="false"/>
          <w:i w:val="false"/>
          <w:iCs w:val="false"/>
          <w:color w:val="1A1A1A"/>
          <w:sz w:val="20"/>
          <w:szCs w:val="20"/>
        </w:rPr>
        <w:t>Identify the hospitals and skilled-nursing facilities in your service area, and ask each for the case-management / social-work / discharge-planning department.</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val="false"/>
          <w:bCs w:val="false"/>
          <w:i w:val="false"/>
          <w:iCs w:val="false"/>
          <w:color w:val="1A1A1A"/>
          <w:sz w:val="20"/>
          <w:szCs w:val="20"/>
        </w:rPr>
        <w:t>Look up your regional center at dds.ca.gov/rc if you serve brain-injury or developmentally disabled clients.</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val="false"/>
          <w:bCs w:val="false"/>
          <w:i w:val="false"/>
          <w:iCs w:val="false"/>
          <w:color w:val="1A1A1A"/>
          <w:sz w:val="20"/>
          <w:szCs w:val="20"/>
        </w:rPr>
        <w:t>Find the Medi-Cal managed-care plans operating in your county through dhcs.ca.gov — these are your payer and referral partners.</w:t>
      </w:r>
    </w:p>
    <w:p>
      <w:pPr>
        <w:pStyle w:val="Normal"/>
        <w:keepNext w:val="true"/>
        <w:spacing w:before="140" w:after="60"/>
        <w:rPr/>
      </w:pPr>
      <w:r>
        <w:rPr>
          <w:rFonts w:eastAsia="Calibri" w:cs="Calibri"/>
          <w:b/>
          <w:bCs/>
          <w:i w:val="false"/>
          <w:iCs w:val="false"/>
          <w:color w:val="3E5871"/>
          <w:sz w:val="21"/>
          <w:szCs w:val="21"/>
        </w:rPr>
        <w:t>Expanding to another state?</w:t>
      </w:r>
    </w:p>
    <w:p>
      <w:pPr>
        <w:pStyle w:val="Normal"/>
        <w:spacing w:lineRule="exact" w:line="268" w:before="0" w:after="110"/>
        <w:jc w:val="start"/>
        <w:rPr/>
      </w:pPr>
      <w:r>
        <w:rPr>
          <w:rFonts w:eastAsia="Calibri" w:cs="Calibri"/>
          <w:b w:val="false"/>
          <w:bCs w:val="false"/>
          <w:i w:val="false"/>
          <w:iCs w:val="false"/>
          <w:color w:val="1A1A1A"/>
          <w:sz w:val="20"/>
          <w:szCs w:val="20"/>
        </w:rPr>
        <w:t>When you add a state, rebuild this directory for it the same way. Every state has the same core resources under different names: a State Unit on Aging and local Area Agencies on Aging (reach them through the Eldercare Locator, 1-800-677-1116), a Medicaid/HCBS agency, a Long-Term Care Ombudsman, Adult Protective Services, a state veterans department, and a state home-care association. Start from the Eldercare Locator and your state’s official .gov pages, verify every number, and you will have that state’s directory.</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word on accuracy</w:t>
            </w:r>
          </w:p>
          <w:p>
            <w:pPr>
              <w:pStyle w:val="Normal"/>
              <w:spacing w:lineRule="exact" w:line="264" w:before="0" w:after="0"/>
              <w:rPr/>
            </w:pPr>
            <w:r>
              <w:rPr>
                <w:rFonts w:eastAsia="Calibri" w:cs="Calibri"/>
                <w:b w:val="false"/>
                <w:bCs w:val="false"/>
                <w:i w:val="false"/>
                <w:iCs w:val="false"/>
                <w:color w:val="1A1A1A"/>
                <w:sz w:val="19"/>
                <w:szCs w:val="19"/>
              </w:rPr>
              <w:t>Everything in this directory was verified from official sources when it was prepared, but government numbers, programs, and websites change. Confirm a contact before you rely on it, and treat this directory as a living document you keep current — never as a substitute for your own verification.</w:t>
            </w:r>
          </w:p>
        </w:tc>
      </w:tr>
    </w:tbl>
    <w:p>
      <w:pPr>
        <w:pStyle w:val="Normal"/>
        <w:shd w:val="clear" w:color="auto" w:fill="1F3A5F"/>
        <w:spacing w:before="24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Part Three — The Worksheets &amp; Tracker  </w:t>
      </w:r>
    </w:p>
    <w:p>
      <w:pPr>
        <w:pStyle w:val="Normal"/>
        <w:shd w:val="clear" w:color="auto" w:fill="1F3A5F"/>
        <w:spacing w:before="4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1 — Referral Source Master List  </w:t>
      </w:r>
    </w:p>
    <w:p>
      <w:pPr>
        <w:pStyle w:val="Normal"/>
        <w:spacing w:lineRule="exact" w:line="268" w:before="60" w:after="120"/>
        <w:jc w:val="start"/>
        <w:rPr/>
      </w:pPr>
      <w:r>
        <w:rPr>
          <w:rFonts w:eastAsia="Calibri" w:cs="Calibri"/>
          <w:b w:val="false"/>
          <w:bCs w:val="false"/>
          <w:i/>
          <w:iCs/>
          <w:color w:val="555555"/>
          <w:sz w:val="19"/>
          <w:szCs w:val="19"/>
        </w:rPr>
        <w:t>List every referral source you can think of near you. Use the Playbook’s source map for ideas. Star your Target 25 in the last column.</w:t>
      </w:r>
    </w:p>
    <w:tbl>
      <w:tblPr>
        <w:tblW w:w="9360" w:type="dxa"/>
        <w:jc w:val="start"/>
        <w:tblInd w:w="0" w:type="dxa"/>
        <w:tblLayout w:type="fixed"/>
        <w:tblCellMar>
          <w:top w:w="45" w:type="dxa"/>
          <w:start w:w="80" w:type="dxa"/>
          <w:bottom w:w="45" w:type="dxa"/>
          <w:end w:w="80" w:type="dxa"/>
        </w:tblCellMar>
      </w:tblPr>
      <w:tblGrid>
        <w:gridCol w:w="2199"/>
        <w:gridCol w:w="2100"/>
        <w:gridCol w:w="1600"/>
        <w:gridCol w:w="2261"/>
        <w:gridCol w:w="12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Source / person</w:t>
            </w:r>
          </w:p>
        </w:tc>
        <w:tc>
          <w:tcPr>
            <w:tcW w:w="21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Organization</w:t>
            </w:r>
          </w:p>
        </w:tc>
        <w:tc>
          <w:tcPr>
            <w:tcW w:w="16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Type</w:t>
            </w:r>
          </w:p>
        </w:tc>
        <w:tc>
          <w:tcPr>
            <w:tcW w:w="226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Phone / email</w:t>
            </w:r>
          </w:p>
        </w:tc>
        <w:tc>
          <w:tcPr>
            <w:tcW w:w="12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 xml:space="preserve">★ </w:t>
            </w:r>
            <w:r>
              <w:rPr>
                <w:rFonts w:eastAsia="Calibri" w:cs="Calibri"/>
                <w:b/>
                <w:bCs/>
                <w:i w:val="false"/>
                <w:iCs w:val="false"/>
                <w:color w:val="FFFFFF"/>
                <w:sz w:val="15"/>
                <w:szCs w:val="15"/>
              </w:rPr>
              <w:t>Target 25?</w:t>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26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2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2 — Your Target 25  </w:t>
      </w:r>
    </w:p>
    <w:p>
      <w:pPr>
        <w:pStyle w:val="Normal"/>
        <w:spacing w:lineRule="exact" w:line="268" w:before="60" w:after="120"/>
        <w:jc w:val="start"/>
        <w:rPr/>
      </w:pPr>
      <w:r>
        <w:rPr>
          <w:rFonts w:eastAsia="Calibri" w:cs="Calibri"/>
          <w:b w:val="false"/>
          <w:bCs w:val="false"/>
          <w:i/>
          <w:iCs/>
          <w:color w:val="555555"/>
          <w:sz w:val="19"/>
          <w:szCs w:val="19"/>
        </w:rPr>
        <w:t>The 25 highest-value sources to focus on first. Depth beats breadth — 25 real relationships outperform 200 business cards.</w:t>
      </w:r>
    </w:p>
    <w:tbl>
      <w:tblPr>
        <w:tblW w:w="9360" w:type="dxa"/>
        <w:jc w:val="start"/>
        <w:tblInd w:w="0" w:type="dxa"/>
        <w:tblLayout w:type="fixed"/>
        <w:tblCellMar>
          <w:top w:w="45" w:type="dxa"/>
          <w:start w:w="80" w:type="dxa"/>
          <w:bottom w:w="45" w:type="dxa"/>
          <w:end w:w="80" w:type="dxa"/>
        </w:tblCellMar>
      </w:tblPr>
      <w:tblGrid>
        <w:gridCol w:w="700"/>
        <w:gridCol w:w="3599"/>
        <w:gridCol w:w="2601"/>
        <w:gridCol w:w="2459"/>
      </w:tblGrid>
      <w:tr>
        <w:trPr>
          <w:tblHeader w:val="true"/>
        </w:trPr>
        <w:tc>
          <w:tcPr>
            <w:tcW w:w="7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t>
            </w:r>
          </w:p>
        </w:tc>
        <w:tc>
          <w:tcPr>
            <w:tcW w:w="35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Source / person &amp; organization</w:t>
            </w:r>
          </w:p>
        </w:tc>
        <w:tc>
          <w:tcPr>
            <w:tcW w:w="26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Why they’re high-value</w:t>
            </w:r>
          </w:p>
        </w:tc>
        <w:tc>
          <w:tcPr>
            <w:tcW w:w="24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Status (new / contacted / referring)</w:t>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3 — Weekly Outreach Planner  </w:t>
      </w:r>
    </w:p>
    <w:p>
      <w:pPr>
        <w:pStyle w:val="Normal"/>
        <w:spacing w:lineRule="exact" w:line="268" w:before="60" w:after="120"/>
        <w:jc w:val="start"/>
        <w:rPr/>
      </w:pPr>
      <w:r>
        <w:rPr>
          <w:rFonts w:eastAsia="Calibri" w:cs="Calibri"/>
          <w:b w:val="false"/>
          <w:bCs w:val="false"/>
          <w:i/>
          <w:iCs/>
          <w:color w:val="555555"/>
          <w:sz w:val="19"/>
          <w:szCs w:val="19"/>
        </w:rPr>
        <w:t>Set a small, consistent goal each week (e.g., 5 new contacts + 5 follow-ups). Block the time on your calendar like a client shift.</w:t>
      </w:r>
    </w:p>
    <w:p>
      <w:pPr>
        <w:pStyle w:val="Normal"/>
        <w:spacing w:lineRule="exact" w:line="268" w:before="0" w:after="90"/>
        <w:jc w:val="start"/>
        <w:rPr/>
      </w:pPr>
      <w:r>
        <w:rPr>
          <w:rFonts w:eastAsia="Calibri" w:cs="Calibri"/>
          <w:b/>
          <w:bCs/>
          <w:i w:val="false"/>
          <w:iCs w:val="false"/>
          <w:color w:val="3E5871"/>
          <w:sz w:val="20"/>
          <w:szCs w:val="20"/>
        </w:rPr>
        <w:t xml:space="preserve">Week of: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120"/>
        <w:jc w:val="start"/>
        <w:rPr/>
      </w:pPr>
      <w:r>
        <w:rPr>
          <w:rFonts w:eastAsia="Calibri" w:cs="Calibri"/>
          <w:b/>
          <w:bCs/>
          <w:i w:val="false"/>
          <w:iCs w:val="false"/>
          <w:color w:val="3E5871"/>
          <w:sz w:val="20"/>
          <w:szCs w:val="20"/>
        </w:rPr>
        <w:t>This week’s goal:  ____ new contacts   ·   ____ follow-ups   ·   ____ meetings</w:t>
      </w:r>
    </w:p>
    <w:tbl>
      <w:tblPr>
        <w:tblW w:w="9360" w:type="dxa"/>
        <w:jc w:val="start"/>
        <w:tblInd w:w="0" w:type="dxa"/>
        <w:tblLayout w:type="fixed"/>
        <w:tblCellMar>
          <w:top w:w="45" w:type="dxa"/>
          <w:start w:w="80" w:type="dxa"/>
          <w:bottom w:w="45" w:type="dxa"/>
          <w:end w:w="80" w:type="dxa"/>
        </w:tblCellMar>
      </w:tblPr>
      <w:tblGrid>
        <w:gridCol w:w="1300"/>
        <w:gridCol w:w="2999"/>
        <w:gridCol w:w="1901"/>
        <w:gridCol w:w="2160"/>
        <w:gridCol w:w="1000"/>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Day</w:t>
            </w:r>
          </w:p>
        </w:tc>
        <w:tc>
          <w:tcPr>
            <w:tcW w:w="29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Who I’ll contact</w:t>
            </w:r>
          </w:p>
        </w:tc>
        <w:tc>
          <w:tcPr>
            <w:tcW w:w="19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New or follow-up?</w:t>
            </w:r>
          </w:p>
        </w:tc>
        <w:tc>
          <w:tcPr>
            <w:tcW w:w="21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How (call/visit/email)</w:t>
            </w:r>
          </w:p>
        </w:tc>
        <w:tc>
          <w:tcPr>
            <w:tcW w:w="1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Done?</w:t>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9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4 — Contact &amp; Touch Log  </w:t>
      </w:r>
    </w:p>
    <w:p>
      <w:pPr>
        <w:pStyle w:val="Normal"/>
        <w:spacing w:lineRule="exact" w:line="268" w:before="60" w:after="120"/>
        <w:jc w:val="start"/>
        <w:rPr/>
      </w:pPr>
      <w:r>
        <w:rPr>
          <w:rFonts w:eastAsia="Calibri" w:cs="Calibri"/>
          <w:b w:val="false"/>
          <w:bCs w:val="false"/>
          <w:i/>
          <w:iCs/>
          <w:color w:val="555555"/>
          <w:sz w:val="19"/>
          <w:szCs w:val="19"/>
        </w:rPr>
        <w:t>Log every interaction. A relationship with no next step goes cold — always fill in the next action and date.</w:t>
      </w:r>
    </w:p>
    <w:tbl>
      <w:tblPr>
        <w:tblW w:w="9360" w:type="dxa"/>
        <w:jc w:val="start"/>
        <w:tblInd w:w="0" w:type="dxa"/>
        <w:tblLayout w:type="fixed"/>
        <w:tblCellMar>
          <w:top w:w="45" w:type="dxa"/>
          <w:start w:w="80" w:type="dxa"/>
          <w:bottom w:w="45" w:type="dxa"/>
          <w:end w:w="80" w:type="dxa"/>
        </w:tblCellMar>
      </w:tblPr>
      <w:tblGrid>
        <w:gridCol w:w="1300"/>
        <w:gridCol w:w="2199"/>
        <w:gridCol w:w="2560"/>
        <w:gridCol w:w="2000"/>
        <w:gridCol w:w="1301"/>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Date</w:t>
            </w:r>
          </w:p>
        </w:tc>
        <w:tc>
          <w:tcPr>
            <w:tcW w:w="2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Source / person</w:t>
            </w:r>
          </w:p>
        </w:tc>
        <w:tc>
          <w:tcPr>
            <w:tcW w:w="25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What happened</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Next step</w:t>
            </w:r>
          </w:p>
        </w:tc>
        <w:tc>
          <w:tcPr>
            <w:tcW w:w="13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Next-step date</w:t>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5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3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5 — Referrals Received Log  </w:t>
      </w:r>
    </w:p>
    <w:p>
      <w:pPr>
        <w:pStyle w:val="Normal"/>
        <w:spacing w:lineRule="exact" w:line="268" w:before="60" w:after="120"/>
        <w:jc w:val="start"/>
        <w:rPr/>
      </w:pPr>
      <w:r>
        <w:rPr>
          <w:rFonts w:eastAsia="Calibri" w:cs="Calibri"/>
          <w:b w:val="false"/>
          <w:bCs w:val="false"/>
          <w:i/>
          <w:iCs/>
          <w:color w:val="555555"/>
          <w:sz w:val="19"/>
          <w:szCs w:val="19"/>
        </w:rPr>
        <w:t>Record every referral that comes in and whether it became a client. This tells you where your business really comes from.</w:t>
      </w:r>
    </w:p>
    <w:tbl>
      <w:tblPr>
        <w:tblW w:w="9360" w:type="dxa"/>
        <w:jc w:val="start"/>
        <w:tblInd w:w="0" w:type="dxa"/>
        <w:tblLayout w:type="fixed"/>
        <w:tblCellMar>
          <w:top w:w="45" w:type="dxa"/>
          <w:start w:w="80" w:type="dxa"/>
          <w:bottom w:w="45" w:type="dxa"/>
          <w:end w:w="80" w:type="dxa"/>
        </w:tblCellMar>
      </w:tblPr>
      <w:tblGrid>
        <w:gridCol w:w="1199"/>
        <w:gridCol w:w="2400"/>
        <w:gridCol w:w="1900"/>
        <w:gridCol w:w="1160"/>
        <w:gridCol w:w="1501"/>
        <w:gridCol w:w="1199"/>
      </w:tblGrid>
      <w:tr>
        <w:trPr>
          <w:tblHeader w:val="true"/>
        </w:trPr>
        <w:tc>
          <w:tcPr>
            <w:tcW w:w="1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Date</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Referred by (source)</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Client / initials</w:t>
            </w:r>
          </w:p>
        </w:tc>
        <w:tc>
          <w:tcPr>
            <w:tcW w:w="11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Fit? (Y/N)</w:t>
            </w:r>
          </w:p>
        </w:tc>
        <w:tc>
          <w:tcPr>
            <w:tcW w:w="15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Became client?</w:t>
            </w:r>
          </w:p>
        </w:tc>
        <w:tc>
          <w:tcPr>
            <w:tcW w:w="11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Thanked source?</w:t>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5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1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6 — Source Scorecard  </w:t>
      </w:r>
    </w:p>
    <w:p>
      <w:pPr>
        <w:pStyle w:val="Normal"/>
        <w:spacing w:lineRule="exact" w:line="268" w:before="60" w:after="120"/>
        <w:jc w:val="start"/>
        <w:rPr/>
      </w:pPr>
      <w:r>
        <w:rPr>
          <w:rFonts w:eastAsia="Calibri" w:cs="Calibri"/>
          <w:b w:val="false"/>
          <w:bCs w:val="false"/>
          <w:i/>
          <w:iCs/>
          <w:color w:val="555555"/>
          <w:sz w:val="19"/>
          <w:szCs w:val="19"/>
        </w:rPr>
        <w:t>Once a month, score your sources. Give your best producers more time and gratitude; reconnect with any that went quiet.</w:t>
      </w:r>
    </w:p>
    <w:tbl>
      <w:tblPr>
        <w:tblW w:w="9360" w:type="dxa"/>
        <w:jc w:val="start"/>
        <w:tblInd w:w="0" w:type="dxa"/>
        <w:tblLayout w:type="fixed"/>
        <w:tblCellMar>
          <w:top w:w="45" w:type="dxa"/>
          <w:start w:w="80" w:type="dxa"/>
          <w:bottom w:w="45" w:type="dxa"/>
          <w:end w:w="80" w:type="dxa"/>
        </w:tblCellMar>
      </w:tblPr>
      <w:tblGrid>
        <w:gridCol w:w="2399"/>
        <w:gridCol w:w="1700"/>
        <w:gridCol w:w="1501"/>
        <w:gridCol w:w="1699"/>
        <w:gridCol w:w="2061"/>
      </w:tblGrid>
      <w:tr>
        <w:trPr>
          <w:tblHeader w:val="true"/>
        </w:trPr>
        <w:tc>
          <w:tcPr>
            <w:tcW w:w="2399" w:type="dxa"/>
            <w:tcBorders>
              <w:top w:val="single" w:sz="6" w:space="0" w:color="D8B37A"/>
              <w:start w:val="single" w:sz="6" w:space="0" w:color="D8B37A"/>
              <w:bottom w:val="single" w:sz="4" w:space="0" w:color="000000"/>
              <w:end w:val="single" w:sz="4" w:space="0" w:color="000000"/>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Source</w:t>
            </w:r>
          </w:p>
        </w:tc>
        <w:tc>
          <w:tcPr>
            <w:tcW w:w="1700" w:type="dxa"/>
            <w:tcBorders>
              <w:top w:val="single" w:sz="6" w:space="0" w:color="D8B37A"/>
              <w:start w:val="single" w:sz="4" w:space="0" w:color="000000"/>
              <w:bottom w:val="single" w:sz="4" w:space="0" w:color="000000"/>
              <w:end w:val="single" w:sz="4" w:space="0" w:color="000000"/>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Referrals this period</w:t>
            </w:r>
          </w:p>
        </w:tc>
        <w:tc>
          <w:tcPr>
            <w:tcW w:w="1501" w:type="dxa"/>
            <w:tcBorders>
              <w:top w:val="single" w:sz="6" w:space="0" w:color="D8B37A"/>
              <w:start w:val="single" w:sz="4" w:space="0" w:color="000000"/>
              <w:bottom w:val="single" w:sz="4" w:space="0" w:color="000000"/>
              <w:end w:val="single" w:sz="4" w:space="0" w:color="000000"/>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Became clients</w:t>
            </w:r>
          </w:p>
        </w:tc>
        <w:tc>
          <w:tcPr>
            <w:tcW w:w="1699" w:type="dxa"/>
            <w:tcBorders>
              <w:top w:val="single" w:sz="6" w:space="0" w:color="D8B37A"/>
              <w:start w:val="single" w:sz="4" w:space="0" w:color="000000"/>
              <w:bottom w:val="single" w:sz="4" w:space="0" w:color="000000"/>
              <w:end w:val="single" w:sz="4" w:space="0" w:color="000000"/>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Trend (up/flat/down)</w:t>
            </w:r>
          </w:p>
        </w:tc>
        <w:tc>
          <w:tcPr>
            <w:tcW w:w="2061" w:type="dxa"/>
            <w:tcBorders>
              <w:top w:val="single" w:sz="6" w:space="0" w:color="D8B37A"/>
              <w:start w:val="single" w:sz="4" w:space="0" w:color="000000"/>
              <w:bottom w:val="single" w:sz="4" w:space="0" w:color="000000"/>
              <w:end w:val="single" w:sz="6" w:space="0" w:color="D8B37A"/>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My next action</w:t>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2399" w:type="dxa"/>
            <w:tcBorders>
              <w:top w:val="single" w:sz="4" w:space="0" w:color="000000"/>
              <w:start w:val="single" w:sz="6" w:space="0" w:color="D8B37A"/>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700"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501"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1699" w:type="dxa"/>
            <w:tcBorders>
              <w:top w:val="single" w:sz="4" w:space="0" w:color="000000"/>
              <w:start w:val="single" w:sz="4" w:space="0" w:color="000000"/>
              <w:bottom w:val="single" w:sz="4" w:space="0" w:color="000000"/>
              <w:end w:val="single" w:sz="4" w:space="0" w:color="000000"/>
            </w:tcBorders>
            <w:tcMar>
              <w:top w:w="75" w:type="dxa"/>
              <w:bottom w:w="75" w:type="dxa"/>
            </w:tcMar>
          </w:tcPr>
          <w:p>
            <w:pPr>
              <w:pStyle w:val="Normal"/>
              <w:spacing w:lineRule="exact" w:line="268" w:before="0" w:after="0"/>
              <w:jc w:val="start"/>
              <w:rPr/>
            </w:pPr>
            <w:r>
              <w:rPr/>
            </w:r>
          </w:p>
        </w:tc>
        <w:tc>
          <w:tcPr>
            <w:tcW w:w="2061" w:type="dxa"/>
            <w:tcBorders>
              <w:top w:val="single" w:sz="4" w:space="0" w:color="000000"/>
              <w:start w:val="single" w:sz="4" w:space="0" w:color="000000"/>
              <w:bottom w:val="single" w:sz="4" w:space="0" w:color="000000"/>
              <w:end w:val="single" w:sz="6" w:space="0" w:color="D8B37A"/>
            </w:tcBorders>
            <w:tcMar>
              <w:top w:w="75" w:type="dxa"/>
              <w:bottom w:w="75" w:type="dxa"/>
            </w:tcMar>
          </w:tcPr>
          <w:p>
            <w:pPr>
              <w:pStyle w:val="Normal"/>
              <w:spacing w:lineRule="exact" w:line="268" w:before="0" w:after="0"/>
              <w:jc w:val="start"/>
              <w:rPr/>
            </w:pPr>
            <w:r>
              <w:rPr/>
            </w:r>
          </w:p>
        </w:tc>
      </w:tr>
      <w:tr>
        <w:trPr/>
        <w:tc>
          <w:tcPr>
            <w:tcW w:w="9360" w:type="dxa"/>
            <w:gridSpan w:val="5"/>
            <w:tcBorders>
              <w:top w:val="single" w:sz="4" w:space="0" w:color="000000"/>
              <w:start w:val="single" w:sz="6" w:space="0" w:color="D8B37A"/>
              <w:bottom w:val="single" w:sz="6" w:space="0" w:color="D8B37A"/>
              <w:end w:val="single" w:sz="6" w:space="0" w:color="D8B37A"/>
            </w:tcBorders>
            <w:shd w:color="auto" w:fill="FBF3E7" w:val="clear"/>
            <w:tcMar>
              <w:top w:w="120" w:type="dxa"/>
              <w:start w:w="160" w:type="dxa"/>
              <w:bottom w:w="120" w:type="dxa"/>
              <w:end w:w="160" w:type="dxa"/>
            </w:tcMar>
          </w:tcPr>
          <w:p>
            <w:pPr>
              <w:pStyle w:val="Normal"/>
              <w:spacing w:before="0" w:after="40"/>
              <w:rPr/>
            </w:pPr>
            <w:r>
              <w:rPr>
                <w:rFonts w:eastAsia="Calibri" w:cs="Calibri"/>
                <w:b/>
                <w:bCs/>
                <w:i w:val="false"/>
                <w:iCs w:val="false"/>
                <w:color w:val="8A5A1A"/>
                <w:sz w:val="19"/>
                <w:szCs w:val="19"/>
              </w:rPr>
              <w:t>Double down on producers</w:t>
            </w:r>
          </w:p>
          <w:p>
            <w:pPr>
              <w:pStyle w:val="Normal"/>
              <w:spacing w:lineRule="exact" w:line="264" w:before="0" w:after="0"/>
              <w:rPr/>
            </w:pPr>
            <w:r>
              <w:rPr>
                <w:rFonts w:eastAsia="Calibri" w:cs="Calibri"/>
                <w:b w:val="false"/>
                <w:bCs w:val="false"/>
                <w:i w:val="false"/>
                <w:iCs w:val="false"/>
                <w:color w:val="1A1A1A"/>
                <w:sz w:val="19"/>
                <w:szCs w:val="19"/>
              </w:rPr>
              <w:t>The handful of sources at the top of this scorecard are your growth engine. Protect and deepen those relationships above all else — and add new sources to the top of Worksheet 1 as relationships mature, so growth never stalls.</w:t>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7 — Preferred-Provider Self-Assessment  </w:t>
      </w:r>
    </w:p>
    <w:p>
      <w:pPr>
        <w:pStyle w:val="Normal"/>
        <w:spacing w:lineRule="exact" w:line="268" w:before="60" w:after="120"/>
        <w:jc w:val="start"/>
        <w:rPr/>
      </w:pPr>
      <w:r>
        <w:rPr>
          <w:rFonts w:eastAsia="Calibri" w:cs="Calibri"/>
          <w:b w:val="false"/>
          <w:bCs w:val="false"/>
          <w:i/>
          <w:iCs/>
          <w:color w:val="555555"/>
          <w:sz w:val="19"/>
          <w:szCs w:val="19"/>
        </w:rPr>
        <w:t>Referrals are earned by performance after the referral. Score yourself honestly — every “no” is a place you’re losing referrals.</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answer referral calls quickly — same day, ideally within hours.</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accept or respond to referrals fast, and start on time.</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tell the referrer when we receive the referral.</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tell the referrer when we start.</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give the referrer periodic updates (within privacy rules).</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We’re easy to refer to — simple process, direct phone number, quick intake.</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keep clients safe and satisfied, and prevent avoidable hospital returns.</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We’re gracious when we can’t take a case, and refer it on.</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thank our referrers sincerely (and lawfully).</w:t>
      </w:r>
    </w:p>
    <w:p>
      <w:pPr>
        <w:pStyle w:val="Normal"/>
        <w:spacing w:lineRule="exact" w:line="268" w:before="0" w:after="60"/>
        <w:jc w:val="start"/>
        <w:rPr/>
      </w:pPr>
      <w:r>
        <w:rPr>
          <w:rFonts w:eastAsia="Calibri" w:cs="Calibri"/>
          <w:b w:val="false"/>
          <w:bCs w:val="false"/>
          <w:i w:val="false"/>
          <w:iCs w:val="false"/>
          <w:color w:val="1A1A1A"/>
          <w:sz w:val="20"/>
          <w:szCs w:val="20"/>
        </w:rPr>
        <w:t xml:space="preserve">☐  </w:t>
      </w:r>
      <w:r>
        <w:rPr>
          <w:rFonts w:eastAsia="Calibri" w:cs="Calibri"/>
          <w:b w:val="false"/>
          <w:bCs w:val="false"/>
          <w:i w:val="false"/>
          <w:iCs w:val="false"/>
          <w:color w:val="1A1A1A"/>
          <w:sz w:val="20"/>
          <w:szCs w:val="20"/>
        </w:rPr>
        <w:t>We keep our online presence and reviews current.</w:t>
      </w:r>
    </w:p>
    <w:p>
      <w:pPr>
        <w:pStyle w:val="Normal"/>
        <w:spacing w:lineRule="exact" w:line="268" w:before="80" w:after="110"/>
        <w:jc w:val="start"/>
        <w:rPr/>
      </w:pPr>
      <w:r>
        <w:rPr>
          <w:rFonts w:eastAsia="Calibri" w:cs="Calibri"/>
          <w:b/>
          <w:bCs/>
          <w:i w:val="false"/>
          <w:iCs w:val="false"/>
          <w:color w:val="3E5871"/>
          <w:sz w:val="20"/>
          <w:szCs w:val="20"/>
        </w:rPr>
        <w:t>The “no” I’ll fix first: ______________________________________________</w:t>
      </w:r>
    </w:p>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8 — Outreach Templates (fill in and reuse)  </w:t>
      </w:r>
    </w:p>
    <w:p>
      <w:pPr>
        <w:pStyle w:val="Normal"/>
        <w:spacing w:lineRule="exact" w:line="268" w:before="60" w:after="120"/>
        <w:jc w:val="start"/>
        <w:rPr/>
      </w:pPr>
      <w:r>
        <w:rPr>
          <w:rFonts w:eastAsia="Calibri" w:cs="Calibri"/>
          <w:b w:val="false"/>
          <w:bCs w:val="false"/>
          <w:i/>
          <w:iCs/>
          <w:color w:val="555555"/>
          <w:sz w:val="19"/>
          <w:szCs w:val="19"/>
        </w:rPr>
        <w:t>Personalize these once for your business, then reuse them. Keep them warm, brief, and about the referrer’s clients.</w:t>
      </w:r>
    </w:p>
    <w:p>
      <w:pPr>
        <w:pStyle w:val="Normal"/>
        <w:spacing w:lineRule="exact" w:line="268" w:before="0" w:after="50"/>
        <w:jc w:val="start"/>
        <w:rPr/>
      </w:pPr>
      <w:r>
        <w:rPr>
          <w:rFonts w:eastAsia="Calibri" w:cs="Calibri"/>
          <w:b/>
          <w:bCs/>
          <w:i w:val="false"/>
          <w:iCs w:val="false"/>
          <w:color w:val="3E5871"/>
          <w:sz w:val="21"/>
          <w:szCs w:val="21"/>
        </w:rPr>
        <w:t>20-second introduction</w:t>
      </w:r>
    </w:p>
    <w:p>
      <w:pPr>
        <w:pStyle w:val="Normal"/>
        <w:spacing w:lineRule="exact" w:line="268" w:before="0" w:after="12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I’m ______ with ______. We provide ______ for ______ in ______. I work with discharge planners and care managers to make sure their clients get ______. I’d love to learn what you look for in a provider so we can be a good resource for you.”</w:t>
      </w:r>
    </w:p>
    <w:p>
      <w:pPr>
        <w:pStyle w:val="Normal"/>
        <w:spacing w:lineRule="exact" w:line="268" w:before="0" w:after="50"/>
        <w:jc w:val="start"/>
        <w:rPr/>
      </w:pPr>
      <w:r>
        <w:rPr>
          <w:rFonts w:eastAsia="Calibri" w:cs="Calibri"/>
          <w:b/>
          <w:bCs/>
          <w:i w:val="false"/>
          <w:iCs w:val="false"/>
          <w:color w:val="3E5871"/>
          <w:sz w:val="21"/>
          <w:szCs w:val="21"/>
        </w:rPr>
        <w:t>Voicemail</w:t>
      </w:r>
    </w:p>
    <w:p>
      <w:pPr>
        <w:pStyle w:val="Normal"/>
        <w:spacing w:lineRule="exact" w:line="268" w:before="0" w:after="12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______, this is ______ with ______ — we provide ______ for ______ in ______. I’m reaching out to introduce us as a resource for your clients. My direct line is ______; I’d welcome a quick conversation whenever it’s convenient. Thank you.”</w:t>
      </w:r>
    </w:p>
    <w:p>
      <w:pPr>
        <w:pStyle w:val="Normal"/>
        <w:spacing w:lineRule="exact" w:line="268" w:before="0" w:after="50"/>
        <w:jc w:val="start"/>
        <w:rPr/>
      </w:pPr>
      <w:r>
        <w:rPr>
          <w:rFonts w:eastAsia="Calibri" w:cs="Calibri"/>
          <w:b/>
          <w:bCs/>
          <w:i w:val="false"/>
          <w:iCs w:val="false"/>
          <w:color w:val="3E5871"/>
          <w:sz w:val="21"/>
          <w:szCs w:val="21"/>
        </w:rPr>
        <w:t>Introductory email</w:t>
      </w:r>
    </w:p>
    <w:p>
      <w:pPr>
        <w:pStyle w:val="Normal"/>
        <w:spacing w:lineRule="exact" w:line="268" w:before="0" w:after="40"/>
        <w:jc w:val="start"/>
        <w:rPr/>
      </w:pPr>
      <w:r>
        <w:rPr>
          <w:rFonts w:eastAsia="Calibri" w:cs="Calibri"/>
          <w:b/>
          <w:bCs/>
          <w:i/>
          <w:iCs/>
          <w:color w:val="1A1A1A"/>
          <w:sz w:val="20"/>
          <w:szCs w:val="20"/>
        </w:rPr>
        <w:t>Subject: A reliable ______ resource for your clients in ______</w:t>
      </w:r>
    </w:p>
    <w:p>
      <w:pPr>
        <w:pStyle w:val="Normal"/>
        <w:spacing w:lineRule="exact" w:line="268" w:before="0" w:after="12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Hi ______, I’m ______ with ______. We help ______ with ______, and we work closely with ______ to make sure clients get ______. I’d love a few minutes to introduce us and learn what you look for in a provider. Could I stop by or set up a brief call? A one-page overview is attached. Thank you — ______, ______, ______.”</w:t>
      </w:r>
    </w:p>
    <w:p>
      <w:pPr>
        <w:pStyle w:val="Normal"/>
        <w:spacing w:lineRule="exact" w:line="268" w:before="0" w:after="50"/>
        <w:jc w:val="start"/>
        <w:rPr/>
      </w:pPr>
      <w:r>
        <w:rPr>
          <w:rFonts w:eastAsia="Calibri" w:cs="Calibri"/>
          <w:b/>
          <w:bCs/>
          <w:i w:val="false"/>
          <w:iCs w:val="false"/>
          <w:color w:val="3E5871"/>
          <w:sz w:val="21"/>
          <w:szCs w:val="21"/>
        </w:rPr>
        <w:t>Thank-you after a referral</w:t>
      </w:r>
    </w:p>
    <w:p>
      <w:pPr>
        <w:pStyle w:val="Normal"/>
        <w:spacing w:lineRule="exact" w:line="268" w:before="0" w:after="12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Thank you for trusting us with ______. We’ve started and things are going well. I’m grateful for your confidence and will keep you posted.”</w:t>
      </w:r>
    </w:p>
    <w:p>
      <w:pPr>
        <w:pStyle w:val="Normal"/>
        <w:spacing w:lineRule="exact" w:line="268" w:before="0" w:after="50"/>
        <w:jc w:val="start"/>
        <w:rPr/>
      </w:pPr>
      <w:r>
        <w:rPr>
          <w:rFonts w:eastAsia="Calibri" w:cs="Calibri"/>
          <w:b/>
          <w:bCs/>
          <w:i w:val="false"/>
          <w:iCs w:val="false"/>
          <w:color w:val="3E5871"/>
          <w:sz w:val="21"/>
          <w:szCs w:val="21"/>
        </w:rPr>
        <w:t>Asking a happy family for a review / referral</w:t>
      </w:r>
    </w:p>
    <w:p>
      <w:pPr>
        <w:pStyle w:val="Normal"/>
        <w:spacing w:lineRule="exact" w:line="268" w:before="0" w:after="40"/>
        <w:jc w:val="start"/>
        <w:rPr/>
      </w:pPr>
      <w:r>
        <w:rPr>
          <w:rFonts w:eastAsia="Calibri" w:cs="Calibri"/>
          <w:b w:val="false"/>
          <w:bCs w:val="false"/>
          <w:i/>
          <w:iCs/>
          <w:color w:val="1A1A1A"/>
          <w:sz w:val="20"/>
          <w:szCs w:val="20"/>
        </w:rPr>
        <w:t>“</w:t>
      </w:r>
      <w:r>
        <w:rPr>
          <w:rFonts w:eastAsia="Calibri" w:cs="Calibri"/>
          <w:b w:val="false"/>
          <w:bCs w:val="false"/>
          <w:i/>
          <w:iCs/>
          <w:color w:val="1A1A1A"/>
          <w:sz w:val="20"/>
          <w:szCs w:val="20"/>
        </w:rPr>
        <w:t>It’s meant so much to care for ______. If you know another family who could use support like this, we’d be honored to help — and if you have a moment, a short review online helps other families find us: [link].”</w:t>
      </w:r>
    </w:p>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Worksheet 9 — Your One-Page Leave-Behind (build it here)  </w:t>
      </w:r>
    </w:p>
    <w:p>
      <w:pPr>
        <w:pStyle w:val="Normal"/>
        <w:spacing w:lineRule="exact" w:line="268" w:before="60" w:after="120"/>
        <w:jc w:val="start"/>
        <w:rPr/>
      </w:pPr>
      <w:r>
        <w:rPr>
          <w:rFonts w:eastAsia="Calibri" w:cs="Calibri"/>
          <w:b w:val="false"/>
          <w:bCs w:val="false"/>
          <w:i/>
          <w:iCs/>
          <w:color w:val="555555"/>
          <w:sz w:val="19"/>
          <w:szCs w:val="19"/>
        </w:rPr>
        <w:t>Draft the one page you’ll leave with every source. Keep it clear and specific — a name and a direct line beat a glossy brochure.</w:t>
      </w:r>
    </w:p>
    <w:p>
      <w:pPr>
        <w:pStyle w:val="Normal"/>
        <w:spacing w:lineRule="exact" w:line="268" w:before="0" w:after="90"/>
        <w:jc w:val="start"/>
        <w:rPr/>
      </w:pPr>
      <w:r>
        <w:rPr>
          <w:rFonts w:eastAsia="Calibri" w:cs="Calibri"/>
          <w:b/>
          <w:bCs/>
          <w:i w:val="false"/>
          <w:iCs w:val="false"/>
          <w:color w:val="3E5871"/>
          <w:sz w:val="20"/>
          <w:szCs w:val="20"/>
        </w:rPr>
        <w:t xml:space="preserve">Who we are (one line):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Who we serve &amp; our service area: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50"/>
        <w:jc w:val="start"/>
        <w:rPr/>
      </w:pPr>
      <w:r>
        <w:rPr>
          <w:rFonts w:eastAsia="Calibri" w:cs="Calibri"/>
          <w:b/>
          <w:bCs/>
          <w:i w:val="false"/>
          <w:iCs w:val="false"/>
          <w:color w:val="3E5871"/>
          <w:sz w:val="20"/>
          <w:szCs w:val="20"/>
        </w:rPr>
        <w:t>Three specific reasons we’re reliable (not fluffy claims):</w:t>
      </w:r>
    </w:p>
    <w:p>
      <w:pPr>
        <w:pStyle w:val="Normal"/>
        <w:spacing w:lineRule="exact" w:line="268" w:before="0" w:after="90"/>
        <w:jc w:val="start"/>
        <w:rPr/>
      </w:pPr>
      <w:r>
        <w:rPr>
          <w:rFonts w:eastAsia="Calibri" w:cs="Calibri"/>
          <w:b/>
          <w:bCs/>
          <w:i w:val="false"/>
          <w:iCs w:val="false"/>
          <w:color w:val="3E5871"/>
          <w:sz w:val="20"/>
          <w:szCs w:val="20"/>
        </w:rPr>
        <w:t xml:space="preserve">  </w:t>
      </w:r>
      <w:r>
        <w:rPr>
          <w:rFonts w:eastAsia="Calibri" w:cs="Calibri"/>
          <w:b/>
          <w:bCs/>
          <w:i w:val="false"/>
          <w:iCs w:val="false"/>
          <w:color w:val="3E5871"/>
          <w:sz w:val="20"/>
          <w:szCs w:val="20"/>
        </w:rPr>
        <w:t xml:space="preserve">1.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  </w:t>
      </w:r>
      <w:r>
        <w:rPr>
          <w:rFonts w:eastAsia="Calibri" w:cs="Calibri"/>
          <w:b/>
          <w:bCs/>
          <w:i w:val="false"/>
          <w:iCs w:val="false"/>
          <w:color w:val="3E5871"/>
          <w:sz w:val="20"/>
          <w:szCs w:val="20"/>
        </w:rPr>
        <w:t xml:space="preserve">2.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  </w:t>
      </w:r>
      <w:r>
        <w:rPr>
          <w:rFonts w:eastAsia="Calibri" w:cs="Calibri"/>
          <w:b/>
          <w:bCs/>
          <w:i w:val="false"/>
          <w:iCs w:val="false"/>
          <w:color w:val="3E5871"/>
          <w:sz w:val="20"/>
          <w:szCs w:val="20"/>
        </w:rPr>
        <w:t xml:space="preserve">3.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How to refer (direct phone / form / email):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What happens after they refer (our response promise): </w:t>
      </w:r>
      <w:r>
        <w:rPr>
          <w:rFonts w:eastAsia="Calibri" w:cs="Calibri"/>
          <w:b w:val="false"/>
          <w:bCs w:val="false"/>
          <w:i w:val="false"/>
          <w:iCs w:val="false"/>
          <w:color w:val="555555"/>
          <w:sz w:val="20"/>
          <w:szCs w:val="20"/>
        </w:rPr>
        <w:t>______________________________________________</w:t>
      </w:r>
    </w:p>
    <w:p>
      <w:pPr>
        <w:pStyle w:val="Normal"/>
        <w:spacing w:lineRule="exact" w:line="268" w:before="0" w:after="90"/>
        <w:jc w:val="start"/>
        <w:rPr/>
      </w:pPr>
      <w:r>
        <w:rPr>
          <w:rFonts w:eastAsia="Calibri" w:cs="Calibri"/>
          <w:b/>
          <w:bCs/>
          <w:i w:val="false"/>
          <w:iCs w:val="false"/>
          <w:color w:val="3E5871"/>
          <w:sz w:val="20"/>
          <w:szCs w:val="20"/>
        </w:rPr>
        <w:t xml:space="preserve">Contact name &amp; direct line: </w:t>
      </w:r>
      <w:r>
        <w:rPr>
          <w:rFonts w:eastAsia="Calibri" w:cs="Calibri"/>
          <w:b w:val="false"/>
          <w:bCs w:val="false"/>
          <w:i w:val="false"/>
          <w:iCs w:val="false"/>
          <w:color w:val="555555"/>
          <w:sz w:val="20"/>
          <w:szCs w:val="20"/>
        </w:rPr>
        <w:t>______________________________________________</w:t>
      </w:r>
    </w:p>
    <w:p>
      <w:pPr>
        <w:pStyle w:val="Normal"/>
        <w:rPr/>
      </w:pPr>
      <w:r>
        <w:rPr/>
      </w:r>
    </w:p>
    <w:sectPr>
      <w:footerReference w:type="even" r:id="rId2"/>
      <w:footerReference w:type="default" r:id="rId3"/>
      <w:footerReference w:type="first" r:id="rId4"/>
      <w:type w:val="nextPage"/>
      <w:pgSz w:w="12240" w:h="15840"/>
      <w:pgMar w:left="1440" w:right="1440" w:gutter="0" w:header="0" w:top="1150" w:footer="708" w:bottom="115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5"/>
        <w:szCs w:val="15"/>
      </w:rPr>
      <w:t xml:space="preserve">PolicyReady.org  —  The Referral System (California Edition)  —  Page </w:t>
    </w:r>
    <w:r>
      <w:rPr/>
      <w:fldChar w:fldCharType="begin"/>
    </w:r>
    <w:r>
      <w:rPr/>
      <w:instrText xml:space="preserve"> PAGE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5"/>
        <w:szCs w:val="15"/>
      </w:rPr>
      <w:t xml:space="preserve">PolicyReady.org  —  The Referral System (California Edition)  —  Page </w:t>
    </w:r>
    <w:r>
      <w:rPr/>
      <w:fldChar w:fldCharType="begin"/>
    </w:r>
    <w:r>
      <w:rPr/>
      <w:instrText xml:space="preserve"> PAGE </w:instrText>
    </w:r>
    <w:r>
      <w:rPr/>
      <w:fldChar w:fldCharType="separate"/>
    </w:r>
    <w:r>
      <w:rPr/>
      <w:t>22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2026-07-10T13:21:13Z</dcterms:created>
  <dc:creator>PolicyReady.org</dc:creator>
  <dc:description/>
  <dc:language>en-US</dc:language>
  <cp:lastModifiedBy>Un-named</cp:lastModifiedBy>
  <dcterms:modified xsi:type="dcterms:W3CDTF">2026-07-10T13:21:13Z</dcterms:modified>
  <cp:revision>1</cp:revision>
  <dc:subject/>
  <dc:title>The Referral System — Playbook, Directory &amp; Toolkit (California Edition)</dc:title>
</cp:coreProperties>
</file>