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300" w:after="0"/>
        <w:rPr/>
      </w:pPr>
      <w:r>
        <w:rPr/>
      </w:r>
    </w:p>
    <w:p>
      <w:pPr>
        <w:pStyle w:val="Normal"/>
        <w:spacing w:lineRule="exact" w:line="276" w:before="0" w:after="80"/>
        <w:jc w:val="center"/>
        <w:rPr/>
      </w:pPr>
      <w:r>
        <w:rPr>
          <w:rFonts w:eastAsia="Calibri" w:cs="Calibri"/>
          <w:b/>
          <w:bCs/>
          <w:i w:val="false"/>
          <w:iCs w:val="false"/>
          <w:color w:val="3E5871"/>
          <w:sz w:val="30"/>
          <w:szCs w:val="30"/>
        </w:rPr>
        <w:t>[AGENCY NAME]</w:t>
      </w:r>
    </w:p>
    <w:p>
      <w:pPr>
        <w:pStyle w:val="Normal"/>
        <w:spacing w:lineRule="exact" w:line="276" w:before="0" w:after="60"/>
        <w:jc w:val="center"/>
        <w:rPr/>
      </w:pPr>
      <w:r>
        <w:rPr>
          <w:rFonts w:eastAsia="Calibri" w:cs="Calibri"/>
          <w:b/>
          <w:bCs/>
          <w:i w:val="false"/>
          <w:iCs w:val="false"/>
          <w:color w:val="1F3A5F"/>
          <w:sz w:val="52"/>
          <w:szCs w:val="52"/>
        </w:rPr>
        <w:t>Caregiver Handbook</w:t>
      </w:r>
    </w:p>
    <w:p>
      <w:pPr>
        <w:pStyle w:val="Normal"/>
        <w:spacing w:lineRule="exact" w:line="276" w:before="0" w:after="40"/>
        <w:jc w:val="center"/>
        <w:rPr/>
      </w:pPr>
      <w:r>
        <w:rPr>
          <w:rFonts w:eastAsia="Calibri" w:cs="Calibri"/>
          <w:b w:val="false"/>
          <w:bCs w:val="false"/>
          <w:i/>
          <w:iCs/>
          <w:color w:val="3E5871"/>
          <w:sz w:val="26"/>
          <w:szCs w:val="26"/>
        </w:rPr>
        <w:t>For Personal Care Assistants, Companions &amp; Sitters</w:t>
      </w:r>
    </w:p>
    <w:p>
      <w:pPr>
        <w:pStyle w:val="Normal"/>
        <w:spacing w:lineRule="exact" w:line="276" w:before="0" w:after="220"/>
        <w:jc w:val="center"/>
        <w:rPr/>
      </w:pPr>
      <w:r>
        <w:rPr>
          <w:rFonts w:eastAsia="Calibri" w:cs="Calibri"/>
          <w:b w:val="false"/>
          <w:bCs w:val="false"/>
          <w:i w:val="false"/>
          <w:iCs w:val="false"/>
          <w:color w:val="555555"/>
          <w:sz w:val="22"/>
          <w:szCs w:val="22"/>
        </w:rPr>
        <w:t>Private Home Care Provider — Non-Medical — Georgia</w:t>
      </w:r>
    </w:p>
    <w:p>
      <w:pPr>
        <w:pStyle w:val="Normal"/>
        <w:pBdr>
          <w:bottom w:val="single" w:sz="8" w:space="1" w:color="9DB1C7"/>
        </w:pBdr>
        <w:spacing w:before="60" w:after="120"/>
        <w:rPr/>
      </w:pPr>
      <w:r>
        <w:rPr/>
      </w:r>
    </w:p>
    <w:p>
      <w:pPr>
        <w:pStyle w:val="Normal"/>
        <w:spacing w:lineRule="exact" w:line="276" w:before="0" w:after="120"/>
        <w:jc w:val="center"/>
        <w:rPr/>
      </w:pPr>
      <w:r>
        <w:rPr>
          <w:rFonts w:eastAsia="Calibri" w:cs="Calibri"/>
          <w:b w:val="false"/>
          <w:bCs w:val="false"/>
          <w:i w:val="false"/>
          <w:iCs w:val="false"/>
          <w:color w:val="1A1A1A"/>
          <w:sz w:val="21"/>
          <w:szCs w:val="21"/>
        </w:rPr>
        <w:t>A guide to your role, your responsibilities, and your rights as a Georgia home care caregiver.</w:t>
      </w:r>
    </w:p>
    <w:p>
      <w:pPr>
        <w:pStyle w:val="Normal"/>
        <w:spacing w:lineRule="exact" w:line="276" w:before="0" w:after="90"/>
        <w:jc w:val="center"/>
        <w:rPr/>
      </w:pPr>
      <w:r>
        <w:rPr>
          <w:rFonts w:eastAsia="Calibri" w:cs="Calibri"/>
          <w:b w:val="false"/>
          <w:bCs w:val="false"/>
          <w:i/>
          <w:iCs/>
          <w:color w:val="555555"/>
          <w:sz w:val="18"/>
          <w:szCs w:val="18"/>
        </w:rPr>
        <w:t>This handbook is a template. Replace bracketed items with your agency’s details and adapt it to your operations and current Georgia law. It is general information, not legal advice.</w:t>
      </w:r>
    </w:p>
    <w:p>
      <w:pPr>
        <w:pStyle w:val="Normal"/>
        <w:rPr/>
      </w:pPr>
      <w:r>
        <w:rPr/>
      </w:r>
      <w:r>
        <w:br w:type="page"/>
      </w:r>
    </w:p>
    <w:p>
      <w:pPr>
        <w:pStyle w:val="Normal"/>
        <w:spacing w:before="0" w:after="140"/>
        <w:rPr/>
      </w:pPr>
      <w:r>
        <w:rPr>
          <w:rFonts w:eastAsia="Calibri" w:cs="Calibri"/>
          <w:b/>
          <w:bCs/>
          <w:i w:val="false"/>
          <w:iCs w:val="false"/>
          <w:color w:val="1F3A5F"/>
          <w:sz w:val="28"/>
          <w:szCs w:val="28"/>
        </w:rPr>
        <w:t>Welcome to the Team</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val="false"/>
          <w:bCs w:val="false"/>
          <w:i w:val="false"/>
          <w:iCs w:val="false"/>
          <w:color w:val="1A1A1A"/>
          <w:sz w:val="21"/>
          <w:szCs w:val="21"/>
        </w:rPr>
        <w:t>Welcome to [Agency Name]. As a caregiver, you are the heart of what we do. Every day, you help people who are older or living with a disability stay safe, comfortable, and independent in their own homes — with hands-on personal care, companionship, a clean and orderly home, good meals, and a kind, reliable presence. That work matters, and we’re glad you’re here.</w:t>
      </w:r>
    </w:p>
    <w:p>
      <w:pPr>
        <w:pStyle w:val="Normal"/>
        <w:spacing w:lineRule="exact" w:line="276" w:before="0" w:after="120"/>
        <w:jc w:val="start"/>
        <w:rPr/>
      </w:pPr>
      <w:r>
        <w:rPr>
          <w:rFonts w:eastAsia="Calibri" w:cs="Calibri"/>
          <w:b w:val="false"/>
          <w:bCs w:val="false"/>
          <w:i w:val="false"/>
          <w:iCs w:val="false"/>
          <w:color w:val="1A1A1A"/>
          <w:sz w:val="21"/>
          <w:szCs w:val="21"/>
        </w:rPr>
        <w:t>This handbook explains what your job is, how we expect you to do it, how to keep yourself and your clients safe, and the rights you have as an employee in Georgia. Please read it carefully and keep it as a reference. If anything is unclear, ask your supervisor — we would always rather you ask than guess.</w:t>
      </w:r>
    </w:p>
    <w:p>
      <w:pPr>
        <w:pStyle w:val="Normal"/>
        <w:spacing w:lineRule="exact" w:line="276" w:before="0" w:after="120"/>
        <w:jc w:val="start"/>
        <w:rPr/>
      </w:pPr>
      <w:r>
        <w:rPr>
          <w:rFonts w:eastAsia="Calibri" w:cs="Calibri"/>
          <w:b w:val="false"/>
          <w:bCs w:val="false"/>
          <w:i w:val="false"/>
          <w:iCs w:val="false"/>
          <w:color w:val="1A1A1A"/>
          <w:sz w:val="21"/>
          <w:szCs w:val="21"/>
        </w:rPr>
        <w:t xml:space="preserve">A quick but essential note: we are a </w:t>
      </w:r>
      <w:r>
        <w:rPr>
          <w:rFonts w:eastAsia="Calibri" w:cs="Calibri"/>
          <w:b/>
          <w:bCs/>
          <w:i w:val="false"/>
          <w:iCs w:val="false"/>
          <w:color w:val="1A1A1A"/>
          <w:sz w:val="21"/>
          <w:szCs w:val="21"/>
        </w:rPr>
        <w:t>non-medical</w:t>
      </w:r>
      <w:r>
        <w:rPr>
          <w:rFonts w:eastAsia="Calibri" w:cs="Calibri"/>
          <w:b w:val="false"/>
          <w:bCs w:val="false"/>
          <w:i w:val="false"/>
          <w:iCs w:val="false"/>
          <w:color w:val="1A1A1A"/>
          <w:sz w:val="21"/>
          <w:szCs w:val="21"/>
        </w:rPr>
        <w:t xml:space="preserve"> private home care provider. In Georgia, that means you may provide hands-on personal care — helping with bathing, dressing, and other daily activities — as well as companionship, sitter services, and home management. What it does </w:t>
      </w:r>
      <w:r>
        <w:rPr>
          <w:rFonts w:eastAsia="Calibri" w:cs="Calibri"/>
          <w:b w:val="false"/>
          <w:bCs w:val="false"/>
          <w:i/>
          <w:iCs/>
          <w:color w:val="1A1A1A"/>
          <w:sz w:val="21"/>
          <w:szCs w:val="21"/>
        </w:rPr>
        <w:t>not</w:t>
      </w:r>
      <w:r>
        <w:rPr>
          <w:rFonts w:eastAsia="Calibri" w:cs="Calibri"/>
          <w:b w:val="false"/>
          <w:bCs w:val="false"/>
          <w:i w:val="false"/>
          <w:iCs w:val="false"/>
          <w:color w:val="1A1A1A"/>
          <w:sz w:val="21"/>
          <w:szCs w:val="21"/>
        </w:rPr>
        <w:t xml:space="preserve"> include is skilled nursing: you never administer medications, give injections, or do wound care. When you’re unsure whether something is part of your role, stop and ask. That instinct keeps you and your clients safe.</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  —  Your Role: Personal Care, Companion &amp; Sitter, Home Management  </w:t>
      </w:r>
    </w:p>
    <w:p>
      <w:pPr>
        <w:pStyle w:val="Normal"/>
        <w:spacing w:lineRule="exact" w:line="276" w:before="0" w:after="120"/>
        <w:jc w:val="start"/>
        <w:rPr/>
      </w:pPr>
      <w:r>
        <w:rPr>
          <w:rFonts w:eastAsia="Calibri" w:cs="Calibri"/>
          <w:b w:val="false"/>
          <w:bCs w:val="false"/>
          <w:i w:val="false"/>
          <w:iCs w:val="false"/>
          <w:color w:val="1A1A1A"/>
          <w:sz w:val="21"/>
          <w:szCs w:val="21"/>
        </w:rPr>
        <w:t>Your role depends on your training. Personal Care Assistants (PCAs) provide hands-on personal care after completing required training. Companions and sitters provide companionship, supervision, transport, meals, and household help. Many caregivers do both, if trained for both. Your supervisor will tell you exactly which tasks you are assigned and trained to do — and you never perform a task you have not been trained and found competent to do.</w:t>
      </w:r>
    </w:p>
    <w:p>
      <w:pPr>
        <w:pStyle w:val="ListParagraph"/>
        <w:numPr>
          <w:ilvl w:val="0"/>
          <w:numId w:val="3"/>
        </w:numPr>
        <w:spacing w:lineRule="exact" w:line="276" w:before="0" w:after="70"/>
        <w:rPr/>
      </w:pPr>
      <w:r>
        <w:rPr>
          <w:rFonts w:eastAsia="Calibri" w:cs="Calibri"/>
          <w:b w:val="false"/>
          <w:bCs w:val="false"/>
          <w:i w:val="false"/>
          <w:iCs w:val="false"/>
          <w:color w:val="1A1A1A"/>
          <w:sz w:val="21"/>
          <w:szCs w:val="21"/>
        </w:rPr>
        <w:t>Assisting with bathing, showering, and personal hygiene.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Assisting with dressing, grooming, and oral care.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Assisting with toileting and incontinence care.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Assisting with transferring, positioning, and walking (ambulation), using safe body mechanics.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Assisting with eating and feeding.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Companionship, conversation, and supervision for safety.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Meal preparation and serving.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Transportation and escort to appointments and errands.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Light housekeeping, laundry, and shopping (home management).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Reminding clients to take self-administered medications (reminders only).</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The one rule that protects everyone</w:t>
            </w:r>
          </w:p>
          <w:p>
            <w:pPr>
              <w:pStyle w:val="Normal"/>
              <w:spacing w:lineRule="exact" w:line="270" w:before="0" w:after="0"/>
              <w:rPr/>
            </w:pPr>
            <w:r>
              <w:rPr>
                <w:rFonts w:eastAsia="Calibri" w:cs="Calibri"/>
                <w:b w:val="false"/>
                <w:bCs w:val="false"/>
                <w:i w:val="false"/>
                <w:iCs w:val="false"/>
                <w:color w:val="1A1A1A"/>
                <w:sz w:val="20"/>
                <w:szCs w:val="20"/>
              </w:rPr>
              <w:t>You provide non-medical care. You never administer medication, give injections, do wound care, or perform any skilled nursing task. You may remind a client to take medication they take themselves — but you never hand it to them, measure it, or put it in their mouth. If a client needs something medical, tell your supervisor. Doing a medical task, even to help, puts the client at risk and can cost the agency its license.</w:t>
            </w:r>
          </w:p>
        </w:tc>
      </w:tr>
    </w:tbl>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  —  Your Training and Competency  </w:t>
      </w:r>
    </w:p>
    <w:p>
      <w:pPr>
        <w:pStyle w:val="Normal"/>
        <w:spacing w:lineRule="exact" w:line="276" w:before="0" w:after="120"/>
        <w:jc w:val="start"/>
        <w:rPr/>
      </w:pPr>
      <w:r>
        <w:rPr>
          <w:rFonts w:eastAsia="Calibri" w:cs="Calibri"/>
          <w:b w:val="false"/>
          <w:bCs w:val="false"/>
          <w:i w:val="false"/>
          <w:iCs w:val="false"/>
          <w:color w:val="1A1A1A"/>
          <w:sz w:val="21"/>
          <w:szCs w:val="21"/>
        </w:rPr>
        <w:t>Georgia’s rules are specific about training, and we follow them closely. If you are a Personal Care Assistant, you completed one of the state’s approved training routes — a nurse-aide program, a recognized competency exam, an approved credential, or our own 40-hour training program run under the direction of a registered nurse. If you trained through our 40-hour program, you completed 20 hours before serving any client and the remaining 20 within six months. You will not be assigned a task until your training for it is complete and a supervisor has confirmed your competency.</w:t>
      </w:r>
    </w:p>
    <w:p>
      <w:pPr>
        <w:pStyle w:val="Normal"/>
        <w:spacing w:lineRule="exact" w:line="276" w:before="0" w:after="120"/>
        <w:jc w:val="start"/>
        <w:rPr/>
      </w:pPr>
      <w:r>
        <w:rPr>
          <w:rFonts w:eastAsia="Calibri" w:cs="Calibri"/>
          <w:b w:val="false"/>
          <w:bCs w:val="false"/>
          <w:i w:val="false"/>
          <w:iCs w:val="false"/>
          <w:color w:val="1A1A1A"/>
          <w:sz w:val="21"/>
          <w:szCs w:val="21"/>
        </w:rPr>
        <w:t>If you are a companion or sitter, you showed competency in the areas the state requires — understanding the needs of the people we serve, meal preparation, transportation and escort, housekeeping and sanitation, home safety, handling emergencies in the home, and infection control. Everyone completes orientation before serving clients, receives ongoing in-service training, and is evaluated in writing at least once a year through observation. Training isn’t a formality — it’s how we keep clients safe and how you grow.</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Ask before you take on something new</w:t>
            </w:r>
          </w:p>
          <w:p>
            <w:pPr>
              <w:pStyle w:val="Normal"/>
              <w:spacing w:lineRule="exact" w:line="270" w:before="0" w:after="0"/>
              <w:rPr/>
            </w:pPr>
            <w:r>
              <w:rPr>
                <w:rFonts w:eastAsia="Calibri" w:cs="Calibri"/>
                <w:b w:val="false"/>
                <w:bCs w:val="false"/>
                <w:i w:val="false"/>
                <w:iCs w:val="false"/>
                <w:color w:val="1A1A1A"/>
                <w:sz w:val="20"/>
                <w:szCs w:val="20"/>
              </w:rPr>
              <w:t>If a client or family asks you to do a task you haven’t been trained and assigned to do — even a personal-care task — don’t improvise. Tell them you’ll check with your supervisor. We’ll either train you and add it to the plan, or explain why it’s out of scope.</w:t>
            </w:r>
          </w:p>
        </w:tc>
      </w:tr>
    </w:tbl>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3  —  Keeping Clients and Yourself Safe  </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Wash your hands before and after client contact, before food prep, and after any dirty task.</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Use gloves and other protective equipment for personal care and any contact with body fluids.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Handle laundry and cleaning safely; dispose of waste properly.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If you are sick or have been exposed to a communicable illness like TB or hepatitis, tell your supervisor — you may not serve clients until it’s determined you’re not contagious.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Look for hazards — fall risks, fire or electrical dangers, unsafe walkways — and report them to your supervisor.</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Use safe lifting and transfer techniques; never put yourself or the client at risk of a fall. Ask for equipment or a second person if a transfer isn’t safe alone.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Know each client’s emergency plan and how to reach help.</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If a client has a medical emergency, call 911, provide help within your training, and notify your supervisor. For medically frail clients, our on-call nurse pathway is available — use it.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perform a medical task beyond your training, but take reasonable steps to keep the client safe until help arrives.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Document what happened and report it right away.</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4  —  Reporting Abuse, Neglect, and Exploitation  </w:t>
      </w:r>
    </w:p>
    <w:p>
      <w:pPr>
        <w:pStyle w:val="Normal"/>
        <w:spacing w:lineRule="exact" w:line="276" w:before="0" w:after="120"/>
        <w:jc w:val="start"/>
        <w:rPr/>
      </w:pPr>
      <w:r>
        <w:rPr>
          <w:rFonts w:eastAsia="Calibri" w:cs="Calibri"/>
          <w:b w:val="false"/>
          <w:bCs w:val="false"/>
          <w:i w:val="false"/>
          <w:iCs w:val="false"/>
          <w:color w:val="1A1A1A"/>
          <w:sz w:val="21"/>
          <w:szCs w:val="21"/>
        </w:rPr>
        <w:t xml:space="preserve">You are a mandated reporter. If you ever suspect a client is being abused, neglected, or financially exploited — by anyone, including a family member or another caregiver — you must report it </w:t>
      </w:r>
      <w:r>
        <w:rPr>
          <w:rFonts w:eastAsia="Calibri" w:cs="Calibri"/>
          <w:b/>
          <w:bCs/>
          <w:i w:val="false"/>
          <w:iCs w:val="false"/>
          <w:color w:val="1A1A1A"/>
          <w:sz w:val="21"/>
          <w:szCs w:val="21"/>
        </w:rPr>
        <w:t>immediately</w:t>
      </w:r>
      <w:r>
        <w:rPr>
          <w:rFonts w:eastAsia="Calibri" w:cs="Calibri"/>
          <w:b w:val="false"/>
          <w:bCs w:val="false"/>
          <w:i w:val="false"/>
          <w:iCs w:val="false"/>
          <w:color w:val="1A1A1A"/>
          <w:sz w:val="21"/>
          <w:szCs w:val="21"/>
        </w:rPr>
        <w:t xml:space="preserve"> to Georgia Adult Protective Services at </w:t>
      </w:r>
      <w:r>
        <w:rPr>
          <w:rFonts w:eastAsia="Calibri" w:cs="Calibri"/>
          <w:b/>
          <w:bCs/>
          <w:i w:val="false"/>
          <w:iCs w:val="false"/>
          <w:color w:val="1A1A1A"/>
          <w:sz w:val="21"/>
          <w:szCs w:val="21"/>
        </w:rPr>
        <w:t>1-866-552-4464</w:t>
      </w:r>
      <w:r>
        <w:rPr>
          <w:rFonts w:eastAsia="Calibri" w:cs="Calibri"/>
          <w:b w:val="false"/>
          <w:bCs w:val="false"/>
          <w:i w:val="false"/>
          <w:iCs w:val="false"/>
          <w:color w:val="1A1A1A"/>
          <w:sz w:val="21"/>
          <w:szCs w:val="21"/>
        </w:rPr>
        <w:t xml:space="preserve"> (after-hours 1-888-774-0152), and tell your supervisor. You don’t need permission and you don’t wait — you report.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Abuse: injury, confinement, intimidation, punishment, or sexual abuse.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Neglect: leaving essential needs unmet in a way that harms or threatens the client.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Exploitation: misusing the client’s money, property, or resources.</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Protecting client money and belongings</w:t>
            </w:r>
          </w:p>
          <w:p>
            <w:pPr>
              <w:pStyle w:val="Normal"/>
              <w:spacing w:lineRule="exact" w:line="270" w:before="0" w:after="0"/>
              <w:rPr/>
            </w:pPr>
            <w:r>
              <w:rPr>
                <w:rFonts w:eastAsia="Calibri" w:cs="Calibri"/>
                <w:b w:val="false"/>
                <w:bCs w:val="false"/>
                <w:i w:val="false"/>
                <w:iCs w:val="false"/>
                <w:color w:val="1A1A1A"/>
                <w:sz w:val="20"/>
                <w:szCs w:val="20"/>
              </w:rPr>
              <w:t>Never accept gifts, tips, or money from clients. Never borrow or lend. Never use a client’s cash, card, or accounts except for an authorized errand — and then keep every receipt and return the change. Never become a client’s power of attorney or account signer. These rules protect clients from exploitation and protect you from suspicion.</w:t>
            </w:r>
          </w:p>
        </w:tc>
      </w:tr>
    </w:tbl>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5  —  The Service Plan and Your Documentation  </w:t>
      </w:r>
    </w:p>
    <w:p>
      <w:pPr>
        <w:pStyle w:val="Normal"/>
        <w:spacing w:lineRule="exact" w:line="276" w:before="0" w:after="120"/>
        <w:jc w:val="start"/>
        <w:rPr/>
      </w:pPr>
      <w:r>
        <w:rPr>
          <w:rFonts w:eastAsia="Calibri" w:cs="Calibri"/>
          <w:b w:val="false"/>
          <w:bCs w:val="false"/>
          <w:i w:val="false"/>
          <w:iCs w:val="false"/>
          <w:color w:val="1A1A1A"/>
          <w:sz w:val="21"/>
          <w:szCs w:val="21"/>
        </w:rPr>
        <w:t>Every client has a written service plan that tells you exactly what to do. Follow it. For medically frail clients, a registered nurse writes the plan. If you think the plan no longer fits the client’s needs, don’t just change what you do — report it to your supervisor so the plan can be updated properly.</w:t>
      </w:r>
    </w:p>
    <w:p>
      <w:pPr>
        <w:pStyle w:val="Normal"/>
        <w:spacing w:lineRule="exact" w:line="276" w:before="0" w:after="120"/>
        <w:jc w:val="start"/>
        <w:rPr/>
      </w:pPr>
      <w:r>
        <w:rPr>
          <w:rFonts w:eastAsia="Calibri" w:cs="Calibri"/>
          <w:b w:val="false"/>
          <w:bCs w:val="false"/>
          <w:i w:val="false"/>
          <w:iCs w:val="false"/>
          <w:color w:val="1A1A1A"/>
          <w:sz w:val="21"/>
          <w:szCs w:val="21"/>
        </w:rPr>
        <w:t>Document every visit: the tasks you actually performed, the time you were there, and anything you observed. Your notes are a legal record and, for Medicaid clients, they must match your Electronic Visit Verification (EVV) clock-in and clock-out. Never write down a task you didn’t do, and never clock a visit you didn’t make. Honest, accurate documentation protects the client, the agency, and you.</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A new or worsening symptom, a fall, confusion, a change in appetite or mobility, or a change at home — report it to your supervisor promptly.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For medically frail clients, your supervisor will involve the nurse.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Urgent, dangerous changes are emergencies — call 911 first.</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6  —  Electronic Visit Verification (EVV)  </w:t>
      </w:r>
    </w:p>
    <w:p>
      <w:pPr>
        <w:pStyle w:val="Normal"/>
        <w:spacing w:lineRule="exact" w:line="276" w:before="0" w:after="120"/>
        <w:jc w:val="start"/>
        <w:rPr/>
      </w:pPr>
      <w:r>
        <w:rPr>
          <w:rFonts w:eastAsia="Calibri" w:cs="Calibri"/>
          <w:b w:val="false"/>
          <w:bCs w:val="false"/>
          <w:i w:val="false"/>
          <w:iCs w:val="false"/>
          <w:color w:val="1A1A1A"/>
          <w:sz w:val="21"/>
          <w:szCs w:val="21"/>
        </w:rPr>
        <w:t>If your client is on Medicaid, Georgia requires you to verify every visit electronically. We use Netsmart Mobile Caregiver+, the state’s EVV system. You clock in when you arrive at the client’s home and clock out when you leave, using the app on your phone. The system records who you are, who you served, what you did, where, and the start and end times.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Clock in and out at the client’s location — not from your car or on the way.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Make sure your visit record matches the service plan and authorization.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If the app has a problem, follow the agency’s backup procedure and tell your supervisor — a missing or mismatched EVV record can mean the visit can’t be billed.</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The EVV support line is 833-483-5587 if you need help.</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7  —  Conduct, Pay, and Your Rights  </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Be reliable and on time; call your supervisor as early as possible if you can’t make a shift.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Respect each client’s home, privacy, choices, and dignity. Keep everything you learn about a client confidential.</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Dress appropriately, wear your ID, and communicate professionally.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Stay within your scope and your assigned, trained tasks.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are paid at least the federal minimum wage, with overtime after 40 hours in a workweek. We track your hours, including compensable travel between clients.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are covered by workers’ compensation if you’re injured on the job — report any injury right away.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We do not tolerate discrimination or harassment. Bring concerns to your supervisor or the administrator.</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This handbook is not an employment contract, and it may be updated; we’ll tell you when it changes.</w:t>
      </w:r>
    </w:p>
    <w:p>
      <w:pPr>
        <w:pStyle w:val="Normal"/>
        <w:rPr/>
      </w:pPr>
      <w:r>
        <w:rPr/>
      </w:r>
      <w:r>
        <w:br w:type="page"/>
      </w:r>
    </w:p>
    <w:p>
      <w:pPr>
        <w:pStyle w:val="Normal"/>
        <w:spacing w:before="0" w:after="140"/>
        <w:rPr/>
      </w:pPr>
      <w:r>
        <w:rPr>
          <w:rFonts w:eastAsia="Calibri" w:cs="Calibri"/>
          <w:b/>
          <w:bCs/>
          <w:i w:val="false"/>
          <w:iCs w:val="false"/>
          <w:color w:val="1F3A5F"/>
          <w:sz w:val="28"/>
          <w:szCs w:val="28"/>
        </w:rPr>
        <w:t>Acknowledgment of Receipt</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val="false"/>
          <w:bCs w:val="false"/>
          <w:i w:val="false"/>
          <w:iCs w:val="false"/>
          <w:color w:val="1A1A1A"/>
          <w:sz w:val="21"/>
          <w:szCs w:val="21"/>
        </w:rPr>
        <w:t>I have received, read, and understand the [Agency Name] Caregiver Handbook. I understand that [Agency Name] provides non-medical private home care — personal care, companion and sitter services, and home management — and that I may not provide skilled nursing services, administer medications, or perform any medical task. I understand that I perform only the tasks I have been trained and found competent to do; my duty to keep client information confidential; my duty to report suspected abuse, neglect, or exploitation to Georgia Adult Protective Services at 1-866-552-4464; and my duty to follow the policies in this handbook. I understand this handbook is not an employment contract and may be updated.</w:t>
      </w:r>
    </w:p>
    <w:p>
      <w:pPr>
        <w:pStyle w:val="Normal"/>
        <w:spacing w:before="240" w:after="0"/>
        <w:rPr/>
      </w:pPr>
      <w:r>
        <w:rPr>
          <w:rFonts w:eastAsia="Calibri" w:cs="Calibri"/>
          <w:b w:val="false"/>
          <w:bCs w:val="false"/>
          <w:i w:val="false"/>
          <w:iCs w:val="false"/>
          <w:color w:val="1A1A1A"/>
          <w:sz w:val="21"/>
          <w:szCs w:val="21"/>
        </w:rPr>
        <w:t>_______________________________________</w:t>
      </w:r>
    </w:p>
    <w:p>
      <w:pPr>
        <w:pStyle w:val="Normal"/>
        <w:spacing w:lineRule="exact" w:line="276" w:before="0" w:after="160"/>
        <w:jc w:val="start"/>
        <w:rPr/>
      </w:pPr>
      <w:r>
        <w:rPr>
          <w:rFonts w:eastAsia="Calibri" w:cs="Calibri"/>
          <w:b w:val="false"/>
          <w:bCs w:val="false"/>
          <w:i w:val="false"/>
          <w:iCs w:val="false"/>
          <w:color w:val="555555"/>
          <w:sz w:val="19"/>
          <w:szCs w:val="19"/>
        </w:rPr>
        <w:t>Employee name (print)</w:t>
      </w:r>
    </w:p>
    <w:p>
      <w:pPr>
        <w:pStyle w:val="Normal"/>
        <w:spacing w:before="120" w:after="0"/>
        <w:rPr/>
      </w:pPr>
      <w:r>
        <w:rPr>
          <w:rFonts w:eastAsia="Calibri" w:cs="Calibri"/>
          <w:b w:val="false"/>
          <w:bCs w:val="false"/>
          <w:i w:val="false"/>
          <w:iCs w:val="false"/>
          <w:color w:val="1A1A1A"/>
          <w:sz w:val="21"/>
          <w:szCs w:val="21"/>
        </w:rPr>
        <w:t>_______________________________________          ______________</w:t>
      </w:r>
    </w:p>
    <w:p>
      <w:pPr>
        <w:pStyle w:val="Normal"/>
        <w:spacing w:lineRule="exact" w:line="276" w:before="0" w:after="160"/>
        <w:jc w:val="start"/>
        <w:rPr/>
      </w:pPr>
      <w:r>
        <w:rPr>
          <w:rFonts w:eastAsia="Calibri" w:cs="Calibri"/>
          <w:b w:val="false"/>
          <w:bCs w:val="false"/>
          <w:i w:val="false"/>
          <w:iCs w:val="false"/>
          <w:color w:val="555555"/>
          <w:sz w:val="19"/>
          <w:szCs w:val="19"/>
        </w:rPr>
        <w:t>Employee signature                                     Date</w:t>
      </w:r>
    </w:p>
    <w:p>
      <w:pPr>
        <w:pStyle w:val="Normal"/>
        <w:spacing w:before="120" w:after="0"/>
        <w:rPr/>
      </w:pPr>
      <w:r>
        <w:rPr>
          <w:rFonts w:eastAsia="Calibri" w:cs="Calibri"/>
          <w:b w:val="false"/>
          <w:bCs w:val="false"/>
          <w:i w:val="false"/>
          <w:iCs w:val="false"/>
          <w:color w:val="1A1A1A"/>
          <w:sz w:val="21"/>
          <w:szCs w:val="21"/>
        </w:rPr>
        <w:t>_______________________________________          ______________</w:t>
      </w:r>
    </w:p>
    <w:p>
      <w:pPr>
        <w:pStyle w:val="Normal"/>
        <w:spacing w:lineRule="exact" w:line="276" w:before="0" w:after="0"/>
        <w:jc w:val="start"/>
        <w:rPr/>
      </w:pPr>
      <w:r>
        <w:rPr>
          <w:rFonts w:eastAsia="Calibri" w:cs="Calibri"/>
          <w:b w:val="false"/>
          <w:bCs w:val="false"/>
          <w:i w:val="false"/>
          <w:iCs w:val="false"/>
          <w:color w:val="555555"/>
          <w:sz w:val="19"/>
          <w:szCs w:val="19"/>
        </w:rPr>
        <w:t>Supervisor signature                                     Date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200" w:footer="708" w:bottom="12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Non-Medical Private Home Care  —  Ready to customize  —  Page </w:t>
    </w:r>
    <w:r>
      <w:rPr/>
      <w:fldChar w:fldCharType="begin"/>
    </w:r>
    <w:r>
      <w:rPr/>
      <w:instrText xml:space="preserve"> PAGE </w:instrText>
    </w:r>
    <w:r>
      <w:rPr/>
      <w:fldChar w:fldCharType="separate"/>
    </w:r>
    <w:r>
      <w:rPr/>
      <w:t>10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Non-Medical Private Home Care  —  Ready to customize  —  Page </w:t>
    </w:r>
    <w:r>
      <w:rPr/>
      <w:fldChar w:fldCharType="begin"/>
    </w:r>
    <w:r>
      <w:rPr/>
      <w:instrText xml:space="preserve"> PAGE </w:instrText>
    </w:r>
    <w:r>
      <w:rPr/>
      <w:fldChar w:fldCharType="separate"/>
    </w:r>
    <w:r>
      <w:rPr/>
      <w:t>10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Caregiver Handbook  •  Private Home Care (Georgia)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Caregiver Handbook  •  Private Home Care (Georgia)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2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1"/>
      <w:szCs w:val="21"/>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2026-07-11T04:06:01Z</dcterms:created>
  <dc:creator>PolicyReady.org</dc:creator>
  <dc:description/>
  <dc:language>en-US</dc:language>
  <cp:lastModifiedBy>Un-named</cp:lastModifiedBy>
  <dcterms:modified xsi:type="dcterms:W3CDTF">2026-07-11T04:06:01Z</dcterms:modified>
  <cp:revision>1</cp:revision>
  <dc:subject/>
  <dc:title>Georgia Private Home Care Provider (Non-Medical) — Caregiver Handbook</dc:title>
</cp:coreProperties>
</file>