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Substance Use Referral System</w:t>
            </w:r>
          </w:p>
          <w:p>
            <w:pPr>
              <w:pStyle w:val="Normal"/>
              <w:spacing w:before="0" w:after="0"/>
              <w:jc w:val="center"/>
              <w:rPr/>
            </w:pPr>
            <w:r>
              <w:rPr>
                <w:rFonts w:eastAsia="Calibri" w:cs="Calibri"/>
                <w:b/>
                <w:bCs/>
                <w:i w:val="false"/>
                <w:iCs w:val="false"/>
                <w:color w:val="FFFFFF"/>
                <w:sz w:val="34"/>
                <w:szCs w:val="34"/>
              </w:rPr>
              <w:t>California Edition</w:t>
            </w:r>
          </w:p>
        </w:tc>
      </w:tr>
    </w:tbl>
    <w:p>
      <w:pPr>
        <w:pStyle w:val="Normal"/>
        <w:spacing w:lineRule="exact" w:line="268" w:before="0" w:after="60"/>
        <w:jc w:val="center"/>
        <w:rPr/>
      </w:pPr>
      <w:r>
        <w:rPr>
          <w:rFonts w:eastAsia="Calibri" w:cs="Calibri"/>
          <w:b w:val="false"/>
          <w:bCs w:val="false"/>
          <w:i/>
          <w:iCs/>
          <w:color w:val="3E5871"/>
          <w:sz w:val="22"/>
          <w:szCs w:val="22"/>
        </w:rPr>
        <w:t>How a California licensed substance use treatment provider builds a steady stream of client referrals — the strategy, a verified directory of California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California licensed substance use treatment provider fills its caseload and beds through the systems that pay for and steer behavioral health care: the the county Drug Medi-Cal Organized Delivery System (DMC-ODS) and Medi-Cal Managed Care Plans that cover Medicaid members, the county Drug Medi-Cal Organized Delivery System (DMC-ODS) that runs the public SUD continuum, reached through the county SUD Access Line, the detox and withdrawal-management programs and the CA Bridge emergency departments that refer people to treatment, hospitals, and the courts (including drug and collaborative courts).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California,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California: by being in-network, being known, and being reliable. Read it once start to finish, then use it as a checklist. Everything here is general educational information for California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substance use provider, enroll as a California Medicaid provider, and contract with your county DMC-ODS and Medi-Cal plans and your county DMC-ODS so clients can be sent to you and you can be paid. Identify the sources that put clients in front of you — the county DMC-ODS and Medi-Cal plan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California Medicaid provider, and contract with your Medi-Cal Managed Care Plans and county DMC-ODS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county DMC-ODS and Medi-Cal plan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Medi-Cal Managed Care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Medi-Cal Managed Care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Medi-Cal Managed Care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California landscape of who puts behavioral health clients in front of a provider. Not all carry the same weight — Medi-Cal, the county DMC-ODS and its SUD Access Line, and the detox and court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the county Drug Medi-Cal Organized Delivery System (DMC-ODS) and Medi-Cal Managed Care Plans — the biggest for Medicaid. </w:t>
      </w:r>
      <w:r>
        <w:rPr>
          <w:rFonts w:eastAsia="Calibri" w:cs="Calibri"/>
          <w:b w:val="false"/>
          <w:bCs w:val="false"/>
          <w:i w:val="false"/>
          <w:iCs w:val="false"/>
          <w:color w:val="1A1A1A"/>
          <w:sz w:val="20"/>
          <w:szCs w:val="20"/>
        </w:rPr>
        <w:t>California's Medicaid behavioral health benefit is managed by regional Medi-Cal Managed Care Plans; their care coordinators refer members and authorize services. Being enrolled and in-network with your county DMC-ODS and Medi-Cal plans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county DMC-ODS &amp; SUD Access Line — the public system. </w:t>
      </w:r>
      <w:r>
        <w:rPr>
          <w:rFonts w:eastAsia="Calibri" w:cs="Calibri"/>
          <w:b w:val="false"/>
          <w:bCs w:val="false"/>
          <w:i w:val="false"/>
          <w:iCs w:val="false"/>
          <w:color w:val="1A1A1A"/>
          <w:sz w:val="20"/>
          <w:szCs w:val="20"/>
        </w:rPr>
        <w:t>California delivers Medi-Cal SUD treatment through county DMC-ODS systems following the ASAM continuum; people reach care through the county SUD Access Line, which screens and refers to contracted providers. Being a contracted DMC-ODS provider, and known to the Access Line,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withdrawal management &amp; CA Bridge EDs. </w:t>
      </w:r>
      <w:r>
        <w:rPr>
          <w:rFonts w:eastAsia="Calibri" w:cs="Calibri"/>
          <w:b w:val="false"/>
          <w:bCs w:val="false"/>
          <w:i w:val="false"/>
          <w:iCs w:val="false"/>
          <w:color w:val="1A1A1A"/>
          <w:sz w:val="20"/>
          <w:szCs w:val="20"/>
        </w:rPr>
        <w:t>Detox and withdrawal-management programs step clients down to ongoing treatment, and California’s CA Bridge emergency departments start medication for addiction treatment and refer to SUD providers — major sources of referrals. The 988 line also refers.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Withdrawal management &amp; detox. </w:t>
      </w:r>
      <w:r>
        <w:rPr>
          <w:rFonts w:eastAsia="Calibri" w:cs="Calibri"/>
          <w:b w:val="false"/>
          <w:bCs w:val="false"/>
          <w:i w:val="false"/>
          <w:iCs w:val="false"/>
          <w:color w:val="1A1A1A"/>
          <w:sz w:val="20"/>
          <w:szCs w:val="20"/>
        </w:rPr>
        <w:t>Detox programs step clients down to residential and outpatient substance use treatment — a core referral relationship for SUD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Drug and collaborative courts, probation and parole, diversion, and jail reentry refer large numbers of clients to treatment and need reliable compliance reporting.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Medi-Cal Managed Care Plans and county DMC-ODS,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DCF license for the levels of care you provide (outpatient, residential, detoxification)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California Medicaid provider and contract with your county DMC-ODS and Medi-Cal plans, and join your county DMC-ODS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county SUD Access Line, the detox and withdrawal-management programs,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California law also prohibits paying for patient referrals — Business &amp; Professions Code § 650 bars remuneration for referrals, and patient brokering in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Medi-Cal Managed Care Plan &amp; county DMC-ODS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&amp; withdrawal management want a warm handoff. </w:t>
      </w:r>
      <w:r>
        <w:rPr>
          <w:rFonts w:eastAsia="Calibri" w:cs="Calibri"/>
          <w:b w:val="false"/>
          <w:bCs w:val="false"/>
          <w:i w:val="false"/>
          <w:iCs w:val="false"/>
          <w:color w:val="1A1A1A"/>
          <w:sz w:val="20"/>
          <w:szCs w:val="20"/>
        </w:rPr>
        <w:t>They need the next level of care ready so the client does not fall through the gap after detox.</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Medi-Cal Managed Care Plans and county DMC-ODS,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Medi-Cal Managed Care Plans and county DMC-ODS,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[Medi-Cal Managed Care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(Medi-Cal Managed Care Plan, county DMC-ODS,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[Medi-Cal Managed Care Plan] and contracted with [county DMC-ODS].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Medi-Cal Managed Care Plan and county DMC-ODS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county DMC-ODS and Medi-Cal plans, county DMC-ODS,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Medi-Cal Managed Care Plan, county DMC-ODS,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Medi-Cal Managed Care Plan or county DMC-ODS,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Medi-Cal Managed Care Plan, county DMC-ODS,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12 — The Referral Lifecycle &amp; the Warm Handoff</w:t>
      </w:r>
    </w:p>
    <w:p>
      <w:pPr>
        <w:pStyle w:val="Normal"/>
        <w:spacing w:lineRule="exact" w:line="268" w:before="0" w:after="110"/>
        <w:jc w:val="start"/>
        <w:rPr/>
      </w:pPr>
      <w:r>
        <w:rPr>
          <w:rFonts w:eastAsia="Calibri" w:cs="Calibri"/>
          <w:b w:val="false"/>
          <w:bCs w:val="false"/>
          <w:i w:val="false"/>
          <w:iCs w:val="false"/>
          <w:color w:val="1A1A1A"/>
          <w:sz w:val="20"/>
          <w:szCs w:val="20"/>
        </w:rPr>
        <w:t>A referral is not a single event; it is a lifecycle, and you can lose a client at every stage. Understanding the stages — and where they break down — is what turns an occasional referral into a dependable stream.</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Inquiry. </w:t>
      </w:r>
      <w:r>
        <w:rPr>
          <w:rFonts w:eastAsia="Calibri" w:cs="Calibri"/>
          <w:b w:val="false"/>
          <w:bCs w:val="false"/>
          <w:i w:val="false"/>
          <w:iCs w:val="false"/>
          <w:color w:val="1A1A1A"/>
          <w:sz w:val="20"/>
          <w:szCs w:val="20"/>
        </w:rPr>
        <w:t>A referrer calls, emails, or sends a client. The clock starts now. The single biggest predictor of whether a referral converts is how fast you respond — practitioners who reach a referred person within 24 to 48 hours complete far more referrals than those who wait.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Screening &amp; eligibility. </w:t>
      </w:r>
      <w:r>
        <w:rPr>
          <w:rFonts w:eastAsia="Calibri" w:cs="Calibri"/>
          <w:b w:val="false"/>
          <w:bCs w:val="false"/>
          <w:i w:val="false"/>
          <w:iCs w:val="false"/>
          <w:color w:val="1A1A1A"/>
          <w:sz w:val="20"/>
          <w:szCs w:val="20"/>
        </w:rPr>
        <w:t>You quickly determine fit — level of care, payer, clinical appropriateness — and give the referrer a clear yes, no, or 'here is who I'd send them to instead.' A fast, honest answer is a gift, even when it is a no.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Admission / first appointment. </w:t>
      </w:r>
      <w:r>
        <w:rPr>
          <w:rFonts w:eastAsia="Calibri" w:cs="Calibri"/>
          <w:b w:val="false"/>
          <w:bCs w:val="false"/>
          <w:i w:val="false"/>
          <w:iCs w:val="false"/>
          <w:color w:val="1A1A1A"/>
          <w:sz w:val="20"/>
          <w:szCs w:val="20"/>
        </w:rPr>
        <w:t>You make the first step easy: a single intake contact, minimal friction, and a quick first appointment or bed offer.</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Engagement. </w:t>
      </w:r>
      <w:r>
        <w:rPr>
          <w:rFonts w:eastAsia="Calibri" w:cs="Calibri"/>
          <w:b w:val="false"/>
          <w:bCs w:val="false"/>
          <w:i w:val="false"/>
          <w:iCs w:val="false"/>
          <w:color w:val="1A1A1A"/>
          <w:sz w:val="20"/>
          <w:szCs w:val="20"/>
        </w:rPr>
        <w:t>The client actually starts and stays. Referrers watch whether the people they send you disappear or get better.</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 warm handoff at transition. </w:t>
      </w:r>
      <w:r>
        <w:rPr>
          <w:rFonts w:eastAsia="Calibri" w:cs="Calibri"/>
          <w:b w:val="false"/>
          <w:bCs w:val="false"/>
          <w:i w:val="false"/>
          <w:iCs w:val="false"/>
          <w:color w:val="1A1A1A"/>
          <w:sz w:val="20"/>
          <w:szCs w:val="20"/>
        </w:rPr>
        <w:t>When a client moves between levels of care — detox to residential, residential to outpatient, crisis to community — you connect them directly to the next provider rather than handing them a phone number.</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The feedback loop. </w:t>
      </w:r>
      <w:r>
        <w:rPr>
          <w:rFonts w:eastAsia="Calibri" w:cs="Calibri"/>
          <w:b w:val="false"/>
          <w:bCs w:val="false"/>
          <w:i w:val="false"/>
          <w:iCs w:val="false"/>
          <w:color w:val="1A1A1A"/>
          <w:sz w:val="20"/>
          <w:szCs w:val="20"/>
        </w:rPr>
        <w:t>You close the loop with the original referrer (with proper consent) so they know the client is safe and progressing. This is what earns the next referral.</w:t>
      </w:r>
    </w:p>
    <w:p>
      <w:pPr>
        <w:pStyle w:val="Normal"/>
        <w:keepNext w:val="true"/>
        <w:spacing w:before="140" w:after="60"/>
        <w:rPr/>
      </w:pPr>
      <w:r>
        <w:rPr>
          <w:rFonts w:eastAsia="Calibri" w:cs="Calibri"/>
          <w:b/>
          <w:bCs/>
          <w:i w:val="false"/>
          <w:iCs w:val="false"/>
          <w:color w:val="3E5871"/>
          <w:sz w:val="21"/>
          <w:szCs w:val="21"/>
        </w:rPr>
        <w:t>The warm handoff: the highest-value habit you can build</w:t>
      </w:r>
    </w:p>
    <w:p>
      <w:pPr>
        <w:pStyle w:val="Normal"/>
        <w:spacing w:lineRule="exact" w:line="268" w:before="0" w:after="110"/>
        <w:jc w:val="start"/>
        <w:rPr/>
      </w:pPr>
      <w:r>
        <w:rPr>
          <w:rFonts w:eastAsia="Calibri" w:cs="Calibri"/>
          <w:b w:val="false"/>
          <w:bCs w:val="false"/>
          <w:i w:val="false"/>
          <w:iCs w:val="false"/>
          <w:color w:val="1A1A1A"/>
          <w:sz w:val="20"/>
          <w:szCs w:val="20"/>
        </w:rPr>
        <w:t>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Make the warm handoff your standard</w:t>
            </w:r>
          </w:p>
          <w:p>
            <w:pPr>
              <w:pStyle w:val="Normal"/>
              <w:spacing w:lineRule="exact" w:line="264" w:before="0" w:after="0"/>
              <w:rPr/>
            </w:pPr>
            <w:r>
              <w:rPr>
                <w:rFonts w:eastAsia="Calibri" w:cs="Calibri"/>
                <w:b w:val="false"/>
                <w:bCs w:val="false"/>
                <w:i w:val="false"/>
                <w:iCs w:val="false"/>
                <w:color w:val="1A1A1A"/>
                <w:sz w:val="19"/>
                <w:szCs w:val="19"/>
              </w:rPr>
              <w:t>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pStyle w:val="Normal"/>
        <w:keepNext w:val="true"/>
        <w:spacing w:before="220" w:after="90"/>
        <w:rPr/>
      </w:pPr>
      <w:r>
        <w:rPr>
          <w:rFonts w:eastAsia="Calibri" w:cs="Calibri"/>
          <w:b/>
          <w:bCs/>
          <w:i w:val="false"/>
          <w:iCs w:val="false"/>
          <w:color w:val="1F3A5F"/>
          <w:sz w:val="26"/>
          <w:szCs w:val="26"/>
        </w:rPr>
        <w:t>Part 13 — Running a Great First Meeting With a Referral Source</w:t>
      </w:r>
    </w:p>
    <w:p>
      <w:pPr>
        <w:pStyle w:val="Normal"/>
        <w:spacing w:lineRule="exact" w:line="268" w:before="0" w:after="110"/>
        <w:jc w:val="start"/>
        <w:rPr/>
      </w:pPr>
      <w:r>
        <w:rPr>
          <w:rFonts w:eastAsia="Calibri" w:cs="Calibri"/>
          <w:b w:val="false"/>
          <w:bCs w:val="false"/>
          <w:i w:val="false"/>
          <w:iCs w:val="false"/>
          <w:color w:val="1A1A1A"/>
          <w:sz w:val="20"/>
          <w:szCs w:val="20"/>
        </w:rPr>
        <w:t>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Prepare. </w:t>
      </w:r>
      <w:r>
        <w:rPr>
          <w:rFonts w:eastAsia="Calibri" w:cs="Calibri"/>
          <w:b w:val="false"/>
          <w:bCs w:val="false"/>
          <w:i w:val="false"/>
          <w:iCs w:val="false"/>
          <w:color w:val="1A1A1A"/>
          <w:sz w:val="20"/>
          <w:szCs w:val="20"/>
        </w:rPr>
        <w:t>Learn what that source does, who they serve, and the pressure they are under before you walk in. Bring your one-page capabilities summary and your current openings.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Lead with their problem, not your brochure. </w:t>
      </w:r>
      <w:r>
        <w:rPr>
          <w:rFonts w:eastAsia="Calibri" w:cs="Calibri"/>
          <w:b w:val="false"/>
          <w:bCs w:val="false"/>
          <w:i w:val="false"/>
          <w:iCs w:val="false"/>
          <w:color w:val="1A1A1A"/>
          <w:sz w:val="20"/>
          <w:szCs w:val="20"/>
        </w:rPr>
        <w:t>Open with a question: 'What kind of client is hardest for you to place right now?' Then show how you solve exactly that.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specific and honest about fit. </w:t>
      </w:r>
      <w:r>
        <w:rPr>
          <w:rFonts w:eastAsia="Calibri" w:cs="Calibri"/>
          <w:b w:val="false"/>
          <w:bCs w:val="false"/>
          <w:i w:val="false"/>
          <w:iCs w:val="false"/>
          <w:color w:val="1A1A1A"/>
          <w:sz w:val="20"/>
          <w:szCs w:val="20"/>
        </w:rPr>
        <w:t>Say clearly who you serve well and who you are not right for. Referrers trust the provider who declines a poor fit far more than the one who says yes to everything.</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Make the next step effortless. </w:t>
      </w:r>
      <w:r>
        <w:rPr>
          <w:rFonts w:eastAsia="Calibri" w:cs="Calibri"/>
          <w:b w:val="false"/>
          <w:bCs w:val="false"/>
          <w:i w:val="false"/>
          <w:iCs w:val="false"/>
          <w:color w:val="1A1A1A"/>
          <w:sz w:val="20"/>
          <w:szCs w:val="20"/>
        </w:rPr>
        <w:t>Leave them with one intake phone number, one email, your response-time promise, and your name. Ask exactly how they prefer to send a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Follow up within 48 hours. </w:t>
      </w:r>
      <w:r>
        <w:rPr>
          <w:rFonts w:eastAsia="Calibri" w:cs="Calibri"/>
          <w:b w:val="false"/>
          <w:bCs w:val="false"/>
          <w:i w:val="false"/>
          <w:iCs w:val="false"/>
          <w:color w:val="1A1A1A"/>
          <w:sz w:val="20"/>
          <w:szCs w:val="20"/>
        </w:rPr>
        <w:t>A short thank-you note that restates your intake contact and openings turns a pleasant meeting into a working relationship.</w:t>
      </w:r>
    </w:p>
    <w:p>
      <w:pPr>
        <w:pStyle w:val="Normal"/>
        <w:keepNext w:val="true"/>
        <w:spacing w:before="220" w:after="90"/>
        <w:rPr/>
      </w:pPr>
      <w:r>
        <w:rPr>
          <w:rFonts w:eastAsia="Calibri" w:cs="Calibri"/>
          <w:b/>
          <w:bCs/>
          <w:i w:val="false"/>
          <w:iCs w:val="false"/>
          <w:color w:val="1F3A5F"/>
          <w:sz w:val="26"/>
          <w:szCs w:val="26"/>
        </w:rPr>
        <w:t>Part 14 — Formal Relationships Without Paying for Referrals</w:t>
      </w:r>
    </w:p>
    <w:p>
      <w:pPr>
        <w:pStyle w:val="Normal"/>
        <w:spacing w:lineRule="exact" w:line="268" w:before="0" w:after="110"/>
        <w:jc w:val="start"/>
        <w:rPr/>
      </w:pPr>
      <w:r>
        <w:rPr>
          <w:rFonts w:eastAsia="Calibri" w:cs="Calibri"/>
          <w:b w:val="false"/>
          <w:bCs w:val="false"/>
          <w:i w:val="false"/>
          <w:iCs w:val="false"/>
          <w:color w:val="1A1A1A"/>
          <w:sz w:val="20"/>
          <w:szCs w:val="20"/>
        </w:rPr>
        <w:t>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pStyle w:val="Normal"/>
        <w:keepNext w:val="true"/>
        <w:spacing w:before="140" w:after="60"/>
        <w:rPr/>
      </w:pPr>
      <w:r>
        <w:rPr>
          <w:rFonts w:eastAsia="Calibri" w:cs="Calibri"/>
          <w:b/>
          <w:bCs/>
          <w:i w:val="false"/>
          <w:iCs w:val="false"/>
          <w:color w:val="3E5871"/>
          <w:sz w:val="21"/>
          <w:szCs w:val="21"/>
        </w:rPr>
        <w:t>What a compliant care-coordination agreement can do</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Define how two providers will communicate, share information (within 42 CFR Part 2 and HIPAA consent), and coordinate transitions and warm handoffs.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Set expectations for response times, on-call contacts, and joint treatment planning.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Describe a genuine clinical or operational relationship — not a promise to send a certain number of clients, and not any payment tied to volume of referrals.</w:t>
      </w:r>
    </w:p>
    <w:p>
      <w:pPr>
        <w:pStyle w:val="Normal"/>
        <w:keepNext w:val="true"/>
        <w:spacing w:before="140" w:after="60"/>
        <w:rPr/>
      </w:pPr>
      <w:r>
        <w:rPr>
          <w:rFonts w:eastAsia="Calibri" w:cs="Calibri"/>
          <w:b/>
          <w:bCs/>
          <w:i w:val="false"/>
          <w:iCs w:val="false"/>
          <w:color w:val="3E5871"/>
          <w:sz w:val="21"/>
          <w:szCs w:val="21"/>
        </w:rPr>
        <w:t>Where the legal line sits — in practice</w:t>
      </w:r>
    </w:p>
    <w:p>
      <w:pPr>
        <w:pStyle w:val="Normal"/>
        <w:spacing w:lineRule="exact" w:line="268" w:before="0" w:after="110"/>
        <w:jc w:val="start"/>
        <w:rPr/>
      </w:pPr>
      <w:r>
        <w:rPr>
          <w:rFonts w:eastAsia="Calibri" w:cs="Calibri"/>
          <w:b w:val="false"/>
          <w:bCs w:val="false"/>
          <w:i w:val="false"/>
          <w:iCs w:val="false"/>
          <w:color w:val="1A1A1A"/>
          <w:sz w:val="20"/>
          <w:szCs w:val="20"/>
        </w:rPr>
        <w:t>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Not allowed: </w:t>
      </w:r>
      <w:r>
        <w:rPr>
          <w:rFonts w:eastAsia="Calibri" w:cs="Calibri"/>
          <w:b w:val="false"/>
          <w:bCs w:val="false"/>
          <w:i w:val="false"/>
          <w:iCs w:val="false"/>
          <w:color w:val="1A1A1A"/>
          <w:sz w:val="20"/>
          <w:szCs w:val="20"/>
        </w:rPr>
        <w:t>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Allowed: </w:t>
      </w:r>
      <w:r>
        <w:rPr>
          <w:rFonts w:eastAsia="Calibri" w:cs="Calibri"/>
          <w:b w:val="false"/>
          <w:bCs w:val="false"/>
          <w:i w:val="false"/>
          <w:iCs w:val="false"/>
          <w:color w:val="1A1A1A"/>
          <w:sz w:val="20"/>
          <w:szCs w:val="20"/>
        </w:rPr>
        <w:t>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simple test</w:t>
            </w:r>
          </w:p>
          <w:p>
            <w:pPr>
              <w:pStyle w:val="Normal"/>
              <w:spacing w:lineRule="exact" w:line="264" w:before="0" w:after="0"/>
              <w:rPr/>
            </w:pPr>
            <w:r>
              <w:rPr>
                <w:rFonts w:eastAsia="Calibri" w:cs="Calibri"/>
                <w:b w:val="false"/>
                <w:bCs w:val="false"/>
                <w:i w:val="false"/>
                <w:iCs w:val="false"/>
                <w:color w:val="1A1A1A"/>
                <w:sz w:val="19"/>
                <w:szCs w:val="19"/>
              </w:rPr>
              <w:t>If money or anything of value moves because a client was referred, stop and get qualified counsel before you sign or pay. Earn referrals through reliability and relationships — never buy them. A single patient-brokering charge can end a program.</w:t>
            </w:r>
          </w:p>
        </w:tc>
      </w:tr>
    </w:tbl>
    <w:p>
      <w:pPr>
        <w:pStyle w:val="Normal"/>
        <w:keepNext w:val="true"/>
        <w:spacing w:before="220" w:after="90"/>
        <w:rPr/>
      </w:pPr>
      <w:r>
        <w:rPr>
          <w:rFonts w:eastAsia="Calibri" w:cs="Calibri"/>
          <w:b/>
          <w:bCs/>
          <w:i w:val="false"/>
          <w:iCs w:val="false"/>
          <w:color w:val="1F3A5F"/>
          <w:sz w:val="26"/>
          <w:szCs w:val="26"/>
        </w:rPr>
        <w:t>Part 15 — Your Intake &amp; Admissions Experience Is Your Referral Engine</w:t>
      </w:r>
    </w:p>
    <w:p>
      <w:pPr>
        <w:pStyle w:val="Normal"/>
        <w:spacing w:lineRule="exact" w:line="268" w:before="0" w:after="110"/>
        <w:jc w:val="start"/>
        <w:rPr/>
      </w:pPr>
      <w:r>
        <w:rPr>
          <w:rFonts w:eastAsia="Calibri" w:cs="Calibri"/>
          <w:b w:val="false"/>
          <w:bCs w:val="false"/>
          <w:i w:val="false"/>
          <w:iCs w:val="false"/>
          <w:color w:val="1A1A1A"/>
          <w:sz w:val="20"/>
          <w:szCs w:val="20"/>
        </w:rPr>
        <w:t>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Answer fast, every time. </w:t>
      </w:r>
      <w:r>
        <w:rPr>
          <w:rFonts w:eastAsia="Calibri" w:cs="Calibri"/>
          <w:b w:val="false"/>
          <w:bCs w:val="false"/>
          <w:i w:val="false"/>
          <w:iCs w:val="false"/>
          <w:color w:val="1A1A1A"/>
          <w:sz w:val="20"/>
          <w:szCs w:val="20"/>
        </w:rPr>
        <w:t>Same-day — ideally within a couple of hours. Every unanswered call or slow response is a referral quietly going to a competitor.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Give one point of contact. </w:t>
      </w:r>
      <w:r>
        <w:rPr>
          <w:rFonts w:eastAsia="Calibri" w:cs="Calibri"/>
          <w:b w:val="false"/>
          <w:bCs w:val="false"/>
          <w:i w:val="false"/>
          <w:iCs w:val="false"/>
          <w:color w:val="1A1A1A"/>
          <w:sz w:val="20"/>
          <w:szCs w:val="20"/>
        </w:rPr>
        <w:t>A named intake person or line the referrer can reach directly, not a general voicemail. Referrers reuse the provider who is easy to reach.</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or no clearly and quickly. </w:t>
      </w:r>
      <w:r>
        <w:rPr>
          <w:rFonts w:eastAsia="Calibri" w:cs="Calibri"/>
          <w:b w:val="false"/>
          <w:bCs w:val="false"/>
          <w:i w:val="false"/>
          <w:iCs w:val="false"/>
          <w:color w:val="1A1A1A"/>
          <w:sz w:val="20"/>
          <w:szCs w:val="20"/>
        </w:rPr>
        <w:t>A fast, honest decision — even a no with a suggestion of where else to try — respects the referrer's time pressure and earns trust.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Reduce friction for the client. </w:t>
      </w:r>
      <w:r>
        <w:rPr>
          <w:rFonts w:eastAsia="Calibri" w:cs="Calibri"/>
          <w:b w:val="false"/>
          <w:bCs w:val="false"/>
          <w:i w:val="false"/>
          <w:iCs w:val="false"/>
          <w:color w:val="1A1A1A"/>
          <w:sz w:val="20"/>
          <w:szCs w:val="20"/>
        </w:rPr>
        <w:t>Simple paperwork, help with transportation and benefits, and a quick first appointment or bed offer keep the referral from falling apart at the last step.</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Close the loop. </w:t>
      </w:r>
      <w:r>
        <w:rPr>
          <w:rFonts w:eastAsia="Calibri" w:cs="Calibri"/>
          <w:b w:val="false"/>
          <w:bCs w:val="false"/>
          <w:i w:val="false"/>
          <w:iCs w:val="false"/>
          <w:color w:val="1A1A1A"/>
          <w:sz w:val="20"/>
          <w:szCs w:val="20"/>
        </w:rPr>
        <w:t>Tell the referrer you accepted, and later that the client engaged (with consent). Silence after intake is the most common way providers lose a referral source.</w:t>
      </w:r>
    </w:p>
    <w:p>
      <w:pPr>
        <w:pStyle w:val="Normal"/>
        <w:keepNext w:val="true"/>
        <w:spacing w:before="220" w:after="90"/>
        <w:rPr/>
      </w:pPr>
      <w:r>
        <w:rPr>
          <w:rFonts w:eastAsia="Calibri" w:cs="Calibri"/>
          <w:b/>
          <w:bCs/>
          <w:i w:val="false"/>
          <w:iCs w:val="false"/>
          <w:color w:val="1F3A5F"/>
          <w:sz w:val="26"/>
          <w:szCs w:val="26"/>
        </w:rPr>
        <w:t>Part 16 — Reputation, Outcomes &amp; Accreditation</w:t>
      </w:r>
    </w:p>
    <w:p>
      <w:pPr>
        <w:pStyle w:val="Normal"/>
        <w:spacing w:lineRule="exact" w:line="268" w:before="0" w:after="110"/>
        <w:jc w:val="start"/>
        <w:rPr/>
      </w:pPr>
      <w:r>
        <w:rPr>
          <w:rFonts w:eastAsia="Calibri" w:cs="Calibri"/>
          <w:b w:val="false"/>
          <w:bCs w:val="false"/>
          <w:i w:val="false"/>
          <w:iCs w:val="false"/>
          <w:color w:val="1A1A1A"/>
          <w:sz w:val="20"/>
          <w:szCs w:val="20"/>
        </w:rPr>
        <w:t>Over time, referrals flow toward providers with a reputation for getting results and being safe to send people to. You build that reputation deliberately.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Track and share outcomes (appropriately). </w:t>
      </w:r>
      <w:r>
        <w:rPr>
          <w:rFonts w:eastAsia="Calibri" w:cs="Calibri"/>
          <w:b w:val="false"/>
          <w:bCs w:val="false"/>
          <w:i w:val="false"/>
          <w:iCs w:val="false"/>
          <w:color w:val="1A1A1A"/>
          <w:sz w:val="20"/>
          <w:szCs w:val="20"/>
        </w:rPr>
        <w:t>Engagement rates, completion rates, and reductions in crisis or readmission are the language referrers care about. A provider who can say 'the clients you send us stay engaged' has an enormous advantage.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Manage your online reputation. </w:t>
      </w:r>
      <w:r>
        <w:rPr>
          <w:rFonts w:eastAsia="Calibri" w:cs="Calibri"/>
          <w:b w:val="false"/>
          <w:bCs w:val="false"/>
          <w:i w:val="false"/>
          <w:iCs w:val="false"/>
          <w:color w:val="1A1A1A"/>
          <w:sz w:val="20"/>
          <w:szCs w:val="20"/>
        </w:rPr>
        <w:t>Referrers and families look you up. A current, professional online presence and thoughtful responses to reviews signal that you are credible and safe.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Consider accreditation. </w:t>
      </w:r>
      <w:r>
        <w:rPr>
          <w:rFonts w:eastAsia="Calibri" w:cs="Calibri"/>
          <w:b w:val="false"/>
          <w:bCs w:val="false"/>
          <w:i w:val="false"/>
          <w:iCs w:val="false"/>
          <w:color w:val="1A1A1A"/>
          <w:sz w:val="20"/>
          <w:szCs w:val="20"/>
        </w:rPr>
        <w:t>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Never let a referred client bounce back needlessly. </w:t>
      </w:r>
      <w:r>
        <w:rPr>
          <w:rFonts w:eastAsia="Calibri" w:cs="Calibri"/>
          <w:b w:val="false"/>
          <w:bCs w:val="false"/>
          <w:i w:val="false"/>
          <w:iCs w:val="false"/>
          <w:color w:val="1A1A1A"/>
          <w:sz w:val="20"/>
          <w:szCs w:val="20"/>
        </w:rPr>
        <w:t>The strongest reputation-builder of all is simple: the people they send you get better and do not return to crisis. That makes the referrer look good — and they remember.</w:t>
      </w:r>
    </w:p>
    <w:p>
      <w:pPr>
        <w:pStyle w:val="Normal"/>
        <w:keepNext w:val="true"/>
        <w:spacing w:before="220" w:after="90"/>
        <w:rPr/>
      </w:pPr>
      <w:r>
        <w:rPr>
          <w:rFonts w:eastAsia="Calibri" w:cs="Calibri"/>
          <w:b/>
          <w:bCs/>
          <w:i w:val="false"/>
          <w:iCs w:val="false"/>
          <w:color w:val="1F3A5F"/>
          <w:sz w:val="26"/>
          <w:szCs w:val="26"/>
        </w:rPr>
        <w:t>Part 17 — Community Education, Objections &amp; Your 12-Month Rhythm</w:t>
      </w:r>
    </w:p>
    <w:p>
      <w:pPr>
        <w:pStyle w:val="Normal"/>
        <w:keepNext w:val="true"/>
        <w:spacing w:before="140" w:after="60"/>
        <w:rPr/>
      </w:pPr>
      <w:r>
        <w:rPr>
          <w:rFonts w:eastAsia="Calibri" w:cs="Calibri"/>
          <w:b/>
          <w:bCs/>
          <w:i w:val="false"/>
          <w:iCs w:val="false"/>
          <w:color w:val="3E5871"/>
          <w:sz w:val="21"/>
          <w:szCs w:val="21"/>
        </w:rPr>
        <w:t>Be the educator</w:t>
      </w:r>
    </w:p>
    <w:p>
      <w:pPr>
        <w:pStyle w:val="Normal"/>
        <w:spacing w:lineRule="exact" w:line="268" w:before="0" w:after="110"/>
        <w:jc w:val="start"/>
        <w:rPr/>
      </w:pPr>
      <w:r>
        <w:rPr>
          <w:rFonts w:eastAsia="Calibri" w:cs="Calibri"/>
          <w:b w:val="false"/>
          <w:bCs w:val="false"/>
          <w:i w:val="false"/>
          <w:iCs w:val="false"/>
          <w:color w:val="1A1A1A"/>
          <w:sz w:val="20"/>
          <w:szCs w:val="20"/>
        </w:rPr>
        <w:t>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pStyle w:val="Normal"/>
        <w:keepNext w:val="true"/>
        <w:spacing w:before="140" w:after="60"/>
        <w:rPr/>
      </w:pPr>
      <w:r>
        <w:rPr>
          <w:rFonts w:eastAsia="Calibri" w:cs="Calibri"/>
          <w:b/>
          <w:bCs/>
          <w:i w:val="false"/>
          <w:iCs w:val="false"/>
          <w:color w:val="3E5871"/>
          <w:sz w:val="21"/>
          <w:szCs w:val="21"/>
        </w:rPr>
        <w:t>Answering the objections referrers raise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 don't know if you have space.' </w:t>
      </w:r>
      <w:r>
        <w:rPr>
          <w:rFonts w:eastAsia="Calibri" w:cs="Calibri"/>
          <w:b w:val="false"/>
          <w:bCs w:val="false"/>
          <w:i w:val="false"/>
          <w:iCs w:val="false"/>
          <w:color w:val="1A1A1A"/>
          <w:sz w:val="20"/>
          <w:szCs w:val="20"/>
        </w:rPr>
        <w:t>Keep your availability current with them and in any bed or referral platform, and answer instantly when they ask.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'I'm not sure you take our clients / payer.' </w:t>
      </w:r>
      <w:r>
        <w:rPr>
          <w:rFonts w:eastAsia="Calibri" w:cs="Calibri"/>
          <w:b w:val="false"/>
          <w:bCs w:val="false"/>
          <w:i w:val="false"/>
          <w:iCs w:val="false"/>
          <w:color w:val="1A1A1A"/>
          <w:sz w:val="20"/>
          <w:szCs w:val="20"/>
        </w:rPr>
        <w:t>Be crystal clear about who you serve and which payers and networks you accept.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'Last time I referred somewhere, I never heard back.' </w:t>
      </w:r>
      <w:r>
        <w:rPr>
          <w:rFonts w:eastAsia="Calibri" w:cs="Calibri"/>
          <w:b w:val="false"/>
          <w:bCs w:val="false"/>
          <w:i w:val="false"/>
          <w:iCs w:val="false"/>
          <w:color w:val="1A1A1A"/>
          <w:sz w:val="20"/>
          <w:szCs w:val="20"/>
        </w:rPr>
        <w:t>Lead with your communication promise and then keep it — this is the objection you win by being different.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'Will my client actually get better?' </w:t>
      </w:r>
      <w:r>
        <w:rPr>
          <w:rFonts w:eastAsia="Calibri" w:cs="Calibri"/>
          <w:b w:val="false"/>
          <w:bCs w:val="false"/>
          <w:i w:val="false"/>
          <w:iCs w:val="false"/>
          <w:color w:val="1A1A1A"/>
          <w:sz w:val="20"/>
          <w:szCs w:val="20"/>
        </w:rPr>
        <w:t>Share your approach and outcomes honestly, and let a track record of engaged clients speak for you.</w:t>
      </w:r>
    </w:p>
    <w:p>
      <w:pPr>
        <w:pStyle w:val="Normal"/>
        <w:keepNext w:val="true"/>
        <w:spacing w:before="140" w:after="60"/>
        <w:rPr/>
      </w:pPr>
      <w:r>
        <w:rPr>
          <w:rFonts w:eastAsia="Calibri" w:cs="Calibri"/>
          <w:b/>
          <w:bCs/>
          <w:i w:val="false"/>
          <w:iCs w:val="false"/>
          <w:color w:val="3E5871"/>
          <w:sz w:val="21"/>
          <w:szCs w:val="21"/>
        </w:rPr>
        <w:t>A twelve-month relationship rhythm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pStyle w:val="Normal"/>
        <w:keepNext w:val="true"/>
        <w:spacing w:before="220" w:after="90"/>
        <w:rPr/>
      </w:pPr>
      <w:r>
        <w:rPr>
          <w:rFonts w:eastAsia="Calibri" w:cs="Calibri"/>
          <w:b/>
          <w:bCs/>
          <w:i w:val="false"/>
          <w:iCs w:val="false"/>
          <w:color w:val="1F3A5F"/>
          <w:sz w:val="26"/>
          <w:szCs w:val="26"/>
        </w:rPr>
        <w:t>Part 18 — Source-Type Playbooks: Each Referrer Is Different</w:t>
      </w:r>
    </w:p>
    <w:p>
      <w:pPr>
        <w:pStyle w:val="Normal"/>
        <w:spacing w:lineRule="exact" w:line="268" w:before="0" w:after="110"/>
        <w:jc w:val="start"/>
        <w:rPr/>
      </w:pPr>
      <w:r>
        <w:rPr>
          <w:rFonts w:eastAsia="Calibri" w:cs="Calibri"/>
          <w:b w:val="false"/>
          <w:bCs w:val="false"/>
          <w:i w:val="false"/>
          <w:iCs w:val="false"/>
          <w:color w:val="1A1A1A"/>
          <w:sz w:val="20"/>
          <w:szCs w:val="20"/>
        </w:rPr>
        <w:t>A hospital discharge planner, a drug-court coordinator, a primary care clinic, and a child-welfare caseworker all send clients — but they have different pressures, different timelines, and different definitions of a good provider. Tailor your approach to each.</w:t>
      </w:r>
    </w:p>
    <w:p>
      <w:pPr>
        <w:pStyle w:val="Normal"/>
        <w:keepNext w:val="true"/>
        <w:spacing w:before="140" w:after="60"/>
        <w:rPr/>
      </w:pPr>
      <w:r>
        <w:rPr>
          <w:rFonts w:eastAsia="Calibri" w:cs="Calibri"/>
          <w:b/>
          <w:bCs/>
          <w:i w:val="false"/>
          <w:iCs w:val="false"/>
          <w:color w:val="3E5871"/>
          <w:sz w:val="21"/>
          <w:szCs w:val="21"/>
        </w:rPr>
        <w:t>Hospitals &amp; emergency departments</w:t>
      </w:r>
    </w:p>
    <w:p>
      <w:pPr>
        <w:pStyle w:val="Normal"/>
        <w:spacing w:lineRule="exact" w:line="268" w:before="0" w:after="110"/>
        <w:jc w:val="start"/>
        <w:rPr/>
      </w:pPr>
      <w:r>
        <w:rPr>
          <w:rFonts w:eastAsia="Calibri" w:cs="Calibri"/>
          <w:b w:val="false"/>
          <w:bCs w:val="false"/>
          <w:i w:val="false"/>
          <w:iCs w:val="false"/>
          <w:color w:val="1A1A1A"/>
          <w:sz w:val="20"/>
          <w:szCs w:val="20"/>
        </w:rPr>
        <w:t>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pStyle w:val="Normal"/>
        <w:keepNext w:val="true"/>
        <w:spacing w:before="140" w:after="60"/>
        <w:rPr/>
      </w:pPr>
      <w:r>
        <w:rPr>
          <w:rFonts w:eastAsia="Calibri" w:cs="Calibri"/>
          <w:b/>
          <w:bCs/>
          <w:i w:val="false"/>
          <w:iCs w:val="false"/>
          <w:color w:val="3E5871"/>
          <w:sz w:val="21"/>
          <w:szCs w:val="21"/>
        </w:rPr>
        <w:t>Courts &amp; criminal justice</w:t>
      </w:r>
    </w:p>
    <w:p>
      <w:pPr>
        <w:pStyle w:val="Normal"/>
        <w:spacing w:lineRule="exact" w:line="268" w:before="0" w:after="110"/>
        <w:jc w:val="start"/>
        <w:rPr/>
      </w:pPr>
      <w:r>
        <w:rPr>
          <w:rFonts w:eastAsia="Calibri" w:cs="Calibri"/>
          <w:b w:val="false"/>
          <w:bCs w:val="false"/>
          <w:i w:val="false"/>
          <w:iCs w:val="false"/>
          <w:color w:val="1A1A1A"/>
          <w:sz w:val="20"/>
          <w:szCs w:val="20"/>
        </w:rPr>
        <w:t>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pStyle w:val="Normal"/>
        <w:keepNext w:val="true"/>
        <w:spacing w:before="140" w:after="60"/>
        <w:rPr/>
      </w:pPr>
      <w:r>
        <w:rPr>
          <w:rFonts w:eastAsia="Calibri" w:cs="Calibri"/>
          <w:b/>
          <w:bCs/>
          <w:i w:val="false"/>
          <w:iCs w:val="false"/>
          <w:color w:val="3E5871"/>
          <w:sz w:val="21"/>
          <w:szCs w:val="21"/>
        </w:rPr>
        <w:t>Primary care &amp; FQHCs</w:t>
      </w:r>
    </w:p>
    <w:p>
      <w:pPr>
        <w:pStyle w:val="Normal"/>
        <w:spacing w:lineRule="exact" w:line="268" w:before="0" w:after="110"/>
        <w:jc w:val="start"/>
        <w:rPr/>
      </w:pPr>
      <w:r>
        <w:rPr>
          <w:rFonts w:eastAsia="Calibri" w:cs="Calibri"/>
          <w:b w:val="false"/>
          <w:bCs w:val="false"/>
          <w:i w:val="false"/>
          <w:iCs w:val="false"/>
          <w:color w:val="1A1A1A"/>
          <w:sz w:val="20"/>
          <w:szCs w:val="20"/>
        </w:rPr>
        <w:t>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pStyle w:val="Normal"/>
        <w:keepNext w:val="true"/>
        <w:spacing w:before="140" w:after="60"/>
        <w:rPr/>
      </w:pPr>
      <w:r>
        <w:rPr>
          <w:rFonts w:eastAsia="Calibri" w:cs="Calibri"/>
          <w:b/>
          <w:bCs/>
          <w:i w:val="false"/>
          <w:iCs w:val="false"/>
          <w:color w:val="3E5871"/>
          <w:sz w:val="21"/>
          <w:szCs w:val="21"/>
        </w:rPr>
        <w:t>Schools, child welfare &amp; social services</w:t>
      </w:r>
    </w:p>
    <w:p>
      <w:pPr>
        <w:pStyle w:val="Normal"/>
        <w:spacing w:lineRule="exact" w:line="268" w:before="0" w:after="110"/>
        <w:jc w:val="start"/>
        <w:rPr/>
      </w:pPr>
      <w:r>
        <w:rPr>
          <w:rFonts w:eastAsia="Calibri" w:cs="Calibri"/>
          <w:b w:val="false"/>
          <w:bCs w:val="false"/>
          <w:i w:val="false"/>
          <w:iCs w:val="false"/>
          <w:color w:val="1A1A1A"/>
          <w:sz w:val="20"/>
          <w:szCs w:val="20"/>
        </w:rPr>
        <w:t>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pStyle w:val="Normal"/>
        <w:keepNext w:val="true"/>
        <w:spacing w:before="220" w:after="90"/>
        <w:rPr/>
      </w:pPr>
      <w:r>
        <w:rPr>
          <w:rFonts w:eastAsia="Calibri" w:cs="Calibri"/>
          <w:b/>
          <w:bCs/>
          <w:i w:val="false"/>
          <w:iCs w:val="false"/>
          <w:color w:val="1F3A5F"/>
          <w:sz w:val="26"/>
          <w:szCs w:val="26"/>
        </w:rPr>
        <w:t>Part 19 — Your Digital Front Door</w:t>
      </w:r>
    </w:p>
    <w:p>
      <w:pPr>
        <w:pStyle w:val="Normal"/>
        <w:spacing w:lineRule="exact" w:line="268" w:before="0" w:after="110"/>
        <w:jc w:val="start"/>
        <w:rPr/>
      </w:pPr>
      <w:r>
        <w:rPr>
          <w:rFonts w:eastAsia="Calibri" w:cs="Calibri"/>
          <w:b w:val="false"/>
          <w:bCs w:val="false"/>
          <w:i w:val="false"/>
          <w:iCs w:val="false"/>
          <w:color w:val="1A1A1A"/>
          <w:sz w:val="20"/>
          <w:szCs w:val="20"/>
        </w:rPr>
        <w:t>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Google Business Profile. </w:t>
      </w:r>
      <w:r>
        <w:rPr>
          <w:rFonts w:eastAsia="Calibri" w:cs="Calibri"/>
          <w:b w:val="false"/>
          <w:bCs w:val="false"/>
          <w:i w:val="false"/>
          <w:iCs w:val="false"/>
          <w:color w:val="1A1A1A"/>
          <w:sz w:val="20"/>
          <w:szCs w:val="20"/>
        </w:rPr>
        <w:t>Claim and complete it: accurate name, address, phone, hours, services, and photos. This is often the first thing a referrer or family sees. Keep it current and respond to reviews professionally.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Provider directories. </w:t>
      </w:r>
      <w:r>
        <w:rPr>
          <w:rFonts w:eastAsia="Calibri" w:cs="Calibri"/>
          <w:b w:val="false"/>
          <w:bCs w:val="false"/>
          <w:i w:val="false"/>
          <w:iCs w:val="false"/>
          <w:color w:val="1A1A1A"/>
          <w:sz w:val="20"/>
          <w:szCs w:val="20"/>
        </w:rPr>
        <w:t>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Payer &amp; network directories. </w:t>
      </w:r>
      <w:r>
        <w:rPr>
          <w:rFonts w:eastAsia="Calibri" w:cs="Calibri"/>
          <w:b w:val="false"/>
          <w:bCs w:val="false"/>
          <w:i w:val="false"/>
          <w:iCs w:val="false"/>
          <w:color w:val="1A1A1A"/>
          <w:sz w:val="20"/>
          <w:szCs w:val="20"/>
        </w:rPr>
        <w:t>Confirm every plan you accept lists you correctly, with current contact and availability. Coordinators filter by network first.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A website that converts. </w:t>
      </w:r>
      <w:r>
        <w:rPr>
          <w:rFonts w:eastAsia="Calibri" w:cs="Calibri"/>
          <w:b w:val="false"/>
          <w:bCs w:val="false"/>
          <w:i w:val="false"/>
          <w:iCs w:val="false"/>
          <w:color w:val="1A1A1A"/>
          <w:sz w:val="20"/>
          <w:szCs w:val="20"/>
        </w:rPr>
        <w:t>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Reputation management. </w:t>
      </w:r>
      <w:r>
        <w:rPr>
          <w:rFonts w:eastAsia="Calibri" w:cs="Calibri"/>
          <w:b w:val="false"/>
          <w:bCs w:val="false"/>
          <w:i w:val="false"/>
          <w:iCs w:val="false"/>
          <w:color w:val="1A1A1A"/>
          <w:sz w:val="20"/>
          <w:szCs w:val="20"/>
        </w:rPr>
        <w:t>Monitor your reviews, respond with professionalism and without ever confirming anyone was a client, and ask satisfied clients and families — appropriately — to share their experience. A thoughtful presence signals a safe place to send people.</w:t>
      </w:r>
    </w:p>
    <w:p>
      <w:pPr>
        <w:pStyle w:val="Normal"/>
        <w:keepNext w:val="true"/>
        <w:spacing w:before="220" w:after="90"/>
        <w:rPr/>
      </w:pPr>
      <w:r>
        <w:rPr>
          <w:rFonts w:eastAsia="Calibri" w:cs="Calibri"/>
          <w:b/>
          <w:bCs/>
          <w:i w:val="false"/>
          <w:iCs w:val="false"/>
          <w:color w:val="1F3A5F"/>
          <w:sz w:val="26"/>
          <w:szCs w:val="26"/>
        </w:rPr>
        <w:t>Part 20 — Measuring What Matters</w:t>
      </w:r>
    </w:p>
    <w:p>
      <w:pPr>
        <w:pStyle w:val="Normal"/>
        <w:spacing w:lineRule="exact" w:line="268" w:before="0" w:after="110"/>
        <w:jc w:val="start"/>
        <w:rPr/>
      </w:pPr>
      <w:r>
        <w:rPr>
          <w:rFonts w:eastAsia="Calibri" w:cs="Calibri"/>
          <w:b w:val="false"/>
          <w:bCs w:val="false"/>
          <w:i w:val="false"/>
          <w:iCs w:val="false"/>
          <w:color w:val="1A1A1A"/>
          <w:sz w:val="20"/>
          <w:szCs w:val="20"/>
        </w:rPr>
        <w:t>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Referrals in, by source. </w:t>
      </w:r>
      <w:r>
        <w:rPr>
          <w:rFonts w:eastAsia="Calibri" w:cs="Calibri"/>
          <w:b w:val="false"/>
          <w:bCs w:val="false"/>
          <w:i w:val="false"/>
          <w:iCs w:val="false"/>
          <w:color w:val="1A1A1A"/>
          <w:sz w:val="20"/>
          <w:szCs w:val="20"/>
        </w:rPr>
        <w:t>Count how many clients each source sends. The pattern tells you where to spend your relationship time.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Conversion rate. </w:t>
      </w:r>
      <w:r>
        <w:rPr>
          <w:rFonts w:eastAsia="Calibri" w:cs="Calibri"/>
          <w:b w:val="false"/>
          <w:bCs w:val="false"/>
          <w:i w:val="false"/>
          <w:iCs w:val="false"/>
          <w:color w:val="1A1A1A"/>
          <w:sz w:val="20"/>
          <w:szCs w:val="20"/>
        </w:rPr>
        <w:t>Of the people referred, how many actually admitted or attended? A low rate points to intake friction or slow response.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Time to first contact and to admission. </w:t>
      </w:r>
      <w:r>
        <w:rPr>
          <w:rFonts w:eastAsia="Calibri" w:cs="Calibri"/>
          <w:b w:val="false"/>
          <w:bCs w:val="false"/>
          <w:i w:val="false"/>
          <w:iCs w:val="false"/>
          <w:color w:val="1A1A1A"/>
          <w:sz w:val="20"/>
          <w:szCs w:val="20"/>
        </w:rPr>
        <w:t>Track your speed. Faster response is the single strongest lever on conversion.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Engagement / completion. </w:t>
      </w:r>
      <w:r>
        <w:rPr>
          <w:rFonts w:eastAsia="Calibri" w:cs="Calibri"/>
          <w:b w:val="false"/>
          <w:bCs w:val="false"/>
          <w:i w:val="false"/>
          <w:iCs w:val="false"/>
          <w:color w:val="1A1A1A"/>
          <w:sz w:val="20"/>
          <w:szCs w:val="20"/>
        </w:rPr>
        <w:t>Do referred clients stay and progress? This is what referrers ultimately judge you 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Loop-closure rate. </w:t>
      </w:r>
      <w:r>
        <w:rPr>
          <w:rFonts w:eastAsia="Calibri" w:cs="Calibri"/>
          <w:b w:val="false"/>
          <w:bCs w:val="false"/>
          <w:i w:val="false"/>
          <w:iCs w:val="false"/>
          <w:color w:val="1A1A1A"/>
          <w:sz w:val="20"/>
          <w:szCs w:val="20"/>
        </w:rPr>
        <w:t>How often did you actually report back to the referrer (with consent)? This predicts your repeat referrals better than almost anything else.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Run a monthly referral review</w:t>
            </w:r>
          </w:p>
          <w:p>
            <w:pPr>
              <w:pStyle w:val="Normal"/>
              <w:spacing w:lineRule="exact" w:line="264" w:before="0" w:after="0"/>
              <w:rPr/>
            </w:pPr>
            <w:r>
              <w:rPr>
                <w:rFonts w:eastAsia="Calibri" w:cs="Calibri"/>
                <w:b w:val="false"/>
                <w:bCs w:val="false"/>
                <w:i w:val="false"/>
                <w:iCs w:val="false"/>
                <w:color w:val="1A1A1A"/>
                <w:sz w:val="19"/>
                <w:szCs w:val="19"/>
              </w:rPr>
              <w:t>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pStyle w:val="Normal"/>
        <w:keepNext w:val="true"/>
        <w:spacing w:before="220" w:after="90"/>
        <w:rPr/>
      </w:pPr>
      <w:r>
        <w:rPr>
          <w:rFonts w:eastAsia="Calibri" w:cs="Calibri"/>
          <w:b/>
          <w:bCs/>
          <w:i w:val="false"/>
          <w:iCs w:val="false"/>
          <w:color w:val="1F3A5F"/>
          <w:sz w:val="26"/>
          <w:szCs w:val="26"/>
        </w:rPr>
        <w:t>Part 21 — Be the Provider Who Takes the Hard Referrals</w:t>
      </w:r>
    </w:p>
    <w:p>
      <w:pPr>
        <w:pStyle w:val="Normal"/>
        <w:spacing w:lineRule="exact" w:line="268" w:before="0" w:after="110"/>
        <w:jc w:val="start"/>
        <w:rPr/>
      </w:pPr>
      <w:r>
        <w:rPr>
          <w:rFonts w:eastAsia="Calibri" w:cs="Calibri"/>
          <w:b w:val="false"/>
          <w:bCs w:val="false"/>
          <w:i w:val="false"/>
          <w:iCs w:val="false"/>
          <w:color w:val="1A1A1A"/>
          <w:sz w:val="20"/>
          <w:szCs w:val="20"/>
        </w:rPr>
        <w:t>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Say yes to co-occurring. </w:t>
      </w:r>
      <w:r>
        <w:rPr>
          <w:rFonts w:eastAsia="Calibri" w:cs="Calibri"/>
          <w:b w:val="false"/>
          <w:bCs w:val="false"/>
          <w:i w:val="false"/>
          <w:iCs w:val="false"/>
          <w:color w:val="1A1A1A"/>
          <w:sz w:val="20"/>
          <w:szCs w:val="20"/>
        </w:rPr>
        <w:t>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Have a clear, fast answer for complex cases. </w:t>
      </w:r>
      <w:r>
        <w:rPr>
          <w:rFonts w:eastAsia="Calibri" w:cs="Calibri"/>
          <w:b w:val="false"/>
          <w:bCs w:val="false"/>
          <w:i w:val="false"/>
          <w:iCs w:val="false"/>
          <w:color w:val="1A1A1A"/>
          <w:sz w:val="20"/>
          <w:szCs w:val="20"/>
        </w:rPr>
        <w:t>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Build the capacity that makes 'yes' possible. </w:t>
      </w:r>
      <w:r>
        <w:rPr>
          <w:rFonts w:eastAsia="Calibri" w:cs="Calibri"/>
          <w:b w:val="false"/>
          <w:bCs w:val="false"/>
          <w:i w:val="false"/>
          <w:iCs w:val="false"/>
          <w:color w:val="1A1A1A"/>
          <w:sz w:val="20"/>
          <w:szCs w:val="20"/>
        </w:rPr>
        <w:t>Staff training, medication support, language access, and warm partnerships with complementary providers are what let you accept the referrals others turn away. Each capability you add opens a new stream of clients.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Reliability on the hard cases is your best marketing</w:t>
            </w:r>
          </w:p>
          <w:p>
            <w:pPr>
              <w:pStyle w:val="Normal"/>
              <w:spacing w:lineRule="exact" w:line="264" w:before="0" w:after="0"/>
              <w:rPr/>
            </w:pPr>
            <w:r>
              <w:rPr>
                <w:rFonts w:eastAsia="Calibri" w:cs="Calibri"/>
                <w:b w:val="false"/>
                <w:bCs w:val="false"/>
                <w:i w:val="false"/>
                <w:iCs w:val="false"/>
                <w:color w:val="1A1A1A"/>
                <w:sz w:val="19"/>
                <w:szCs w:val="19"/>
              </w:rPr>
              <w:t>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pStyle w:val="Normal"/>
        <w:keepNext w:val="true"/>
        <w:spacing w:before="220" w:after="90"/>
        <w:rPr/>
      </w:pPr>
      <w:r>
        <w:rPr>
          <w:rFonts w:eastAsia="Calibri" w:cs="Calibri"/>
          <w:b/>
          <w:bCs/>
          <w:i w:val="false"/>
          <w:iCs w:val="false"/>
          <w:color w:val="1F3A5F"/>
          <w:sz w:val="26"/>
          <w:szCs w:val="26"/>
        </w:rPr>
        <w:t>Part 22 — Benefits &amp; Payer Navigation as a Referral Advantage</w:t>
      </w:r>
    </w:p>
    <w:p>
      <w:pPr>
        <w:pStyle w:val="Normal"/>
        <w:spacing w:lineRule="exact" w:line="268" w:before="0" w:after="110"/>
        <w:jc w:val="start"/>
        <w:rPr/>
      </w:pPr>
      <w:r>
        <w:rPr>
          <w:rFonts w:eastAsia="Calibri" w:cs="Calibri"/>
          <w:b w:val="false"/>
          <w:bCs w:val="false"/>
          <w:i w:val="false"/>
          <w:iCs w:val="false"/>
          <w:color w:val="1A1A1A"/>
          <w:sz w:val="20"/>
          <w:szCs w:val="20"/>
        </w:rPr>
        <w:t>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Verify benefits fast. </w:t>
      </w:r>
      <w:r>
        <w:rPr>
          <w:rFonts w:eastAsia="Calibri" w:cs="Calibri"/>
          <w:b w:val="false"/>
          <w:bCs w:val="false"/>
          <w:i w:val="false"/>
          <w:iCs w:val="false"/>
          <w:color w:val="1A1A1A"/>
          <w:sz w:val="20"/>
          <w:szCs w:val="20"/>
        </w:rPr>
        <w:t>A quick, clear verification of coverage — what is covered, what it costs, what is authorized — keeps a referral from stalling. Referrers remember the provider who gives them a straight answer the same day.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Help with enrollment. </w:t>
      </w:r>
      <w:r>
        <w:rPr>
          <w:rFonts w:eastAsia="Calibri" w:cs="Calibri"/>
          <w:b w:val="false"/>
          <w:bCs w:val="false"/>
          <w:i w:val="false"/>
          <w:iCs w:val="false"/>
          <w:color w:val="1A1A1A"/>
          <w:sz w:val="20"/>
          <w:szCs w:val="20"/>
        </w:rPr>
        <w:t>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Know the options for the uninsured. </w:t>
      </w:r>
      <w:r>
        <w:rPr>
          <w:rFonts w:eastAsia="Calibri" w:cs="Calibri"/>
          <w:b w:val="false"/>
          <w:bCs w:val="false"/>
          <w:i w:val="false"/>
          <w:iCs w:val="false"/>
          <w:color w:val="1A1A1A"/>
          <w:sz w:val="20"/>
          <w:szCs w:val="20"/>
        </w:rPr>
        <w:t>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transparent about cost. </w:t>
      </w:r>
      <w:r>
        <w:rPr>
          <w:rFonts w:eastAsia="Calibri" w:cs="Calibri"/>
          <w:b w:val="false"/>
          <w:bCs w:val="false"/>
          <w:i w:val="false"/>
          <w:iCs w:val="false"/>
          <w:color w:val="1A1A1A"/>
          <w:sz w:val="20"/>
          <w:szCs w:val="20"/>
        </w:rPr>
        <w:t>Clear, honest information about what a client will owe builds trust with families and referrers alike, and prevents the surprise bills that damage reputations and referral relationships.</w:t>
      </w:r>
    </w:p>
    <w:p>
      <w:pPr>
        <w:pStyle w:val="Normal"/>
        <w:keepNext w:val="true"/>
        <w:spacing w:before="220" w:after="90"/>
        <w:rPr/>
      </w:pPr>
      <w:r>
        <w:rPr>
          <w:rFonts w:eastAsia="Calibri" w:cs="Calibri"/>
          <w:b/>
          <w:bCs/>
          <w:i w:val="false"/>
          <w:iCs w:val="false"/>
          <w:color w:val="1F3A5F"/>
          <w:sz w:val="26"/>
          <w:szCs w:val="26"/>
        </w:rPr>
        <w:t>Part 23 — Ready-to-Use Outreach Scripts</w:t>
      </w:r>
    </w:p>
    <w:p>
      <w:pPr>
        <w:pStyle w:val="Normal"/>
        <w:spacing w:lineRule="exact" w:line="268" w:before="0" w:after="110"/>
        <w:jc w:val="start"/>
        <w:rPr/>
      </w:pPr>
      <w:r>
        <w:rPr>
          <w:rFonts w:eastAsia="Calibri" w:cs="Calibri"/>
          <w:b w:val="false"/>
          <w:bCs w:val="false"/>
          <w:i w:val="false"/>
          <w:iCs w:val="false"/>
          <w:color w:val="1A1A1A"/>
          <w:sz w:val="20"/>
          <w:szCs w:val="20"/>
        </w:rPr>
        <w:t>Adapt these to your program and your voice. They are starting points for the conversations that build referral relationships — keep them short, specific, and focused on the other person's problem, never on your brochure.</w:t>
      </w:r>
    </w:p>
    <w:p>
      <w:pPr>
        <w:pStyle w:val="Normal"/>
        <w:keepNext w:val="true"/>
        <w:spacing w:before="140" w:after="60"/>
        <w:rPr/>
      </w:pPr>
      <w:r>
        <w:rPr>
          <w:rFonts w:eastAsia="Calibri" w:cs="Calibri"/>
          <w:b/>
          <w:bCs/>
          <w:i w:val="false"/>
          <w:iCs w:val="false"/>
          <w:color w:val="3E5871"/>
          <w:sz w:val="21"/>
          <w:szCs w:val="21"/>
        </w:rPr>
        <w:t>Voicemail for a discharge planner or care coordinator</w:t>
      </w:r>
    </w:p>
    <w:p>
      <w:pPr>
        <w:pStyle w:val="Normal"/>
        <w:spacing w:lineRule="exact" w:line="268" w:before="0" w:after="110"/>
        <w:jc w:val="start"/>
        <w:rPr/>
      </w:pPr>
      <w:r>
        <w:rPr>
          <w:rFonts w:eastAsia="Calibri" w:cs="Calibri"/>
          <w:b w:val="false"/>
          <w:bCs w:val="false"/>
          <w:i w:val="false"/>
          <w:iCs w:val="false"/>
          <w:color w:val="1A1A1A"/>
          <w:sz w:val="20"/>
          <w:szCs w:val="20"/>
        </w:rPr>
        <w:t>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pStyle w:val="Normal"/>
        <w:keepNext w:val="true"/>
        <w:spacing w:before="140" w:after="60"/>
        <w:rPr/>
      </w:pPr>
      <w:r>
        <w:rPr>
          <w:rFonts w:eastAsia="Calibri" w:cs="Calibri"/>
          <w:b/>
          <w:bCs/>
          <w:i w:val="false"/>
          <w:iCs w:val="false"/>
          <w:color w:val="3E5871"/>
          <w:sz w:val="21"/>
          <w:szCs w:val="21"/>
        </w:rPr>
        <w:t>Introduction email to a hospital or ED social worker</w:t>
      </w:r>
    </w:p>
    <w:p>
      <w:pPr>
        <w:pStyle w:val="Normal"/>
        <w:spacing w:lineRule="exact" w:line="268" w:before="0" w:after="110"/>
        <w:jc w:val="start"/>
        <w:rPr/>
      </w:pPr>
      <w:r>
        <w:rPr>
          <w:rFonts w:eastAsia="Calibri" w:cs="Calibri"/>
          <w:b w:val="false"/>
          <w:bCs w:val="false"/>
          <w:i w:val="false"/>
          <w:iCs w:val="false"/>
          <w:color w:val="1A1A1A"/>
          <w:sz w:val="20"/>
          <w:szCs w:val="20"/>
        </w:rPr>
        <w:t>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pStyle w:val="Normal"/>
        <w:keepNext w:val="true"/>
        <w:spacing w:before="140" w:after="60"/>
        <w:rPr/>
      </w:pPr>
      <w:r>
        <w:rPr>
          <w:rFonts w:eastAsia="Calibri" w:cs="Calibri"/>
          <w:b/>
          <w:bCs/>
          <w:i w:val="false"/>
          <w:iCs w:val="false"/>
          <w:color w:val="3E5871"/>
          <w:sz w:val="21"/>
          <w:szCs w:val="21"/>
        </w:rPr>
        <w:t>Email to a drug-court or accountability-court coordinator</w:t>
      </w:r>
    </w:p>
    <w:p>
      <w:pPr>
        <w:pStyle w:val="Normal"/>
        <w:spacing w:lineRule="exact" w:line="268" w:before="0" w:after="110"/>
        <w:jc w:val="start"/>
        <w:rPr/>
      </w:pPr>
      <w:r>
        <w:rPr>
          <w:rFonts w:eastAsia="Calibri" w:cs="Calibri"/>
          <w:b w:val="false"/>
          <w:bCs w:val="false"/>
          <w:i w:val="false"/>
          <w:iCs w:val="false"/>
          <w:color w:val="1A1A1A"/>
          <w:sz w:val="20"/>
          <w:szCs w:val="20"/>
        </w:rPr>
        <w:t>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pStyle w:val="Normal"/>
        <w:keepNext w:val="true"/>
        <w:spacing w:before="140" w:after="60"/>
        <w:rPr/>
      </w:pPr>
      <w:r>
        <w:rPr>
          <w:rFonts w:eastAsia="Calibri" w:cs="Calibri"/>
          <w:b/>
          <w:bCs/>
          <w:i w:val="false"/>
          <w:iCs w:val="false"/>
          <w:color w:val="3E5871"/>
          <w:sz w:val="21"/>
          <w:szCs w:val="21"/>
        </w:rPr>
        <w:t>The reconnect script (for a source that went quiet)</w:t>
      </w:r>
    </w:p>
    <w:p>
      <w:pPr>
        <w:pStyle w:val="Normal"/>
        <w:spacing w:lineRule="exact" w:line="268" w:before="0" w:after="110"/>
        <w:jc w:val="start"/>
        <w:rPr/>
      </w:pPr>
      <w:r>
        <w:rPr>
          <w:rFonts w:eastAsia="Calibri" w:cs="Calibri"/>
          <w:b w:val="false"/>
          <w:bCs w:val="false"/>
          <w:i w:val="false"/>
          <w:iCs w:val="false"/>
          <w:color w:val="1A1A1A"/>
          <w:sz w:val="20"/>
          <w:szCs w:val="20"/>
        </w:rPr>
        <w:t>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Referral-readiness checklist</w:t>
            </w:r>
          </w:p>
          <w:p>
            <w:pPr>
              <w:pStyle w:val="Normal"/>
              <w:spacing w:lineRule="exact" w:line="264" w:before="0" w:after="0"/>
              <w:rPr/>
            </w:pPr>
            <w:r>
              <w:rPr>
                <w:rFonts w:eastAsia="Calibri" w:cs="Calibri"/>
                <w:b w:val="false"/>
                <w:bCs w:val="false"/>
                <w:i w:val="false"/>
                <w:iCs w:val="false"/>
                <w:color w:val="1A1A1A"/>
                <w:sz w:val="19"/>
                <w:szCs w:val="19"/>
              </w:rPr>
              <w:t>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California Medicaid enrollment, your county DMC-ODS and Medi-Cal plans contract, and your county DMC-ODS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detox and withdrawal-management programs,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detox and court relationships. </w:t>
      </w:r>
      <w:r>
        <w:rPr>
          <w:rFonts w:eastAsia="Calibri" w:cs="Calibri"/>
          <w:b w:val="false"/>
          <w:bCs w:val="false"/>
          <w:i w:val="false"/>
          <w:iCs w:val="false"/>
          <w:color w:val="1A1A1A"/>
          <w:sz w:val="20"/>
          <w:szCs w:val="20"/>
        </w:rPr>
        <w:t>Meet the withdrawal-management programs and, if you serve justice-involved clients, the drug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California Substance Use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California sources a substance use treatment provider builds relationships with, organized statewide and then by metro with verified named partners. California runs SUD treatment through county systems, so your county's Access Line is your starting point.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county DMC-ODS &amp; SUD Access Line — start here. </w:t>
      </w:r>
      <w:r>
        <w:rPr>
          <w:rFonts w:eastAsia="Calibri" w:cs="Calibri"/>
          <w:b w:val="false"/>
          <w:bCs w:val="false"/>
          <w:i w:val="false"/>
          <w:iCs w:val="false"/>
          <w:color w:val="1A1A1A"/>
          <w:sz w:val="20"/>
          <w:szCs w:val="20"/>
        </w:rPr>
        <w:t>California delivers Medi-Cal SUD treatment through county Drug Medi-Cal Organized Delivery System (DMC-ODS) plans following the ASAM continuum. Each county has a 24/7 SUD Access Line that screens and refers — for example, Los Angeles County SAPC (1-844-804-7500), Orange County OCLinks (1-855-625-4657), Sacramento County (916-874-9754), and San Francisco (415-255-3737). Become a contracted DMC-ODS provider and build the Access Line relationship. DHCS also runs a statewide non-emergency SUD referral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Medi-Cal Managed Care Plans (MCPs). </w:t>
      </w:r>
      <w:r>
        <w:rPr>
          <w:rFonts w:eastAsia="Calibri" w:cs="Calibri"/>
          <w:b w:val="false"/>
          <w:bCs w:val="false"/>
          <w:i w:val="false"/>
          <w:iCs w:val="false"/>
          <w:color w:val="1A1A1A"/>
          <w:sz w:val="20"/>
          <w:szCs w:val="20"/>
        </w:rPr>
        <w:t>Under CalAIM's No Wrong Door, MCPs coordinate care and cover mild-to-moderate needs; their care coordinators refer. Contract with the MCPs in your county.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Detox, withdrawal management &amp; CA Bridge EDs. </w:t>
      </w:r>
      <w:r>
        <w:rPr>
          <w:rFonts w:eastAsia="Calibri" w:cs="Calibri"/>
          <w:b w:val="false"/>
          <w:bCs w:val="false"/>
          <w:i w:val="false"/>
          <w:iCs w:val="false"/>
          <w:color w:val="1A1A1A"/>
          <w:sz w:val="20"/>
          <w:szCs w:val="20"/>
        </w:rPr>
        <w:t>Detox programs step clients down to treatment; over 240 California emergency departments in the CA Bridge network start medication for addiction treatment and refer to SUD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California DHCS — licensing. </w:t>
      </w:r>
      <w:r>
        <w:rPr>
          <w:rFonts w:eastAsia="Calibri" w:cs="Calibri"/>
          <w:b w:val="false"/>
          <w:bCs w:val="false"/>
          <w:i w:val="false"/>
          <w:iCs w:val="false"/>
          <w:color w:val="1A1A1A"/>
          <w:sz w:val="20"/>
          <w:szCs w:val="20"/>
        </w:rPr>
        <w:t>DHCS licenses and certifies residential SUD (AOD) programs under 9 CCR, Chapter 5, and certifies Narcotic Treatment Programs. dhcs.ca.gov.</w:t>
      </w:r>
    </w:p>
    <w:p>
      <w:pPr>
        <w:pStyle w:val="Normal"/>
        <w:keepNext w:val="true"/>
        <w:spacing w:before="150" w:after="60"/>
        <w:rPr/>
      </w:pPr>
      <w:r>
        <w:rPr>
          <w:rFonts w:eastAsia="Calibri" w:cs="Calibri"/>
          <w:b/>
          <w:bCs/>
          <w:i w:val="false"/>
          <w:iCs w:val="false"/>
          <w:color w:val="3E5871"/>
          <w:sz w:val="20"/>
          <w:szCs w:val="20"/>
        </w:rPr>
        <w:t>Los Angeles — verified named partners</w:t>
      </w:r>
    </w:p>
    <w:p>
      <w:pPr>
        <w:pStyle w:val="Normal"/>
        <w:spacing w:before="0" w:after="60"/>
        <w:rPr/>
      </w:pPr>
      <w:r>
        <w:rPr>
          <w:rFonts w:eastAsia="Calibri" w:cs="Calibri"/>
          <w:b/>
          <w:bCs/>
          <w:i w:val="false"/>
          <w:iCs w:val="false"/>
          <w:color w:val="1F3A5F"/>
          <w:sz w:val="19"/>
          <w:szCs w:val="19"/>
        </w:rPr>
        <w:t>Detox &amp; residential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The Detox Center Los Angeles (TDCLA)</w:t>
      </w:r>
      <w:r>
        <w:rPr>
          <w:rFonts w:eastAsia="Calibri" w:cs="Calibri"/>
          <w:b w:val="false"/>
          <w:bCs w:val="false"/>
          <w:i w:val="false"/>
          <w:iCs w:val="false"/>
          <w:color w:val="555555"/>
          <w:sz w:val="18"/>
          <w:szCs w:val="18"/>
        </w:rPr>
        <w:t xml:space="preserve">  —  1741 Hauser Blvd, Los Angeles, CA 90019</w:t>
      </w:r>
      <w:r>
        <w:rPr>
          <w:rFonts w:eastAsia="Calibri" w:cs="Calibri"/>
          <w:b w:val="false"/>
          <w:bCs w:val="false"/>
          <w:i w:val="false"/>
          <w:iCs w:val="false"/>
          <w:color w:val="3E5871"/>
          <w:sz w:val="18"/>
          <w:szCs w:val="18"/>
        </w:rPr>
        <w:t xml:space="preserve">  ·  888-346-4350</w:t>
      </w:r>
    </w:p>
    <w:p>
      <w:pPr>
        <w:pStyle w:val="ListParagraph"/>
        <w:numPr>
          <w:ilvl w:val="0"/>
          <w:numId w:val="1"/>
        </w:numPr>
        <w:spacing w:lineRule="exact" w:line="264" w:before="0" w:after="70"/>
        <w:rPr/>
      </w:pPr>
      <w:r>
        <w:rPr>
          <w:rFonts w:eastAsia="Calibri" w:cs="Calibri"/>
          <w:b/>
          <w:bCs/>
          <w:i w:val="false"/>
          <w:iCs w:val="false"/>
          <w:color w:val="1A1A1A"/>
          <w:sz w:val="19"/>
          <w:szCs w:val="19"/>
        </w:rPr>
        <w:t>Purposes Recovery</w:t>
      </w:r>
      <w:r>
        <w:rPr>
          <w:rFonts w:eastAsia="Calibri" w:cs="Calibri"/>
          <w:b w:val="false"/>
          <w:bCs w:val="false"/>
          <w:i w:val="false"/>
          <w:iCs w:val="false"/>
          <w:color w:val="555555"/>
          <w:sz w:val="18"/>
          <w:szCs w:val="18"/>
        </w:rPr>
        <w:t xml:space="preserve">  —  7239 Kentwood Ave, Los Angeles, CA 90045</w:t>
      </w:r>
      <w:r>
        <w:rPr>
          <w:rFonts w:eastAsia="Calibri" w:cs="Calibri"/>
          <w:b w:val="false"/>
          <w:bCs w:val="false"/>
          <w:i w:val="false"/>
          <w:iCs w:val="false"/>
          <w:color w:val="3E5871"/>
          <w:sz w:val="18"/>
          <w:szCs w:val="18"/>
        </w:rPr>
        <w:t xml:space="preserve">  ·  310-731-6142</w:t>
      </w:r>
    </w:p>
    <w:p>
      <w:pPr>
        <w:pStyle w:val="Normal"/>
        <w:keepNext w:val="true"/>
        <w:spacing w:before="150" w:after="60"/>
        <w:rPr/>
      </w:pPr>
      <w:r>
        <w:rPr>
          <w:rFonts w:eastAsia="Calibri" w:cs="Calibri"/>
          <w:b/>
          <w:bCs/>
          <w:i w:val="false"/>
          <w:iCs w:val="false"/>
          <w:color w:val="3E5871"/>
          <w:sz w:val="20"/>
          <w:szCs w:val="20"/>
        </w:rPr>
        <w:t>San Diego — verified named partners</w:t>
      </w:r>
    </w:p>
    <w:p>
      <w:pPr>
        <w:pStyle w:val="Normal"/>
        <w:spacing w:before="0" w:after="60"/>
        <w:rPr/>
      </w:pPr>
      <w:r>
        <w:rPr>
          <w:rFonts w:eastAsia="Calibri" w:cs="Calibri"/>
          <w:b/>
          <w:bCs/>
          <w:i w:val="false"/>
          <w:iCs w:val="false"/>
          <w:color w:val="1F3A5F"/>
          <w:sz w:val="19"/>
          <w:szCs w:val="19"/>
        </w:rPr>
        <w:t>Detox &amp; residential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San Diego Detox</w:t>
      </w:r>
      <w:r>
        <w:rPr>
          <w:rFonts w:eastAsia="Calibri" w:cs="Calibri"/>
          <w:b w:val="false"/>
          <w:bCs w:val="false"/>
          <w:i w:val="false"/>
          <w:iCs w:val="false"/>
          <w:color w:val="555555"/>
          <w:sz w:val="18"/>
          <w:szCs w:val="18"/>
        </w:rPr>
        <w:t xml:space="preserve">  —  16925 Deer Hill Estates, Lakeside, CA 92040</w:t>
      </w:r>
      <w:r>
        <w:rPr>
          <w:rFonts w:eastAsia="Calibri" w:cs="Calibri"/>
          <w:b w:val="false"/>
          <w:bCs w:val="false"/>
          <w:i w:val="false"/>
          <w:iCs w:val="false"/>
          <w:color w:val="3E5871"/>
          <w:sz w:val="18"/>
          <w:szCs w:val="18"/>
        </w:rPr>
        <w:t xml:space="preserve">  ·  619-272-4110</w:t>
      </w:r>
    </w:p>
    <w:p>
      <w:pPr>
        <w:pStyle w:val="ListParagraph"/>
        <w:numPr>
          <w:ilvl w:val="0"/>
          <w:numId w:val="1"/>
        </w:numPr>
        <w:spacing w:lineRule="exact" w:line="264" w:before="0" w:after="70"/>
        <w:rPr/>
      </w:pPr>
      <w:r>
        <w:rPr>
          <w:rFonts w:eastAsia="Calibri" w:cs="Calibri"/>
          <w:b/>
          <w:bCs/>
          <w:i w:val="false"/>
          <w:iCs w:val="false"/>
          <w:color w:val="1A1A1A"/>
          <w:sz w:val="19"/>
          <w:szCs w:val="19"/>
        </w:rPr>
        <w:t>Jackson House Addiction Treatment &amp; Recovery Center</w:t>
      </w:r>
      <w:r>
        <w:rPr>
          <w:rFonts w:eastAsia="Calibri" w:cs="Calibri"/>
          <w:b w:val="false"/>
          <w:bCs w:val="false"/>
          <w:i w:val="false"/>
          <w:iCs w:val="false"/>
          <w:color w:val="555555"/>
          <w:sz w:val="18"/>
          <w:szCs w:val="18"/>
        </w:rPr>
        <w:t xml:space="preserve">  —  2456 E St, San Diego, CA 92102</w:t>
      </w:r>
      <w:r>
        <w:rPr>
          <w:rFonts w:eastAsia="Calibri" w:cs="Calibri"/>
          <w:b w:val="false"/>
          <w:bCs w:val="false"/>
          <w:i w:val="false"/>
          <w:iCs w:val="false"/>
          <w:color w:val="3E5871"/>
          <w:sz w:val="18"/>
          <w:szCs w:val="18"/>
        </w:rPr>
        <w:t xml:space="preserve">  ·  619-503-7680</w:t>
      </w:r>
    </w:p>
    <w:p>
      <w:pPr>
        <w:pStyle w:val="Normal"/>
        <w:keepNext w:val="true"/>
        <w:spacing w:before="150" w:after="60"/>
        <w:rPr/>
      </w:pPr>
      <w:r>
        <w:rPr>
          <w:rFonts w:eastAsia="Calibri" w:cs="Calibri"/>
          <w:b/>
          <w:bCs/>
          <w:i w:val="false"/>
          <w:iCs w:val="false"/>
          <w:color w:val="3E5871"/>
          <w:sz w:val="20"/>
          <w:szCs w:val="20"/>
        </w:rPr>
        <w:t>Sacramento — verified named partners</w:t>
      </w:r>
    </w:p>
    <w:p>
      <w:pPr>
        <w:pStyle w:val="Normal"/>
        <w:spacing w:before="0" w:after="60"/>
        <w:rPr/>
      </w:pPr>
      <w:r>
        <w:rPr>
          <w:rFonts w:eastAsia="Calibri" w:cs="Calibri"/>
          <w:b/>
          <w:bCs/>
          <w:i w:val="false"/>
          <w:iCs w:val="false"/>
          <w:color w:val="1F3A5F"/>
          <w:sz w:val="19"/>
          <w:szCs w:val="19"/>
        </w:rPr>
        <w:t>Detox &amp; residential substance use treatment</w:t>
      </w:r>
    </w:p>
    <w:p>
      <w:pPr>
        <w:pStyle w:val="ListParagraph"/>
        <w:numPr>
          <w:ilvl w:val="0"/>
          <w:numId w:val="1"/>
        </w:numPr>
        <w:spacing w:lineRule="exact" w:line="264" w:before="0" w:after="70"/>
        <w:rPr/>
      </w:pPr>
      <w:r>
        <w:rPr>
          <w:rFonts w:eastAsia="Calibri" w:cs="Calibri"/>
          <w:b/>
          <w:bCs/>
          <w:i w:val="false"/>
          <w:iCs w:val="false"/>
          <w:color w:val="1A1A1A"/>
          <w:sz w:val="19"/>
          <w:szCs w:val="19"/>
        </w:rPr>
        <w:t>Diamond House Detox</w:t>
      </w:r>
      <w:r>
        <w:rPr>
          <w:rFonts w:eastAsia="Calibri" w:cs="Calibri"/>
          <w:b w:val="false"/>
          <w:bCs w:val="false"/>
          <w:i w:val="false"/>
          <w:iCs w:val="false"/>
          <w:color w:val="555555"/>
          <w:sz w:val="18"/>
          <w:szCs w:val="18"/>
        </w:rPr>
        <w:t xml:space="preserve">  —  6808 Fleming Ave, Sacramento, CA 95828</w:t>
      </w:r>
      <w:r>
        <w:rPr>
          <w:rFonts w:eastAsia="Calibri" w:cs="Calibri"/>
          <w:b w:val="false"/>
          <w:bCs w:val="false"/>
          <w:i w:val="false"/>
          <w:iCs w:val="false"/>
          <w:color w:val="3E5871"/>
          <w:sz w:val="18"/>
          <w:szCs w:val="18"/>
        </w:rPr>
        <w:t xml:space="preserve">  ·  800-205-6107</w:t>
      </w:r>
    </w:p>
    <w:p>
      <w:pPr>
        <w:pStyle w:val="ListParagraph"/>
        <w:numPr>
          <w:ilvl w:val="0"/>
          <w:numId w:val="1"/>
        </w:numPr>
        <w:spacing w:lineRule="exact" w:line="264" w:before="0" w:after="70"/>
        <w:rPr/>
      </w:pPr>
      <w:r>
        <w:rPr>
          <w:rFonts w:eastAsia="Calibri" w:cs="Calibri"/>
          <w:b/>
          <w:bCs/>
          <w:i w:val="false"/>
          <w:iCs w:val="false"/>
          <w:color w:val="1A1A1A"/>
          <w:sz w:val="19"/>
          <w:szCs w:val="19"/>
        </w:rPr>
        <w:t>Fair Oaks Recovery Center</w:t>
      </w:r>
      <w:r>
        <w:rPr>
          <w:rFonts w:eastAsia="Calibri" w:cs="Calibri"/>
          <w:b w:val="false"/>
          <w:bCs w:val="false"/>
          <w:i w:val="false"/>
          <w:iCs w:val="false"/>
          <w:color w:val="555555"/>
          <w:sz w:val="18"/>
          <w:szCs w:val="18"/>
        </w:rPr>
        <w:t xml:space="preserve">  —  2221 Fair Oaks Blvd, Sacramento, CA 95825</w:t>
      </w:r>
      <w:r>
        <w:rPr>
          <w:rFonts w:eastAsia="Calibri" w:cs="Calibri"/>
          <w:b w:val="false"/>
          <w:bCs w:val="false"/>
          <w:i w:val="false"/>
          <w:iCs w:val="false"/>
          <w:color w:val="3E5871"/>
          <w:sz w:val="18"/>
          <w:szCs w:val="18"/>
        </w:rPr>
        <w:t xml:space="preserve">  ·  888-215-1970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(Medi-Cal Managed Care Plan / county DMC-ODS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(Medi-Cal Managed Care Plan, county DMC-ODS,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rPr/>
      </w:pPr>
      <w:r>
        <w:rPr/>
      </w:r>
      <w:r>
        <w:br w:type="page"/>
      </w:r>
    </w:p>
    <w:p>
      <w:pPr>
        <w:pStyle w:val="Normal"/>
        <w:keepNext w:val="true"/>
        <w:shd w:val="clear" w:fill="1F3A5F"/>
        <w:spacing w:before="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Introduction Letter to a Referral Source  </w:t>
      </w:r>
    </w:p>
    <w:p>
      <w:pPr>
        <w:pStyle w:val="Normal"/>
        <w:spacing w:lineRule="exact" w:line="268" w:before="0" w:after="110"/>
        <w:jc w:val="start"/>
        <w:rPr/>
      </w:pPr>
      <w:r>
        <w:rPr>
          <w:rFonts w:eastAsia="Calibri" w:cs="Calibri"/>
          <w:b w:val="false"/>
          <w:bCs w:val="false"/>
          <w:i w:val="false"/>
          <w:iCs w:val="false"/>
          <w:color w:val="1A1A1A"/>
          <w:sz w:val="20"/>
          <w:szCs w:val="20"/>
        </w:rPr>
        <w:t>Adapt and put on your letterhead. Keep it to one page.</w:t>
      </w:r>
    </w:p>
    <w:p>
      <w:pPr>
        <w:pStyle w:val="Normal"/>
        <w:spacing w:lineRule="exact" w:line="268" w:before="0" w:after="110"/>
        <w:jc w:val="start"/>
        <w:rPr/>
      </w:pPr>
      <w:r>
        <w:rPr>
          <w:rFonts w:eastAsia="Calibri" w:cs="Calibri"/>
          <w:b w:val="false"/>
          <w:bCs w:val="false"/>
          <w:i w:val="false"/>
          <w:iCs w:val="false"/>
          <w:color w:val="1A1A1A"/>
          <w:sz w:val="20"/>
          <w:szCs w:val="20"/>
        </w:rPr>
        <w:t>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Your Capabilities One-Pager  </w:t>
      </w:r>
    </w:p>
    <w:p>
      <w:pPr>
        <w:pStyle w:val="Normal"/>
        <w:spacing w:lineRule="exact" w:line="268" w:before="0" w:after="110"/>
        <w:jc w:val="start"/>
        <w:rPr/>
      </w:pPr>
      <w:r>
        <w:rPr>
          <w:rFonts w:eastAsia="Calibri" w:cs="Calibri"/>
          <w:b w:val="false"/>
          <w:bCs w:val="false"/>
          <w:i w:val="false"/>
          <w:iCs w:val="false"/>
          <w:color w:val="1A1A1A"/>
          <w:sz w:val="20"/>
          <w:szCs w:val="20"/>
        </w:rPr>
        <w:t>A single page a coordinator can keep on file. Include each of these, factually and without any claim you cannot back up:</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Program name, location, and license / certification.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Levels of care and services you provide.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Who you serve well — diagnoses, co-occurring, ages, specialties — and who you are not the right fit for.</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Payers and networks accepted (Medicaid plans, county, commercial, private pay).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Current availability and typical time-to-admission.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Intake contact, hours, and your response-time promise.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One line on what makes you reliable (accreditation, outcomes, communication).</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A Three-Touch Follow-Up Sequence  </w:t>
      </w:r>
    </w:p>
    <w:p>
      <w:pPr>
        <w:pStyle w:val="Normal"/>
        <w:spacing w:lineRule="exact" w:line="268" w:before="0" w:after="110"/>
        <w:jc w:val="start"/>
        <w:rPr/>
      </w:pPr>
      <w:r>
        <w:rPr>
          <w:rFonts w:eastAsia="Calibri" w:cs="Calibri"/>
          <w:b w:val="false"/>
          <w:bCs w:val="false"/>
          <w:i w:val="false"/>
          <w:iCs w:val="false"/>
          <w:color w:val="1A1A1A"/>
          <w:sz w:val="20"/>
          <w:szCs w:val="20"/>
        </w:rPr>
        <w:t>After you meet or receive a referral, persistence — done politely — is what separates you from the providers a coordinator forgets.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Touch 1 (within 48 hours): </w:t>
      </w:r>
      <w:r>
        <w:rPr>
          <w:rFonts w:eastAsia="Calibri" w:cs="Calibri"/>
          <w:b w:val="false"/>
          <w:bCs w:val="false"/>
          <w:i w:val="false"/>
          <w:iCs w:val="false"/>
          <w:color w:val="1A1A1A"/>
          <w:sz w:val="20"/>
          <w:szCs w:val="20"/>
        </w:rPr>
        <w:t>a short thank-you that restates your intake contact, openings, and response-time promise.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Touch 2 (about two weeks later): </w:t>
      </w:r>
      <w:r>
        <w:rPr>
          <w:rFonts w:eastAsia="Calibri" w:cs="Calibri"/>
          <w:b w:val="false"/>
          <w:bCs w:val="false"/>
          <w:i w:val="false"/>
          <w:iCs w:val="false"/>
          <w:color w:val="1A1A1A"/>
          <w:sz w:val="20"/>
          <w:szCs w:val="20"/>
        </w:rPr>
        <w:t>share one useful item — an update on availability, a resource, or an offer to do a brief in-service. No ask.</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Touch 3 (about a month later): </w:t>
      </w:r>
      <w:r>
        <w:rPr>
          <w:rFonts w:eastAsia="Calibri" w:cs="Calibri"/>
          <w:b w:val="false"/>
          <w:bCs w:val="false"/>
          <w:i w:val="false"/>
          <w:iCs w:val="false"/>
          <w:color w:val="1A1A1A"/>
          <w:sz w:val="20"/>
          <w:szCs w:val="20"/>
        </w:rPr>
        <w:t>check in, confirm your current openings, and ask how they prefer to send a referral. Then move them into your regular check-in cycle.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Referral Feedback / Loop-Closure Note  </w:t>
      </w:r>
    </w:p>
    <w:p>
      <w:pPr>
        <w:pStyle w:val="Normal"/>
        <w:spacing w:lineRule="exact" w:line="268" w:before="0" w:after="110"/>
        <w:jc w:val="start"/>
        <w:rPr/>
      </w:pPr>
      <w:r>
        <w:rPr>
          <w:rFonts w:eastAsia="Calibri" w:cs="Calibri"/>
          <w:b w:val="false"/>
          <w:bCs w:val="false"/>
          <w:i w:val="false"/>
          <w:iCs w:val="false"/>
          <w:color w:val="1A1A1A"/>
          <w:sz w:val="20"/>
          <w:szCs w:val="20"/>
        </w:rPr>
        <w:t>Send to the original referrer once you have appropriate consent. This single habit earns more repeat referrals than any other.</w:t>
      </w:r>
    </w:p>
    <w:p>
      <w:pPr>
        <w:pStyle w:val="Normal"/>
        <w:spacing w:lineRule="exact" w:line="268" w:before="0" w:after="110"/>
        <w:jc w:val="start"/>
        <w:rPr/>
      </w:pPr>
      <w:r>
        <w:rPr>
          <w:rFonts w:eastAsia="Calibri" w:cs="Calibri"/>
          <w:b w:val="false"/>
          <w:bCs w:val="false"/>
          <w:i w:val="false"/>
          <w:iCs w:val="false"/>
          <w:color w:val="1A1A1A"/>
          <w:sz w:val="20"/>
          <w:szCs w:val="20"/>
        </w:rPr>
        <w:t>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Outline: A Compliant Care-Coordination Agreement (MOU)  </w:t>
      </w:r>
    </w:p>
    <w:p>
      <w:pPr>
        <w:pStyle w:val="Normal"/>
        <w:spacing w:lineRule="exact" w:line="268" w:before="0" w:after="110"/>
        <w:jc w:val="start"/>
        <w:rPr/>
      </w:pPr>
      <w:r>
        <w:rPr>
          <w:rFonts w:eastAsia="Calibri" w:cs="Calibri"/>
          <w:b w:val="false"/>
          <w:bCs w:val="false"/>
          <w:i w:val="false"/>
          <w:iCs w:val="false"/>
          <w:color w:val="1A1A1A"/>
          <w:sz w:val="20"/>
          <w:szCs w:val="20"/>
        </w:rPr>
        <w:t>Use as a discussion outline with counsel — not as legal language. A sound agreement covers: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Purpose: to coordinate care and support safe transitions between the two providers.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Communication: named contacts, response times, and how information is shared within 42 CFR Part 2 and HIPAA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Transitions: how warm handoffs, records, and joint planning will work.</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What it does NOT include: any payment tied to referral volume, and no promise to refer a set number of clients — this is what keeps it on the right side of the Anti-Kickback Statute and EKRA.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Term, review, and termination.</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 note that either party may refer elsewhere based solely on clinical fit and client choice.</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Twelve-Month Relationship Calendar  </w:t>
      </w:r>
    </w:p>
    <w:p>
      <w:pPr>
        <w:pStyle w:val="Normal"/>
        <w:spacing w:lineRule="exact" w:line="268" w:before="0" w:after="110"/>
        <w:jc w:val="start"/>
        <w:rPr/>
      </w:pPr>
      <w:r>
        <w:rPr>
          <w:rFonts w:eastAsia="Calibri" w:cs="Calibri"/>
          <w:b w:val="false"/>
          <w:bCs w:val="false"/>
          <w:i w:val="false"/>
          <w:iCs w:val="false"/>
          <w:color w:val="1A1A1A"/>
          <w:sz w:val="20"/>
          <w:szCs w:val="20"/>
        </w:rPr>
        <w:t>Plan the year so relationships stay warm. Fill in targets and track completion.</w:t>
      </w:r>
    </w:p>
    <w:tbl>
      <w:tblPr>
        <w:tblW w:w="9360" w:type="dxa"/>
        <w:jc w:val="start"/>
        <w:tblInd w:w="0" w:type="dxa"/>
        <w:tblLayout w:type="fixed"/>
        <w:tblCellMar>
          <w:top w:w="60" w:type="dxa"/>
          <w:start w:w="100" w:type="dxa"/>
          <w:bottom w:w="60" w:type="dxa"/>
          <w:end w:w="100" w:type="dxa"/>
        </w:tblCellMar>
      </w:tblPr>
      <w:tblGrid>
        <w:gridCol w:w="1799"/>
        <w:gridCol w:w="3760"/>
        <w:gridCol w:w="3801"/>
      </w:tblGrid>
      <w:tr>
        <w:trPr>
          <w:tblHeader w:val="true"/>
        </w:trPr>
        <w:tc>
          <w:tcPr>
            <w:tcW w:w="17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Quarter</w:t>
            </w:r>
          </w:p>
        </w:tc>
        <w:tc>
          <w:tcPr>
            <w:tcW w:w="37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sources to meet (goal)</w:t>
            </w:r>
          </w:p>
        </w:tc>
        <w:tc>
          <w:tcPr>
            <w:tcW w:w="3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in-service / education</w:t>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Q1</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Q2</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Q3</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7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6"/>
                <w:szCs w:val="16"/>
              </w:rPr>
              <w:t>Q4</w:t>
            </w:r>
          </w:p>
        </w:tc>
        <w:tc>
          <w:tcPr>
            <w:tcW w:w="37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Template: Monthly Referral Tracking Log  </w:t>
      </w:r>
    </w:p>
    <w:p>
      <w:pPr>
        <w:pStyle w:val="Normal"/>
        <w:spacing w:lineRule="exact" w:line="268" w:before="0" w:after="110"/>
        <w:jc w:val="start"/>
        <w:rPr/>
      </w:pPr>
      <w:r>
        <w:rPr>
          <w:rFonts w:eastAsia="Calibri" w:cs="Calibri"/>
          <w:b w:val="false"/>
          <w:bCs w:val="false"/>
          <w:i w:val="false"/>
          <w:iCs w:val="false"/>
          <w:color w:val="1A1A1A"/>
          <w:sz w:val="20"/>
          <w:szCs w:val="20"/>
        </w:rPr>
        <w:t>Keep a simple running log — a spreadsheet is fine. One row per referral; review the totals each month (Part 20).</w:t>
      </w:r>
    </w:p>
    <w:tbl>
      <w:tblPr>
        <w:tblW w:w="9360" w:type="dxa"/>
        <w:jc w:val="start"/>
        <w:tblInd w:w="0" w:type="dxa"/>
        <w:tblLayout w:type="fixed"/>
        <w:tblCellMar>
          <w:top w:w="60" w:type="dxa"/>
          <w:start w:w="100" w:type="dxa"/>
          <w:bottom w:w="60" w:type="dxa"/>
          <w:end w:w="100" w:type="dxa"/>
        </w:tblCellMar>
      </w:tblPr>
      <w:tblGrid>
        <w:gridCol w:w="2600"/>
        <w:gridCol w:w="3899"/>
        <w:gridCol w:w="2861"/>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 &amp; referral source</w:t>
            </w:r>
          </w:p>
        </w:tc>
        <w:tc>
          <w:tcPr>
            <w:tcW w:w="38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initials — outcome (admitted / declined / no-show)</w:t>
            </w:r>
          </w:p>
        </w:tc>
        <w:tc>
          <w:tcPr>
            <w:tcW w:w="28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Time to contact — loop closed? (Y/N)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89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pacing w:before="140" w:after="60"/>
        <w:rPr/>
      </w:pPr>
      <w:r>
        <w:rPr>
          <w:rFonts w:eastAsia="Calibri" w:cs="Calibri"/>
          <w:b/>
          <w:bCs/>
          <w:i w:val="false"/>
          <w:iCs w:val="false"/>
          <w:color w:val="3E5871"/>
          <w:sz w:val="21"/>
          <w:szCs w:val="21"/>
        </w:rPr>
        <w:t>Sources &amp; Further Reading</w:t>
      </w:r>
    </w:p>
    <w:p>
      <w:pPr>
        <w:pStyle w:val="Normal"/>
        <w:spacing w:lineRule="exact" w:line="268" w:before="0" w:after="110"/>
        <w:jc w:val="start"/>
        <w:rPr/>
      </w:pPr>
      <w:r>
        <w:rPr>
          <w:rFonts w:eastAsia="Calibri" w:cs="Calibri"/>
          <w:b w:val="false"/>
          <w:bCs w:val="false"/>
          <w:i w:val="false"/>
          <w:iCs w:val="false"/>
          <w:color w:val="1A1A1A"/>
          <w:sz w:val="20"/>
          <w:szCs w:val="20"/>
        </w:rPr>
        <w:t>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California behavioral health providers, not legal advice. Contacts, programs, and phone numbers change — verify each before you rely on it, and confirm the Anti-Kickback Statute, EKRA, and California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California Edition  —  PolicyReady.org  —  Page </w:t>
    </w: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Substance Use Referral System — California Edition  —  PolicyReady.org  —  Page </w:t>
    </w:r>
    <w:r>
      <w:rPr/>
      <w:fldChar w:fldCharType="begin"/>
    </w:r>
    <w:r>
      <w:rPr/>
      <w:instrText xml:space="preserve"> PAGE </w:instrText>
    </w:r>
    <w:r>
      <w:rPr/>
      <w:fldChar w:fldCharType="separate"/>
    </w:r>
    <w:r>
      <w:rPr/>
      <w:t>18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2026-07-16T11:55:42Z</dcterms:created>
  <dc:creator>PolicyReady.org</dc:creator>
  <dc:description/>
  <dc:language>en-US</dc:language>
  <cp:lastModifiedBy>Un-named</cp:lastModifiedBy>
  <dcterms:modified xsi:type="dcterms:W3CDTF">2026-07-16T11:55:42Z</dcterms:modified>
  <cp:revision>1</cp:revision>
  <dc:subject/>
  <dc:title>The Substance Use Referral System — California Edition</dc:title>
</cp:coreProperties>
</file>