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0"/>
        <w:jc w:val="center"/>
      </w:pPr>
      <w:r>
        <w:rPr>
          <w:rFonts w:ascii="Calibri" w:hAnsi="Calibri"/>
          <w:b/>
          <w:i w:val="0"/>
          <w:sz w:val="40"/>
        </w:rPr>
        <w:t>POLICY &amp; PROCEDURE MANUAL</w:t>
      </w:r>
    </w:p>
    <w:p>
      <w:pPr>
        <w:spacing w:before="120" w:after="0"/>
        <w:jc w:val="center"/>
      </w:pPr>
      <w:r>
        <w:rPr>
          <w:rFonts w:ascii="Calibri" w:hAnsi="Calibri"/>
          <w:b w:val="0"/>
          <w:i w:val="0"/>
          <w:sz w:val="28"/>
        </w:rPr>
        <w:t>Recovery Residence Operations</w:t>
      </w:r>
    </w:p>
    <w:p>
      <w:pPr>
        <w:spacing w:before="120" w:after="0"/>
        <w:jc w:val="center"/>
      </w:pPr>
      <w:r>
        <w:rPr>
          <w:rFonts w:ascii="Calibri" w:hAnsi="Calibri"/>
          <w:b w:val="0"/>
          <w:i w:val="0"/>
          <w:sz w:val="24"/>
        </w:rPr>
        <w:t>State of Florida</w:t>
      </w:r>
    </w:p>
    <w:p>
      <w:pPr>
        <w:spacing w:before="80" w:after="0"/>
        <w:jc w:val="center"/>
      </w:pPr>
      <w:r>
        <w:rPr>
          <w:rFonts w:ascii="Calibri" w:hAnsi="Calibri"/>
          <w:b w:val="0"/>
          <w:i w:val="0"/>
          <w:sz w:val="20"/>
        </w:rPr>
        <w:t>FARR Voluntary Certification · Built to NARR Standard · F.S. 397.487</w:t>
      </w:r>
    </w:p>
    <w:p>
      <w:pPr>
        <w:spacing w:before="40" w:after="40"/>
      </w:pPr>
      <w:r>
        <w:rPr>
          <w:rFonts w:ascii="Calibri" w:hAnsi="Calibri"/>
          <w:b w:val="0"/>
          <w:i w:val="0"/>
          <w:sz w:val="20"/>
        </w:rPr>
        <w:t>Home name: ______________________________________</w:t>
      </w:r>
    </w:p>
    <w:p>
      <w:pPr>
        <w:spacing w:before="40" w:after="40"/>
      </w:pPr>
      <w:r>
        <w:rPr>
          <w:rFonts w:ascii="Calibri" w:hAnsi="Calibri"/>
          <w:b w:val="0"/>
          <w:i w:val="0"/>
          <w:sz w:val="20"/>
        </w:rPr>
        <w:t>Operator: ______________________     NARR Level: ____________</w:t>
      </w:r>
    </w:p>
    <w:p>
      <w:pPr>
        <w:spacing w:before="40" w:after="40"/>
      </w:pPr>
      <w:r>
        <w:rPr>
          <w:rFonts w:ascii="Calibri" w:hAnsi="Calibri"/>
          <w:b w:val="0"/>
          <w:i w:val="0"/>
          <w:sz w:val="20"/>
        </w:rPr>
        <w:t>Effective date: ______________     Last reviewed: ______________</w:t>
      </w:r>
    </w:p>
    <w:p>
      <w:pPr>
        <w:spacing w:before="200" w:after="80"/>
      </w:pPr>
      <w:r>
        <w:rPr>
          <w:rFonts w:ascii="Calibri" w:hAnsi="Calibri"/>
          <w:b/>
          <w:i w:val="0"/>
          <w:sz w:val="24"/>
        </w:rPr>
        <w:t>About This Manual</w:t>
      </w:r>
    </w:p>
    <w:p>
      <w:pPr>
        <w:spacing w:before="0" w:after="120"/>
      </w:pPr>
      <w:r>
        <w:rPr>
          <w:rFonts w:ascii="Calibri" w:hAnsi="Calibri"/>
          <w:b w:val="0"/>
          <w:i w:val="0"/>
          <w:sz w:val="20"/>
        </w:rPr>
        <w:t>This Operations Manual is a comprehensive, professionally structured framework of policies for a recovery residence — a safe, healthy, substance-free peer-recovery home — operating in Florida. It is written to be adopted, customized with your home's details, and kept as your governing policy document.</w:t>
      </w:r>
    </w:p>
    <w:p>
      <w:pPr>
        <w:spacing w:before="0" w:after="120"/>
      </w:pPr>
      <w:r>
        <w:rPr>
          <w:rFonts w:ascii="Calibri" w:hAnsi="Calibri"/>
          <w:b w:val="0"/>
          <w:i w:val="0"/>
          <w:sz w:val="20"/>
        </w:rPr>
        <w:t>Florida takes a distinctive approach. It does not license sober living homes as clinical facilities, and certification is voluntary — but it is administered by a single DCF-approved credentialing entity, the Florida Association of Recovery Residences (FARR), and it carries real weight. Under F.S. 397.4873 a DCF-licensed treatment provider may only refer to or accept referrals from a residence that holds a valid FARR certificate of compliance; a certified residence must be actively managed by a Certified Recovery Residence Administrator (F.S. 397.4871); and every operator works under Florida's stringent Patient Brokering Act (F.S. 817.505). This manual is built around that reality.</w:t>
      </w:r>
    </w:p>
    <w:p>
      <w:pPr>
        <w:spacing w:before="0" w:after="120"/>
      </w:pPr>
      <w:r>
        <w:rPr>
          <w:rFonts w:ascii="Calibri" w:hAnsi="Calibri"/>
          <w:b w:val="0"/>
          <w:i w:val="0"/>
          <w:sz w:val="20"/>
        </w:rPr>
        <w:t>The manual is organized into eight sections — governance, certification and administration; resident rights and ethical operations; admissions, agreements, and orientation; house operations and daily structure; personnel, house managers, and training; health, safety, and incident management; finances, records, and compliance; and quality, improvement, and community — followed by seven working appendices: a regulatory and standards reference map, a records-and-retention quick-reference, a compliance calendar, a forms-and-templates index, a NARR support-level comparison, a Florida recovery resource directory, and a postable resident bill of rights.</w:t>
      </w:r>
    </w:p>
    <w:p>
      <w:pPr>
        <w:spacing w:before="0" w:after="120"/>
      </w:pPr>
      <w:r>
        <w:rPr>
          <w:rFonts w:ascii="Calibri" w:hAnsi="Calibri"/>
          <w:b w:val="0"/>
          <w:i w:val="0"/>
          <w:sz w:val="20"/>
        </w:rPr>
        <w:t>Features distinctive to Florida are reflected throughout: voluntary FARR certification under F.S. 397.487 as the DCF-approved credentialing entity; the Certified Recovery Residence Administrator requirement (F.S. 397.4871); the referral restriction tying licensed-provider referrals to a valid certificate of compliance (F.S. 397.4873); Level 2 background screening (Chapter 435); the boundary between a recovery residence and a DCF-licensed Chapter 397 treatment provider; Fair Housing Act, ADA, and Florida Fair Housing Act (F.S. 760.23) protections for residents in recovery, including MAT/MOUD non-discrimination and reasonable accommodations; overdose prevention under Florida's naloxone standing order and the 911 Good Samaritan Act (F.S. 893.21); the federal EKRA and Florida's Patient Brokering Act (F.S. 817.505) against patient brokering; and Florida's mandatory abuse-reporting duties.</w:t>
      </w:r>
    </w:p>
    <w:p>
      <w:pPr>
        <w:spacing w:before="200" w:after="80"/>
      </w:pPr>
      <w:r>
        <w:rPr>
          <w:rFonts w:ascii="Calibri" w:hAnsi="Calibri"/>
          <w:b/>
          <w:i w:val="0"/>
          <w:sz w:val="24"/>
        </w:rPr>
        <w:t>How to Use This Manual</w:t>
      </w:r>
    </w:p>
    <w:p>
      <w:pPr>
        <w:spacing w:before="0" w:after="120"/>
      </w:pPr>
      <w:r>
        <w:rPr>
          <w:rFonts w:ascii="Calibri" w:hAnsi="Calibri"/>
          <w:b w:val="0"/>
          <w:i w:val="0"/>
          <w:sz w:val="20"/>
        </w:rPr>
        <w:t>Keep the signed manual where staff, house managers, residents, and reviewers can access it, together with your resident agreement, house rules, and required postings. Customize every bracketed or blank field with your home's specifics, confirm your FARR certification and Certified Recovery Residence Administrator, choose and state your NARR level honestly, and review the whole manual at least once a year and whenever Florida law, DCF rules, or NARR standards change.</w:t>
      </w:r>
    </w:p>
    <w:p>
      <w:pPr>
        <w:spacing w:before="40" w:after="120"/>
      </w:pPr>
      <w:r>
        <w:rPr>
          <w:rFonts w:ascii="Calibri" w:hAnsi="Calibri"/>
          <w:b/>
          <w:i/>
          <w:sz w:val="20"/>
        </w:rPr>
        <w:t xml:space="preserve">Important. </w:t>
      </w:r>
      <w:r>
        <w:rPr>
          <w:rFonts w:ascii="Calibri" w:hAnsi="Calibri"/>
          <w:b w:val="0"/>
          <w:i/>
          <w:sz w:val="20"/>
        </w:rPr>
        <w:t>This manual is a customizable framework and is not legal advice. Florida's recovery-housing requirements, certification standards, and the Patient Brokering Act change over time, and local zoning and landlord-tenant rules vary. Verify current details with DCF, FARR, the Florida Certification Board, and qualified local counsel before relying on any policy here.</w:t>
      </w:r>
    </w:p>
    <w:p>
      <w:pPr>
        <w:spacing w:before="200" w:after="80"/>
      </w:pPr>
      <w:r>
        <w:rPr>
          <w:rFonts w:ascii="Calibri" w:hAnsi="Calibri"/>
          <w:b/>
          <w:i w:val="0"/>
          <w:sz w:val="24"/>
        </w:rPr>
        <w:t>Glossary of Key Terms</w:t>
      </w:r>
    </w:p>
    <w:p>
      <w:pPr>
        <w:spacing w:before="0" w:after="120"/>
      </w:pPr>
      <w:r>
        <w:rPr>
          <w:rFonts w:ascii="Calibri" w:hAnsi="Calibri"/>
          <w:b w:val="0"/>
          <w:i w:val="0"/>
          <w:sz w:val="20"/>
        </w:rPr>
        <w:t>The following terms are used throughout this manual as they are used in Florida's recovery-housing law and the NARR standard.</w:t>
      </w:r>
    </w:p>
    <w:p>
      <w:pPr>
        <w:spacing w:before="0" w:after="80"/>
      </w:pPr>
      <w:r>
        <w:rPr>
          <w:rFonts w:ascii="Calibri" w:hAnsi="Calibri"/>
          <w:b/>
          <w:i w:val="0"/>
          <w:sz w:val="20"/>
        </w:rPr>
        <w:t xml:space="preserve">Recovery residence. </w:t>
      </w:r>
      <w:r>
        <w:rPr>
          <w:rFonts w:ascii="Calibri" w:hAnsi="Calibri"/>
          <w:b w:val="0"/>
          <w:i w:val="0"/>
          <w:sz w:val="20"/>
        </w:rPr>
        <w:t>A safe, healthy, substance-free living environment for people recovering from a substance use disorder. In Florida a recovery residence is a peer-supported housing setting — not a DCF-licensed treatment provider — that may be voluntarily certified under F.S. 397.487.</w:t>
      </w:r>
    </w:p>
    <w:p>
      <w:pPr>
        <w:spacing w:before="0" w:after="80"/>
      </w:pPr>
      <w:r>
        <w:rPr>
          <w:rFonts w:ascii="Calibri" w:hAnsi="Calibri"/>
          <w:b/>
          <w:i w:val="0"/>
          <w:sz w:val="20"/>
        </w:rPr>
        <w:t xml:space="preserve">Sober living home. </w:t>
      </w:r>
      <w:r>
        <w:rPr>
          <w:rFonts w:ascii="Calibri" w:hAnsi="Calibri"/>
          <w:b w:val="0"/>
          <w:i w:val="0"/>
          <w:sz w:val="20"/>
        </w:rPr>
        <w:t>A common name for a recovery residence, used interchangeably in this manual. Florida's certification is voluntary, but practically necessary to give or receive referrals with licensed treatment providers.</w:t>
      </w:r>
    </w:p>
    <w:p>
      <w:pPr>
        <w:spacing w:before="0" w:after="80"/>
      </w:pPr>
      <w:r>
        <w:rPr>
          <w:rFonts w:ascii="Calibri" w:hAnsi="Calibri"/>
          <w:b/>
          <w:i w:val="0"/>
          <w:sz w:val="20"/>
        </w:rPr>
        <w:t xml:space="preserve">Operator. </w:t>
      </w:r>
      <w:r>
        <w:rPr>
          <w:rFonts w:ascii="Calibri" w:hAnsi="Calibri"/>
          <w:b w:val="0"/>
          <w:i w:val="0"/>
          <w:sz w:val="20"/>
        </w:rPr>
        <w:t>The individual or entity that owns or is legally responsible for the recovery residence, its certification, and its policies. Referred to elsewhere as the owner or provider.</w:t>
      </w:r>
    </w:p>
    <w:p>
      <w:pPr>
        <w:spacing w:before="0" w:after="80"/>
      </w:pPr>
      <w:r>
        <w:rPr>
          <w:rFonts w:ascii="Calibri" w:hAnsi="Calibri"/>
          <w:b/>
          <w:i w:val="0"/>
          <w:sz w:val="20"/>
        </w:rPr>
        <w:t xml:space="preserve">House manager. </w:t>
      </w:r>
      <w:r>
        <w:rPr>
          <w:rFonts w:ascii="Calibri" w:hAnsi="Calibri"/>
          <w:b w:val="0"/>
          <w:i w:val="0"/>
          <w:sz w:val="20"/>
        </w:rPr>
        <w:t>The person responsible for the day-to-day operation of the home, enforcement of house rules, and support of residents. Often a person in stable long-term recovery. Distinct from the required Certified Recovery Residence Administrator.</w:t>
      </w:r>
    </w:p>
    <w:p>
      <w:pPr>
        <w:spacing w:before="0" w:after="80"/>
      </w:pPr>
      <w:r>
        <w:rPr>
          <w:rFonts w:ascii="Calibri" w:hAnsi="Calibri"/>
          <w:b/>
          <w:i w:val="0"/>
          <w:sz w:val="20"/>
        </w:rPr>
        <w:t xml:space="preserve">DCF. </w:t>
      </w:r>
      <w:r>
        <w:rPr>
          <w:rFonts w:ascii="Calibri" w:hAnsi="Calibri"/>
          <w:b w:val="0"/>
          <w:i w:val="0"/>
          <w:sz w:val="20"/>
        </w:rPr>
        <w:t>The Florida Department of Children and Families, the state agency that oversees the substance abuse and mental health (SAMH) system, licenses treatment providers under Chapter 397, and approves the credentialing entity for recovery residences. A recovery residence is not a DCF-licensed treatment provider.</w:t>
      </w:r>
    </w:p>
    <w:p>
      <w:pPr>
        <w:spacing w:before="0" w:after="80"/>
      </w:pPr>
      <w:r>
        <w:rPr>
          <w:rFonts w:ascii="Calibri" w:hAnsi="Calibri"/>
          <w:b/>
          <w:i w:val="0"/>
          <w:sz w:val="20"/>
        </w:rPr>
        <w:t xml:space="preserve">FARR. </w:t>
      </w:r>
      <w:r>
        <w:rPr>
          <w:rFonts w:ascii="Calibri" w:hAnsi="Calibri"/>
          <w:b w:val="0"/>
          <w:i w:val="0"/>
          <w:sz w:val="20"/>
        </w:rPr>
        <w:t>The Florida Association of Recovery Residences, the DCF-approved credentialing entity and Florida's NARR affiliate, which certifies recovery residences to the NARR standard across Levels I–IV under F.S. 397.487.</w:t>
      </w:r>
    </w:p>
    <w:p>
      <w:pPr>
        <w:spacing w:before="0" w:after="80"/>
      </w:pPr>
      <w:r>
        <w:rPr>
          <w:rFonts w:ascii="Calibri" w:hAnsi="Calibri"/>
          <w:b/>
          <w:i w:val="0"/>
          <w:sz w:val="20"/>
        </w:rPr>
        <w:t xml:space="preserve">Certificate of compliance. </w:t>
      </w:r>
      <w:r>
        <w:rPr>
          <w:rFonts w:ascii="Calibri" w:hAnsi="Calibri"/>
          <w:b w:val="0"/>
          <w:i w:val="0"/>
          <w:sz w:val="20"/>
        </w:rPr>
        <w:t>The FARR certification a recovery residence holds when it meets the standard under F.S. 397.487. A licensed provider may only refer to or from a residence that holds a valid certificate of compliance (F.S. 397.4873).</w:t>
      </w:r>
    </w:p>
    <w:p>
      <w:pPr>
        <w:spacing w:before="0" w:after="80"/>
      </w:pPr>
      <w:r>
        <w:rPr>
          <w:rFonts w:ascii="Calibri" w:hAnsi="Calibri"/>
          <w:b/>
          <w:i w:val="0"/>
          <w:sz w:val="20"/>
        </w:rPr>
        <w:t xml:space="preserve">CRRA. </w:t>
      </w:r>
      <w:r>
        <w:rPr>
          <w:rFonts w:ascii="Calibri" w:hAnsi="Calibri"/>
          <w:b w:val="0"/>
          <w:i w:val="0"/>
          <w:sz w:val="20"/>
        </w:rPr>
        <w:t>Certified Recovery Residence Administrator — the credential (issued by the Florida Certification Board) that F.S. 397.4871 requires actively manage every certified recovery residence.</w:t>
      </w:r>
    </w:p>
    <w:p>
      <w:pPr>
        <w:spacing w:before="0" w:after="80"/>
      </w:pPr>
      <w:r>
        <w:rPr>
          <w:rFonts w:ascii="Calibri" w:hAnsi="Calibri"/>
          <w:b/>
          <w:i w:val="0"/>
          <w:sz w:val="20"/>
        </w:rPr>
        <w:t xml:space="preserve">F.S. 397.487. </w:t>
      </w:r>
      <w:r>
        <w:rPr>
          <w:rFonts w:ascii="Calibri" w:hAnsi="Calibri"/>
          <w:b w:val="0"/>
          <w:i w:val="0"/>
          <w:sz w:val="20"/>
        </w:rPr>
        <w:t>The Florida statute establishing voluntary certification of recovery residences through a DCF-approved credentialing entity (FARR), including required policies, background screening, inspections, and MAT protections.</w:t>
      </w:r>
    </w:p>
    <w:p>
      <w:pPr>
        <w:spacing w:before="0" w:after="80"/>
      </w:pPr>
      <w:r>
        <w:rPr>
          <w:rFonts w:ascii="Calibri" w:hAnsi="Calibri"/>
          <w:b/>
          <w:i w:val="0"/>
          <w:sz w:val="20"/>
        </w:rPr>
        <w:t xml:space="preserve">F.S. 397.4873 (referral restriction). </w:t>
      </w:r>
      <w:r>
        <w:rPr>
          <w:rFonts w:ascii="Calibri" w:hAnsi="Calibri"/>
          <w:b w:val="0"/>
          <w:i w:val="0"/>
          <w:sz w:val="20"/>
        </w:rPr>
        <w:t>The statute barring a DCF-licensed service provider from making or accepting a referral to or from a recovery residence unless the residence holds a valid certificate of compliance, and restricting financial/referral relationships between providers and residences.</w:t>
      </w:r>
    </w:p>
    <w:p>
      <w:pPr>
        <w:spacing w:before="0" w:after="80"/>
      </w:pPr>
      <w:r>
        <w:rPr>
          <w:rFonts w:ascii="Calibri" w:hAnsi="Calibri"/>
          <w:b/>
          <w:i w:val="0"/>
          <w:sz w:val="20"/>
        </w:rPr>
        <w:t xml:space="preserve">Patient Brokering Act (F.S. 817.505). </w:t>
      </w:r>
      <w:r>
        <w:rPr>
          <w:rFonts w:ascii="Calibri" w:hAnsi="Calibri"/>
          <w:b w:val="0"/>
          <w:i w:val="0"/>
          <w:sz w:val="20"/>
        </w:rPr>
        <w:t>Florida's law criminalizing kickbacks, bribes, rebates, or commissions for patient referrals. Violations are felonies — third degree ($50,000), rising to first degree for 20+ patients ($500,000).</w:t>
      </w:r>
    </w:p>
    <w:p>
      <w:pPr>
        <w:spacing w:before="0" w:after="80"/>
      </w:pPr>
      <w:r>
        <w:rPr>
          <w:rFonts w:ascii="Calibri" w:hAnsi="Calibri"/>
          <w:b/>
          <w:i w:val="0"/>
          <w:sz w:val="20"/>
        </w:rPr>
        <w:t xml:space="preserve">NARR. </w:t>
      </w:r>
      <w:r>
        <w:rPr>
          <w:rFonts w:ascii="Calibri" w:hAnsi="Calibri"/>
          <w:b w:val="0"/>
          <w:i w:val="0"/>
          <w:sz w:val="20"/>
        </w:rPr>
        <w:t>The National Alliance for Recovery Residences, whose four-level standard is the nationally recognized framework for recovery residence quality, ethics, and operations, applied in Florida through FARR.</w:t>
      </w:r>
    </w:p>
    <w:p>
      <w:pPr>
        <w:spacing w:before="0" w:after="80"/>
      </w:pPr>
      <w:r>
        <w:rPr>
          <w:rFonts w:ascii="Calibri" w:hAnsi="Calibri"/>
          <w:b/>
          <w:i w:val="0"/>
          <w:sz w:val="20"/>
        </w:rPr>
        <w:t xml:space="preserve">NARR Levels. </w:t>
      </w:r>
      <w:r>
        <w:rPr>
          <w:rFonts w:ascii="Calibri" w:hAnsi="Calibri"/>
          <w:b w:val="0"/>
          <w:i w:val="0"/>
          <w:sz w:val="20"/>
        </w:rPr>
        <w:t>The four NARR support levels certified by FARR: Level I (peer-run), Level II (monitored — a paid house manager), Level III (supervised — organizational staff and structure), and Level IV (service provider — clinical services integrated with housing).</w:t>
      </w:r>
    </w:p>
    <w:p>
      <w:pPr>
        <w:spacing w:before="0" w:after="80"/>
      </w:pPr>
      <w:r>
        <w:rPr>
          <w:rFonts w:ascii="Calibri" w:hAnsi="Calibri"/>
          <w:b/>
          <w:i w:val="0"/>
          <w:sz w:val="20"/>
        </w:rPr>
        <w:t xml:space="preserve">Level 2 background screening. </w:t>
      </w:r>
      <w:r>
        <w:rPr>
          <w:rFonts w:ascii="Calibri" w:hAnsi="Calibri"/>
          <w:b w:val="0"/>
          <w:i w:val="0"/>
          <w:sz w:val="20"/>
        </w:rPr>
        <w:t>The fingerprint-based background screening under F.S. Chapter 435 that Florida requires for recovery-residence owners, directors, and administrators.</w:t>
      </w:r>
    </w:p>
    <w:p>
      <w:pPr>
        <w:spacing w:before="0" w:after="80"/>
      </w:pPr>
      <w:r>
        <w:rPr>
          <w:rFonts w:ascii="Calibri" w:hAnsi="Calibri"/>
          <w:b/>
          <w:i w:val="0"/>
          <w:sz w:val="20"/>
        </w:rPr>
        <w:t xml:space="preserve">Oxford House. </w:t>
      </w:r>
      <w:r>
        <w:rPr>
          <w:rFonts w:ascii="Calibri" w:hAnsi="Calibri"/>
          <w:b w:val="0"/>
          <w:i w:val="0"/>
          <w:sz w:val="20"/>
        </w:rPr>
        <w:t>A self-run, self-supporting, democratically governed recovery residence model with a strong Florida presence; a recognized Level I approach.</w:t>
      </w:r>
    </w:p>
    <w:p>
      <w:pPr>
        <w:spacing w:before="0" w:after="80"/>
      </w:pPr>
      <w:r>
        <w:rPr>
          <w:rFonts w:ascii="Calibri" w:hAnsi="Calibri"/>
          <w:b/>
          <w:i w:val="0"/>
          <w:sz w:val="20"/>
        </w:rPr>
        <w:t xml:space="preserve">Resident agreement. </w:t>
      </w:r>
      <w:r>
        <w:rPr>
          <w:rFonts w:ascii="Calibri" w:hAnsi="Calibri"/>
          <w:b w:val="0"/>
          <w:i w:val="0"/>
          <w:sz w:val="20"/>
        </w:rPr>
        <w:t>The written agreement between the operator and the resident describing fees, house rules, rights, grounds for discharge, and refund terms. It is the home's core operational document and a certification requirement.</w:t>
      </w:r>
    </w:p>
    <w:p>
      <w:pPr>
        <w:spacing w:before="0" w:after="80"/>
      </w:pPr>
      <w:r>
        <w:rPr>
          <w:rFonts w:ascii="Calibri" w:hAnsi="Calibri"/>
          <w:b/>
          <w:i w:val="0"/>
          <w:sz w:val="20"/>
        </w:rPr>
        <w:t xml:space="preserve">MAT / MOUD. </w:t>
      </w:r>
      <w:r>
        <w:rPr>
          <w:rFonts w:ascii="Calibri" w:hAnsi="Calibri"/>
          <w:b w:val="0"/>
          <w:i w:val="0"/>
          <w:sz w:val="20"/>
        </w:rPr>
        <w:t>Medication-assisted treatment (also medication for opioid use disorder) using FDA-approved medications such as buprenorphine, methadone, or naltrexone. Florida law protects residents' use of MAT (effective January 1, 2025); excluding residents because they use it is disability discrimination.</w:t>
      </w:r>
    </w:p>
    <w:p>
      <w:pPr>
        <w:spacing w:before="0" w:after="80"/>
      </w:pPr>
      <w:r>
        <w:rPr>
          <w:rFonts w:ascii="Calibri" w:hAnsi="Calibri"/>
          <w:b/>
          <w:i w:val="0"/>
          <w:sz w:val="20"/>
        </w:rPr>
        <w:t xml:space="preserve">Marchman Act. </w:t>
      </w:r>
      <w:r>
        <w:rPr>
          <w:rFonts w:ascii="Calibri" w:hAnsi="Calibri"/>
          <w:b w:val="0"/>
          <w:i w:val="0"/>
          <w:sz w:val="20"/>
        </w:rPr>
        <w:t>Florida's law (F.S. 397, Part V) for voluntary and involuntary assessment and stabilization of a person impaired by substances — relevant context when residents need a higher level of care.</w:t>
      </w:r>
    </w:p>
    <w:p>
      <w:pPr>
        <w:spacing w:before="0" w:after="80"/>
      </w:pPr>
      <w:r>
        <w:rPr>
          <w:rFonts w:ascii="Calibri" w:hAnsi="Calibri"/>
          <w:b/>
          <w:i w:val="0"/>
          <w:sz w:val="20"/>
        </w:rPr>
        <w:t xml:space="preserve">Recurrence response. </w:t>
      </w:r>
      <w:r>
        <w:rPr>
          <w:rFonts w:ascii="Calibri" w:hAnsi="Calibri"/>
          <w:b w:val="0"/>
          <w:i w:val="0"/>
          <w:sz w:val="20"/>
        </w:rPr>
        <w:t>The home's recovery-focused response to a resident's return to substance use (relapse), emphasizing safety and re-engagement rather than automatic discharge.</w:t>
      </w:r>
    </w:p>
    <w:p>
      <w:pPr>
        <w:spacing w:before="0" w:after="80"/>
      </w:pPr>
      <w:r>
        <w:rPr>
          <w:rFonts w:ascii="Calibri" w:hAnsi="Calibri"/>
          <w:b/>
          <w:i w:val="0"/>
          <w:sz w:val="20"/>
        </w:rPr>
        <w:t xml:space="preserve">Fair Housing Act (FHA). </w:t>
      </w:r>
      <w:r>
        <w:rPr>
          <w:rFonts w:ascii="Calibri" w:hAnsi="Calibri"/>
          <w:b w:val="0"/>
          <w:i w:val="0"/>
          <w:sz w:val="20"/>
        </w:rPr>
        <w:t>The federal law prohibiting housing discrimination against people with disabilities, which includes people in recovery from a substance use disorder. It requires reasonable accommodations and constrains discriminatory zoning.</w:t>
      </w:r>
    </w:p>
    <w:p>
      <w:pPr>
        <w:spacing w:before="0" w:after="80"/>
      </w:pPr>
      <w:r>
        <w:rPr>
          <w:rFonts w:ascii="Calibri" w:hAnsi="Calibri"/>
          <w:b/>
          <w:i w:val="0"/>
          <w:sz w:val="20"/>
        </w:rPr>
        <w:t xml:space="preserve">Reasonable accommodation. </w:t>
      </w:r>
      <w:r>
        <w:rPr>
          <w:rFonts w:ascii="Calibri" w:hAnsi="Calibri"/>
          <w:b w:val="0"/>
          <w:i w:val="0"/>
          <w:sz w:val="20"/>
        </w:rPr>
        <w:t>A change in rules, policies, or practices necessary to give a person with a disability an equal opportunity to use and enjoy housing.</w:t>
      </w:r>
    </w:p>
    <w:p>
      <w:pPr>
        <w:spacing w:before="0" w:after="80"/>
      </w:pPr>
      <w:r>
        <w:rPr>
          <w:rFonts w:ascii="Calibri" w:hAnsi="Calibri"/>
          <w:b/>
          <w:i w:val="0"/>
          <w:sz w:val="20"/>
        </w:rPr>
        <w:t xml:space="preserve">EKRA. </w:t>
      </w:r>
      <w:r>
        <w:rPr>
          <w:rFonts w:ascii="Calibri" w:hAnsi="Calibri"/>
          <w:b w:val="0"/>
          <w:i w:val="0"/>
          <w:sz w:val="20"/>
        </w:rPr>
        <w:t>The federal Eliminating Kickbacks in Recovery Act (18 U.S.C. § 220), which — alongside Florida's Patient Brokering Act — criminalizes paying or receiving remuneration for referring a patient to a recovery home, clinical treatment facility, or laboratory.</w:t>
      </w:r>
    </w:p>
    <w:p>
      <w:pPr>
        <w:spacing w:before="0" w:after="80"/>
      </w:pPr>
      <w:r>
        <w:rPr>
          <w:rFonts w:ascii="Calibri" w:hAnsi="Calibri"/>
          <w:b/>
          <w:i w:val="0"/>
          <w:sz w:val="20"/>
        </w:rPr>
        <w:t xml:space="preserve">Certified Recovery Peer Specialist (CRPS). </w:t>
      </w:r>
      <w:r>
        <w:rPr>
          <w:rFonts w:ascii="Calibri" w:hAnsi="Calibri"/>
          <w:b w:val="0"/>
          <w:i w:val="0"/>
          <w:sz w:val="20"/>
        </w:rPr>
        <w:t>A Florida Certification Board credential for peer recovery support; relevant when a home offers formal peer support services.</w:t>
      </w:r>
    </w:p>
    <w:p>
      <w:pPr>
        <w:spacing w:before="0" w:after="80"/>
      </w:pPr>
      <w:r>
        <w:rPr>
          <w:rFonts w:ascii="Calibri" w:hAnsi="Calibri"/>
          <w:b/>
          <w:i w:val="0"/>
          <w:sz w:val="20"/>
        </w:rPr>
        <w:t xml:space="preserve">Good neighbor policy. </w:t>
      </w:r>
      <w:r>
        <w:rPr>
          <w:rFonts w:ascii="Calibri" w:hAnsi="Calibri"/>
          <w:b w:val="0"/>
          <w:i w:val="0"/>
          <w:sz w:val="20"/>
        </w:rPr>
        <w:t>A written practice designating a contact for neighborhood concerns and setting expectations for parking, noise, and conduct, to sustain community trust.</w:t>
      </w:r>
    </w:p>
    <w:p>
      <w:pPr>
        <w:spacing w:before="0" w:after="80"/>
      </w:pPr>
      <w:r>
        <w:rPr>
          <w:rFonts w:ascii="Calibri" w:hAnsi="Calibri"/>
          <w:b/>
          <w:i w:val="0"/>
          <w:sz w:val="20"/>
        </w:rPr>
        <w:t xml:space="preserve">Naloxone. </w:t>
      </w:r>
      <w:r>
        <w:rPr>
          <w:rFonts w:ascii="Calibri" w:hAnsi="Calibri"/>
          <w:b w:val="0"/>
          <w:i w:val="0"/>
          <w:sz w:val="20"/>
        </w:rPr>
        <w:t>An opioid-overdose reversal medication (e.g., Narcan) that every recovery residence should stock, with trained residents and staff, available in Florida through the statewide standing order and pharmacies.</w:t>
      </w:r>
    </w:p>
    <w:p>
      <w:pPr>
        <w:spacing w:before="0" w:after="80"/>
      </w:pPr>
      <w:r>
        <w:rPr>
          <w:rFonts w:ascii="Calibri" w:hAnsi="Calibri"/>
          <w:b/>
          <w:i w:val="0"/>
          <w:sz w:val="20"/>
        </w:rPr>
        <w:t xml:space="preserve">Recovery capital. </w:t>
      </w:r>
      <w:r>
        <w:rPr>
          <w:rFonts w:ascii="Calibri" w:hAnsi="Calibri"/>
          <w:b w:val="0"/>
          <w:i w:val="0"/>
          <w:sz w:val="20"/>
        </w:rPr>
        <w:t>The internal and external resources — health, relationships, employment, housing, community — a person can draw on to start and sustain recovery. A recovery residence exists to build it.</w:t>
      </w:r>
    </w:p>
    <w:p>
      <w:pPr>
        <w:spacing w:before="0" w:after="80"/>
      </w:pPr>
      <w:r>
        <w:rPr>
          <w:rFonts w:ascii="Calibri" w:hAnsi="Calibri"/>
          <w:b/>
          <w:i w:val="0"/>
          <w:sz w:val="20"/>
        </w:rPr>
        <w:t xml:space="preserve">Harm reduction. </w:t>
      </w:r>
      <w:r>
        <w:rPr>
          <w:rFonts w:ascii="Calibri" w:hAnsi="Calibri"/>
          <w:b w:val="0"/>
          <w:i w:val="0"/>
          <w:sz w:val="20"/>
        </w:rPr>
        <w:t>Evidence-based practices that reduce the harms of substance use and keep people alive (naloxone, overdose education, non-punitive recurrence response), compatible with an abstinence-based housing environment.</w:t>
      </w:r>
    </w:p>
    <w:p>
      <w:pPr>
        <w:spacing w:before="0" w:after="80"/>
      </w:pPr>
      <w:r>
        <w:rPr>
          <w:rFonts w:ascii="Calibri" w:hAnsi="Calibri"/>
          <w:b/>
          <w:i w:val="0"/>
          <w:sz w:val="20"/>
        </w:rPr>
        <w:t xml:space="preserve">Trauma-informed care. </w:t>
      </w:r>
      <w:r>
        <w:rPr>
          <w:rFonts w:ascii="Calibri" w:hAnsi="Calibri"/>
          <w:b w:val="0"/>
          <w:i w:val="0"/>
          <w:sz w:val="20"/>
        </w:rPr>
        <w:t>An approach that recognizes the prevalence of trauma among people in recovery and organizes the home's practices around safety, trust, choice, and empowerment.</w:t>
      </w:r>
    </w:p>
    <w:p>
      <w:pPr>
        <w:spacing w:before="0" w:after="80"/>
      </w:pPr>
      <w:r>
        <w:rPr>
          <w:rFonts w:ascii="Calibri" w:hAnsi="Calibri"/>
          <w:b/>
          <w:i w:val="0"/>
          <w:sz w:val="20"/>
        </w:rPr>
        <w:t xml:space="preserve">911 Good Samaritan Act. </w:t>
      </w:r>
      <w:r>
        <w:rPr>
          <w:rFonts w:ascii="Calibri" w:hAnsi="Calibri"/>
          <w:b w:val="0"/>
          <w:i w:val="0"/>
          <w:sz w:val="20"/>
        </w:rPr>
        <w:t>Florida's overdose Good Samaritan protection (F.S. 893.21), which limits certain drug-possession liability for people who seek emergency help during an overdose — an important message to residents.</w:t>
      </w:r>
    </w:p>
    <w:p>
      <w:pPr>
        <w:spacing w:before="0" w:after="80"/>
      </w:pPr>
      <w:r>
        <w:rPr>
          <w:rFonts w:ascii="Calibri" w:hAnsi="Calibri"/>
          <w:b/>
          <w:i w:val="0"/>
          <w:sz w:val="20"/>
        </w:rPr>
        <w:t xml:space="preserve">Graduated response. </w:t>
      </w:r>
      <w:r>
        <w:rPr>
          <w:rFonts w:ascii="Calibri" w:hAnsi="Calibri"/>
          <w:b w:val="0"/>
          <w:i w:val="0"/>
          <w:sz w:val="20"/>
        </w:rPr>
        <w:t>A documented, escalating set of consequences for house-rule violations that favors support and accountability over immediate discharge, reserving removal for genuine safety threats.</w:t>
      </w:r>
    </w:p>
    <w:p>
      <w:r>
        <w:br w:type="page"/>
      </w:r>
    </w:p>
    <w:p>
      <w:pPr>
        <w:spacing w:before="0" w:after="80"/>
      </w:pPr>
      <w:r>
        <w:rPr>
          <w:rFonts w:ascii="Calibri" w:hAnsi="Calibri"/>
          <w:b/>
          <w:i w:val="0"/>
          <w:sz w:val="26"/>
        </w:rPr>
        <w:t>Section 1 — Governance, Certification &amp; Administration</w:t>
      </w:r>
    </w:p>
    <w:p>
      <w:pPr>
        <w:spacing w:before="0" w:after="160"/>
      </w:pPr>
      <w:r>
        <w:rPr>
          <w:rFonts w:ascii="Calibri" w:hAnsi="Calibri"/>
          <w:b w:val="0"/>
          <w:i/>
          <w:sz w:val="20"/>
        </w:rPr>
        <w:t>This section establishes how the recovery residence is owned, governed, and positioned within Florida's recovery-housing framework. Florida does not license sober living homes as clinical facilities, and certification is voluntary — but it is administered by a single DCF-approved credentialing entity, the Florida Association of Recovery Residences (FARR), and it carries real weight: under F.S. 397.4873 a licensed treatment provider may only refer to or accept referrals from a residence that holds a valid FARR certificate of compliance, a certified residence must be actively managed by a Certified Recovery Residence Administrator (F.S. 397.4871), and every operator works under Florida's stringent Patient Brokering Act (F.S. 817.505). This section sets those foundations.</w:t>
      </w:r>
    </w:p>
    <w:p>
      <w:pPr>
        <w:spacing w:before="260" w:after="90"/>
      </w:pPr>
      <w:r>
        <w:rPr>
          <w:rFonts w:ascii="Calibri" w:hAnsi="Calibri"/>
          <w:b/>
          <w:i w:val="0"/>
          <w:sz w:val="23"/>
        </w:rPr>
        <w:t>1.01  Legal Structure and Business Formation</w:t>
      </w:r>
    </w:p>
    <w:p>
      <w:pPr>
        <w:spacing w:before="0" w:after="80"/>
      </w:pPr>
      <w:r>
        <w:rPr>
          <w:rFonts w:ascii="Calibri" w:hAnsi="Calibri"/>
          <w:b w:val="0"/>
          <w:i/>
          <w:color w:val="555555"/>
          <w:sz w:val="19"/>
        </w:rPr>
        <w:t>Florida Division of Corporations (Sunbiz); local business tax receipt</w:t>
      </w:r>
    </w:p>
    <w:p>
      <w:pPr>
        <w:spacing w:before="0" w:after="110"/>
      </w:pPr>
      <w:r>
        <w:rPr>
          <w:rFonts w:ascii="Calibri" w:hAnsi="Calibri"/>
          <w:b/>
          <w:i w:val="0"/>
          <w:sz w:val="20"/>
        </w:rPr>
        <w:t xml:space="preserve">Purpose. </w:t>
      </w:r>
      <w:r>
        <w:rPr>
          <w:rFonts w:ascii="Calibri" w:hAnsi="Calibri"/>
          <w:b w:val="0"/>
          <w:i w:val="0"/>
          <w:sz w:val="20"/>
        </w:rPr>
        <w:t>To establish the recovery residence as a properly formed Florida business with clear ownership and accountability.</w:t>
      </w:r>
    </w:p>
    <w:p>
      <w:pPr>
        <w:spacing w:before="0" w:after="110"/>
      </w:pPr>
      <w:r>
        <w:rPr>
          <w:rFonts w:ascii="Calibri" w:hAnsi="Calibri"/>
          <w:b/>
          <w:i w:val="0"/>
          <w:sz w:val="20"/>
        </w:rPr>
        <w:t xml:space="preserve">Policy. </w:t>
      </w:r>
      <w:r>
        <w:rPr>
          <w:rFonts w:ascii="Calibri" w:hAnsi="Calibri"/>
          <w:b w:val="0"/>
          <w:i w:val="0"/>
          <w:sz w:val="20"/>
        </w:rPr>
        <w:t>The operator forms and maintains an appropriate legal entity, registers with the Florida Division of Corporations, and keeps the entity in good standing.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selects an entity type (LLC, nonprofit corporation, or other) and files with the Florida Division of Corporations (Sunbiz).</w:t>
      </w:r>
    </w:p>
    <w:p>
      <w:pPr>
        <w:spacing w:before="0" w:after="60"/>
        <w:ind w:left="340"/>
      </w:pPr>
      <w:r>
        <w:rPr>
          <w:rFonts w:ascii="Calibri" w:hAnsi="Calibri"/>
          <w:b w:val="0"/>
          <w:i w:val="0"/>
          <w:sz w:val="20"/>
        </w:rPr>
        <w:t>•  The home obtains any county or municipal local business tax receipt required where it operates.</w:t>
      </w:r>
    </w:p>
    <w:p>
      <w:pPr>
        <w:spacing w:before="0" w:after="60"/>
        <w:ind w:left="340"/>
      </w:pPr>
      <w:r>
        <w:rPr>
          <w:rFonts w:ascii="Calibri" w:hAnsi="Calibri"/>
          <w:b w:val="0"/>
          <w:i w:val="0"/>
          <w:sz w:val="20"/>
        </w:rPr>
        <w:t>•  A registered agent and current contact information are maintained on file.</w:t>
      </w:r>
    </w:p>
    <w:p>
      <w:pPr>
        <w:spacing w:before="0" w:after="60"/>
        <w:ind w:left="340"/>
      </w:pPr>
      <w:r>
        <w:rPr>
          <w:rFonts w:ascii="Calibri" w:hAnsi="Calibri"/>
          <w:b w:val="0"/>
          <w:i w:val="0"/>
          <w:sz w:val="20"/>
        </w:rPr>
        <w:t>•  Nonprofit operators seeking grant funding maintain 501(c) tax-exempt status and a governing board as required.</w:t>
      </w:r>
    </w:p>
    <w:p>
      <w:pPr>
        <w:spacing w:before="0" w:after="60"/>
        <w:ind w:left="340"/>
      </w:pPr>
      <w:r>
        <w:rPr>
          <w:rFonts w:ascii="Calibri" w:hAnsi="Calibri"/>
          <w:b w:val="0"/>
          <w:i w:val="0"/>
          <w:sz w:val="20"/>
        </w:rPr>
        <w:t>•  Ownership, control, and the responsible party are documented and available to DCF and FARR on request.</w:t>
      </w:r>
    </w:p>
    <w:p>
      <w:pPr>
        <w:spacing w:before="260" w:after="90"/>
      </w:pPr>
      <w:r>
        <w:rPr>
          <w:rFonts w:ascii="Calibri" w:hAnsi="Calibri"/>
          <w:b/>
          <w:i w:val="0"/>
          <w:sz w:val="23"/>
        </w:rPr>
        <w:t>1.02  Operator Authority and Responsibility</w:t>
      </w:r>
    </w:p>
    <w:p>
      <w:pPr>
        <w:spacing w:before="0" w:after="80"/>
      </w:pPr>
      <w:r>
        <w:rPr>
          <w:rFonts w:ascii="Calibri" w:hAnsi="Calibri"/>
          <w:b w:val="0"/>
          <w:i/>
          <w:color w:val="555555"/>
          <w:sz w:val="19"/>
        </w:rPr>
        <w:t>NARR Standard; F.S. 397.487 (operational responsibility)</w:t>
      </w:r>
    </w:p>
    <w:p>
      <w:pPr>
        <w:spacing w:before="0" w:after="110"/>
      </w:pPr>
      <w:r>
        <w:rPr>
          <w:rFonts w:ascii="Calibri" w:hAnsi="Calibri"/>
          <w:b/>
          <w:i w:val="0"/>
          <w:sz w:val="20"/>
        </w:rPr>
        <w:t xml:space="preserve">Purpose. </w:t>
      </w:r>
      <w:r>
        <w:rPr>
          <w:rFonts w:ascii="Calibri" w:hAnsi="Calibri"/>
          <w:b w:val="0"/>
          <w:i w:val="0"/>
          <w:sz w:val="20"/>
        </w:rPr>
        <w:t>To establish clear accountability for every aspect of the home's operation.</w:t>
      </w:r>
    </w:p>
    <w:p>
      <w:pPr>
        <w:spacing w:before="0" w:after="110"/>
      </w:pPr>
      <w:r>
        <w:rPr>
          <w:rFonts w:ascii="Calibri" w:hAnsi="Calibri"/>
          <w:b/>
          <w:i w:val="0"/>
          <w:sz w:val="20"/>
        </w:rPr>
        <w:t xml:space="preserve">Policy. </w:t>
      </w:r>
      <w:r>
        <w:rPr>
          <w:rFonts w:ascii="Calibri" w:hAnsi="Calibri"/>
          <w:b w:val="0"/>
          <w:i w:val="0"/>
          <w:sz w:val="20"/>
        </w:rPr>
        <w:t>The operator holds ultimate authority and responsibility for the home, its certification, policies, finances, and compliance, and does not delegate that accountability even when a house manager or administrator is appointed.</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adopts, signs, and dates this manual and reviews it at least annually.</w:t>
      </w:r>
    </w:p>
    <w:p>
      <w:pPr>
        <w:spacing w:before="0" w:after="60"/>
        <w:ind w:left="340"/>
      </w:pPr>
      <w:r>
        <w:rPr>
          <w:rFonts w:ascii="Calibri" w:hAnsi="Calibri"/>
          <w:b w:val="0"/>
          <w:i w:val="0"/>
          <w:sz w:val="20"/>
        </w:rPr>
        <w:t>•  The operator ensures a Certified Recovery Residence Administrator actively manages a certified home (see 1.05).</w:t>
      </w:r>
    </w:p>
    <w:p>
      <w:pPr>
        <w:spacing w:before="0" w:after="60"/>
        <w:ind w:left="340"/>
      </w:pPr>
      <w:r>
        <w:rPr>
          <w:rFonts w:ascii="Calibri" w:hAnsi="Calibri"/>
          <w:b w:val="0"/>
          <w:i w:val="0"/>
          <w:sz w:val="20"/>
        </w:rPr>
        <w:t>•  The operator designates a house manager in writing and defines the manager's authority and limits.</w:t>
      </w:r>
    </w:p>
    <w:p>
      <w:pPr>
        <w:spacing w:before="0" w:after="60"/>
        <w:ind w:left="340"/>
      </w:pPr>
      <w:r>
        <w:rPr>
          <w:rFonts w:ascii="Calibri" w:hAnsi="Calibri"/>
          <w:b w:val="0"/>
          <w:i w:val="0"/>
          <w:sz w:val="20"/>
        </w:rPr>
        <w:t>•  Contact information for the operator is available to residents, emergency responders, DCF, and FARR.</w:t>
      </w:r>
    </w:p>
    <w:p>
      <w:pPr>
        <w:spacing w:before="0" w:after="60"/>
        <w:ind w:left="340"/>
      </w:pPr>
      <w:r>
        <w:rPr>
          <w:rFonts w:ascii="Calibri" w:hAnsi="Calibri"/>
          <w:b w:val="0"/>
          <w:i w:val="0"/>
          <w:sz w:val="20"/>
        </w:rPr>
        <w:t>•  The operator ensures the home has the financial and staffing resources to meet its commitments to residents.</w:t>
      </w:r>
    </w:p>
    <w:p>
      <w:pPr>
        <w:spacing w:before="0" w:after="60"/>
        <w:ind w:left="340"/>
      </w:pPr>
      <w:r>
        <w:rPr>
          <w:rFonts w:ascii="Calibri" w:hAnsi="Calibri"/>
          <w:b w:val="0"/>
          <w:i w:val="0"/>
          <w:sz w:val="20"/>
        </w:rPr>
        <w:t>•  The operator retains responsibility for certification, fair housing, patient-brokering compliance, and health-and-safety obligations.</w:t>
      </w:r>
    </w:p>
    <w:p>
      <w:pPr>
        <w:spacing w:before="260" w:after="90"/>
      </w:pPr>
      <w:r>
        <w:rPr>
          <w:rFonts w:ascii="Calibri" w:hAnsi="Calibri"/>
          <w:b/>
          <w:i w:val="0"/>
          <w:sz w:val="23"/>
        </w:rPr>
        <w:t>1.03  Scope of Services and the Treatment Boundary</w:t>
      </w:r>
    </w:p>
    <w:p>
      <w:pPr>
        <w:spacing w:before="0" w:after="80"/>
      </w:pPr>
      <w:r>
        <w:rPr>
          <w:rFonts w:ascii="Calibri" w:hAnsi="Calibri"/>
          <w:b w:val="0"/>
          <w:i/>
          <w:color w:val="555555"/>
          <w:sz w:val="19"/>
        </w:rPr>
        <w:t>DCF Chapter 397 licensure boundary; NARR Standard</w:t>
      </w:r>
    </w:p>
    <w:p>
      <w:pPr>
        <w:spacing w:before="0" w:after="110"/>
      </w:pPr>
      <w:r>
        <w:rPr>
          <w:rFonts w:ascii="Calibri" w:hAnsi="Calibri"/>
          <w:b/>
          <w:i w:val="0"/>
          <w:sz w:val="20"/>
        </w:rPr>
        <w:t xml:space="preserve">Purpose. </w:t>
      </w:r>
      <w:r>
        <w:rPr>
          <w:rFonts w:ascii="Calibri" w:hAnsi="Calibri"/>
          <w:b w:val="0"/>
          <w:i w:val="0"/>
          <w:sz w:val="20"/>
        </w:rPr>
        <w:t>To operate strictly as a recovery residence and avoid providing unlicensed clinical treatment.</w:t>
      </w:r>
    </w:p>
    <w:p>
      <w:pPr>
        <w:spacing w:before="0" w:after="110"/>
      </w:pPr>
      <w:r>
        <w:rPr>
          <w:rFonts w:ascii="Calibri" w:hAnsi="Calibri"/>
          <w:b/>
          <w:i w:val="0"/>
          <w:sz w:val="20"/>
        </w:rPr>
        <w:t xml:space="preserve">Policy. </w:t>
      </w:r>
      <w:r>
        <w:rPr>
          <w:rFonts w:ascii="Calibri" w:hAnsi="Calibri"/>
          <w:b w:val="0"/>
          <w:i w:val="0"/>
          <w:sz w:val="20"/>
        </w:rPr>
        <w:t>The home provides housing, a substance-free environment, peer support, and recovery-oriented structure only; it does not provide clinical or medical treatment, which in Florida requires DCF licensure under Chapter 397.</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written scope of services limits the home to housing and peer recovery support.</w:t>
      </w:r>
    </w:p>
    <w:p>
      <w:pPr>
        <w:spacing w:before="0" w:after="60"/>
        <w:ind w:left="340"/>
      </w:pPr>
      <w:r>
        <w:rPr>
          <w:rFonts w:ascii="Calibri" w:hAnsi="Calibri"/>
          <w:b w:val="0"/>
          <w:i w:val="0"/>
          <w:sz w:val="20"/>
        </w:rPr>
        <w:t>•  No counseling, therapy, detoxification, medical care, or medication administration is provided as a service of the home.</w:t>
      </w:r>
    </w:p>
    <w:p>
      <w:pPr>
        <w:spacing w:before="0" w:after="60"/>
        <w:ind w:left="340"/>
      </w:pPr>
      <w:r>
        <w:rPr>
          <w:rFonts w:ascii="Calibri" w:hAnsi="Calibri"/>
          <w:b w:val="0"/>
          <w:i w:val="0"/>
          <w:sz w:val="20"/>
        </w:rPr>
        <w:t>•  If the operator wishes to add clinical services (a Level IV model), it first obtains DCF licensure under Chapter 397 and operates that program separately.</w:t>
      </w:r>
    </w:p>
    <w:p>
      <w:pPr>
        <w:spacing w:before="0" w:after="60"/>
        <w:ind w:left="340"/>
      </w:pPr>
      <w:r>
        <w:rPr>
          <w:rFonts w:ascii="Calibri" w:hAnsi="Calibri"/>
          <w:b w:val="0"/>
          <w:i w:val="0"/>
          <w:sz w:val="20"/>
        </w:rPr>
        <w:t>•  Residents are connected to licensed outpatient providers, MAT prescribers, and community resources rather than treated on site.</w:t>
      </w:r>
    </w:p>
    <w:p>
      <w:pPr>
        <w:spacing w:before="0" w:after="60"/>
        <w:ind w:left="340"/>
      </w:pPr>
      <w:r>
        <w:rPr>
          <w:rFonts w:ascii="Calibri" w:hAnsi="Calibri"/>
          <w:b w:val="0"/>
          <w:i w:val="0"/>
          <w:sz w:val="20"/>
        </w:rPr>
        <w:t>•  Staff are trained on the difference between peer support and clinical services and on where that line falls.</w:t>
      </w:r>
    </w:p>
    <w:p>
      <w:pPr>
        <w:spacing w:before="260" w:after="90"/>
      </w:pPr>
      <w:r>
        <w:rPr>
          <w:rFonts w:ascii="Calibri" w:hAnsi="Calibri"/>
          <w:b/>
          <w:i w:val="0"/>
          <w:sz w:val="23"/>
        </w:rPr>
        <w:t>1.04  FARR Voluntary Certification</w:t>
      </w:r>
    </w:p>
    <w:p>
      <w:pPr>
        <w:spacing w:before="0" w:after="80"/>
      </w:pPr>
      <w:r>
        <w:rPr>
          <w:rFonts w:ascii="Calibri" w:hAnsi="Calibri"/>
          <w:b w:val="0"/>
          <w:i/>
          <w:color w:val="555555"/>
          <w:sz w:val="19"/>
        </w:rPr>
        <w:t>F.S. 397.487; DCF-approved credentialing entity (FARR); NARR Standard</w:t>
      </w:r>
    </w:p>
    <w:p>
      <w:pPr>
        <w:spacing w:before="0" w:after="110"/>
      </w:pPr>
      <w:r>
        <w:rPr>
          <w:rFonts w:ascii="Calibri" w:hAnsi="Calibri"/>
          <w:b/>
          <w:i w:val="0"/>
          <w:sz w:val="20"/>
        </w:rPr>
        <w:t xml:space="preserve">Purpose. </w:t>
      </w:r>
      <w:r>
        <w:rPr>
          <w:rFonts w:ascii="Calibri" w:hAnsi="Calibri"/>
          <w:b w:val="0"/>
          <w:i w:val="0"/>
          <w:sz w:val="20"/>
        </w:rPr>
        <w:t>To obtain and maintain FARR certification — the certificate of compliance that unlocks referrals and credibility.</w:t>
      </w:r>
    </w:p>
    <w:p>
      <w:pPr>
        <w:spacing w:before="0" w:after="110"/>
      </w:pPr>
      <w:r>
        <w:rPr>
          <w:rFonts w:ascii="Calibri" w:hAnsi="Calibri"/>
          <w:b/>
          <w:i w:val="0"/>
          <w:sz w:val="20"/>
        </w:rPr>
        <w:t xml:space="preserve">Policy. </w:t>
      </w:r>
      <w:r>
        <w:rPr>
          <w:rFonts w:ascii="Calibri" w:hAnsi="Calibri"/>
          <w:b w:val="0"/>
          <w:i w:val="0"/>
          <w:sz w:val="20"/>
        </w:rPr>
        <w:t>The home pursues and maintains voluntary certification through FARR, the DCF-approved credentialing entity, meeting the NARR standard and Florida's certification requirements.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applies to FARR and meets the F.S. 397.487 requirements: written policies on drug testing, prohibited substances, resident rules, intake, and background screening.</w:t>
      </w:r>
    </w:p>
    <w:p>
      <w:pPr>
        <w:spacing w:before="0" w:after="60"/>
        <w:ind w:left="340"/>
      </w:pPr>
      <w:r>
        <w:rPr>
          <w:rFonts w:ascii="Calibri" w:hAnsi="Calibri"/>
          <w:b w:val="0"/>
          <w:i w:val="0"/>
          <w:sz w:val="20"/>
        </w:rPr>
        <w:t>•  The home passes the required inspection and maintains fire and life-safety compliance.</w:t>
      </w:r>
    </w:p>
    <w:p>
      <w:pPr>
        <w:spacing w:before="0" w:after="60"/>
        <w:ind w:left="340"/>
      </w:pPr>
      <w:r>
        <w:rPr>
          <w:rFonts w:ascii="Calibri" w:hAnsi="Calibri"/>
          <w:b w:val="0"/>
          <w:i w:val="0"/>
          <w:sz w:val="20"/>
        </w:rPr>
        <w:t>•  Owners and directors complete Level 2 (fingerprint) background screening under Chapter 435.</w:t>
      </w:r>
    </w:p>
    <w:p>
      <w:pPr>
        <w:spacing w:before="0" w:after="60"/>
        <w:ind w:left="340"/>
      </w:pPr>
      <w:r>
        <w:rPr>
          <w:rFonts w:ascii="Calibri" w:hAnsi="Calibri"/>
          <w:b w:val="0"/>
          <w:i w:val="0"/>
          <w:sz w:val="20"/>
        </w:rPr>
        <w:t>•  The home maintains the NARR standard continuously, not only at inspection, and corrects deficiencies promptly.</w:t>
      </w:r>
    </w:p>
    <w:p>
      <w:pPr>
        <w:spacing w:before="0" w:after="60"/>
        <w:ind w:left="340"/>
      </w:pPr>
      <w:r>
        <w:rPr>
          <w:rFonts w:ascii="Calibri" w:hAnsi="Calibri"/>
          <w:b w:val="0"/>
          <w:i w:val="0"/>
          <w:sz w:val="20"/>
        </w:rPr>
        <w:t>•  The FARR certificate of compliance, level, and expiration are posted and provided to residents and referral sources on request.</w:t>
      </w:r>
    </w:p>
    <w:p>
      <w:pPr>
        <w:spacing w:before="0" w:after="60"/>
        <w:ind w:left="340"/>
      </w:pPr>
      <w:r>
        <w:rPr>
          <w:rFonts w:ascii="Calibri" w:hAnsi="Calibri"/>
          <w:b w:val="0"/>
          <w:i w:val="0"/>
          <w:sz w:val="20"/>
        </w:rPr>
        <w:t>•  Certification is renewed on time and after any change that affects compliance.</w:t>
      </w:r>
    </w:p>
    <w:p>
      <w:pPr>
        <w:spacing w:before="260" w:after="90"/>
      </w:pPr>
      <w:r>
        <w:rPr>
          <w:rFonts w:ascii="Calibri" w:hAnsi="Calibri"/>
          <w:b/>
          <w:i w:val="0"/>
          <w:sz w:val="23"/>
        </w:rPr>
        <w:t>1.05  Certified Recovery Residence Administrator (CRRA)</w:t>
      </w:r>
    </w:p>
    <w:p>
      <w:pPr>
        <w:spacing w:before="0" w:after="80"/>
      </w:pPr>
      <w:r>
        <w:rPr>
          <w:rFonts w:ascii="Calibri" w:hAnsi="Calibri"/>
          <w:b w:val="0"/>
          <w:i/>
          <w:color w:val="555555"/>
          <w:sz w:val="19"/>
        </w:rPr>
        <w:t>F.S. 397.4871; Florida Certification Board</w:t>
      </w:r>
    </w:p>
    <w:p>
      <w:pPr>
        <w:spacing w:before="0" w:after="110"/>
      </w:pPr>
      <w:r>
        <w:rPr>
          <w:rFonts w:ascii="Calibri" w:hAnsi="Calibri"/>
          <w:b/>
          <w:i w:val="0"/>
          <w:sz w:val="20"/>
        </w:rPr>
        <w:t xml:space="preserve">Purpose. </w:t>
      </w:r>
      <w:r>
        <w:rPr>
          <w:rFonts w:ascii="Calibri" w:hAnsi="Calibri"/>
          <w:b w:val="0"/>
          <w:i w:val="0"/>
          <w:sz w:val="20"/>
        </w:rPr>
        <w:t>To ensure a certified home is actively managed by a credentialed administrator, as Florida law requires.</w:t>
      </w:r>
    </w:p>
    <w:p>
      <w:pPr>
        <w:spacing w:before="0" w:after="110"/>
      </w:pPr>
      <w:r>
        <w:rPr>
          <w:rFonts w:ascii="Calibri" w:hAnsi="Calibri"/>
          <w:b/>
          <w:i w:val="0"/>
          <w:sz w:val="20"/>
        </w:rPr>
        <w:t xml:space="preserve">Policy. </w:t>
      </w:r>
      <w:r>
        <w:rPr>
          <w:rFonts w:ascii="Calibri" w:hAnsi="Calibri"/>
          <w:b w:val="0"/>
          <w:i w:val="0"/>
          <w:sz w:val="20"/>
        </w:rPr>
        <w:t>A certified recovery residence is actively managed by a Certified Recovery Residence Administrator (CRRA) credentialed by the Florida Certification Board.</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designates a CRRA who actively manages the residence.</w:t>
      </w:r>
    </w:p>
    <w:p>
      <w:pPr>
        <w:spacing w:before="0" w:after="60"/>
        <w:ind w:left="340"/>
      </w:pPr>
      <w:r>
        <w:rPr>
          <w:rFonts w:ascii="Calibri" w:hAnsi="Calibri"/>
          <w:b w:val="0"/>
          <w:i w:val="0"/>
          <w:sz w:val="20"/>
        </w:rPr>
        <w:t>•  The CRRA holds a current credential from the Florida Certification Board and meets its background-screening and training requirements.</w:t>
      </w:r>
    </w:p>
    <w:p>
      <w:pPr>
        <w:spacing w:before="0" w:after="60"/>
        <w:ind w:left="340"/>
      </w:pPr>
      <w:r>
        <w:rPr>
          <w:rFonts w:ascii="Calibri" w:hAnsi="Calibri"/>
          <w:b w:val="0"/>
          <w:i w:val="0"/>
          <w:sz w:val="20"/>
        </w:rPr>
        <w:t>•  The CRRA's credential is kept current and renewed on time.</w:t>
      </w:r>
    </w:p>
    <w:p>
      <w:pPr>
        <w:spacing w:before="0" w:after="60"/>
        <w:ind w:left="340"/>
      </w:pPr>
      <w:r>
        <w:rPr>
          <w:rFonts w:ascii="Calibri" w:hAnsi="Calibri"/>
          <w:b w:val="0"/>
          <w:i w:val="0"/>
          <w:sz w:val="20"/>
        </w:rPr>
        <w:t>•  If the CRRA changes, the home fills the role promptly and notifies FARR as required.</w:t>
      </w:r>
    </w:p>
    <w:p>
      <w:pPr>
        <w:spacing w:before="0" w:after="60"/>
        <w:ind w:left="340"/>
      </w:pPr>
      <w:r>
        <w:rPr>
          <w:rFonts w:ascii="Calibri" w:hAnsi="Calibri"/>
          <w:b w:val="0"/>
          <w:i w:val="0"/>
          <w:sz w:val="20"/>
        </w:rPr>
        <w:t>•  The CRRA's responsibilities are documented and distinguished from the day-to-day house manager role.</w:t>
      </w:r>
    </w:p>
    <w:p>
      <w:pPr>
        <w:spacing w:before="260" w:after="90"/>
      </w:pPr>
      <w:r>
        <w:rPr>
          <w:rFonts w:ascii="Calibri" w:hAnsi="Calibri"/>
          <w:b/>
          <w:i w:val="0"/>
          <w:sz w:val="23"/>
        </w:rPr>
        <w:t>1.06  The Referral Restriction &amp; Certificate of Compliance</w:t>
      </w:r>
    </w:p>
    <w:p>
      <w:pPr>
        <w:spacing w:before="0" w:after="80"/>
      </w:pPr>
      <w:r>
        <w:rPr>
          <w:rFonts w:ascii="Calibri" w:hAnsi="Calibri"/>
          <w:b w:val="0"/>
          <w:i/>
          <w:color w:val="555555"/>
          <w:sz w:val="19"/>
        </w:rPr>
        <w:t>F.S. 397.4873 (referrals to and from recovery residences)</w:t>
      </w:r>
    </w:p>
    <w:p>
      <w:pPr>
        <w:spacing w:before="0" w:after="110"/>
      </w:pPr>
      <w:r>
        <w:rPr>
          <w:rFonts w:ascii="Calibri" w:hAnsi="Calibri"/>
          <w:b/>
          <w:i w:val="0"/>
          <w:sz w:val="20"/>
        </w:rPr>
        <w:t xml:space="preserve">Purpose. </w:t>
      </w:r>
      <w:r>
        <w:rPr>
          <w:rFonts w:ascii="Calibri" w:hAnsi="Calibri"/>
          <w:b w:val="0"/>
          <w:i w:val="0"/>
          <w:sz w:val="20"/>
        </w:rPr>
        <w:t>To preserve the home's ability to give and receive referrals with licensed providers, which the law ties to certification.</w:t>
      </w:r>
    </w:p>
    <w:p>
      <w:pPr>
        <w:spacing w:before="0" w:after="110"/>
      </w:pPr>
      <w:r>
        <w:rPr>
          <w:rFonts w:ascii="Calibri" w:hAnsi="Calibri"/>
          <w:b/>
          <w:i w:val="0"/>
          <w:sz w:val="20"/>
        </w:rPr>
        <w:t xml:space="preserve">Policy. </w:t>
      </w:r>
      <w:r>
        <w:rPr>
          <w:rFonts w:ascii="Calibri" w:hAnsi="Calibri"/>
          <w:b w:val="0"/>
          <w:i w:val="0"/>
          <w:sz w:val="20"/>
        </w:rPr>
        <w:t>The operator understands and operates within F.S. 397.4873: a DCF-licensed service provider may not refer a prospective, current, or discharged patient to — or accept such a referral from — a recovery residence unless the residence holds a valid FARR certificate of compliance.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maintains a valid FARR certificate of compliance so licensed providers may lawfully refer to it.</w:t>
      </w:r>
    </w:p>
    <w:p>
      <w:pPr>
        <w:spacing w:before="0" w:after="60"/>
        <w:ind w:left="340"/>
      </w:pPr>
      <w:r>
        <w:rPr>
          <w:rFonts w:ascii="Calibri" w:hAnsi="Calibri"/>
          <w:b w:val="0"/>
          <w:i w:val="0"/>
          <w:sz w:val="20"/>
        </w:rPr>
        <w:t>•  The home does not enter or accept referral arrangements barred by F.S. 397.4873.</w:t>
      </w:r>
    </w:p>
    <w:p>
      <w:pPr>
        <w:spacing w:before="0" w:after="60"/>
        <w:ind w:left="340"/>
      </w:pPr>
      <w:r>
        <w:rPr>
          <w:rFonts w:ascii="Calibri" w:hAnsi="Calibri"/>
          <w:b w:val="0"/>
          <w:i w:val="0"/>
          <w:sz w:val="20"/>
        </w:rPr>
        <w:t>•  The home avoids prohibited direct or indirect financial or referral relationships with licensed providers.</w:t>
      </w:r>
    </w:p>
    <w:p>
      <w:pPr>
        <w:spacing w:before="0" w:after="60"/>
        <w:ind w:left="340"/>
      </w:pPr>
      <w:r>
        <w:rPr>
          <w:rFonts w:ascii="Calibri" w:hAnsi="Calibri"/>
          <w:b w:val="0"/>
          <w:i w:val="0"/>
          <w:sz w:val="20"/>
        </w:rPr>
        <w:t>•  Residents are never given or promised anything of value in exchange for choosing the home or a provider.</w:t>
      </w:r>
    </w:p>
    <w:p>
      <w:pPr>
        <w:spacing w:before="0" w:after="60"/>
        <w:ind w:left="340"/>
      </w:pPr>
      <w:r>
        <w:rPr>
          <w:rFonts w:ascii="Calibri" w:hAnsi="Calibri"/>
          <w:b w:val="0"/>
          <w:i w:val="0"/>
          <w:sz w:val="20"/>
        </w:rPr>
        <w:t>•  Referral relationships are documented and reviewed for compliance with 397.4873 and the Patient Brokering Act (7.03).</w:t>
      </w:r>
    </w:p>
    <w:p>
      <w:pPr>
        <w:spacing w:before="0" w:after="60"/>
        <w:ind w:left="340"/>
      </w:pPr>
      <w:r>
        <w:rPr>
          <w:rFonts w:ascii="Calibri" w:hAnsi="Calibri"/>
          <w:b w:val="0"/>
          <w:i w:val="0"/>
          <w:sz w:val="20"/>
        </w:rPr>
        <w:t>•  The operator confirms current certification before relying on any referral relationship.</w:t>
      </w:r>
    </w:p>
    <w:p>
      <w:pPr>
        <w:spacing w:before="260" w:after="90"/>
      </w:pPr>
      <w:r>
        <w:rPr>
          <w:rFonts w:ascii="Calibri" w:hAnsi="Calibri"/>
          <w:b/>
          <w:i w:val="0"/>
          <w:sz w:val="23"/>
        </w:rPr>
        <w:t>1.07  NARR Level Determination (via FARR)</w:t>
      </w:r>
    </w:p>
    <w:p>
      <w:pPr>
        <w:spacing w:before="0" w:after="80"/>
      </w:pPr>
      <w:r>
        <w:rPr>
          <w:rFonts w:ascii="Calibri" w:hAnsi="Calibri"/>
          <w:b w:val="0"/>
          <w:i/>
          <w:color w:val="555555"/>
          <w:sz w:val="19"/>
        </w:rPr>
        <w:t>NARR Standard — Levels I–IV; FARR</w:t>
      </w:r>
    </w:p>
    <w:p>
      <w:pPr>
        <w:spacing w:before="0" w:after="110"/>
      </w:pPr>
      <w:r>
        <w:rPr>
          <w:rFonts w:ascii="Calibri" w:hAnsi="Calibri"/>
          <w:b/>
          <w:i w:val="0"/>
          <w:sz w:val="20"/>
        </w:rPr>
        <w:t xml:space="preserve">Purpose. </w:t>
      </w:r>
      <w:r>
        <w:rPr>
          <w:rFonts w:ascii="Calibri" w:hAnsi="Calibri"/>
          <w:b w:val="0"/>
          <w:i w:val="0"/>
          <w:sz w:val="20"/>
        </w:rPr>
        <w:t>To identify and operate at the correct NARR support level certified by FARR.</w:t>
      </w:r>
    </w:p>
    <w:p>
      <w:pPr>
        <w:spacing w:before="0" w:after="110"/>
      </w:pPr>
      <w:r>
        <w:rPr>
          <w:rFonts w:ascii="Calibri" w:hAnsi="Calibri"/>
          <w:b/>
          <w:i w:val="0"/>
          <w:sz w:val="20"/>
        </w:rPr>
        <w:t xml:space="preserve">Policy. </w:t>
      </w:r>
      <w:r>
        <w:rPr>
          <w:rFonts w:ascii="Calibri" w:hAnsi="Calibri"/>
          <w:b w:val="0"/>
          <w:i w:val="0"/>
          <w:sz w:val="20"/>
        </w:rPr>
        <w:t>The operator determines the home's NARR level based on its actual staffing, structure, and services, has it certified at that level by FARR, and represents that level honestly.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classifies the home as Level I (peer-run), Level II (monitored), Level III (supervised), or Level IV (service provider).</w:t>
      </w:r>
    </w:p>
    <w:p>
      <w:pPr>
        <w:spacing w:before="0" w:after="60"/>
        <w:ind w:left="340"/>
      </w:pPr>
      <w:r>
        <w:rPr>
          <w:rFonts w:ascii="Calibri" w:hAnsi="Calibri"/>
          <w:b w:val="0"/>
          <w:i w:val="0"/>
          <w:sz w:val="20"/>
        </w:rPr>
        <w:t>•  FARR certifies the home at the level its operations actually support.</w:t>
      </w:r>
    </w:p>
    <w:p>
      <w:pPr>
        <w:spacing w:before="0" w:after="60"/>
        <w:ind w:left="340"/>
      </w:pPr>
      <w:r>
        <w:rPr>
          <w:rFonts w:ascii="Calibri" w:hAnsi="Calibri"/>
          <w:b w:val="0"/>
          <w:i w:val="0"/>
          <w:sz w:val="20"/>
        </w:rPr>
        <w:t>•  Staffing, governance, and documentation are aligned to the declared level.</w:t>
      </w:r>
    </w:p>
    <w:p>
      <w:pPr>
        <w:spacing w:before="0" w:after="60"/>
        <w:ind w:left="340"/>
      </w:pPr>
      <w:r>
        <w:rPr>
          <w:rFonts w:ascii="Calibri" w:hAnsi="Calibri"/>
          <w:b w:val="0"/>
          <w:i w:val="0"/>
          <w:sz w:val="20"/>
        </w:rPr>
        <w:t>•  Marketing and referrals describe the level accurately and never overstate the services provided.</w:t>
      </w:r>
    </w:p>
    <w:p>
      <w:pPr>
        <w:spacing w:before="0" w:after="60"/>
        <w:ind w:left="340"/>
      </w:pPr>
      <w:r>
        <w:rPr>
          <w:rFonts w:ascii="Calibri" w:hAnsi="Calibri"/>
          <w:b w:val="0"/>
          <w:i w:val="0"/>
          <w:sz w:val="20"/>
        </w:rPr>
        <w:t>•  A Level IV home that integrates clinical services confirms it holds DCF Chapter 397 licensure.</w:t>
      </w:r>
    </w:p>
    <w:p>
      <w:pPr>
        <w:spacing w:before="260" w:after="90"/>
      </w:pPr>
      <w:r>
        <w:rPr>
          <w:rFonts w:ascii="Calibri" w:hAnsi="Calibri"/>
          <w:b/>
          <w:i w:val="0"/>
          <w:sz w:val="23"/>
        </w:rPr>
        <w:t>1.08  Local Zoning, Ordinance Compliance &amp; the Fair Housing Shield</w:t>
      </w:r>
    </w:p>
    <w:p>
      <w:pPr>
        <w:spacing w:before="0" w:after="80"/>
      </w:pPr>
      <w:r>
        <w:rPr>
          <w:rFonts w:ascii="Calibri" w:hAnsi="Calibri"/>
          <w:b w:val="0"/>
          <w:i/>
          <w:color w:val="555555"/>
          <w:sz w:val="19"/>
        </w:rPr>
        <w:t>Fair Housing Act; City of Edmonds v. Oxford House; F.S. 397.487 (local ordinances)</w:t>
      </w:r>
    </w:p>
    <w:p>
      <w:pPr>
        <w:spacing w:before="0" w:after="110"/>
      </w:pPr>
      <w:r>
        <w:rPr>
          <w:rFonts w:ascii="Calibri" w:hAnsi="Calibri"/>
          <w:b/>
          <w:i w:val="0"/>
          <w:sz w:val="20"/>
        </w:rPr>
        <w:t xml:space="preserve">Purpose. </w:t>
      </w:r>
      <w:r>
        <w:rPr>
          <w:rFonts w:ascii="Calibri" w:hAnsi="Calibri"/>
          <w:b w:val="0"/>
          <w:i w:val="0"/>
          <w:sz w:val="20"/>
        </w:rPr>
        <w:t>To site and operate the home lawfully while asserting the fair-housing protections that apply to recovery residences.</w:t>
      </w:r>
    </w:p>
    <w:p>
      <w:pPr>
        <w:spacing w:before="0" w:after="110"/>
      </w:pPr>
      <w:r>
        <w:rPr>
          <w:rFonts w:ascii="Calibri" w:hAnsi="Calibri"/>
          <w:b/>
          <w:i w:val="0"/>
          <w:sz w:val="20"/>
        </w:rPr>
        <w:t xml:space="preserve">Policy. </w:t>
      </w:r>
      <w:r>
        <w:rPr>
          <w:rFonts w:ascii="Calibri" w:hAnsi="Calibri"/>
          <w:b w:val="0"/>
          <w:i w:val="0"/>
          <w:sz w:val="20"/>
        </w:rPr>
        <w:t>The operator complies with legitimate local requirements and Florida's ordinance-compliance procedures while recognizing that people in recovery are protected under fair housing law, so municipalities may not use zoning to exclude recovery residences from residential neighborhoods.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confirms the home is a permitted residential use and does not accept unlawful occupancy caps aimed at people with disabilities.</w:t>
      </w:r>
    </w:p>
    <w:p>
      <w:pPr>
        <w:spacing w:before="0" w:after="60"/>
        <w:ind w:left="340"/>
      </w:pPr>
      <w:r>
        <w:rPr>
          <w:rFonts w:ascii="Calibri" w:hAnsi="Calibri"/>
          <w:b w:val="0"/>
          <w:i w:val="0"/>
          <w:sz w:val="20"/>
        </w:rPr>
        <w:t>•  The home follows the local-ordinance compliance procedures Florida law establishes for certified residences.</w:t>
      </w:r>
    </w:p>
    <w:p>
      <w:pPr>
        <w:spacing w:before="0" w:after="60"/>
        <w:ind w:left="340"/>
      </w:pPr>
      <w:r>
        <w:rPr>
          <w:rFonts w:ascii="Calibri" w:hAnsi="Calibri"/>
          <w:b w:val="0"/>
          <w:i w:val="0"/>
          <w:sz w:val="20"/>
        </w:rPr>
        <w:t>•  Where local rules conflict with fair housing law, the operator requests a reasonable accommodation in writing before litigating.</w:t>
      </w:r>
    </w:p>
    <w:p>
      <w:pPr>
        <w:spacing w:before="0" w:after="60"/>
        <w:ind w:left="340"/>
      </w:pPr>
      <w:r>
        <w:rPr>
          <w:rFonts w:ascii="Calibri" w:hAnsi="Calibri"/>
          <w:b w:val="0"/>
          <w:i w:val="0"/>
          <w:sz w:val="20"/>
        </w:rPr>
        <w:t>•  The home keeps records of any accommodation requests and municipal responses.</w:t>
      </w:r>
    </w:p>
    <w:p>
      <w:pPr>
        <w:spacing w:before="0" w:after="60"/>
        <w:ind w:left="340"/>
      </w:pPr>
      <w:r>
        <w:rPr>
          <w:rFonts w:ascii="Calibri" w:hAnsi="Calibri"/>
          <w:b w:val="0"/>
          <w:i w:val="0"/>
          <w:sz w:val="20"/>
        </w:rPr>
        <w:t>•  Legal counsel is consulted when a jurisdiction resists a protected recovery residence.</w:t>
      </w:r>
    </w:p>
    <w:p>
      <w:pPr>
        <w:spacing w:before="260" w:after="90"/>
      </w:pPr>
      <w:r>
        <w:rPr>
          <w:rFonts w:ascii="Calibri" w:hAnsi="Calibri"/>
          <w:b/>
          <w:i w:val="0"/>
          <w:sz w:val="23"/>
        </w:rPr>
        <w:t>1.09  Mission, Values &amp; Recovery Orientation</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ground every policy in a clear, recovery-oriented mission.</w:t>
      </w:r>
    </w:p>
    <w:p>
      <w:pPr>
        <w:spacing w:before="0" w:after="110"/>
      </w:pPr>
      <w:r>
        <w:rPr>
          <w:rFonts w:ascii="Calibri" w:hAnsi="Calibri"/>
          <w:b/>
          <w:i w:val="0"/>
          <w:sz w:val="20"/>
        </w:rPr>
        <w:t xml:space="preserve">Policy. </w:t>
      </w:r>
      <w:r>
        <w:rPr>
          <w:rFonts w:ascii="Calibri" w:hAnsi="Calibri"/>
          <w:b w:val="0"/>
          <w:i w:val="0"/>
          <w:sz w:val="20"/>
        </w:rPr>
        <w:t>The home operates from a written mission and set of values centered on resident dignity, peer support, and long-term recovery.</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mission statement is adopted and shared with residents and staff.</w:t>
      </w:r>
    </w:p>
    <w:p>
      <w:pPr>
        <w:spacing w:before="0" w:after="60"/>
        <w:ind w:left="340"/>
      </w:pPr>
      <w:r>
        <w:rPr>
          <w:rFonts w:ascii="Calibri" w:hAnsi="Calibri"/>
          <w:b w:val="0"/>
          <w:i w:val="0"/>
          <w:sz w:val="20"/>
        </w:rPr>
        <w:t>•  Policies and daily practice are evaluated against the mission.</w:t>
      </w:r>
    </w:p>
    <w:p>
      <w:pPr>
        <w:spacing w:before="0" w:after="60"/>
        <w:ind w:left="340"/>
      </w:pPr>
      <w:r>
        <w:rPr>
          <w:rFonts w:ascii="Calibri" w:hAnsi="Calibri"/>
          <w:b w:val="0"/>
          <w:i w:val="0"/>
          <w:sz w:val="20"/>
        </w:rPr>
        <w:t>•  The home fosters a recovery-oriented culture of accountability, mutual support, and hope.</w:t>
      </w:r>
    </w:p>
    <w:p>
      <w:pPr>
        <w:spacing w:before="0" w:after="60"/>
        <w:ind w:left="340"/>
      </w:pPr>
      <w:r>
        <w:rPr>
          <w:rFonts w:ascii="Calibri" w:hAnsi="Calibri"/>
          <w:b w:val="0"/>
          <w:i w:val="0"/>
          <w:sz w:val="20"/>
        </w:rPr>
        <w:t>•  Residents are treated as partners in a recovery community, not clients of a program.</w:t>
      </w:r>
    </w:p>
    <w:p>
      <w:pPr>
        <w:spacing w:before="0" w:after="60"/>
        <w:ind w:left="340"/>
      </w:pPr>
      <w:r>
        <w:rPr>
          <w:rFonts w:ascii="Calibri" w:hAnsi="Calibri"/>
          <w:b w:val="0"/>
          <w:i w:val="0"/>
          <w:sz w:val="20"/>
        </w:rPr>
        <w:t>•  The mission is revisited during the annual review.</w:t>
      </w:r>
    </w:p>
    <w:p>
      <w:pPr>
        <w:spacing w:before="260" w:after="90"/>
      </w:pPr>
      <w:r>
        <w:rPr>
          <w:rFonts w:ascii="Calibri" w:hAnsi="Calibri"/>
          <w:b/>
          <w:i w:val="0"/>
          <w:sz w:val="23"/>
        </w:rPr>
        <w:t>1.10  Code of Ethics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bind the operator, managers, and staff to a recognized ethical standard.</w:t>
      </w:r>
    </w:p>
    <w:p>
      <w:pPr>
        <w:spacing w:before="0" w:after="110"/>
      </w:pPr>
      <w:r>
        <w:rPr>
          <w:rFonts w:ascii="Calibri" w:hAnsi="Calibri"/>
          <w:b/>
          <w:i w:val="0"/>
          <w:sz w:val="20"/>
        </w:rPr>
        <w:t xml:space="preserve">Policy. </w:t>
      </w:r>
      <w:r>
        <w:rPr>
          <w:rFonts w:ascii="Calibri" w:hAnsi="Calibri"/>
          <w:b w:val="0"/>
          <w:i w:val="0"/>
          <w:sz w:val="20"/>
        </w:rPr>
        <w:t>The home adopts the NARR Code of Ethics and holds everyone associated with the home accountable to it.</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NARR Code of Ethics is adopted in writing and posted in the home.</w:t>
      </w:r>
    </w:p>
    <w:p>
      <w:pPr>
        <w:spacing w:before="0" w:after="60"/>
        <w:ind w:left="340"/>
      </w:pPr>
      <w:r>
        <w:rPr>
          <w:rFonts w:ascii="Calibri" w:hAnsi="Calibri"/>
          <w:b w:val="0"/>
          <w:i w:val="0"/>
          <w:sz w:val="20"/>
        </w:rPr>
        <w:t>•  The operator, managers, and staff sign an acknowledgment of the Code.</w:t>
      </w:r>
    </w:p>
    <w:p>
      <w:pPr>
        <w:spacing w:before="0" w:after="60"/>
        <w:ind w:left="340"/>
      </w:pPr>
      <w:r>
        <w:rPr>
          <w:rFonts w:ascii="Calibri" w:hAnsi="Calibri"/>
          <w:b w:val="0"/>
          <w:i w:val="0"/>
          <w:sz w:val="20"/>
        </w:rPr>
        <w:t>•  Ethical violations are documented and addressed, up to termination or removal.</w:t>
      </w:r>
    </w:p>
    <w:p>
      <w:pPr>
        <w:spacing w:before="0" w:after="60"/>
        <w:ind w:left="340"/>
      </w:pPr>
      <w:r>
        <w:rPr>
          <w:rFonts w:ascii="Calibri" w:hAnsi="Calibri"/>
          <w:b w:val="0"/>
          <w:i w:val="0"/>
          <w:sz w:val="20"/>
        </w:rPr>
        <w:t>•  Residents are informed of the Code and how to report a suspected violation.</w:t>
      </w:r>
    </w:p>
    <w:p>
      <w:pPr>
        <w:spacing w:before="0" w:after="60"/>
        <w:ind w:left="340"/>
      </w:pPr>
      <w:r>
        <w:rPr>
          <w:rFonts w:ascii="Calibri" w:hAnsi="Calibri"/>
          <w:b w:val="0"/>
          <w:i w:val="0"/>
          <w:sz w:val="20"/>
        </w:rPr>
        <w:t>•  Ethics complaints may be escalated to the certifying body where applicable.</w:t>
      </w:r>
    </w:p>
    <w:p>
      <w:pPr>
        <w:spacing w:before="260" w:after="90"/>
      </w:pPr>
      <w:r>
        <w:rPr>
          <w:rFonts w:ascii="Calibri" w:hAnsi="Calibri"/>
          <w:b/>
          <w:i w:val="0"/>
          <w:sz w:val="23"/>
        </w:rPr>
        <w:t>1.11  Policies, Manual Maintenance &amp; Review</w:t>
      </w:r>
    </w:p>
    <w:p>
      <w:pPr>
        <w:spacing w:before="0" w:after="80"/>
      </w:pPr>
      <w:r>
        <w:rPr>
          <w:rFonts w:ascii="Calibri" w:hAnsi="Calibri"/>
          <w:b w:val="0"/>
          <w:i/>
          <w:color w:val="555555"/>
          <w:sz w:val="19"/>
        </w:rPr>
        <w:t>F.S. 397.487 (required policies); NARR — Administrative domain</w:t>
      </w:r>
    </w:p>
    <w:p>
      <w:pPr>
        <w:spacing w:before="0" w:after="110"/>
      </w:pPr>
      <w:r>
        <w:rPr>
          <w:rFonts w:ascii="Calibri" w:hAnsi="Calibri"/>
          <w:b/>
          <w:i w:val="0"/>
          <w:sz w:val="20"/>
        </w:rPr>
        <w:t xml:space="preserve">Purpose. </w:t>
      </w:r>
      <w:r>
        <w:rPr>
          <w:rFonts w:ascii="Calibri" w:hAnsi="Calibri"/>
          <w:b w:val="0"/>
          <w:i w:val="0"/>
          <w:sz w:val="20"/>
        </w:rPr>
        <w:t>To keep this manual — the written policies FARR certification requires — current, accessible, and in force.</w:t>
      </w:r>
    </w:p>
    <w:p>
      <w:pPr>
        <w:spacing w:before="0" w:after="110"/>
      </w:pPr>
      <w:r>
        <w:rPr>
          <w:rFonts w:ascii="Calibri" w:hAnsi="Calibri"/>
          <w:b/>
          <w:i w:val="0"/>
          <w:sz w:val="20"/>
        </w:rPr>
        <w:t xml:space="preserve">Policy. </w:t>
      </w:r>
      <w:r>
        <w:rPr>
          <w:rFonts w:ascii="Calibri" w:hAnsi="Calibri"/>
          <w:b w:val="0"/>
          <w:i w:val="0"/>
          <w:sz w:val="20"/>
        </w:rPr>
        <w:t>The operator maintains this manual as the home's governing policy document and the written policies F.S. 397.487 certification requires, reviews it at least annually, and updates it when law, standards, or operations change.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signed, dated manual is kept where staff, managers, residents, and reviewers can access it.</w:t>
      </w:r>
    </w:p>
    <w:p>
      <w:pPr>
        <w:spacing w:before="0" w:after="60"/>
        <w:ind w:left="340"/>
      </w:pPr>
      <w:r>
        <w:rPr>
          <w:rFonts w:ascii="Calibri" w:hAnsi="Calibri"/>
          <w:b w:val="0"/>
          <w:i w:val="0"/>
          <w:sz w:val="20"/>
        </w:rPr>
        <w:t>•  The manual supplies the written policies FARR certification requires (drug testing, prohibited substances, resident rules, intake, screening).</w:t>
      </w:r>
    </w:p>
    <w:p>
      <w:pPr>
        <w:spacing w:before="0" w:after="60"/>
        <w:ind w:left="340"/>
      </w:pPr>
      <w:r>
        <w:rPr>
          <w:rFonts w:ascii="Calibri" w:hAnsi="Calibri"/>
          <w:b w:val="0"/>
          <w:i w:val="0"/>
          <w:sz w:val="20"/>
        </w:rPr>
        <w:t>•  Each policy has an owner responsible for keeping it accurate.</w:t>
      </w:r>
    </w:p>
    <w:p>
      <w:pPr>
        <w:spacing w:before="0" w:after="60"/>
        <w:ind w:left="340"/>
      </w:pPr>
      <w:r>
        <w:rPr>
          <w:rFonts w:ascii="Calibri" w:hAnsi="Calibri"/>
          <w:b w:val="0"/>
          <w:i w:val="0"/>
          <w:sz w:val="20"/>
        </w:rPr>
        <w:t>•  Material changes in Florida law (F.S. 397.487, 397.4871, 397.4873, 817.505), DCF rules, or NARR standards trigger a prompt update.</w:t>
      </w:r>
    </w:p>
    <w:p>
      <w:pPr>
        <w:spacing w:before="0" w:after="60"/>
        <w:ind w:left="340"/>
      </w:pPr>
      <w:r>
        <w:rPr>
          <w:rFonts w:ascii="Calibri" w:hAnsi="Calibri"/>
          <w:b w:val="0"/>
          <w:i w:val="0"/>
          <w:sz w:val="20"/>
        </w:rPr>
        <w:t>•  Superseded versions are archived with their effective dates.</w:t>
      </w:r>
    </w:p>
    <w:p>
      <w:pPr>
        <w:spacing w:before="0" w:after="60"/>
        <w:ind w:left="340"/>
      </w:pPr>
      <w:r>
        <w:rPr>
          <w:rFonts w:ascii="Calibri" w:hAnsi="Calibri"/>
          <w:b w:val="0"/>
          <w:i w:val="0"/>
          <w:sz w:val="20"/>
        </w:rPr>
        <w:t>•  Residents are notified of changes that affect their rights or obligations.</w:t>
      </w:r>
    </w:p>
    <w:p>
      <w:pPr>
        <w:spacing w:before="260" w:after="90"/>
      </w:pPr>
      <w:r>
        <w:rPr>
          <w:rFonts w:ascii="Calibri" w:hAnsi="Calibri"/>
          <w:b/>
          <w:i w:val="0"/>
          <w:sz w:val="23"/>
        </w:rPr>
        <w:t>1.12  Regulatory &amp; Community Relationships</w:t>
      </w:r>
    </w:p>
    <w:p>
      <w:pPr>
        <w:spacing w:before="0" w:after="80"/>
      </w:pPr>
      <w:r>
        <w:rPr>
          <w:rFonts w:ascii="Calibri" w:hAnsi="Calibri"/>
          <w:b w:val="0"/>
          <w:i/>
          <w:color w:val="555555"/>
          <w:sz w:val="19"/>
        </w:rPr>
        <w:t>DCF; FARR; Florida Certification Board; local recovery ecosystem</w:t>
      </w:r>
    </w:p>
    <w:p>
      <w:pPr>
        <w:spacing w:before="0" w:after="110"/>
      </w:pPr>
      <w:r>
        <w:rPr>
          <w:rFonts w:ascii="Calibri" w:hAnsi="Calibri"/>
          <w:b/>
          <w:i w:val="0"/>
          <w:sz w:val="20"/>
        </w:rPr>
        <w:t xml:space="preserve">Purpose. </w:t>
      </w:r>
      <w:r>
        <w:rPr>
          <w:rFonts w:ascii="Calibri" w:hAnsi="Calibri"/>
          <w:b w:val="0"/>
          <w:i w:val="0"/>
          <w:sz w:val="20"/>
        </w:rPr>
        <w:t>To maintain constructive relationships with the agencies and partners in Florida's recovery system.</w:t>
      </w:r>
    </w:p>
    <w:p>
      <w:pPr>
        <w:spacing w:before="0" w:after="110"/>
      </w:pPr>
      <w:r>
        <w:rPr>
          <w:rFonts w:ascii="Calibri" w:hAnsi="Calibri"/>
          <w:b/>
          <w:i w:val="0"/>
          <w:sz w:val="20"/>
        </w:rPr>
        <w:t xml:space="preserve">Policy. </w:t>
      </w:r>
      <w:r>
        <w:rPr>
          <w:rFonts w:ascii="Calibri" w:hAnsi="Calibri"/>
          <w:b w:val="0"/>
          <w:i w:val="0"/>
          <w:sz w:val="20"/>
        </w:rPr>
        <w:t>The operator maintains current knowledge of and appropriate relationships with DCF, FARR, the Florida Certification Board, treatment providers, and peer organizations.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tracks DCF rules and Florida recovery-housing law (F.S. 397.487–397.4873, 817.505) relevant to the home.</w:t>
      </w:r>
    </w:p>
    <w:p>
      <w:pPr>
        <w:spacing w:before="0" w:after="60"/>
        <w:ind w:left="340"/>
      </w:pPr>
      <w:r>
        <w:rPr>
          <w:rFonts w:ascii="Calibri" w:hAnsi="Calibri"/>
          <w:b w:val="0"/>
          <w:i w:val="0"/>
          <w:sz w:val="20"/>
        </w:rPr>
        <w:t>•  The operator maintains a working relationship with FARR as the DCF-approved credentialing entity.</w:t>
      </w:r>
    </w:p>
    <w:p>
      <w:pPr>
        <w:spacing w:before="0" w:after="60"/>
        <w:ind w:left="340"/>
      </w:pPr>
      <w:r>
        <w:rPr>
          <w:rFonts w:ascii="Calibri" w:hAnsi="Calibri"/>
          <w:b w:val="0"/>
          <w:i w:val="0"/>
          <w:sz w:val="20"/>
        </w:rPr>
        <w:t>•  Referral relationships with licensed treatment providers are documented and free of prohibited payments.</w:t>
      </w:r>
    </w:p>
    <w:p>
      <w:pPr>
        <w:spacing w:before="0" w:after="60"/>
        <w:ind w:left="340"/>
      </w:pPr>
      <w:r>
        <w:rPr>
          <w:rFonts w:ascii="Calibri" w:hAnsi="Calibri"/>
          <w:b w:val="0"/>
          <w:i w:val="0"/>
          <w:sz w:val="20"/>
        </w:rPr>
        <w:t>•  The home participates in local recovery coalitions and, where relevant, the Oxford House network.</w:t>
      </w:r>
    </w:p>
    <w:p>
      <w:pPr>
        <w:spacing w:before="0" w:after="60"/>
        <w:ind w:left="340"/>
      </w:pPr>
      <w:r>
        <w:rPr>
          <w:rFonts w:ascii="Calibri" w:hAnsi="Calibri"/>
          <w:b w:val="0"/>
          <w:i w:val="0"/>
          <w:sz w:val="20"/>
        </w:rPr>
        <w:t>•  Contact lists for crisis, MAT, and social services are kept current for resident referrals.</w:t>
      </w:r>
    </w:p>
    <w:p>
      <w:pPr>
        <w:spacing w:before="0" w:after="60"/>
        <w:ind w:left="340"/>
      </w:pPr>
      <w:r>
        <w:rPr>
          <w:rFonts w:ascii="Calibri" w:hAnsi="Calibri"/>
          <w:b w:val="0"/>
          <w:i w:val="0"/>
          <w:sz w:val="20"/>
        </w:rPr>
        <w:t>•  The operator responds promptly to any inquiry from DCF or FARR.</w:t>
      </w:r>
    </w:p>
    <w:p>
      <w:pPr>
        <w:spacing w:before="260" w:after="90"/>
      </w:pPr>
      <w:r>
        <w:rPr>
          <w:rFonts w:ascii="Calibri" w:hAnsi="Calibri"/>
          <w:b/>
          <w:i w:val="0"/>
          <w:sz w:val="23"/>
        </w:rPr>
        <w:t>1.13  Insurance and Risk Transfer</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protect residents, staff, and the operator through appropriate insurance.</w:t>
      </w:r>
    </w:p>
    <w:p>
      <w:pPr>
        <w:spacing w:before="0" w:after="110"/>
      </w:pPr>
      <w:r>
        <w:rPr>
          <w:rFonts w:ascii="Calibri" w:hAnsi="Calibri"/>
          <w:b/>
          <w:i w:val="0"/>
          <w:sz w:val="20"/>
        </w:rPr>
        <w:t xml:space="preserve">Policy. </w:t>
      </w:r>
      <w:r>
        <w:rPr>
          <w:rFonts w:ascii="Calibri" w:hAnsi="Calibri"/>
          <w:b w:val="0"/>
          <w:i w:val="0"/>
          <w:sz w:val="20"/>
        </w:rPr>
        <w:t>The operator maintains insurance appropriate to the home's size and activities and reviews coverage annually.</w:t>
      </w:r>
    </w:p>
    <w:p>
      <w:pPr>
        <w:spacing w:before="0" w:after="60"/>
      </w:pPr>
      <w:r>
        <w:rPr>
          <w:rFonts w:ascii="Calibri" w:hAnsi="Calibri"/>
          <w:b/>
          <w:i w:val="0"/>
          <w:sz w:val="20"/>
        </w:rPr>
        <w:t>Procedure.</w:t>
      </w:r>
    </w:p>
    <w:p>
      <w:pPr>
        <w:spacing w:before="0" w:after="60"/>
        <w:ind w:left="340"/>
      </w:pPr>
      <w:r>
        <w:rPr>
          <w:rFonts w:ascii="Calibri" w:hAnsi="Calibri"/>
          <w:b w:val="0"/>
          <w:i w:val="0"/>
          <w:sz w:val="20"/>
        </w:rPr>
        <w:t>•  General liability and property coverage appropriate to the home are maintained.</w:t>
      </w:r>
    </w:p>
    <w:p>
      <w:pPr>
        <w:spacing w:before="0" w:after="60"/>
        <w:ind w:left="340"/>
      </w:pPr>
      <w:r>
        <w:rPr>
          <w:rFonts w:ascii="Calibri" w:hAnsi="Calibri"/>
          <w:b w:val="0"/>
          <w:i w:val="0"/>
          <w:sz w:val="20"/>
        </w:rPr>
        <w:t>•  The operator evaluates the need for professional/management liability and abuse-and-molestation coverage.</w:t>
      </w:r>
    </w:p>
    <w:p>
      <w:pPr>
        <w:spacing w:before="0" w:after="60"/>
        <w:ind w:left="340"/>
      </w:pPr>
      <w:r>
        <w:rPr>
          <w:rFonts w:ascii="Calibri" w:hAnsi="Calibri"/>
          <w:b w:val="0"/>
          <w:i w:val="0"/>
          <w:sz w:val="20"/>
        </w:rPr>
        <w:t>•  Vehicles used for residents are properly insured.</w:t>
      </w:r>
    </w:p>
    <w:p>
      <w:pPr>
        <w:spacing w:before="0" w:after="60"/>
        <w:ind w:left="340"/>
      </w:pPr>
      <w:r>
        <w:rPr>
          <w:rFonts w:ascii="Calibri" w:hAnsi="Calibri"/>
          <w:b w:val="0"/>
          <w:i w:val="0"/>
          <w:sz w:val="20"/>
        </w:rPr>
        <w:t>•  Certificates of insurance are kept on file and renewed on time.</w:t>
      </w:r>
    </w:p>
    <w:p>
      <w:pPr>
        <w:spacing w:before="0" w:after="60"/>
        <w:ind w:left="340"/>
      </w:pPr>
      <w:r>
        <w:rPr>
          <w:rFonts w:ascii="Calibri" w:hAnsi="Calibri"/>
          <w:b w:val="0"/>
          <w:i w:val="0"/>
          <w:sz w:val="20"/>
        </w:rPr>
        <w:t>•  Coverage is reviewed with a licensed agent at least annually and when operations change.</w:t>
      </w:r>
    </w:p>
    <w:p>
      <w:pPr>
        <w:spacing w:before="260" w:after="90"/>
      </w:pPr>
      <w:r>
        <w:rPr>
          <w:rFonts w:ascii="Calibri" w:hAnsi="Calibri"/>
          <w:b/>
          <w:i w:val="0"/>
          <w:sz w:val="23"/>
        </w:rPr>
        <w:t>1.14  Certification &amp; Standards Conformity Records</w:t>
      </w:r>
    </w:p>
    <w:p>
      <w:pPr>
        <w:spacing w:before="0" w:after="80"/>
      </w:pPr>
      <w:r>
        <w:rPr>
          <w:rFonts w:ascii="Calibri" w:hAnsi="Calibri"/>
          <w:b w:val="0"/>
          <w:i/>
          <w:color w:val="555555"/>
          <w:sz w:val="19"/>
        </w:rPr>
        <w:t>NARR Standard — Administrative domain; FARR review</w:t>
      </w:r>
    </w:p>
    <w:p>
      <w:pPr>
        <w:spacing w:before="0" w:after="110"/>
      </w:pPr>
      <w:r>
        <w:rPr>
          <w:rFonts w:ascii="Calibri" w:hAnsi="Calibri"/>
          <w:b/>
          <w:i w:val="0"/>
          <w:sz w:val="20"/>
        </w:rPr>
        <w:t xml:space="preserve">Purpose. </w:t>
      </w:r>
      <w:r>
        <w:rPr>
          <w:rFonts w:ascii="Calibri" w:hAnsi="Calibri"/>
          <w:b w:val="0"/>
          <w:i w:val="0"/>
          <w:sz w:val="20"/>
        </w:rPr>
        <w:t>To keep the evidence that proves the home meets the standard it claims.</w:t>
      </w:r>
    </w:p>
    <w:p>
      <w:pPr>
        <w:spacing w:before="0" w:after="110"/>
      </w:pPr>
      <w:r>
        <w:rPr>
          <w:rFonts w:ascii="Calibri" w:hAnsi="Calibri"/>
          <w:b/>
          <w:i w:val="0"/>
          <w:sz w:val="20"/>
        </w:rPr>
        <w:t xml:space="preserve">Policy. </w:t>
      </w:r>
      <w:r>
        <w:rPr>
          <w:rFonts w:ascii="Calibri" w:hAnsi="Calibri"/>
          <w:b w:val="0"/>
          <w:i w:val="0"/>
          <w:sz w:val="20"/>
        </w:rPr>
        <w:t>The home maintains organized documentation demonstrating conformity with the NARR standard, FARR certification, and any funder requirements, ready for FARR review or audit at any time.</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conformity file maps each NARR domain to the home's supporting documents.</w:t>
      </w:r>
    </w:p>
    <w:p>
      <w:pPr>
        <w:spacing w:before="0" w:after="60"/>
        <w:ind w:left="340"/>
      </w:pPr>
      <w:r>
        <w:rPr>
          <w:rFonts w:ascii="Calibri" w:hAnsi="Calibri"/>
          <w:b w:val="0"/>
          <w:i w:val="0"/>
          <w:sz w:val="20"/>
        </w:rPr>
        <w:t>•  FARR certification, Level 2 screening, applications, self-assessments, and review reports are retained.</w:t>
      </w:r>
    </w:p>
    <w:p>
      <w:pPr>
        <w:spacing w:before="0" w:after="60"/>
        <w:ind w:left="340"/>
      </w:pPr>
      <w:r>
        <w:rPr>
          <w:rFonts w:ascii="Calibri" w:hAnsi="Calibri"/>
          <w:b w:val="0"/>
          <w:i w:val="0"/>
          <w:sz w:val="20"/>
        </w:rPr>
        <w:t>•  Evidence for each standard (agreements, logs, training records) is indexed and current.</w:t>
      </w:r>
    </w:p>
    <w:p>
      <w:pPr>
        <w:spacing w:before="0" w:after="60"/>
        <w:ind w:left="340"/>
      </w:pPr>
      <w:r>
        <w:rPr>
          <w:rFonts w:ascii="Calibri" w:hAnsi="Calibri"/>
          <w:b w:val="0"/>
          <w:i w:val="0"/>
          <w:sz w:val="20"/>
        </w:rPr>
        <w:t>•  Gaps found in self-assessment are logged with corrective actions and due dates.</w:t>
      </w:r>
    </w:p>
    <w:p>
      <w:pPr>
        <w:spacing w:before="0" w:after="60"/>
        <w:ind w:left="340"/>
      </w:pPr>
      <w:r>
        <w:rPr>
          <w:rFonts w:ascii="Calibri" w:hAnsi="Calibri"/>
          <w:b w:val="0"/>
          <w:i w:val="0"/>
          <w:sz w:val="20"/>
        </w:rPr>
        <w:t>•  The file is reviewed before each certification renewal.</w:t>
      </w:r>
    </w:p>
    <w:p>
      <w:pPr>
        <w:spacing w:before="0" w:after="60"/>
        <w:ind w:left="340"/>
      </w:pPr>
      <w:r>
        <w:rPr>
          <w:rFonts w:ascii="Calibri" w:hAnsi="Calibri"/>
          <w:b w:val="0"/>
          <w:i w:val="0"/>
          <w:sz w:val="20"/>
        </w:rPr>
        <w:t>•  Records are stored securely and backed up.</w:t>
      </w:r>
    </w:p>
    <w:p>
      <w:pPr>
        <w:spacing w:before="260" w:after="90"/>
      </w:pPr>
      <w:r>
        <w:rPr>
          <w:rFonts w:ascii="Calibri" w:hAnsi="Calibri"/>
          <w:b/>
          <w:i w:val="0"/>
          <w:sz w:val="23"/>
        </w:rPr>
        <w:t>1.15  Business Continuity &amp; Succession Planning</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protect residents if the operator or manager is suddenly unavailable.</w:t>
      </w:r>
    </w:p>
    <w:p>
      <w:pPr>
        <w:spacing w:before="0" w:after="110"/>
      </w:pPr>
      <w:r>
        <w:rPr>
          <w:rFonts w:ascii="Calibri" w:hAnsi="Calibri"/>
          <w:b/>
          <w:i w:val="0"/>
          <w:sz w:val="20"/>
        </w:rPr>
        <w:t xml:space="preserve">Policy. </w:t>
      </w:r>
      <w:r>
        <w:rPr>
          <w:rFonts w:ascii="Calibri" w:hAnsi="Calibri"/>
          <w:b w:val="0"/>
          <w:i w:val="0"/>
          <w:sz w:val="20"/>
        </w:rPr>
        <w:t>The home maintains a written continuity plan so that operations, safety, and resident housing continue if key people are incapacitated or the home must transition.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A named backup can operate the home if the operator is unavailable.</w:t>
      </w:r>
    </w:p>
    <w:p>
      <w:pPr>
        <w:spacing w:before="0" w:after="60"/>
        <w:ind w:left="340"/>
      </w:pPr>
      <w:r>
        <w:rPr>
          <w:rFonts w:ascii="Calibri" w:hAnsi="Calibri"/>
          <w:b w:val="0"/>
          <w:i w:val="0"/>
          <w:sz w:val="20"/>
        </w:rPr>
        <w:t>•  Critical information (accounts, contacts, keys, passwords) is documented and secured.</w:t>
      </w:r>
    </w:p>
    <w:p>
      <w:pPr>
        <w:spacing w:before="0" w:after="60"/>
        <w:ind w:left="340"/>
      </w:pPr>
      <w:r>
        <w:rPr>
          <w:rFonts w:ascii="Calibri" w:hAnsi="Calibri"/>
          <w:b w:val="0"/>
          <w:i w:val="0"/>
          <w:sz w:val="20"/>
        </w:rPr>
        <w:t>•  A plan addresses what happens to residents if the home must close.</w:t>
      </w:r>
    </w:p>
    <w:p>
      <w:pPr>
        <w:spacing w:before="0" w:after="60"/>
        <w:ind w:left="340"/>
      </w:pPr>
      <w:r>
        <w:rPr>
          <w:rFonts w:ascii="Calibri" w:hAnsi="Calibri"/>
          <w:b w:val="0"/>
          <w:i w:val="0"/>
          <w:sz w:val="20"/>
        </w:rPr>
        <w:t>•  Residents would receive maximum practical notice and relocation help in a closure.</w:t>
      </w:r>
    </w:p>
    <w:p>
      <w:pPr>
        <w:spacing w:before="0" w:after="60"/>
        <w:ind w:left="340"/>
      </w:pPr>
      <w:r>
        <w:rPr>
          <w:rFonts w:ascii="Calibri" w:hAnsi="Calibri"/>
          <w:b w:val="0"/>
          <w:i w:val="0"/>
          <w:sz w:val="20"/>
        </w:rPr>
        <w:t>•  Financial reserves or arrangements support short-term continuity where possible.</w:t>
      </w:r>
    </w:p>
    <w:p>
      <w:pPr>
        <w:spacing w:before="0" w:after="60"/>
        <w:ind w:left="340"/>
      </w:pPr>
      <w:r>
        <w:rPr>
          <w:rFonts w:ascii="Calibri" w:hAnsi="Calibri"/>
          <w:b w:val="0"/>
          <w:i w:val="0"/>
          <w:sz w:val="20"/>
        </w:rPr>
        <w:t>•  The plan is reviewed annually and after major changes.</w:t>
      </w:r>
    </w:p>
    <w:p>
      <w:pPr>
        <w:spacing w:before="260" w:after="90"/>
      </w:pPr>
      <w:r>
        <w:rPr>
          <w:rFonts w:ascii="Calibri" w:hAnsi="Calibri"/>
          <w:b/>
          <w:i w:val="0"/>
          <w:sz w:val="23"/>
        </w:rPr>
        <w:t>1.16  Framework Customization &amp; Local Verification</w:t>
      </w:r>
    </w:p>
    <w:p>
      <w:pPr>
        <w:spacing w:before="0" w:after="80"/>
      </w:pPr>
      <w:r>
        <w:rPr>
          <w:rFonts w:ascii="Calibri" w:hAnsi="Calibri"/>
          <w:b w:val="0"/>
          <w:i/>
          <w:color w:val="555555"/>
          <w:sz w:val="19"/>
        </w:rPr>
        <w:t>NARR Standard; DCF/FARR; local counsel</w:t>
      </w:r>
    </w:p>
    <w:p>
      <w:pPr>
        <w:spacing w:before="0" w:after="110"/>
      </w:pPr>
      <w:r>
        <w:rPr>
          <w:rFonts w:ascii="Calibri" w:hAnsi="Calibri"/>
          <w:b/>
          <w:i w:val="0"/>
          <w:sz w:val="20"/>
        </w:rPr>
        <w:t xml:space="preserve">Purpose. </w:t>
      </w:r>
      <w:r>
        <w:rPr>
          <w:rFonts w:ascii="Calibri" w:hAnsi="Calibri"/>
          <w:b w:val="0"/>
          <w:i w:val="0"/>
          <w:sz w:val="20"/>
        </w:rPr>
        <w:t>To adapt this framework accurately to the home's actual operation and jurisdiction.</w:t>
      </w:r>
    </w:p>
    <w:p>
      <w:pPr>
        <w:spacing w:before="0" w:after="110"/>
      </w:pPr>
      <w:r>
        <w:rPr>
          <w:rFonts w:ascii="Calibri" w:hAnsi="Calibri"/>
          <w:b/>
          <w:i w:val="0"/>
          <w:sz w:val="20"/>
        </w:rPr>
        <w:t xml:space="preserve">Policy. </w:t>
      </w:r>
      <w:r>
        <w:rPr>
          <w:rFonts w:ascii="Calibri" w:hAnsi="Calibri"/>
          <w:b w:val="0"/>
          <w:i w:val="0"/>
          <w:sz w:val="20"/>
        </w:rPr>
        <w:t>The operator customizes every placeholder in this manual to the home's real practices and verifies current Florida and local requirements before relying on any policy.</w:t>
      </w:r>
    </w:p>
    <w:p>
      <w:pPr>
        <w:spacing w:before="0" w:after="60"/>
      </w:pPr>
      <w:r>
        <w:rPr>
          <w:rFonts w:ascii="Calibri" w:hAnsi="Calibri"/>
          <w:b/>
          <w:i w:val="0"/>
          <w:sz w:val="20"/>
        </w:rPr>
        <w:t>Procedure.</w:t>
      </w:r>
    </w:p>
    <w:p>
      <w:pPr>
        <w:spacing w:before="0" w:after="60"/>
        <w:ind w:left="340"/>
      </w:pPr>
      <w:r>
        <w:rPr>
          <w:rFonts w:ascii="Calibri" w:hAnsi="Calibri"/>
          <w:b w:val="0"/>
          <w:i w:val="0"/>
          <w:sz w:val="20"/>
        </w:rPr>
        <w:t>•  All blanks, brackets, and home-specific details are completed before adoption.</w:t>
      </w:r>
    </w:p>
    <w:p>
      <w:pPr>
        <w:spacing w:before="0" w:after="60"/>
        <w:ind w:left="340"/>
      </w:pPr>
      <w:r>
        <w:rPr>
          <w:rFonts w:ascii="Calibri" w:hAnsi="Calibri"/>
          <w:b w:val="0"/>
          <w:i w:val="0"/>
          <w:sz w:val="20"/>
        </w:rPr>
        <w:t>•  Local zoning, occupancy, and Florida landlord-tenant law (F.S. 83 Pt II) are verified for the home's city or county.</w:t>
      </w:r>
    </w:p>
    <w:p>
      <w:pPr>
        <w:spacing w:before="0" w:after="60"/>
        <w:ind w:left="340"/>
      </w:pPr>
      <w:r>
        <w:rPr>
          <w:rFonts w:ascii="Calibri" w:hAnsi="Calibri"/>
          <w:b w:val="0"/>
          <w:i w:val="0"/>
          <w:sz w:val="20"/>
        </w:rPr>
        <w:t>•  Current FARR certification and CRRA requirements are confirmed before relying on them.</w:t>
      </w:r>
    </w:p>
    <w:p>
      <w:pPr>
        <w:spacing w:before="0" w:after="60"/>
        <w:ind w:left="340"/>
      </w:pPr>
      <w:r>
        <w:rPr>
          <w:rFonts w:ascii="Calibri" w:hAnsi="Calibri"/>
          <w:b w:val="0"/>
          <w:i w:val="0"/>
          <w:sz w:val="20"/>
        </w:rPr>
        <w:t>•  Policies that do not match actual practice are corrected, not left aspirational.</w:t>
      </w:r>
    </w:p>
    <w:p>
      <w:pPr>
        <w:spacing w:before="0" w:after="60"/>
        <w:ind w:left="340"/>
      </w:pPr>
      <w:r>
        <w:rPr>
          <w:rFonts w:ascii="Calibri" w:hAnsi="Calibri"/>
          <w:b w:val="0"/>
          <w:i w:val="0"/>
          <w:sz w:val="20"/>
        </w:rPr>
        <w:t>•  Legal, insurance, and funding questions are verified with qualified professionals.</w:t>
      </w:r>
    </w:p>
    <w:p>
      <w:pPr>
        <w:spacing w:before="0" w:after="60"/>
        <w:ind w:left="340"/>
      </w:pPr>
      <w:r>
        <w:rPr>
          <w:rFonts w:ascii="Calibri" w:hAnsi="Calibri"/>
          <w:b w:val="0"/>
          <w:i w:val="0"/>
          <w:sz w:val="20"/>
        </w:rPr>
        <w:t>•  The date and source of each verification are noted for the annual review.</w:t>
      </w:r>
    </w:p>
    <w:p>
      <w:pPr>
        <w:spacing w:before="260" w:after="90"/>
      </w:pPr>
      <w:r>
        <w:rPr>
          <w:rFonts w:ascii="Calibri" w:hAnsi="Calibri"/>
          <w:b/>
          <w:i w:val="0"/>
          <w:sz w:val="23"/>
        </w:rPr>
        <w:t>1.17  Confidential Ethics Reporting &amp; Whistleblower Protection</w:t>
      </w:r>
    </w:p>
    <w:p>
      <w:pPr>
        <w:spacing w:before="0" w:after="80"/>
      </w:pPr>
      <w:r>
        <w:rPr>
          <w:rFonts w:ascii="Calibri" w:hAnsi="Calibri"/>
          <w:b w:val="0"/>
          <w:i/>
          <w:color w:val="555555"/>
          <w:sz w:val="19"/>
        </w:rPr>
        <w:t>NARR Code of Ethics; EKRA</w:t>
      </w:r>
    </w:p>
    <w:p>
      <w:pPr>
        <w:spacing w:before="0" w:after="110"/>
      </w:pPr>
      <w:r>
        <w:rPr>
          <w:rFonts w:ascii="Calibri" w:hAnsi="Calibri"/>
          <w:b/>
          <w:i w:val="0"/>
          <w:sz w:val="20"/>
        </w:rPr>
        <w:t xml:space="preserve">Purpose. </w:t>
      </w:r>
      <w:r>
        <w:rPr>
          <w:rFonts w:ascii="Calibri" w:hAnsi="Calibri"/>
          <w:b w:val="0"/>
          <w:i w:val="0"/>
          <w:sz w:val="20"/>
        </w:rPr>
        <w:t>To surface fraud, kickbacks, abuse, or ethics violations safely.</w:t>
      </w:r>
    </w:p>
    <w:p>
      <w:pPr>
        <w:spacing w:before="0" w:after="110"/>
      </w:pPr>
      <w:r>
        <w:rPr>
          <w:rFonts w:ascii="Calibri" w:hAnsi="Calibri"/>
          <w:b/>
          <w:i w:val="0"/>
          <w:sz w:val="20"/>
        </w:rPr>
        <w:t xml:space="preserve">Policy. </w:t>
      </w:r>
      <w:r>
        <w:rPr>
          <w:rFonts w:ascii="Calibri" w:hAnsi="Calibri"/>
          <w:b w:val="0"/>
          <w:i w:val="0"/>
          <w:sz w:val="20"/>
        </w:rPr>
        <w:t>The home provides a confidential way for residents, staff, and partners to report suspected fraud, kickbacks, abuse, or ethics violations, and protects good-faith reporters from retaliation.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confidential reporting channel is published to residents, staff, and partners.</w:t>
      </w:r>
    </w:p>
    <w:p>
      <w:pPr>
        <w:spacing w:before="0" w:after="60"/>
        <w:ind w:left="340"/>
      </w:pPr>
      <w:r>
        <w:rPr>
          <w:rFonts w:ascii="Calibri" w:hAnsi="Calibri"/>
          <w:b w:val="0"/>
          <w:i w:val="0"/>
          <w:sz w:val="20"/>
        </w:rPr>
        <w:t>•  Reports may be made anonymously where possible.</w:t>
      </w:r>
    </w:p>
    <w:p>
      <w:pPr>
        <w:spacing w:before="0" w:after="60"/>
        <w:ind w:left="340"/>
      </w:pPr>
      <w:r>
        <w:rPr>
          <w:rFonts w:ascii="Calibri" w:hAnsi="Calibri"/>
          <w:b w:val="0"/>
          <w:i w:val="0"/>
          <w:sz w:val="20"/>
        </w:rPr>
        <w:t>•  Good-faith reporters are protected from retaliation (2.07).</w:t>
      </w:r>
    </w:p>
    <w:p>
      <w:pPr>
        <w:spacing w:before="0" w:after="60"/>
        <w:ind w:left="340"/>
      </w:pPr>
      <w:r>
        <w:rPr>
          <w:rFonts w:ascii="Calibri" w:hAnsi="Calibri"/>
          <w:b w:val="0"/>
          <w:i w:val="0"/>
          <w:sz w:val="20"/>
        </w:rPr>
        <w:t>•  Reports of kickbacks or fraud are taken seriously and investigated (7.03, 7.04).</w:t>
      </w:r>
    </w:p>
    <w:p>
      <w:pPr>
        <w:spacing w:before="0" w:after="60"/>
        <w:ind w:left="340"/>
      </w:pPr>
      <w:r>
        <w:rPr>
          <w:rFonts w:ascii="Calibri" w:hAnsi="Calibri"/>
          <w:b w:val="0"/>
          <w:i w:val="0"/>
          <w:sz w:val="20"/>
        </w:rPr>
        <w:t>•  Substantiated violations result in corrective action and, where required, external referral.</w:t>
      </w:r>
    </w:p>
    <w:p>
      <w:pPr>
        <w:spacing w:before="0" w:after="60"/>
        <w:ind w:left="340"/>
      </w:pPr>
      <w:r>
        <w:rPr>
          <w:rFonts w:ascii="Calibri" w:hAnsi="Calibri"/>
          <w:b w:val="0"/>
          <w:i w:val="0"/>
          <w:sz w:val="20"/>
        </w:rPr>
        <w:t>•  Reports and outcomes are documented confidentially.</w:t>
      </w:r>
    </w:p>
    <w:p>
      <w:r>
        <w:br w:type="page"/>
      </w:r>
    </w:p>
    <w:p>
      <w:pPr>
        <w:spacing w:before="0" w:after="80"/>
      </w:pPr>
      <w:r>
        <w:rPr>
          <w:rFonts w:ascii="Calibri" w:hAnsi="Calibri"/>
          <w:b/>
          <w:i w:val="0"/>
          <w:sz w:val="26"/>
        </w:rPr>
        <w:t>Section 2 — Resident Rights &amp; Ethical Operations</w:t>
      </w:r>
    </w:p>
    <w:p>
      <w:pPr>
        <w:spacing w:before="0" w:after="160"/>
      </w:pPr>
      <w:r>
        <w:rPr>
          <w:rFonts w:ascii="Calibri" w:hAnsi="Calibri"/>
          <w:b w:val="0"/>
          <w:i/>
          <w:sz w:val="20"/>
        </w:rPr>
        <w:t>A recovery residence succeeds on trust. This section states the rights every resident holds, the anti-discrimination protections that apply to people in recovery under federal and Florida law, and the ethical duties that keep the home honest. Because residents in recovery are people with a disability under the Fair Housing Act and the ADA, several of these policies are legal obligations, not courtesies.</w:t>
      </w:r>
    </w:p>
    <w:p>
      <w:pPr>
        <w:spacing w:before="260" w:after="90"/>
      </w:pPr>
      <w:r>
        <w:rPr>
          <w:rFonts w:ascii="Calibri" w:hAnsi="Calibri"/>
          <w:b/>
          <w:i w:val="0"/>
          <w:sz w:val="23"/>
        </w:rPr>
        <w:t>2.01  Resident Rights Statement</w:t>
      </w:r>
    </w:p>
    <w:p>
      <w:pPr>
        <w:spacing w:before="0" w:after="80"/>
      </w:pPr>
      <w:r>
        <w:rPr>
          <w:rFonts w:ascii="Calibri" w:hAnsi="Calibri"/>
          <w:b w:val="0"/>
          <w:i/>
          <w:color w:val="555555"/>
          <w:sz w:val="19"/>
        </w:rPr>
        <w:t>Fair Housing Act; ADA; NARR Standard</w:t>
      </w:r>
    </w:p>
    <w:p>
      <w:pPr>
        <w:spacing w:before="0" w:after="110"/>
      </w:pPr>
      <w:r>
        <w:rPr>
          <w:rFonts w:ascii="Calibri" w:hAnsi="Calibri"/>
          <w:b/>
          <w:i w:val="0"/>
          <w:sz w:val="20"/>
        </w:rPr>
        <w:t xml:space="preserve">Purpose. </w:t>
      </w:r>
      <w:r>
        <w:rPr>
          <w:rFonts w:ascii="Calibri" w:hAnsi="Calibri"/>
          <w:b w:val="0"/>
          <w:i w:val="0"/>
          <w:sz w:val="20"/>
        </w:rPr>
        <w:t>To guarantee and post the rights every resident holds in the home.</w:t>
      </w:r>
    </w:p>
    <w:p>
      <w:pPr>
        <w:spacing w:before="0" w:after="110"/>
      </w:pPr>
      <w:r>
        <w:rPr>
          <w:rFonts w:ascii="Calibri" w:hAnsi="Calibri"/>
          <w:b/>
          <w:i w:val="0"/>
          <w:sz w:val="20"/>
        </w:rPr>
        <w:t xml:space="preserve">Policy. </w:t>
      </w:r>
      <w:r>
        <w:rPr>
          <w:rFonts w:ascii="Calibri" w:hAnsi="Calibri"/>
          <w:b w:val="0"/>
          <w:i w:val="0"/>
          <w:sz w:val="20"/>
        </w:rPr>
        <w:t>The home adopts, posts, and provides each resident a written statement of resident rights, and honors those rights in daily practice.</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resident rights statement is posted in a common area and included in the intake packet.</w:t>
      </w:r>
    </w:p>
    <w:p>
      <w:pPr>
        <w:spacing w:before="0" w:after="60"/>
        <w:ind w:left="340"/>
      </w:pPr>
      <w:r>
        <w:rPr>
          <w:rFonts w:ascii="Calibri" w:hAnsi="Calibri"/>
          <w:b w:val="0"/>
          <w:i w:val="0"/>
          <w:sz w:val="20"/>
        </w:rPr>
        <w:t>•  Rights include dignity, safety, privacy consistent with communal living, fair treatment, and a grievance process.</w:t>
      </w:r>
    </w:p>
    <w:p>
      <w:pPr>
        <w:spacing w:before="0" w:after="60"/>
        <w:ind w:left="340"/>
      </w:pPr>
      <w:r>
        <w:rPr>
          <w:rFonts w:ascii="Calibri" w:hAnsi="Calibri"/>
          <w:b w:val="0"/>
          <w:i w:val="0"/>
          <w:sz w:val="20"/>
        </w:rPr>
        <w:t>•  Rights include freedom from discrimination and from retaliation for raising concerns.</w:t>
      </w:r>
    </w:p>
    <w:p>
      <w:pPr>
        <w:spacing w:before="0" w:after="60"/>
        <w:ind w:left="340"/>
      </w:pPr>
      <w:r>
        <w:rPr>
          <w:rFonts w:ascii="Calibri" w:hAnsi="Calibri"/>
          <w:b w:val="0"/>
          <w:i w:val="0"/>
          <w:sz w:val="20"/>
        </w:rPr>
        <w:t>•  Residents are told how to exercise each right and whom to contact.</w:t>
      </w:r>
    </w:p>
    <w:p>
      <w:pPr>
        <w:spacing w:before="0" w:after="60"/>
        <w:ind w:left="340"/>
      </w:pPr>
      <w:r>
        <w:rPr>
          <w:rFonts w:ascii="Calibri" w:hAnsi="Calibri"/>
          <w:b w:val="0"/>
          <w:i w:val="0"/>
          <w:sz w:val="20"/>
        </w:rPr>
        <w:t>•  The statement is available in Spanish and other languages as needed for meaningful access.</w:t>
      </w:r>
    </w:p>
    <w:p>
      <w:pPr>
        <w:spacing w:before="260" w:after="90"/>
      </w:pPr>
      <w:r>
        <w:rPr>
          <w:rFonts w:ascii="Calibri" w:hAnsi="Calibri"/>
          <w:b/>
          <w:i w:val="0"/>
          <w:sz w:val="23"/>
        </w:rPr>
        <w:t>2.02  Nondiscrimination &amp; Equal Access</w:t>
      </w:r>
    </w:p>
    <w:p>
      <w:pPr>
        <w:spacing w:before="0" w:after="80"/>
      </w:pPr>
      <w:r>
        <w:rPr>
          <w:rFonts w:ascii="Calibri" w:hAnsi="Calibri"/>
          <w:b w:val="0"/>
          <w:i/>
          <w:color w:val="555555"/>
          <w:sz w:val="19"/>
        </w:rPr>
        <w:t>Fair Housing Act; ADA; Florida Fair Housing Act (F.S. 760.20–760.37)</w:t>
      </w:r>
    </w:p>
    <w:p>
      <w:pPr>
        <w:spacing w:before="0" w:after="110"/>
      </w:pPr>
      <w:r>
        <w:rPr>
          <w:rFonts w:ascii="Calibri" w:hAnsi="Calibri"/>
          <w:b/>
          <w:i w:val="0"/>
          <w:sz w:val="20"/>
        </w:rPr>
        <w:t xml:space="preserve">Purpose. </w:t>
      </w:r>
      <w:r>
        <w:rPr>
          <w:rFonts w:ascii="Calibri" w:hAnsi="Calibri"/>
          <w:b w:val="0"/>
          <w:i w:val="0"/>
          <w:sz w:val="20"/>
        </w:rPr>
        <w:t>To ensure the home is open to all eligible people without unlawful discrimination.</w:t>
      </w:r>
    </w:p>
    <w:p>
      <w:pPr>
        <w:spacing w:before="0" w:after="110"/>
      </w:pPr>
      <w:r>
        <w:rPr>
          <w:rFonts w:ascii="Calibri" w:hAnsi="Calibri"/>
          <w:b/>
          <w:i w:val="0"/>
          <w:sz w:val="20"/>
        </w:rPr>
        <w:t xml:space="preserve">Policy. </w:t>
      </w:r>
      <w:r>
        <w:rPr>
          <w:rFonts w:ascii="Calibri" w:hAnsi="Calibri"/>
          <w:b w:val="0"/>
          <w:i w:val="0"/>
          <w:sz w:val="20"/>
        </w:rPr>
        <w:t>The home does not discriminate on the basis of race, color, national origin, religion, sex, familial status, disability, age, sexual orientation, gender identity, or any other protected class under federal or Florida law.</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house rules, and discharge are applied consistently regardless of protected class.</w:t>
      </w:r>
    </w:p>
    <w:p>
      <w:pPr>
        <w:spacing w:before="0" w:after="60"/>
        <w:ind w:left="340"/>
      </w:pPr>
      <w:r>
        <w:rPr>
          <w:rFonts w:ascii="Calibri" w:hAnsi="Calibri"/>
          <w:b w:val="0"/>
          <w:i w:val="0"/>
          <w:sz w:val="20"/>
        </w:rPr>
        <w:t>•  The home complies with the federal Fair Housing Act, the ADA, and the Florida Fair Housing Act.</w:t>
      </w:r>
    </w:p>
    <w:p>
      <w:pPr>
        <w:spacing w:before="0" w:after="60"/>
        <w:ind w:left="340"/>
      </w:pPr>
      <w:r>
        <w:rPr>
          <w:rFonts w:ascii="Calibri" w:hAnsi="Calibri"/>
          <w:b w:val="0"/>
          <w:i w:val="0"/>
          <w:sz w:val="20"/>
        </w:rPr>
        <w:t>•  Marketing and screening do not screen out or discourage protected applicants.</w:t>
      </w:r>
    </w:p>
    <w:p>
      <w:pPr>
        <w:spacing w:before="0" w:after="60"/>
        <w:ind w:left="340"/>
      </w:pPr>
      <w:r>
        <w:rPr>
          <w:rFonts w:ascii="Calibri" w:hAnsi="Calibri"/>
          <w:b w:val="0"/>
          <w:i w:val="0"/>
          <w:sz w:val="20"/>
        </w:rPr>
        <w:t>•  Reasonable accommodations and modifications are provided as required by law.</w:t>
      </w:r>
    </w:p>
    <w:p>
      <w:pPr>
        <w:spacing w:before="0" w:after="60"/>
        <w:ind w:left="340"/>
      </w:pPr>
      <w:r>
        <w:rPr>
          <w:rFonts w:ascii="Calibri" w:hAnsi="Calibri"/>
          <w:b w:val="0"/>
          <w:i w:val="0"/>
          <w:sz w:val="20"/>
        </w:rPr>
        <w:t>•  Complaints of discrimination are documented, investigated, and resolved.</w:t>
      </w:r>
    </w:p>
    <w:p>
      <w:pPr>
        <w:spacing w:before="260" w:after="90"/>
      </w:pPr>
      <w:r>
        <w:rPr>
          <w:rFonts w:ascii="Calibri" w:hAnsi="Calibri"/>
          <w:b/>
          <w:i w:val="0"/>
          <w:sz w:val="23"/>
        </w:rPr>
        <w:t>2.03  MAT / MOUD Non-Discrimination</w:t>
      </w:r>
    </w:p>
    <w:p>
      <w:pPr>
        <w:spacing w:before="0" w:after="80"/>
      </w:pPr>
      <w:r>
        <w:rPr>
          <w:rFonts w:ascii="Calibri" w:hAnsi="Calibri"/>
          <w:b w:val="0"/>
          <w:i/>
          <w:color w:val="555555"/>
          <w:sz w:val="19"/>
        </w:rPr>
        <w:t>ADA; DOJ enforcement guidance</w:t>
      </w:r>
    </w:p>
    <w:p>
      <w:pPr>
        <w:spacing w:before="0" w:after="110"/>
      </w:pPr>
      <w:r>
        <w:rPr>
          <w:rFonts w:ascii="Calibri" w:hAnsi="Calibri"/>
          <w:b/>
          <w:i w:val="0"/>
          <w:sz w:val="20"/>
        </w:rPr>
        <w:t xml:space="preserve">Purpose. </w:t>
      </w:r>
      <w:r>
        <w:rPr>
          <w:rFonts w:ascii="Calibri" w:hAnsi="Calibri"/>
          <w:b w:val="0"/>
          <w:i w:val="0"/>
          <w:sz w:val="20"/>
        </w:rPr>
        <w:t>To ensure residents are never excluded or penalized for using prescribed medication for addiction treatment.</w:t>
      </w:r>
    </w:p>
    <w:p>
      <w:pPr>
        <w:spacing w:before="0" w:after="110"/>
      </w:pPr>
      <w:r>
        <w:rPr>
          <w:rFonts w:ascii="Calibri" w:hAnsi="Calibri"/>
          <w:b/>
          <w:i w:val="0"/>
          <w:sz w:val="20"/>
        </w:rPr>
        <w:t xml:space="preserve">Policy. </w:t>
      </w:r>
      <w:r>
        <w:rPr>
          <w:rFonts w:ascii="Calibri" w:hAnsi="Calibri"/>
          <w:b w:val="0"/>
          <w:i w:val="0"/>
          <w:sz w:val="20"/>
        </w:rPr>
        <w:t>The home admits and retains residents who use medication-assisted treatment (buprenorphine, methadone, naltrexone, and other prescribed MOUD) and treats such medication as protected medical care.</w:t>
      </w:r>
    </w:p>
    <w:p>
      <w:pPr>
        <w:spacing w:before="0" w:after="60"/>
      </w:pPr>
      <w:r>
        <w:rPr>
          <w:rFonts w:ascii="Calibri" w:hAnsi="Calibri"/>
          <w:b/>
          <w:i w:val="0"/>
          <w:sz w:val="20"/>
        </w:rPr>
        <w:t>Procedure.</w:t>
      </w:r>
    </w:p>
    <w:p>
      <w:pPr>
        <w:spacing w:before="0" w:after="60"/>
        <w:ind w:left="340"/>
      </w:pPr>
      <w:r>
        <w:rPr>
          <w:rFonts w:ascii="Calibri" w:hAnsi="Calibri"/>
          <w:b w:val="0"/>
          <w:i w:val="0"/>
          <w:sz w:val="20"/>
        </w:rPr>
        <w:t>•  No policy or practice excludes, evicts, or penalizes a resident for taking prescribed MAT/MOUD.</w:t>
      </w:r>
    </w:p>
    <w:p>
      <w:pPr>
        <w:spacing w:before="0" w:after="60"/>
        <w:ind w:left="340"/>
      </w:pPr>
      <w:r>
        <w:rPr>
          <w:rFonts w:ascii="Calibri" w:hAnsi="Calibri"/>
          <w:b w:val="0"/>
          <w:i w:val="0"/>
          <w:sz w:val="20"/>
        </w:rPr>
        <w:t>•  MAT medications are stored, secured, and self-administered under the medication policy like any prescription.</w:t>
      </w:r>
    </w:p>
    <w:p>
      <w:pPr>
        <w:spacing w:before="0" w:after="60"/>
        <w:ind w:left="340"/>
      </w:pPr>
      <w:r>
        <w:rPr>
          <w:rFonts w:ascii="Calibri" w:hAnsi="Calibri"/>
          <w:b w:val="0"/>
          <w:i w:val="0"/>
          <w:sz w:val="20"/>
        </w:rPr>
        <w:t>•  Staff and residents are educated that MAT is legitimate, effective, evidence-based treatment.</w:t>
      </w:r>
    </w:p>
    <w:p>
      <w:pPr>
        <w:spacing w:before="0" w:after="60"/>
        <w:ind w:left="340"/>
      </w:pPr>
      <w:r>
        <w:rPr>
          <w:rFonts w:ascii="Calibri" w:hAnsi="Calibri"/>
          <w:b w:val="0"/>
          <w:i w:val="0"/>
          <w:sz w:val="20"/>
        </w:rPr>
        <w:t>•  The home does not require tapering off MAT as a condition of residency.</w:t>
      </w:r>
    </w:p>
    <w:p>
      <w:pPr>
        <w:spacing w:before="0" w:after="60"/>
        <w:ind w:left="340"/>
      </w:pPr>
      <w:r>
        <w:rPr>
          <w:rFonts w:ascii="Calibri" w:hAnsi="Calibri"/>
          <w:b w:val="0"/>
          <w:i w:val="0"/>
          <w:sz w:val="20"/>
        </w:rPr>
        <w:t>•  Any concern about diversion is handled through the medication and safety policies, not through exclusion of MAT users as a class.</w:t>
      </w:r>
    </w:p>
    <w:p>
      <w:pPr>
        <w:spacing w:before="260" w:after="90"/>
      </w:pPr>
      <w:r>
        <w:rPr>
          <w:rFonts w:ascii="Calibri" w:hAnsi="Calibri"/>
          <w:b/>
          <w:i w:val="0"/>
          <w:sz w:val="23"/>
        </w:rPr>
        <w:t>2.04  Reasonable Accommodations</w:t>
      </w:r>
    </w:p>
    <w:p>
      <w:pPr>
        <w:spacing w:before="0" w:after="80"/>
      </w:pPr>
      <w:r>
        <w:rPr>
          <w:rFonts w:ascii="Calibri" w:hAnsi="Calibri"/>
          <w:b w:val="0"/>
          <w:i/>
          <w:color w:val="555555"/>
          <w:sz w:val="19"/>
        </w:rPr>
        <w:t>Fair Housing Act; ADA; Section 504</w:t>
      </w:r>
    </w:p>
    <w:p>
      <w:pPr>
        <w:spacing w:before="0" w:after="110"/>
      </w:pPr>
      <w:r>
        <w:rPr>
          <w:rFonts w:ascii="Calibri" w:hAnsi="Calibri"/>
          <w:b/>
          <w:i w:val="0"/>
          <w:sz w:val="20"/>
        </w:rPr>
        <w:t xml:space="preserve">Purpose. </w:t>
      </w:r>
      <w:r>
        <w:rPr>
          <w:rFonts w:ascii="Calibri" w:hAnsi="Calibri"/>
          <w:b w:val="0"/>
          <w:i w:val="0"/>
          <w:sz w:val="20"/>
        </w:rPr>
        <w:t>To provide changes in rules or practices that give residents with disabilities equal housing opportunity.</w:t>
      </w:r>
    </w:p>
    <w:p>
      <w:pPr>
        <w:spacing w:before="0" w:after="110"/>
      </w:pPr>
      <w:r>
        <w:rPr>
          <w:rFonts w:ascii="Calibri" w:hAnsi="Calibri"/>
          <w:b/>
          <w:i w:val="0"/>
          <w:sz w:val="20"/>
        </w:rPr>
        <w:t xml:space="preserve">Policy. </w:t>
      </w:r>
      <w:r>
        <w:rPr>
          <w:rFonts w:ascii="Calibri" w:hAnsi="Calibri"/>
          <w:b w:val="0"/>
          <w:i w:val="0"/>
          <w:sz w:val="20"/>
        </w:rPr>
        <w:t>The home considers and grants reasonable accommodation requests unless they impose an undue burden or fundamentally alter the recovery residence.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and applicants may request an accommodation in any form; the home provides a simple written process.</w:t>
      </w:r>
    </w:p>
    <w:p>
      <w:pPr>
        <w:spacing w:before="0" w:after="60"/>
        <w:ind w:left="340"/>
      </w:pPr>
      <w:r>
        <w:rPr>
          <w:rFonts w:ascii="Calibri" w:hAnsi="Calibri"/>
          <w:b w:val="0"/>
          <w:i w:val="0"/>
          <w:sz w:val="20"/>
        </w:rPr>
        <w:t>•  Requests are evaluated promptly and individually, with an interactive dialogue.</w:t>
      </w:r>
    </w:p>
    <w:p>
      <w:pPr>
        <w:spacing w:before="0" w:after="60"/>
        <w:ind w:left="340"/>
      </w:pPr>
      <w:r>
        <w:rPr>
          <w:rFonts w:ascii="Calibri" w:hAnsi="Calibri"/>
          <w:b w:val="0"/>
          <w:i w:val="0"/>
          <w:sz w:val="20"/>
        </w:rPr>
        <w:t>•  Granted, denied, and alternative accommodations are documented with reasons.</w:t>
      </w:r>
    </w:p>
    <w:p>
      <w:pPr>
        <w:spacing w:before="0" w:after="60"/>
        <w:ind w:left="340"/>
      </w:pPr>
      <w:r>
        <w:rPr>
          <w:rFonts w:ascii="Calibri" w:hAnsi="Calibri"/>
          <w:b w:val="0"/>
          <w:i w:val="0"/>
          <w:sz w:val="20"/>
        </w:rPr>
        <w:t>•  The home does not require disclosure of a specific diagnosis, only the disability-related need.</w:t>
      </w:r>
    </w:p>
    <w:p>
      <w:pPr>
        <w:spacing w:before="0" w:after="60"/>
        <w:ind w:left="340"/>
      </w:pPr>
      <w:r>
        <w:rPr>
          <w:rFonts w:ascii="Calibri" w:hAnsi="Calibri"/>
          <w:b w:val="0"/>
          <w:i w:val="0"/>
          <w:sz w:val="20"/>
        </w:rPr>
        <w:t>•  Denials are limited to genuine undue burden or fundamental alteration and are explained in writing.</w:t>
      </w:r>
    </w:p>
    <w:p>
      <w:pPr>
        <w:spacing w:before="260" w:after="90"/>
      </w:pPr>
      <w:r>
        <w:rPr>
          <w:rFonts w:ascii="Calibri" w:hAnsi="Calibri"/>
          <w:b/>
          <w:i w:val="0"/>
          <w:sz w:val="23"/>
        </w:rPr>
        <w:t>2.05  Grievance &amp; Appeal Process</w:t>
      </w:r>
    </w:p>
    <w:p>
      <w:pPr>
        <w:spacing w:before="0" w:after="80"/>
      </w:pPr>
      <w:r>
        <w:rPr>
          <w:rFonts w:ascii="Calibri" w:hAnsi="Calibri"/>
          <w:b w:val="0"/>
          <w:i/>
          <w:color w:val="555555"/>
          <w:sz w:val="19"/>
        </w:rPr>
        <w:t>NARR Standard — Rights domain</w:t>
      </w:r>
    </w:p>
    <w:p>
      <w:pPr>
        <w:spacing w:before="0" w:after="110"/>
      </w:pPr>
      <w:r>
        <w:rPr>
          <w:rFonts w:ascii="Calibri" w:hAnsi="Calibri"/>
          <w:b/>
          <w:i w:val="0"/>
          <w:sz w:val="20"/>
        </w:rPr>
        <w:t xml:space="preserve">Purpose. </w:t>
      </w:r>
      <w:r>
        <w:rPr>
          <w:rFonts w:ascii="Calibri" w:hAnsi="Calibri"/>
          <w:b w:val="0"/>
          <w:i w:val="0"/>
          <w:sz w:val="20"/>
        </w:rPr>
        <w:t>To give residents a fair, documented way to raise and resolve concerns.</w:t>
      </w:r>
    </w:p>
    <w:p>
      <w:pPr>
        <w:spacing w:before="0" w:after="110"/>
      </w:pPr>
      <w:r>
        <w:rPr>
          <w:rFonts w:ascii="Calibri" w:hAnsi="Calibri"/>
          <w:b/>
          <w:i w:val="0"/>
          <w:sz w:val="20"/>
        </w:rPr>
        <w:t xml:space="preserve">Policy. </w:t>
      </w:r>
      <w:r>
        <w:rPr>
          <w:rFonts w:ascii="Calibri" w:hAnsi="Calibri"/>
          <w:b w:val="0"/>
          <w:i w:val="0"/>
          <w:sz w:val="20"/>
        </w:rPr>
        <w:t>The home maintains a written grievance process that lets residents raise concerns and appeal decisions, including discharge, without fear of retaliation.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receive the grievance procedure at intake and it is posted in the home.</w:t>
      </w:r>
    </w:p>
    <w:p>
      <w:pPr>
        <w:spacing w:before="0" w:after="60"/>
        <w:ind w:left="340"/>
      </w:pPr>
      <w:r>
        <w:rPr>
          <w:rFonts w:ascii="Calibri" w:hAnsi="Calibri"/>
          <w:b w:val="0"/>
          <w:i w:val="0"/>
          <w:sz w:val="20"/>
        </w:rPr>
        <w:t>•  Grievances may be submitted verbally or in writing to the house manager or operator.</w:t>
      </w:r>
    </w:p>
    <w:p>
      <w:pPr>
        <w:spacing w:before="0" w:after="60"/>
        <w:ind w:left="340"/>
      </w:pPr>
      <w:r>
        <w:rPr>
          <w:rFonts w:ascii="Calibri" w:hAnsi="Calibri"/>
          <w:b w:val="0"/>
          <w:i w:val="0"/>
          <w:sz w:val="20"/>
        </w:rPr>
        <w:t>•  Each grievance is logged, addressed within a stated timeframe, and answered.</w:t>
      </w:r>
    </w:p>
    <w:p>
      <w:pPr>
        <w:spacing w:before="0" w:after="60"/>
        <w:ind w:left="340"/>
      </w:pPr>
      <w:r>
        <w:rPr>
          <w:rFonts w:ascii="Calibri" w:hAnsi="Calibri"/>
          <w:b w:val="0"/>
          <w:i w:val="0"/>
          <w:sz w:val="20"/>
        </w:rPr>
        <w:t>•  Residents may appeal an adverse decision to the operator.</w:t>
      </w:r>
    </w:p>
    <w:p>
      <w:pPr>
        <w:spacing w:before="0" w:after="60"/>
        <w:ind w:left="340"/>
      </w:pPr>
      <w:r>
        <w:rPr>
          <w:rFonts w:ascii="Calibri" w:hAnsi="Calibri"/>
          <w:b w:val="0"/>
          <w:i w:val="0"/>
          <w:sz w:val="20"/>
        </w:rPr>
        <w:t>•  Records of grievances and outcomes are retained and reviewed for patterns.</w:t>
      </w:r>
    </w:p>
    <w:p>
      <w:pPr>
        <w:spacing w:before="260" w:after="90"/>
      </w:pPr>
      <w:r>
        <w:rPr>
          <w:rFonts w:ascii="Calibri" w:hAnsi="Calibri"/>
          <w:b/>
          <w:i w:val="0"/>
          <w:sz w:val="23"/>
        </w:rPr>
        <w:t>2.06  Privacy &amp; Confidentiality</w:t>
      </w:r>
    </w:p>
    <w:p>
      <w:pPr>
        <w:spacing w:before="0" w:after="80"/>
      </w:pPr>
      <w:r>
        <w:rPr>
          <w:rFonts w:ascii="Calibri" w:hAnsi="Calibri"/>
          <w:b w:val="0"/>
          <w:i/>
          <w:color w:val="555555"/>
          <w:sz w:val="19"/>
        </w:rPr>
        <w:t>42 CFR Part 2 (boundary); HIPAA (boundary); NARR ethics</w:t>
      </w:r>
    </w:p>
    <w:p>
      <w:pPr>
        <w:spacing w:before="0" w:after="110"/>
      </w:pPr>
      <w:r>
        <w:rPr>
          <w:rFonts w:ascii="Calibri" w:hAnsi="Calibri"/>
          <w:b/>
          <w:i w:val="0"/>
          <w:sz w:val="20"/>
        </w:rPr>
        <w:t xml:space="preserve">Purpose. </w:t>
      </w:r>
      <w:r>
        <w:rPr>
          <w:rFonts w:ascii="Calibri" w:hAnsi="Calibri"/>
          <w:b w:val="0"/>
          <w:i w:val="0"/>
          <w:sz w:val="20"/>
        </w:rPr>
        <w:t>To protect resident information appropriate to a housing setting.</w:t>
      </w:r>
    </w:p>
    <w:p>
      <w:pPr>
        <w:spacing w:before="0" w:after="110"/>
      </w:pPr>
      <w:r>
        <w:rPr>
          <w:rFonts w:ascii="Calibri" w:hAnsi="Calibri"/>
          <w:b/>
          <w:i w:val="0"/>
          <w:sz w:val="20"/>
        </w:rPr>
        <w:t xml:space="preserve">Policy. </w:t>
      </w:r>
      <w:r>
        <w:rPr>
          <w:rFonts w:ascii="Calibri" w:hAnsi="Calibri"/>
          <w:b w:val="0"/>
          <w:i w:val="0"/>
          <w:sz w:val="20"/>
        </w:rPr>
        <w:t>The home protects residents' personal and recovery information, shares it only with consent or as law requires, and understands where treatment-record laws do and do not apply to a housing provider.</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 records are stored securely with access limited to those who need it.</w:t>
      </w:r>
    </w:p>
    <w:p>
      <w:pPr>
        <w:spacing w:before="0" w:after="60"/>
        <w:ind w:left="340"/>
      </w:pPr>
      <w:r>
        <w:rPr>
          <w:rFonts w:ascii="Calibri" w:hAnsi="Calibri"/>
          <w:b w:val="0"/>
          <w:i w:val="0"/>
          <w:sz w:val="20"/>
        </w:rPr>
        <w:t>•  The home obtains written consent before releasing resident information to families, employers, or providers.</w:t>
      </w:r>
    </w:p>
    <w:p>
      <w:pPr>
        <w:spacing w:before="0" w:after="60"/>
        <w:ind w:left="340"/>
      </w:pPr>
      <w:r>
        <w:rPr>
          <w:rFonts w:ascii="Calibri" w:hAnsi="Calibri"/>
          <w:b w:val="0"/>
          <w:i w:val="0"/>
          <w:sz w:val="20"/>
        </w:rPr>
        <w:t>•  Staff are trained that even resident status and presence are sensitive.</w:t>
      </w:r>
    </w:p>
    <w:p>
      <w:pPr>
        <w:spacing w:before="0" w:after="60"/>
        <w:ind w:left="340"/>
      </w:pPr>
      <w:r>
        <w:rPr>
          <w:rFonts w:ascii="Calibri" w:hAnsi="Calibri"/>
          <w:b w:val="0"/>
          <w:i w:val="0"/>
          <w:sz w:val="20"/>
        </w:rPr>
        <w:t>•  The home does not hold itself out as a Part 2 program unless it actually provides those services; where it receives Part 2 information, it honors the redisclosure limits.</w:t>
      </w:r>
    </w:p>
    <w:p>
      <w:pPr>
        <w:spacing w:before="0" w:after="60"/>
        <w:ind w:left="340"/>
      </w:pPr>
      <w:r>
        <w:rPr>
          <w:rFonts w:ascii="Calibri" w:hAnsi="Calibri"/>
          <w:b w:val="0"/>
          <w:i w:val="0"/>
          <w:sz w:val="20"/>
        </w:rPr>
        <w:t>•  Breaches of confidentiality are treated as serious ethical violations.</w:t>
      </w:r>
    </w:p>
    <w:p>
      <w:pPr>
        <w:spacing w:before="260" w:after="90"/>
      </w:pPr>
      <w:r>
        <w:rPr>
          <w:rFonts w:ascii="Calibri" w:hAnsi="Calibri"/>
          <w:b/>
          <w:i w:val="0"/>
          <w:sz w:val="23"/>
        </w:rPr>
        <w:t>2.07  Freedom from Retaliation</w:t>
      </w:r>
    </w:p>
    <w:p>
      <w:pPr>
        <w:spacing w:before="0" w:after="80"/>
      </w:pPr>
      <w:r>
        <w:rPr>
          <w:rFonts w:ascii="Calibri" w:hAnsi="Calibri"/>
          <w:b w:val="0"/>
          <w:i/>
          <w:color w:val="555555"/>
          <w:sz w:val="19"/>
        </w:rPr>
        <w:t>Fair Housing Act; NARR ethics</w:t>
      </w:r>
    </w:p>
    <w:p>
      <w:pPr>
        <w:spacing w:before="0" w:after="110"/>
      </w:pPr>
      <w:r>
        <w:rPr>
          <w:rFonts w:ascii="Calibri" w:hAnsi="Calibri"/>
          <w:b/>
          <w:i w:val="0"/>
          <w:sz w:val="20"/>
        </w:rPr>
        <w:t xml:space="preserve">Purpose. </w:t>
      </w:r>
      <w:r>
        <w:rPr>
          <w:rFonts w:ascii="Calibri" w:hAnsi="Calibri"/>
          <w:b w:val="0"/>
          <w:i w:val="0"/>
          <w:sz w:val="20"/>
        </w:rPr>
        <w:t>To ensure residents can assert rights and report concerns safely.</w:t>
      </w:r>
    </w:p>
    <w:p>
      <w:pPr>
        <w:spacing w:before="0" w:after="110"/>
      </w:pPr>
      <w:r>
        <w:rPr>
          <w:rFonts w:ascii="Calibri" w:hAnsi="Calibri"/>
          <w:b/>
          <w:i w:val="0"/>
          <w:sz w:val="20"/>
        </w:rPr>
        <w:t xml:space="preserve">Policy. </w:t>
      </w:r>
      <w:r>
        <w:rPr>
          <w:rFonts w:ascii="Calibri" w:hAnsi="Calibri"/>
          <w:b w:val="0"/>
          <w:i w:val="0"/>
          <w:sz w:val="20"/>
        </w:rPr>
        <w:t>The home prohibits retaliation against any resident for filing a grievance, requesting an accommodation, or reporting a safety or ethics concern.</w:t>
      </w:r>
    </w:p>
    <w:p>
      <w:pPr>
        <w:spacing w:before="0" w:after="60"/>
      </w:pPr>
      <w:r>
        <w:rPr>
          <w:rFonts w:ascii="Calibri" w:hAnsi="Calibri"/>
          <w:b/>
          <w:i w:val="0"/>
          <w:sz w:val="20"/>
        </w:rPr>
        <w:t>Procedure.</w:t>
      </w:r>
    </w:p>
    <w:p>
      <w:pPr>
        <w:spacing w:before="0" w:after="60"/>
        <w:ind w:left="340"/>
      </w:pPr>
      <w:r>
        <w:rPr>
          <w:rFonts w:ascii="Calibri" w:hAnsi="Calibri"/>
          <w:b w:val="0"/>
          <w:i w:val="0"/>
          <w:sz w:val="20"/>
        </w:rPr>
        <w:t>•  No adverse action is taken because a resident exercised a protected right.</w:t>
      </w:r>
    </w:p>
    <w:p>
      <w:pPr>
        <w:spacing w:before="0" w:after="60"/>
        <w:ind w:left="340"/>
      </w:pPr>
      <w:r>
        <w:rPr>
          <w:rFonts w:ascii="Calibri" w:hAnsi="Calibri"/>
          <w:b w:val="0"/>
          <w:i w:val="0"/>
          <w:sz w:val="20"/>
        </w:rPr>
        <w:t>•  Staff are trained to recognize and avoid retaliatory conduct.</w:t>
      </w:r>
    </w:p>
    <w:p>
      <w:pPr>
        <w:spacing w:before="0" w:after="60"/>
        <w:ind w:left="340"/>
      </w:pPr>
      <w:r>
        <w:rPr>
          <w:rFonts w:ascii="Calibri" w:hAnsi="Calibri"/>
          <w:b w:val="0"/>
          <w:i w:val="0"/>
          <w:sz w:val="20"/>
        </w:rPr>
        <w:t>•  Alleged retaliation is investigated independently of the underlying concern.</w:t>
      </w:r>
    </w:p>
    <w:p>
      <w:pPr>
        <w:spacing w:before="0" w:after="60"/>
        <w:ind w:left="340"/>
      </w:pPr>
      <w:r>
        <w:rPr>
          <w:rFonts w:ascii="Calibri" w:hAnsi="Calibri"/>
          <w:b w:val="0"/>
          <w:i w:val="0"/>
          <w:sz w:val="20"/>
        </w:rPr>
        <w:t>•  Confirmed retaliation results in corrective action against the responsible party.</w:t>
      </w:r>
    </w:p>
    <w:p>
      <w:pPr>
        <w:spacing w:before="0" w:after="60"/>
        <w:ind w:left="340"/>
      </w:pPr>
      <w:r>
        <w:rPr>
          <w:rFonts w:ascii="Calibri" w:hAnsi="Calibri"/>
          <w:b w:val="0"/>
          <w:i w:val="0"/>
          <w:sz w:val="20"/>
        </w:rPr>
        <w:t>•  Residents are told that retaliation is prohibited and how to report it.</w:t>
      </w:r>
    </w:p>
    <w:p>
      <w:pPr>
        <w:spacing w:before="260" w:after="90"/>
      </w:pPr>
      <w:r>
        <w:rPr>
          <w:rFonts w:ascii="Calibri" w:hAnsi="Calibri"/>
          <w:b/>
          <w:i w:val="0"/>
          <w:sz w:val="23"/>
        </w:rPr>
        <w:t>2.08  Cultural Responsiveness</w:t>
      </w:r>
    </w:p>
    <w:p>
      <w:pPr>
        <w:spacing w:before="0" w:after="80"/>
      </w:pPr>
      <w:r>
        <w:rPr>
          <w:rFonts w:ascii="Calibri" w:hAnsi="Calibri"/>
          <w:b w:val="0"/>
          <w:i/>
          <w:color w:val="555555"/>
          <w:sz w:val="19"/>
        </w:rPr>
        <w:t>NARR Standard; Florida's diverse communities</w:t>
      </w:r>
    </w:p>
    <w:p>
      <w:pPr>
        <w:spacing w:before="0" w:after="110"/>
      </w:pPr>
      <w:r>
        <w:rPr>
          <w:rFonts w:ascii="Calibri" w:hAnsi="Calibri"/>
          <w:b/>
          <w:i w:val="0"/>
          <w:sz w:val="20"/>
        </w:rPr>
        <w:t xml:space="preserve">Purpose. </w:t>
      </w:r>
      <w:r>
        <w:rPr>
          <w:rFonts w:ascii="Calibri" w:hAnsi="Calibri"/>
          <w:b w:val="0"/>
          <w:i w:val="0"/>
          <w:sz w:val="20"/>
        </w:rPr>
        <w:t>To serve Florida's diverse residents — coastal and inland, urban and rural, with large Hispanic and Caribbean communities — with respect.</w:t>
      </w:r>
    </w:p>
    <w:p>
      <w:pPr>
        <w:spacing w:before="0" w:after="110"/>
      </w:pPr>
      <w:r>
        <w:rPr>
          <w:rFonts w:ascii="Calibri" w:hAnsi="Calibri"/>
          <w:b/>
          <w:i w:val="0"/>
          <w:sz w:val="20"/>
        </w:rPr>
        <w:t xml:space="preserve">Policy. </w:t>
      </w:r>
      <w:r>
        <w:rPr>
          <w:rFonts w:ascii="Calibri" w:hAnsi="Calibri"/>
          <w:b w:val="0"/>
          <w:i w:val="0"/>
          <w:sz w:val="20"/>
        </w:rPr>
        <w:t>The home delivers services in a culturally responsive way and accommodates residents' cultural, linguistic, and spiritual recovery practices.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receive cultural-humility orientation appropriate to the communities the home serves.</w:t>
      </w:r>
    </w:p>
    <w:p>
      <w:pPr>
        <w:spacing w:before="0" w:after="60"/>
        <w:ind w:left="340"/>
      </w:pPr>
      <w:r>
        <w:rPr>
          <w:rFonts w:ascii="Calibri" w:hAnsi="Calibri"/>
          <w:b w:val="0"/>
          <w:i w:val="0"/>
          <w:sz w:val="20"/>
        </w:rPr>
        <w:t>•  Language access is provided for residents with limited English proficiency.</w:t>
      </w:r>
    </w:p>
    <w:p>
      <w:pPr>
        <w:spacing w:before="0" w:after="60"/>
        <w:ind w:left="340"/>
      </w:pPr>
      <w:r>
        <w:rPr>
          <w:rFonts w:ascii="Calibri" w:hAnsi="Calibri"/>
          <w:b w:val="0"/>
          <w:i w:val="0"/>
          <w:sz w:val="20"/>
        </w:rPr>
        <w:t>•  Cultural and spiritual recovery practices are respected within the substance-free framework.</w:t>
      </w:r>
    </w:p>
    <w:p>
      <w:pPr>
        <w:spacing w:before="0" w:after="60"/>
        <w:ind w:left="340"/>
      </w:pPr>
      <w:r>
        <w:rPr>
          <w:rFonts w:ascii="Calibri" w:hAnsi="Calibri"/>
          <w:b w:val="0"/>
          <w:i w:val="0"/>
          <w:sz w:val="20"/>
        </w:rPr>
        <w:t>•  The home builds referral relationships with culturally specific community recovery resources where relevant.</w:t>
      </w:r>
    </w:p>
    <w:p>
      <w:pPr>
        <w:spacing w:before="0" w:after="60"/>
        <w:ind w:left="340"/>
      </w:pPr>
      <w:r>
        <w:rPr>
          <w:rFonts w:ascii="Calibri" w:hAnsi="Calibri"/>
          <w:b w:val="0"/>
          <w:i w:val="0"/>
          <w:sz w:val="20"/>
        </w:rPr>
        <w:t>•  Feedback from residents of different backgrounds informs quality improvement.</w:t>
      </w:r>
    </w:p>
    <w:p>
      <w:pPr>
        <w:spacing w:before="260" w:after="90"/>
      </w:pPr>
      <w:r>
        <w:rPr>
          <w:rFonts w:ascii="Calibri" w:hAnsi="Calibri"/>
          <w:b/>
          <w:i w:val="0"/>
          <w:sz w:val="23"/>
        </w:rPr>
        <w:t>2.09  Ethical Marketing &amp; Honest Representation</w:t>
      </w:r>
    </w:p>
    <w:p>
      <w:pPr>
        <w:spacing w:before="0" w:after="80"/>
      </w:pPr>
      <w:r>
        <w:rPr>
          <w:rFonts w:ascii="Calibri" w:hAnsi="Calibri"/>
          <w:b w:val="0"/>
          <w:i/>
          <w:color w:val="555555"/>
          <w:sz w:val="19"/>
        </w:rPr>
        <w:t>EKRA (18 U.S.C. § 220); FTC; NARR ethics</w:t>
      </w:r>
    </w:p>
    <w:p>
      <w:pPr>
        <w:spacing w:before="0" w:after="110"/>
      </w:pPr>
      <w:r>
        <w:rPr>
          <w:rFonts w:ascii="Calibri" w:hAnsi="Calibri"/>
          <w:b/>
          <w:i w:val="0"/>
          <w:sz w:val="20"/>
        </w:rPr>
        <w:t xml:space="preserve">Purpose. </w:t>
      </w:r>
      <w:r>
        <w:rPr>
          <w:rFonts w:ascii="Calibri" w:hAnsi="Calibri"/>
          <w:b w:val="0"/>
          <w:i w:val="0"/>
          <w:sz w:val="20"/>
        </w:rPr>
        <w:t>To market the home truthfully and never through prohibited inducements.</w:t>
      </w:r>
    </w:p>
    <w:p>
      <w:pPr>
        <w:spacing w:before="0" w:after="110"/>
      </w:pPr>
      <w:r>
        <w:rPr>
          <w:rFonts w:ascii="Calibri" w:hAnsi="Calibri"/>
          <w:b/>
          <w:i w:val="0"/>
          <w:sz w:val="20"/>
        </w:rPr>
        <w:t xml:space="preserve">Policy. </w:t>
      </w:r>
      <w:r>
        <w:rPr>
          <w:rFonts w:ascii="Calibri" w:hAnsi="Calibri"/>
          <w:b w:val="0"/>
          <w:i w:val="0"/>
          <w:sz w:val="20"/>
        </w:rPr>
        <w:t>The home advertises its services, level, and outcomes honestly and never pays for or receives payment for resident referrals.</w:t>
      </w:r>
    </w:p>
    <w:p>
      <w:pPr>
        <w:spacing w:before="0" w:after="60"/>
      </w:pPr>
      <w:r>
        <w:rPr>
          <w:rFonts w:ascii="Calibri" w:hAnsi="Calibri"/>
          <w:b/>
          <w:i w:val="0"/>
          <w:sz w:val="20"/>
        </w:rPr>
        <w:t>Procedure.</w:t>
      </w:r>
    </w:p>
    <w:p>
      <w:pPr>
        <w:spacing w:before="0" w:after="60"/>
        <w:ind w:left="340"/>
      </w:pPr>
      <w:r>
        <w:rPr>
          <w:rFonts w:ascii="Calibri" w:hAnsi="Calibri"/>
          <w:b w:val="0"/>
          <w:i w:val="0"/>
          <w:sz w:val="20"/>
        </w:rPr>
        <w:t>•  Marketing accurately states the home's NARR level, services, and certification status.</w:t>
      </w:r>
    </w:p>
    <w:p>
      <w:pPr>
        <w:spacing w:before="0" w:after="60"/>
        <w:ind w:left="340"/>
      </w:pPr>
      <w:r>
        <w:rPr>
          <w:rFonts w:ascii="Calibri" w:hAnsi="Calibri"/>
          <w:b w:val="0"/>
          <w:i w:val="0"/>
          <w:sz w:val="20"/>
        </w:rPr>
        <w:t>•  The home does not offer, pay, solicit, or receive any fee or kickback for referrals (see 7.03).</w:t>
      </w:r>
    </w:p>
    <w:p>
      <w:pPr>
        <w:spacing w:before="0" w:after="60"/>
        <w:ind w:left="340"/>
      </w:pPr>
      <w:r>
        <w:rPr>
          <w:rFonts w:ascii="Calibri" w:hAnsi="Calibri"/>
          <w:b w:val="0"/>
          <w:i w:val="0"/>
          <w:sz w:val="20"/>
        </w:rPr>
        <w:t>•  Testimonials and outcome claims are truthful and, where used, consented to.</w:t>
      </w:r>
    </w:p>
    <w:p>
      <w:pPr>
        <w:spacing w:before="0" w:after="60"/>
        <w:ind w:left="340"/>
      </w:pPr>
      <w:r>
        <w:rPr>
          <w:rFonts w:ascii="Calibri" w:hAnsi="Calibri"/>
          <w:b w:val="0"/>
          <w:i w:val="0"/>
          <w:sz w:val="20"/>
        </w:rPr>
        <w:t>•  The home does not guarantee recovery or misrepresent success rates.</w:t>
      </w:r>
    </w:p>
    <w:p>
      <w:pPr>
        <w:spacing w:before="0" w:after="60"/>
        <w:ind w:left="340"/>
      </w:pPr>
      <w:r>
        <w:rPr>
          <w:rFonts w:ascii="Calibri" w:hAnsi="Calibri"/>
          <w:b w:val="0"/>
          <w:i w:val="0"/>
          <w:sz w:val="20"/>
        </w:rPr>
        <w:t>•  Online listings and directories are kept accurate and current.</w:t>
      </w:r>
    </w:p>
    <w:p>
      <w:pPr>
        <w:spacing w:before="260" w:after="90"/>
      </w:pPr>
      <w:r>
        <w:rPr>
          <w:rFonts w:ascii="Calibri" w:hAnsi="Calibri"/>
          <w:b/>
          <w:i w:val="0"/>
          <w:sz w:val="23"/>
        </w:rPr>
        <w:t>2.10  Conflicts of Interest</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identify and manage conflicts between the operator's interests and residents' welfare.</w:t>
      </w:r>
    </w:p>
    <w:p>
      <w:pPr>
        <w:spacing w:before="0" w:after="110"/>
      </w:pPr>
      <w:r>
        <w:rPr>
          <w:rFonts w:ascii="Calibri" w:hAnsi="Calibri"/>
          <w:b/>
          <w:i w:val="0"/>
          <w:sz w:val="20"/>
        </w:rPr>
        <w:t xml:space="preserve">Policy. </w:t>
      </w:r>
      <w:r>
        <w:rPr>
          <w:rFonts w:ascii="Calibri" w:hAnsi="Calibri"/>
          <w:b w:val="0"/>
          <w:i w:val="0"/>
          <w:sz w:val="20"/>
        </w:rPr>
        <w:t>The operator, managers, and staff disclose and manage conflicts of interest so that resident welfare always comes first.</w:t>
      </w:r>
    </w:p>
    <w:p>
      <w:pPr>
        <w:spacing w:before="0" w:after="60"/>
      </w:pPr>
      <w:r>
        <w:rPr>
          <w:rFonts w:ascii="Calibri" w:hAnsi="Calibri"/>
          <w:b/>
          <w:i w:val="0"/>
          <w:sz w:val="20"/>
        </w:rPr>
        <w:t>Procedure.</w:t>
      </w:r>
    </w:p>
    <w:p>
      <w:pPr>
        <w:spacing w:before="0" w:after="60"/>
        <w:ind w:left="340"/>
      </w:pPr>
      <w:r>
        <w:rPr>
          <w:rFonts w:ascii="Calibri" w:hAnsi="Calibri"/>
          <w:b w:val="0"/>
          <w:i w:val="0"/>
          <w:sz w:val="20"/>
        </w:rPr>
        <w:t>•  Financial or personal interests in referral sources, vendors, or treatment providers are disclosed.</w:t>
      </w:r>
    </w:p>
    <w:p>
      <w:pPr>
        <w:spacing w:before="0" w:after="60"/>
        <w:ind w:left="340"/>
      </w:pPr>
      <w:r>
        <w:rPr>
          <w:rFonts w:ascii="Calibri" w:hAnsi="Calibri"/>
          <w:b w:val="0"/>
          <w:i w:val="0"/>
          <w:sz w:val="20"/>
        </w:rPr>
        <w:t>•  Staff do not sell products or services to residents for personal gain.</w:t>
      </w:r>
    </w:p>
    <w:p>
      <w:pPr>
        <w:spacing w:before="0" w:after="60"/>
        <w:ind w:left="340"/>
      </w:pPr>
      <w:r>
        <w:rPr>
          <w:rFonts w:ascii="Calibri" w:hAnsi="Calibri"/>
          <w:b w:val="0"/>
          <w:i w:val="0"/>
          <w:sz w:val="20"/>
        </w:rPr>
        <w:t>•  Romantic or exploitative relationships between staff and current residents are prohibited.</w:t>
      </w:r>
    </w:p>
    <w:p>
      <w:pPr>
        <w:spacing w:before="0" w:after="60"/>
        <w:ind w:left="340"/>
      </w:pPr>
      <w:r>
        <w:rPr>
          <w:rFonts w:ascii="Calibri" w:hAnsi="Calibri"/>
          <w:b w:val="0"/>
          <w:i w:val="0"/>
          <w:sz w:val="20"/>
        </w:rPr>
        <w:t>•  Decisions affecting residents are made on recovery grounds, not financial ones.</w:t>
      </w:r>
    </w:p>
    <w:p>
      <w:pPr>
        <w:spacing w:before="0" w:after="60"/>
        <w:ind w:left="340"/>
      </w:pPr>
      <w:r>
        <w:rPr>
          <w:rFonts w:ascii="Calibri" w:hAnsi="Calibri"/>
          <w:b w:val="0"/>
          <w:i w:val="0"/>
          <w:sz w:val="20"/>
        </w:rPr>
        <w:t>•  Disclosed conflicts are documented and managed or eliminated.</w:t>
      </w:r>
    </w:p>
    <w:p>
      <w:pPr>
        <w:spacing w:before="260" w:after="90"/>
      </w:pPr>
      <w:r>
        <w:rPr>
          <w:rFonts w:ascii="Calibri" w:hAnsi="Calibri"/>
          <w:b/>
          <w:i w:val="0"/>
          <w:sz w:val="23"/>
        </w:rPr>
        <w:t>2.11  Resident Voice &amp; Self-Governance</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give residents a meaningful role in the life of the home.</w:t>
      </w:r>
    </w:p>
    <w:p>
      <w:pPr>
        <w:spacing w:before="0" w:after="110"/>
      </w:pPr>
      <w:r>
        <w:rPr>
          <w:rFonts w:ascii="Calibri" w:hAnsi="Calibri"/>
          <w:b/>
          <w:i w:val="0"/>
          <w:sz w:val="20"/>
        </w:rPr>
        <w:t xml:space="preserve">Policy. </w:t>
      </w:r>
      <w:r>
        <w:rPr>
          <w:rFonts w:ascii="Calibri" w:hAnsi="Calibri"/>
          <w:b w:val="0"/>
          <w:i w:val="0"/>
          <w:sz w:val="20"/>
        </w:rPr>
        <w:t>The home involves residents in decisions affecting community life through regular house meetings and peer input, consistent with its NARR level.</w:t>
      </w:r>
    </w:p>
    <w:p>
      <w:pPr>
        <w:spacing w:before="0" w:after="60"/>
      </w:pPr>
      <w:r>
        <w:rPr>
          <w:rFonts w:ascii="Calibri" w:hAnsi="Calibri"/>
          <w:b/>
          <w:i w:val="0"/>
          <w:sz w:val="20"/>
        </w:rPr>
        <w:t>Procedure.</w:t>
      </w:r>
    </w:p>
    <w:p>
      <w:pPr>
        <w:spacing w:before="0" w:after="60"/>
        <w:ind w:left="340"/>
      </w:pPr>
      <w:r>
        <w:rPr>
          <w:rFonts w:ascii="Calibri" w:hAnsi="Calibri"/>
          <w:b w:val="0"/>
          <w:i w:val="0"/>
          <w:sz w:val="20"/>
        </w:rPr>
        <w:t>•  Regular house meetings are held and documented.</w:t>
      </w:r>
    </w:p>
    <w:p>
      <w:pPr>
        <w:spacing w:before="0" w:after="60"/>
        <w:ind w:left="340"/>
      </w:pPr>
      <w:r>
        <w:rPr>
          <w:rFonts w:ascii="Calibri" w:hAnsi="Calibri"/>
          <w:b w:val="0"/>
          <w:i w:val="0"/>
          <w:sz w:val="20"/>
        </w:rPr>
        <w:t>•  Residents may propose changes to non-safety house norms.</w:t>
      </w:r>
    </w:p>
    <w:p>
      <w:pPr>
        <w:spacing w:before="0" w:after="60"/>
        <w:ind w:left="340"/>
      </w:pPr>
      <w:r>
        <w:rPr>
          <w:rFonts w:ascii="Calibri" w:hAnsi="Calibri"/>
          <w:b w:val="0"/>
          <w:i w:val="0"/>
          <w:sz w:val="20"/>
        </w:rPr>
        <w:t>•  Peer-led accountability and mutual support are encouraged.</w:t>
      </w:r>
    </w:p>
    <w:p>
      <w:pPr>
        <w:spacing w:before="0" w:after="60"/>
        <w:ind w:left="340"/>
      </w:pPr>
      <w:r>
        <w:rPr>
          <w:rFonts w:ascii="Calibri" w:hAnsi="Calibri"/>
          <w:b w:val="0"/>
          <w:i w:val="0"/>
          <w:sz w:val="20"/>
        </w:rPr>
        <w:t>•  In Level I / Oxford House-style homes, residents govern democratically within the home's charter.</w:t>
      </w:r>
    </w:p>
    <w:p>
      <w:pPr>
        <w:spacing w:before="0" w:after="60"/>
        <w:ind w:left="340"/>
      </w:pPr>
      <w:r>
        <w:rPr>
          <w:rFonts w:ascii="Calibri" w:hAnsi="Calibri"/>
          <w:b w:val="0"/>
          <w:i w:val="0"/>
          <w:sz w:val="20"/>
        </w:rPr>
        <w:t>•  Resident input is recorded and considered in quality improvement.</w:t>
      </w:r>
    </w:p>
    <w:p>
      <w:pPr>
        <w:spacing w:before="260" w:after="90"/>
      </w:pPr>
      <w:r>
        <w:rPr>
          <w:rFonts w:ascii="Calibri" w:hAnsi="Calibri"/>
          <w:b/>
          <w:i w:val="0"/>
          <w:sz w:val="23"/>
        </w:rPr>
        <w:t>2.12  Ethics Complaints to the Certifying Body</w:t>
      </w:r>
    </w:p>
    <w:p>
      <w:pPr>
        <w:spacing w:before="0" w:after="80"/>
      </w:pPr>
      <w:r>
        <w:rPr>
          <w:rFonts w:ascii="Calibri" w:hAnsi="Calibri"/>
          <w:b w:val="0"/>
          <w:i/>
          <w:color w:val="555555"/>
          <w:sz w:val="19"/>
        </w:rPr>
        <w:t>NARR affiliate/national complaint process</w:t>
      </w:r>
    </w:p>
    <w:p>
      <w:pPr>
        <w:spacing w:before="0" w:after="110"/>
      </w:pPr>
      <w:r>
        <w:rPr>
          <w:rFonts w:ascii="Calibri" w:hAnsi="Calibri"/>
          <w:b/>
          <w:i w:val="0"/>
          <w:sz w:val="20"/>
        </w:rPr>
        <w:t xml:space="preserve">Purpose. </w:t>
      </w:r>
      <w:r>
        <w:rPr>
          <w:rFonts w:ascii="Calibri" w:hAnsi="Calibri"/>
          <w:b w:val="0"/>
          <w:i w:val="0"/>
          <w:sz w:val="20"/>
        </w:rPr>
        <w:t>To give residents an external channel for unresolved ethics concerns.</w:t>
      </w:r>
    </w:p>
    <w:p>
      <w:pPr>
        <w:spacing w:before="0" w:after="110"/>
      </w:pPr>
      <w:r>
        <w:rPr>
          <w:rFonts w:ascii="Calibri" w:hAnsi="Calibri"/>
          <w:b/>
          <w:i w:val="0"/>
          <w:sz w:val="20"/>
        </w:rPr>
        <w:t xml:space="preserve">Policy. </w:t>
      </w:r>
      <w:r>
        <w:rPr>
          <w:rFonts w:ascii="Calibri" w:hAnsi="Calibri"/>
          <w:b w:val="0"/>
          <w:i w:val="0"/>
          <w:sz w:val="20"/>
        </w:rPr>
        <w:t>Residents are informed of their right to bring ethics complaints to the certifying body when internal resolution fails.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intake packet explains how to contact the certifying body (NARR national or applicable affiliate).</w:t>
      </w:r>
    </w:p>
    <w:p>
      <w:pPr>
        <w:spacing w:before="0" w:after="60"/>
        <w:ind w:left="340"/>
      </w:pPr>
      <w:r>
        <w:rPr>
          <w:rFonts w:ascii="Calibri" w:hAnsi="Calibri"/>
          <w:b w:val="0"/>
          <w:i w:val="0"/>
          <w:sz w:val="20"/>
        </w:rPr>
        <w:t>•  The home cooperates fully with any certifying-body inquiry.</w:t>
      </w:r>
    </w:p>
    <w:p>
      <w:pPr>
        <w:spacing w:before="0" w:after="60"/>
        <w:ind w:left="340"/>
      </w:pPr>
      <w:r>
        <w:rPr>
          <w:rFonts w:ascii="Calibri" w:hAnsi="Calibri"/>
          <w:b w:val="0"/>
          <w:i w:val="0"/>
          <w:sz w:val="20"/>
        </w:rPr>
        <w:t>•  Residents are not penalized for filing an external complaint.</w:t>
      </w:r>
    </w:p>
    <w:p>
      <w:pPr>
        <w:spacing w:before="0" w:after="60"/>
        <w:ind w:left="340"/>
      </w:pPr>
      <w:r>
        <w:rPr>
          <w:rFonts w:ascii="Calibri" w:hAnsi="Calibri"/>
          <w:b w:val="0"/>
          <w:i w:val="0"/>
          <w:sz w:val="20"/>
        </w:rPr>
        <w:t>•  The operator addresses findings from any external review promptly.</w:t>
      </w:r>
    </w:p>
    <w:p>
      <w:pPr>
        <w:spacing w:before="0" w:after="60"/>
        <w:ind w:left="340"/>
      </w:pPr>
      <w:r>
        <w:rPr>
          <w:rFonts w:ascii="Calibri" w:hAnsi="Calibri"/>
          <w:b w:val="0"/>
          <w:i w:val="0"/>
          <w:sz w:val="20"/>
        </w:rPr>
        <w:t>•  Contact information is kept current as certification status changes.</w:t>
      </w:r>
    </w:p>
    <w:p>
      <w:pPr>
        <w:spacing w:before="260" w:after="90"/>
      </w:pPr>
      <w:r>
        <w:rPr>
          <w:rFonts w:ascii="Calibri" w:hAnsi="Calibri"/>
          <w:b/>
          <w:i w:val="0"/>
          <w:sz w:val="23"/>
        </w:rPr>
        <w:t>2.13  Language Access &amp; Effective Communication</w:t>
      </w:r>
    </w:p>
    <w:p>
      <w:pPr>
        <w:spacing w:before="0" w:after="80"/>
      </w:pPr>
      <w:r>
        <w:rPr>
          <w:rFonts w:ascii="Calibri" w:hAnsi="Calibri"/>
          <w:b w:val="0"/>
          <w:i/>
          <w:color w:val="555555"/>
          <w:sz w:val="19"/>
        </w:rPr>
        <w:t>Title VI; ADA effective-communication; Florida demographics</w:t>
      </w:r>
    </w:p>
    <w:p>
      <w:pPr>
        <w:spacing w:before="0" w:after="110"/>
      </w:pPr>
      <w:r>
        <w:rPr>
          <w:rFonts w:ascii="Calibri" w:hAnsi="Calibri"/>
          <w:b/>
          <w:i w:val="0"/>
          <w:sz w:val="20"/>
        </w:rPr>
        <w:t xml:space="preserve">Purpose. </w:t>
      </w:r>
      <w:r>
        <w:rPr>
          <w:rFonts w:ascii="Calibri" w:hAnsi="Calibri"/>
          <w:b w:val="0"/>
          <w:i w:val="0"/>
          <w:sz w:val="20"/>
        </w:rPr>
        <w:t>To ensure residents can understand and participate regardless of language or communication need.</w:t>
      </w:r>
    </w:p>
    <w:p>
      <w:pPr>
        <w:spacing w:before="0" w:after="110"/>
      </w:pPr>
      <w:r>
        <w:rPr>
          <w:rFonts w:ascii="Calibri" w:hAnsi="Calibri"/>
          <w:b/>
          <w:i w:val="0"/>
          <w:sz w:val="20"/>
        </w:rPr>
        <w:t xml:space="preserve">Policy. </w:t>
      </w:r>
      <w:r>
        <w:rPr>
          <w:rFonts w:ascii="Calibri" w:hAnsi="Calibri"/>
          <w:b w:val="0"/>
          <w:i w:val="0"/>
          <w:sz w:val="20"/>
        </w:rPr>
        <w:t>The home provides meaningful language access and effective communication so that limited-English-proficient residents and residents with disabilities can fully use its services.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Key documents (rights, rules, agreement) are available in Spanish and other needed languages.</w:t>
      </w:r>
    </w:p>
    <w:p>
      <w:pPr>
        <w:spacing w:before="0" w:after="60"/>
        <w:ind w:left="340"/>
      </w:pPr>
      <w:r>
        <w:rPr>
          <w:rFonts w:ascii="Calibri" w:hAnsi="Calibri"/>
          <w:b w:val="0"/>
          <w:i w:val="0"/>
          <w:sz w:val="20"/>
        </w:rPr>
        <w:t>•  Interpretation is arranged for residents who need it, at no cost to the resident.</w:t>
      </w:r>
    </w:p>
    <w:p>
      <w:pPr>
        <w:spacing w:before="0" w:after="60"/>
        <w:ind w:left="340"/>
      </w:pPr>
      <w:r>
        <w:rPr>
          <w:rFonts w:ascii="Calibri" w:hAnsi="Calibri"/>
          <w:b w:val="0"/>
          <w:i w:val="0"/>
          <w:sz w:val="20"/>
        </w:rPr>
        <w:t>•  Auxiliary aids are provided for residents with hearing or vision disabilities.</w:t>
      </w:r>
    </w:p>
    <w:p>
      <w:pPr>
        <w:spacing w:before="0" w:after="60"/>
        <w:ind w:left="340"/>
      </w:pPr>
      <w:r>
        <w:rPr>
          <w:rFonts w:ascii="Calibri" w:hAnsi="Calibri"/>
          <w:b w:val="0"/>
          <w:i w:val="0"/>
          <w:sz w:val="20"/>
        </w:rPr>
        <w:t>•  Staff know how to access interpretation and translation resources.</w:t>
      </w:r>
    </w:p>
    <w:p>
      <w:pPr>
        <w:spacing w:before="0" w:after="60"/>
        <w:ind w:left="340"/>
      </w:pPr>
      <w:r>
        <w:rPr>
          <w:rFonts w:ascii="Calibri" w:hAnsi="Calibri"/>
          <w:b w:val="0"/>
          <w:i w:val="0"/>
          <w:sz w:val="20"/>
        </w:rPr>
        <w:t>•  The home does not rely on other residents or minors for sensitive interpretation.</w:t>
      </w:r>
    </w:p>
    <w:p>
      <w:pPr>
        <w:spacing w:before="0" w:after="60"/>
        <w:ind w:left="340"/>
      </w:pPr>
      <w:r>
        <w:rPr>
          <w:rFonts w:ascii="Calibri" w:hAnsi="Calibri"/>
          <w:b w:val="0"/>
          <w:i w:val="0"/>
          <w:sz w:val="20"/>
        </w:rPr>
        <w:t>•  Communication needs identified at intake are recorded and honored.</w:t>
      </w:r>
    </w:p>
    <w:p>
      <w:pPr>
        <w:spacing w:before="260" w:after="90"/>
      </w:pPr>
      <w:r>
        <w:rPr>
          <w:rFonts w:ascii="Calibri" w:hAnsi="Calibri"/>
          <w:b/>
          <w:i w:val="0"/>
          <w:sz w:val="23"/>
        </w:rPr>
        <w:t>2.14  Service Animals &amp; Assistance Animals</w:t>
      </w:r>
    </w:p>
    <w:p>
      <w:pPr>
        <w:spacing w:before="0" w:after="80"/>
      </w:pPr>
      <w:r>
        <w:rPr>
          <w:rFonts w:ascii="Calibri" w:hAnsi="Calibri"/>
          <w:b w:val="0"/>
          <w:i/>
          <w:color w:val="555555"/>
          <w:sz w:val="19"/>
        </w:rPr>
        <w:t>Fair Housing Act; ADA</w:t>
      </w:r>
    </w:p>
    <w:p>
      <w:pPr>
        <w:spacing w:before="0" w:after="110"/>
      </w:pPr>
      <w:r>
        <w:rPr>
          <w:rFonts w:ascii="Calibri" w:hAnsi="Calibri"/>
          <w:b/>
          <w:i w:val="0"/>
          <w:sz w:val="20"/>
        </w:rPr>
        <w:t xml:space="preserve">Purpose. </w:t>
      </w:r>
      <w:r>
        <w:rPr>
          <w:rFonts w:ascii="Calibri" w:hAnsi="Calibri"/>
          <w:b w:val="0"/>
          <w:i w:val="0"/>
          <w:sz w:val="20"/>
        </w:rPr>
        <w:t>To honor residents' rights to service and assistance animals.</w:t>
      </w:r>
    </w:p>
    <w:p>
      <w:pPr>
        <w:spacing w:before="0" w:after="110"/>
      </w:pPr>
      <w:r>
        <w:rPr>
          <w:rFonts w:ascii="Calibri" w:hAnsi="Calibri"/>
          <w:b/>
          <w:i w:val="0"/>
          <w:sz w:val="20"/>
        </w:rPr>
        <w:t xml:space="preserve">Policy. </w:t>
      </w:r>
      <w:r>
        <w:rPr>
          <w:rFonts w:ascii="Calibri" w:hAnsi="Calibri"/>
          <w:b w:val="0"/>
          <w:i w:val="0"/>
          <w:sz w:val="20"/>
        </w:rPr>
        <w:t>The home permits service animals and, as a reasonable accommodation, assistance/support animals, consistent with fair housing law.</w:t>
      </w:r>
    </w:p>
    <w:p>
      <w:pPr>
        <w:spacing w:before="0" w:after="60"/>
      </w:pPr>
      <w:r>
        <w:rPr>
          <w:rFonts w:ascii="Calibri" w:hAnsi="Calibri"/>
          <w:b/>
          <w:i w:val="0"/>
          <w:sz w:val="20"/>
        </w:rPr>
        <w:t>Procedure.</w:t>
      </w:r>
    </w:p>
    <w:p>
      <w:pPr>
        <w:spacing w:before="0" w:after="60"/>
        <w:ind w:left="340"/>
      </w:pPr>
      <w:r>
        <w:rPr>
          <w:rFonts w:ascii="Calibri" w:hAnsi="Calibri"/>
          <w:b w:val="0"/>
          <w:i w:val="0"/>
          <w:sz w:val="20"/>
        </w:rPr>
        <w:t>•  Service animals are permitted in accordance with the ADA and FHA.</w:t>
      </w:r>
    </w:p>
    <w:p>
      <w:pPr>
        <w:spacing w:before="0" w:after="60"/>
        <w:ind w:left="340"/>
      </w:pPr>
      <w:r>
        <w:rPr>
          <w:rFonts w:ascii="Calibri" w:hAnsi="Calibri"/>
          <w:b w:val="0"/>
          <w:i w:val="0"/>
          <w:sz w:val="20"/>
        </w:rPr>
        <w:t>•  Assistance-animal requests are handled as reasonable-accommodation requests (2.04).</w:t>
      </w:r>
    </w:p>
    <w:p>
      <w:pPr>
        <w:spacing w:before="0" w:after="60"/>
        <w:ind w:left="340"/>
      </w:pPr>
      <w:r>
        <w:rPr>
          <w:rFonts w:ascii="Calibri" w:hAnsi="Calibri"/>
          <w:b w:val="0"/>
          <w:i w:val="0"/>
          <w:sz w:val="20"/>
        </w:rPr>
        <w:t>•  The home does not charge pet fees or deposits for a documented assistance animal.</w:t>
      </w:r>
    </w:p>
    <w:p>
      <w:pPr>
        <w:spacing w:before="0" w:after="60"/>
        <w:ind w:left="340"/>
      </w:pPr>
      <w:r>
        <w:rPr>
          <w:rFonts w:ascii="Calibri" w:hAnsi="Calibri"/>
          <w:b w:val="0"/>
          <w:i w:val="0"/>
          <w:sz w:val="20"/>
        </w:rPr>
        <w:t>•  Reasonable documentation of a disability-related need may be requested where the need is not obvious.</w:t>
      </w:r>
    </w:p>
    <w:p>
      <w:pPr>
        <w:spacing w:before="0" w:after="60"/>
        <w:ind w:left="340"/>
      </w:pPr>
      <w:r>
        <w:rPr>
          <w:rFonts w:ascii="Calibri" w:hAnsi="Calibri"/>
          <w:b w:val="0"/>
          <w:i w:val="0"/>
          <w:sz w:val="20"/>
        </w:rPr>
        <w:t>•  Residents remain responsible for the animal's behavior, care, and any damage.</w:t>
      </w:r>
    </w:p>
    <w:p>
      <w:pPr>
        <w:spacing w:before="0" w:after="60"/>
        <w:ind w:left="340"/>
      </w:pPr>
      <w:r>
        <w:rPr>
          <w:rFonts w:ascii="Calibri" w:hAnsi="Calibri"/>
          <w:b w:val="0"/>
          <w:i w:val="0"/>
          <w:sz w:val="20"/>
        </w:rPr>
        <w:t>•  Requests and decisions are documented.</w:t>
      </w:r>
    </w:p>
    <w:p>
      <w:pPr>
        <w:spacing w:before="260" w:after="90"/>
      </w:pPr>
      <w:r>
        <w:rPr>
          <w:rFonts w:ascii="Calibri" w:hAnsi="Calibri"/>
          <w:b/>
          <w:i w:val="0"/>
          <w:sz w:val="23"/>
        </w:rPr>
        <w:t>2.15  Resident Property Loss &amp; Damage Claims</w:t>
      </w:r>
    </w:p>
    <w:p>
      <w:pPr>
        <w:spacing w:before="0" w:after="80"/>
      </w:pPr>
      <w:r>
        <w:rPr>
          <w:rFonts w:ascii="Calibri" w:hAnsi="Calibri"/>
          <w:b w:val="0"/>
          <w:i/>
          <w:color w:val="555555"/>
          <w:sz w:val="19"/>
        </w:rPr>
        <w:t>NARR Standard — Property domain; NARR ethics</w:t>
      </w:r>
    </w:p>
    <w:p>
      <w:pPr>
        <w:spacing w:before="0" w:after="110"/>
      </w:pPr>
      <w:r>
        <w:rPr>
          <w:rFonts w:ascii="Calibri" w:hAnsi="Calibri"/>
          <w:b/>
          <w:i w:val="0"/>
          <w:sz w:val="20"/>
        </w:rPr>
        <w:t xml:space="preserve">Purpose. </w:t>
      </w:r>
      <w:r>
        <w:rPr>
          <w:rFonts w:ascii="Calibri" w:hAnsi="Calibri"/>
          <w:b w:val="0"/>
          <w:i w:val="0"/>
          <w:sz w:val="20"/>
        </w:rPr>
        <w:t>To handle claims about lost or damaged resident property fairly.</w:t>
      </w:r>
    </w:p>
    <w:p>
      <w:pPr>
        <w:spacing w:before="0" w:after="110"/>
      </w:pPr>
      <w:r>
        <w:rPr>
          <w:rFonts w:ascii="Calibri" w:hAnsi="Calibri"/>
          <w:b/>
          <w:i w:val="0"/>
          <w:sz w:val="20"/>
        </w:rPr>
        <w:t xml:space="preserve">Policy. </w:t>
      </w:r>
      <w:r>
        <w:rPr>
          <w:rFonts w:ascii="Calibri" w:hAnsi="Calibri"/>
          <w:b w:val="0"/>
          <w:i w:val="0"/>
          <w:sz w:val="20"/>
        </w:rPr>
        <w:t>The home responds to residents' property loss or damage claims through a fair, documented process.</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may submit a property claim in writing.</w:t>
      </w:r>
    </w:p>
    <w:p>
      <w:pPr>
        <w:spacing w:before="0" w:after="60"/>
        <w:ind w:left="340"/>
      </w:pPr>
      <w:r>
        <w:rPr>
          <w:rFonts w:ascii="Calibri" w:hAnsi="Calibri"/>
          <w:b w:val="0"/>
          <w:i w:val="0"/>
          <w:sz w:val="20"/>
        </w:rPr>
        <w:t>•  Claims are investigated promptly and impartially.</w:t>
      </w:r>
    </w:p>
    <w:p>
      <w:pPr>
        <w:spacing w:before="0" w:after="60"/>
        <w:ind w:left="340"/>
      </w:pPr>
      <w:r>
        <w:rPr>
          <w:rFonts w:ascii="Calibri" w:hAnsi="Calibri"/>
          <w:b w:val="0"/>
          <w:i w:val="0"/>
          <w:sz w:val="20"/>
        </w:rPr>
        <w:t>•  The move-in inventory (3.13) is used as a reference.</w:t>
      </w:r>
    </w:p>
    <w:p>
      <w:pPr>
        <w:spacing w:before="0" w:after="60"/>
        <w:ind w:left="340"/>
      </w:pPr>
      <w:r>
        <w:rPr>
          <w:rFonts w:ascii="Calibri" w:hAnsi="Calibri"/>
          <w:b w:val="0"/>
          <w:i w:val="0"/>
          <w:sz w:val="20"/>
        </w:rPr>
        <w:t>•  Resolution is documented and communicated.</w:t>
      </w:r>
    </w:p>
    <w:p>
      <w:pPr>
        <w:spacing w:before="0" w:after="60"/>
        <w:ind w:left="340"/>
      </w:pPr>
      <w:r>
        <w:rPr>
          <w:rFonts w:ascii="Calibri" w:hAnsi="Calibri"/>
          <w:b w:val="0"/>
          <w:i w:val="0"/>
          <w:sz w:val="20"/>
        </w:rPr>
        <w:t>•  The home takes reasonable steps to secure resident property.</w:t>
      </w:r>
    </w:p>
    <w:p>
      <w:pPr>
        <w:spacing w:before="0" w:after="60"/>
        <w:ind w:left="340"/>
      </w:pPr>
      <w:r>
        <w:rPr>
          <w:rFonts w:ascii="Calibri" w:hAnsi="Calibri"/>
          <w:b w:val="0"/>
          <w:i w:val="0"/>
          <w:sz w:val="20"/>
        </w:rPr>
        <w:t>•  Patterns of loss trigger a security review.</w:t>
      </w:r>
    </w:p>
    <w:p>
      <w:r>
        <w:br w:type="page"/>
      </w:r>
    </w:p>
    <w:p>
      <w:pPr>
        <w:spacing w:before="0" w:after="80"/>
      </w:pPr>
      <w:r>
        <w:rPr>
          <w:rFonts w:ascii="Calibri" w:hAnsi="Calibri"/>
          <w:b/>
          <w:i w:val="0"/>
          <w:sz w:val="26"/>
        </w:rPr>
        <w:t>Section 3 — Admissions, Agreements &amp; Orientation</w:t>
      </w:r>
    </w:p>
    <w:p>
      <w:pPr>
        <w:spacing w:before="0" w:after="160"/>
      </w:pPr>
      <w:r>
        <w:rPr>
          <w:rFonts w:ascii="Calibri" w:hAnsi="Calibri"/>
          <w:b w:val="0"/>
          <w:i/>
          <w:sz w:val="20"/>
        </w:rPr>
        <w:t>How a resident enters the home sets the tone for their recovery. This section covers who the home serves, how admission decisions are made fairly, the written resident agreement that governs the relationship, financial disclosures, and the orientation that gives a new resident the information and safety tools they need from day one.</w:t>
      </w:r>
    </w:p>
    <w:p>
      <w:pPr>
        <w:spacing w:before="260" w:after="90"/>
      </w:pPr>
      <w:r>
        <w:rPr>
          <w:rFonts w:ascii="Calibri" w:hAnsi="Calibri"/>
          <w:b/>
          <w:i w:val="0"/>
          <w:sz w:val="23"/>
        </w:rPr>
        <w:t>3.01  Admission Criteria and Population Served</w:t>
      </w:r>
    </w:p>
    <w:p>
      <w:pPr>
        <w:spacing w:before="0" w:after="80"/>
      </w:pPr>
      <w:r>
        <w:rPr>
          <w:rFonts w:ascii="Calibri" w:hAnsi="Calibri"/>
          <w:b w:val="0"/>
          <w:i/>
          <w:color w:val="555555"/>
          <w:sz w:val="19"/>
        </w:rPr>
        <w:t>Fair Housing Act; NARR Standard</w:t>
      </w:r>
    </w:p>
    <w:p>
      <w:pPr>
        <w:spacing w:before="0" w:after="110"/>
      </w:pPr>
      <w:r>
        <w:rPr>
          <w:rFonts w:ascii="Calibri" w:hAnsi="Calibri"/>
          <w:b/>
          <w:i w:val="0"/>
          <w:sz w:val="20"/>
        </w:rPr>
        <w:t xml:space="preserve">Purpose. </w:t>
      </w:r>
      <w:r>
        <w:rPr>
          <w:rFonts w:ascii="Calibri" w:hAnsi="Calibri"/>
          <w:b w:val="0"/>
          <w:i w:val="0"/>
          <w:sz w:val="20"/>
        </w:rPr>
        <w:t>To define clearly and lawfully who the home serves.</w:t>
      </w:r>
    </w:p>
    <w:p>
      <w:pPr>
        <w:spacing w:before="0" w:after="110"/>
      </w:pPr>
      <w:r>
        <w:rPr>
          <w:rFonts w:ascii="Calibri" w:hAnsi="Calibri"/>
          <w:b/>
          <w:i w:val="0"/>
          <w:sz w:val="20"/>
        </w:rPr>
        <w:t xml:space="preserve">Policy. </w:t>
      </w:r>
      <w:r>
        <w:rPr>
          <w:rFonts w:ascii="Calibri" w:hAnsi="Calibri"/>
          <w:b w:val="0"/>
          <w:i w:val="0"/>
          <w:sz w:val="20"/>
        </w:rPr>
        <w:t>The home admits adults seeking a substance-free living environment who meet written, non-discriminatory criteria appropriate to the home's level and services.</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criteria are written, objective, and applied consistently.</w:t>
      </w:r>
    </w:p>
    <w:p>
      <w:pPr>
        <w:spacing w:before="0" w:after="60"/>
        <w:ind w:left="340"/>
      </w:pPr>
      <w:r>
        <w:rPr>
          <w:rFonts w:ascii="Calibri" w:hAnsi="Calibri"/>
          <w:b w:val="0"/>
          <w:i w:val="0"/>
          <w:sz w:val="20"/>
        </w:rPr>
        <w:t>•  Criteria are based on recovery readiness and fit, not on protected class.</w:t>
      </w:r>
    </w:p>
    <w:p>
      <w:pPr>
        <w:spacing w:before="0" w:after="60"/>
        <w:ind w:left="340"/>
      </w:pPr>
      <w:r>
        <w:rPr>
          <w:rFonts w:ascii="Calibri" w:hAnsi="Calibri"/>
          <w:b w:val="0"/>
          <w:i w:val="0"/>
          <w:sz w:val="20"/>
        </w:rPr>
        <w:t>•  The home does not categorically exclude residents on MAT/MOUD.</w:t>
      </w:r>
    </w:p>
    <w:p>
      <w:pPr>
        <w:spacing w:before="0" w:after="60"/>
        <w:ind w:left="340"/>
      </w:pPr>
      <w:r>
        <w:rPr>
          <w:rFonts w:ascii="Calibri" w:hAnsi="Calibri"/>
          <w:b w:val="0"/>
          <w:i w:val="0"/>
          <w:sz w:val="20"/>
        </w:rPr>
        <w:t>•  Any gender-specific or population-specific home documents a lawful basis and operates consistently.</w:t>
      </w:r>
    </w:p>
    <w:p>
      <w:pPr>
        <w:spacing w:before="0" w:after="60"/>
        <w:ind w:left="340"/>
      </w:pPr>
      <w:r>
        <w:rPr>
          <w:rFonts w:ascii="Calibri" w:hAnsi="Calibri"/>
          <w:b w:val="0"/>
          <w:i w:val="0"/>
          <w:sz w:val="20"/>
        </w:rPr>
        <w:t>•  Criteria are reviewed to ensure they do not have an unlawful discriminatory effect.</w:t>
      </w:r>
    </w:p>
    <w:p>
      <w:pPr>
        <w:spacing w:before="260" w:after="90"/>
      </w:pPr>
      <w:r>
        <w:rPr>
          <w:rFonts w:ascii="Calibri" w:hAnsi="Calibri"/>
          <w:b/>
          <w:i w:val="0"/>
          <w:sz w:val="23"/>
        </w:rPr>
        <w:t>3.02  Non-Clinical Screening and Intake</w:t>
      </w:r>
    </w:p>
    <w:p>
      <w:pPr>
        <w:spacing w:before="0" w:after="80"/>
      </w:pPr>
      <w:r>
        <w:rPr>
          <w:rFonts w:ascii="Calibri" w:hAnsi="Calibri"/>
          <w:b w:val="0"/>
          <w:i/>
          <w:color w:val="555555"/>
          <w:sz w:val="19"/>
        </w:rPr>
        <w:t>DCF boundary; NARR Standard</w:t>
      </w:r>
    </w:p>
    <w:p>
      <w:pPr>
        <w:spacing w:before="0" w:after="110"/>
      </w:pPr>
      <w:r>
        <w:rPr>
          <w:rFonts w:ascii="Calibri" w:hAnsi="Calibri"/>
          <w:b/>
          <w:i w:val="0"/>
          <w:sz w:val="20"/>
        </w:rPr>
        <w:t xml:space="preserve">Purpose. </w:t>
      </w:r>
      <w:r>
        <w:rPr>
          <w:rFonts w:ascii="Calibri" w:hAnsi="Calibri"/>
          <w:b w:val="0"/>
          <w:i w:val="0"/>
          <w:sz w:val="20"/>
        </w:rPr>
        <w:t>To gather the information needed for a good housing fit without providing clinical assessment.</w:t>
      </w:r>
    </w:p>
    <w:p>
      <w:pPr>
        <w:spacing w:before="0" w:after="110"/>
      </w:pPr>
      <w:r>
        <w:rPr>
          <w:rFonts w:ascii="Calibri" w:hAnsi="Calibri"/>
          <w:b/>
          <w:i w:val="0"/>
          <w:sz w:val="20"/>
        </w:rPr>
        <w:t xml:space="preserve">Policy. </w:t>
      </w:r>
      <w:r>
        <w:rPr>
          <w:rFonts w:ascii="Calibri" w:hAnsi="Calibri"/>
          <w:b w:val="0"/>
          <w:i w:val="0"/>
          <w:sz w:val="20"/>
        </w:rPr>
        <w:t>The home conducts a non-clinical intake to determine fit, safety, and support needs, and refers clinical assessment to licensed providers.</w:t>
      </w:r>
    </w:p>
    <w:p>
      <w:pPr>
        <w:spacing w:before="0" w:after="60"/>
      </w:pPr>
      <w:r>
        <w:rPr>
          <w:rFonts w:ascii="Calibri" w:hAnsi="Calibri"/>
          <w:b/>
          <w:i w:val="0"/>
          <w:sz w:val="20"/>
        </w:rPr>
        <w:t>Procedure.</w:t>
      </w:r>
    </w:p>
    <w:p>
      <w:pPr>
        <w:spacing w:before="0" w:after="60"/>
        <w:ind w:left="340"/>
      </w:pPr>
      <w:r>
        <w:rPr>
          <w:rFonts w:ascii="Calibri" w:hAnsi="Calibri"/>
          <w:b w:val="0"/>
          <w:i w:val="0"/>
          <w:sz w:val="20"/>
        </w:rPr>
        <w:t>•  Intake collects recovery history, current supports, medications, and emergency contacts.</w:t>
      </w:r>
    </w:p>
    <w:p>
      <w:pPr>
        <w:spacing w:before="0" w:after="60"/>
        <w:ind w:left="340"/>
      </w:pPr>
      <w:r>
        <w:rPr>
          <w:rFonts w:ascii="Calibri" w:hAnsi="Calibri"/>
          <w:b w:val="0"/>
          <w:i w:val="0"/>
          <w:sz w:val="20"/>
        </w:rPr>
        <w:t>•  The home does not perform clinical diagnosis or level-of-care determinations.</w:t>
      </w:r>
    </w:p>
    <w:p>
      <w:pPr>
        <w:spacing w:before="0" w:after="60"/>
        <w:ind w:left="340"/>
      </w:pPr>
      <w:r>
        <w:rPr>
          <w:rFonts w:ascii="Calibri" w:hAnsi="Calibri"/>
          <w:b w:val="0"/>
          <w:i w:val="0"/>
          <w:sz w:val="20"/>
        </w:rPr>
        <w:t>•  Applicants needing a higher level of care are referred to licensed treatment.</w:t>
      </w:r>
    </w:p>
    <w:p>
      <w:pPr>
        <w:spacing w:before="0" w:after="60"/>
        <w:ind w:left="340"/>
      </w:pPr>
      <w:r>
        <w:rPr>
          <w:rFonts w:ascii="Calibri" w:hAnsi="Calibri"/>
          <w:b w:val="0"/>
          <w:i w:val="0"/>
          <w:sz w:val="20"/>
        </w:rPr>
        <w:t>•  Intake identifies immediate safety needs (overdose risk, medical, mental health).</w:t>
      </w:r>
    </w:p>
    <w:p>
      <w:pPr>
        <w:spacing w:before="0" w:after="60"/>
        <w:ind w:left="340"/>
      </w:pPr>
      <w:r>
        <w:rPr>
          <w:rFonts w:ascii="Calibri" w:hAnsi="Calibri"/>
          <w:b w:val="0"/>
          <w:i w:val="0"/>
          <w:sz w:val="20"/>
        </w:rPr>
        <w:t>•  Intake information is recorded in the resident file and kept confidential.</w:t>
      </w:r>
    </w:p>
    <w:p>
      <w:pPr>
        <w:spacing w:before="260" w:after="90"/>
      </w:pPr>
      <w:r>
        <w:rPr>
          <w:rFonts w:ascii="Calibri" w:hAnsi="Calibri"/>
          <w:b/>
          <w:i w:val="0"/>
          <w:sz w:val="23"/>
        </w:rPr>
        <w:t>3.03  Fair and Consistent Admission Decisions</w:t>
      </w:r>
    </w:p>
    <w:p>
      <w:pPr>
        <w:spacing w:before="0" w:after="80"/>
      </w:pPr>
      <w:r>
        <w:rPr>
          <w:rFonts w:ascii="Calibri" w:hAnsi="Calibri"/>
          <w:b w:val="0"/>
          <w:i/>
          <w:color w:val="555555"/>
          <w:sz w:val="19"/>
        </w:rPr>
        <w:t>Fair Housing Act; Florida Fair Housing Act (F.S. 760.23)</w:t>
      </w:r>
    </w:p>
    <w:p>
      <w:pPr>
        <w:spacing w:before="0" w:after="110"/>
      </w:pPr>
      <w:r>
        <w:rPr>
          <w:rFonts w:ascii="Calibri" w:hAnsi="Calibri"/>
          <w:b/>
          <w:i w:val="0"/>
          <w:sz w:val="20"/>
        </w:rPr>
        <w:t xml:space="preserve">Purpose. </w:t>
      </w:r>
      <w:r>
        <w:rPr>
          <w:rFonts w:ascii="Calibri" w:hAnsi="Calibri"/>
          <w:b w:val="0"/>
          <w:i w:val="0"/>
          <w:sz w:val="20"/>
        </w:rPr>
        <w:t>To make and document admission decisions in a fair, defensible way.</w:t>
      </w:r>
    </w:p>
    <w:p>
      <w:pPr>
        <w:spacing w:before="0" w:after="110"/>
      </w:pPr>
      <w:r>
        <w:rPr>
          <w:rFonts w:ascii="Calibri" w:hAnsi="Calibri"/>
          <w:b/>
          <w:i w:val="0"/>
          <w:sz w:val="20"/>
        </w:rPr>
        <w:t xml:space="preserve">Policy. </w:t>
      </w:r>
      <w:r>
        <w:rPr>
          <w:rFonts w:ascii="Calibri" w:hAnsi="Calibri"/>
          <w:b w:val="0"/>
          <w:i w:val="0"/>
          <w:sz w:val="20"/>
        </w:rPr>
        <w:t>Admission decisions are made against the written criteria, documented, and free of discrimination.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decision is recorded with the reason for admission or denial.</w:t>
      </w:r>
    </w:p>
    <w:p>
      <w:pPr>
        <w:spacing w:before="0" w:after="60"/>
        <w:ind w:left="340"/>
      </w:pPr>
      <w:r>
        <w:rPr>
          <w:rFonts w:ascii="Calibri" w:hAnsi="Calibri"/>
          <w:b w:val="0"/>
          <w:i w:val="0"/>
          <w:sz w:val="20"/>
        </w:rPr>
        <w:t>•  Denials cite objective criteria, never protected class.</w:t>
      </w:r>
    </w:p>
    <w:p>
      <w:pPr>
        <w:spacing w:before="0" w:after="60"/>
        <w:ind w:left="340"/>
      </w:pPr>
      <w:r>
        <w:rPr>
          <w:rFonts w:ascii="Calibri" w:hAnsi="Calibri"/>
          <w:b w:val="0"/>
          <w:i w:val="0"/>
          <w:sz w:val="20"/>
        </w:rPr>
        <w:t>•  Waitlists, when used, are managed transparently and in order.</w:t>
      </w:r>
    </w:p>
    <w:p>
      <w:pPr>
        <w:spacing w:before="0" w:after="60"/>
        <w:ind w:left="340"/>
      </w:pPr>
      <w:r>
        <w:rPr>
          <w:rFonts w:ascii="Calibri" w:hAnsi="Calibri"/>
          <w:b w:val="0"/>
          <w:i w:val="0"/>
          <w:sz w:val="20"/>
        </w:rPr>
        <w:t>•  Applicants denied for capacity are told how to reapply.</w:t>
      </w:r>
    </w:p>
    <w:p>
      <w:pPr>
        <w:spacing w:before="0" w:after="60"/>
        <w:ind w:left="340"/>
      </w:pPr>
      <w:r>
        <w:rPr>
          <w:rFonts w:ascii="Calibri" w:hAnsi="Calibri"/>
          <w:b w:val="0"/>
          <w:i w:val="0"/>
          <w:sz w:val="20"/>
        </w:rPr>
        <w:t>•  Decision records are retained per the recordkeeping policy.</w:t>
      </w:r>
    </w:p>
    <w:p>
      <w:pPr>
        <w:spacing w:before="260" w:after="90"/>
      </w:pPr>
      <w:r>
        <w:rPr>
          <w:rFonts w:ascii="Calibri" w:hAnsi="Calibri"/>
          <w:b/>
          <w:i w:val="0"/>
          <w:sz w:val="23"/>
        </w:rPr>
        <w:t>3.04  The Resident Agreement</w:t>
      </w:r>
    </w:p>
    <w:p>
      <w:pPr>
        <w:spacing w:before="0" w:after="80"/>
      </w:pPr>
      <w:r>
        <w:rPr>
          <w:rFonts w:ascii="Calibri" w:hAnsi="Calibri"/>
          <w:b w:val="0"/>
          <w:i/>
          <w:color w:val="555555"/>
          <w:sz w:val="19"/>
        </w:rPr>
        <w:t>NARR Standard; Florida landlord-tenant considerations</w:t>
      </w:r>
    </w:p>
    <w:p>
      <w:pPr>
        <w:spacing w:before="0" w:after="110"/>
      </w:pPr>
      <w:r>
        <w:rPr>
          <w:rFonts w:ascii="Calibri" w:hAnsi="Calibri"/>
          <w:b/>
          <w:i w:val="0"/>
          <w:sz w:val="20"/>
        </w:rPr>
        <w:t xml:space="preserve">Purpose. </w:t>
      </w:r>
      <w:r>
        <w:rPr>
          <w:rFonts w:ascii="Calibri" w:hAnsi="Calibri"/>
          <w:b w:val="0"/>
          <w:i w:val="0"/>
          <w:sz w:val="20"/>
        </w:rPr>
        <w:t>To govern the resident relationship with a clear, signed written agreement.</w:t>
      </w:r>
    </w:p>
    <w:p>
      <w:pPr>
        <w:spacing w:before="0" w:after="110"/>
      </w:pPr>
      <w:r>
        <w:rPr>
          <w:rFonts w:ascii="Calibri" w:hAnsi="Calibri"/>
          <w:b/>
          <w:i w:val="0"/>
          <w:sz w:val="20"/>
        </w:rPr>
        <w:t xml:space="preserve">Policy. </w:t>
      </w:r>
      <w:r>
        <w:rPr>
          <w:rFonts w:ascii="Calibri" w:hAnsi="Calibri"/>
          <w:b w:val="0"/>
          <w:i w:val="0"/>
          <w:sz w:val="20"/>
        </w:rPr>
        <w:t>Every resident signs a written resident agreement before or at move-in that states fees, house rules, rights, grounds for discharge, and refund terms.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agreement states all fees, deposits, due dates, and what they cover.</w:t>
      </w:r>
    </w:p>
    <w:p>
      <w:pPr>
        <w:spacing w:before="0" w:after="60"/>
        <w:ind w:left="340"/>
      </w:pPr>
      <w:r>
        <w:rPr>
          <w:rFonts w:ascii="Calibri" w:hAnsi="Calibri"/>
          <w:b w:val="0"/>
          <w:i w:val="0"/>
          <w:sz w:val="20"/>
        </w:rPr>
        <w:t>•  It describes house rules, the substance-free requirement, and drug-testing expectations.</w:t>
      </w:r>
    </w:p>
    <w:p>
      <w:pPr>
        <w:spacing w:before="0" w:after="60"/>
        <w:ind w:left="340"/>
      </w:pPr>
      <w:r>
        <w:rPr>
          <w:rFonts w:ascii="Calibri" w:hAnsi="Calibri"/>
          <w:b w:val="0"/>
          <w:i w:val="0"/>
          <w:sz w:val="20"/>
        </w:rPr>
        <w:t>•  It states resident rights, the grievance process, and grounds and process for discharge.</w:t>
      </w:r>
    </w:p>
    <w:p>
      <w:pPr>
        <w:spacing w:before="0" w:after="60"/>
        <w:ind w:left="340"/>
      </w:pPr>
      <w:r>
        <w:rPr>
          <w:rFonts w:ascii="Calibri" w:hAnsi="Calibri"/>
          <w:b w:val="0"/>
          <w:i w:val="0"/>
          <w:sz w:val="20"/>
        </w:rPr>
        <w:t>•  It explains refund terms and what happens to belongings after departure.</w:t>
      </w:r>
    </w:p>
    <w:p>
      <w:pPr>
        <w:spacing w:before="0" w:after="60"/>
        <w:ind w:left="340"/>
      </w:pPr>
      <w:r>
        <w:rPr>
          <w:rFonts w:ascii="Calibri" w:hAnsi="Calibri"/>
          <w:b w:val="0"/>
          <w:i w:val="0"/>
          <w:sz w:val="20"/>
        </w:rPr>
        <w:t>•  The resident receives a signed copy and one is retained in the file.</w:t>
      </w:r>
    </w:p>
    <w:p>
      <w:pPr>
        <w:spacing w:before="260" w:after="90"/>
      </w:pPr>
      <w:r>
        <w:rPr>
          <w:rFonts w:ascii="Calibri" w:hAnsi="Calibri"/>
          <w:b/>
          <w:i w:val="0"/>
          <w:sz w:val="23"/>
        </w:rPr>
        <w:t>3.05  Fees, Deposits and Financial Disclosures</w:t>
      </w:r>
    </w:p>
    <w:p>
      <w:pPr>
        <w:spacing w:before="0" w:after="80"/>
      </w:pPr>
      <w:r>
        <w:rPr>
          <w:rFonts w:ascii="Calibri" w:hAnsi="Calibri"/>
          <w:b w:val="0"/>
          <w:i/>
          <w:color w:val="555555"/>
          <w:sz w:val="19"/>
        </w:rPr>
        <w:t>FTC; NARR ethics; Florida Deceptive &amp; Unfair Trade Practices Act</w:t>
      </w:r>
    </w:p>
    <w:p>
      <w:pPr>
        <w:spacing w:before="0" w:after="110"/>
      </w:pPr>
      <w:r>
        <w:rPr>
          <w:rFonts w:ascii="Calibri" w:hAnsi="Calibri"/>
          <w:b/>
          <w:i w:val="0"/>
          <w:sz w:val="20"/>
        </w:rPr>
        <w:t xml:space="preserve">Purpose. </w:t>
      </w:r>
      <w:r>
        <w:rPr>
          <w:rFonts w:ascii="Calibri" w:hAnsi="Calibri"/>
          <w:b w:val="0"/>
          <w:i w:val="0"/>
          <w:sz w:val="20"/>
        </w:rPr>
        <w:t>To disclose every cost honestly and up front.</w:t>
      </w:r>
    </w:p>
    <w:p>
      <w:pPr>
        <w:spacing w:before="0" w:after="110"/>
      </w:pPr>
      <w:r>
        <w:rPr>
          <w:rFonts w:ascii="Calibri" w:hAnsi="Calibri"/>
          <w:b/>
          <w:i w:val="0"/>
          <w:sz w:val="20"/>
        </w:rPr>
        <w:t xml:space="preserve">Policy. </w:t>
      </w:r>
      <w:r>
        <w:rPr>
          <w:rFonts w:ascii="Calibri" w:hAnsi="Calibri"/>
          <w:b w:val="0"/>
          <w:i w:val="0"/>
          <w:sz w:val="20"/>
        </w:rPr>
        <w:t>The home discloses all fees and financial terms in writing before move-in and charges only what the agreement states.</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fee schedule lists rent, deposits, and any other charges.</w:t>
      </w:r>
    </w:p>
    <w:p>
      <w:pPr>
        <w:spacing w:before="0" w:after="60"/>
        <w:ind w:left="340"/>
      </w:pPr>
      <w:r>
        <w:rPr>
          <w:rFonts w:ascii="Calibri" w:hAnsi="Calibri"/>
          <w:b w:val="0"/>
          <w:i w:val="0"/>
          <w:sz w:val="20"/>
        </w:rPr>
        <w:t>•  Refund and proration terms are stated plainly.</w:t>
      </w:r>
    </w:p>
    <w:p>
      <w:pPr>
        <w:spacing w:before="0" w:after="60"/>
        <w:ind w:left="340"/>
      </w:pPr>
      <w:r>
        <w:rPr>
          <w:rFonts w:ascii="Calibri" w:hAnsi="Calibri"/>
          <w:b w:val="0"/>
          <w:i w:val="0"/>
          <w:sz w:val="20"/>
        </w:rPr>
        <w:t>•  The home does not impose undisclosed or surprise charges.</w:t>
      </w:r>
    </w:p>
    <w:p>
      <w:pPr>
        <w:spacing w:before="0" w:after="60"/>
        <w:ind w:left="340"/>
      </w:pPr>
      <w:r>
        <w:rPr>
          <w:rFonts w:ascii="Calibri" w:hAnsi="Calibri"/>
          <w:b w:val="0"/>
          <w:i w:val="0"/>
          <w:sz w:val="20"/>
        </w:rPr>
        <w:t>•  Any third-party payment (scholarship, grant, family) is documented with consent.</w:t>
      </w:r>
    </w:p>
    <w:p>
      <w:pPr>
        <w:spacing w:before="0" w:after="60"/>
        <w:ind w:left="340"/>
      </w:pPr>
      <w:r>
        <w:rPr>
          <w:rFonts w:ascii="Calibri" w:hAnsi="Calibri"/>
          <w:b w:val="0"/>
          <w:i w:val="0"/>
          <w:sz w:val="20"/>
        </w:rPr>
        <w:t>•  Financial disclosures are provided in the resident's language where needed.</w:t>
      </w:r>
    </w:p>
    <w:p>
      <w:pPr>
        <w:spacing w:before="260" w:after="90"/>
      </w:pPr>
      <w:r>
        <w:rPr>
          <w:rFonts w:ascii="Calibri" w:hAnsi="Calibri"/>
          <w:b/>
          <w:i w:val="0"/>
          <w:sz w:val="23"/>
        </w:rPr>
        <w:t>3.06  House Rules Acknowledgment</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ensure residents understand and accept the rules of communal recovery living.</w:t>
      </w:r>
    </w:p>
    <w:p>
      <w:pPr>
        <w:spacing w:before="0" w:after="110"/>
      </w:pPr>
      <w:r>
        <w:rPr>
          <w:rFonts w:ascii="Calibri" w:hAnsi="Calibri"/>
          <w:b/>
          <w:i w:val="0"/>
          <w:sz w:val="20"/>
        </w:rPr>
        <w:t xml:space="preserve">Policy. </w:t>
      </w:r>
      <w:r>
        <w:rPr>
          <w:rFonts w:ascii="Calibri" w:hAnsi="Calibri"/>
          <w:b w:val="0"/>
          <w:i w:val="0"/>
          <w:sz w:val="20"/>
        </w:rPr>
        <w:t>Residents review and sign an acknowledgment of the house rules at intake and are supported in understanding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House rules are written, reasonable, and tied to safety and recovery.</w:t>
      </w:r>
    </w:p>
    <w:p>
      <w:pPr>
        <w:spacing w:before="0" w:after="60"/>
        <w:ind w:left="340"/>
      </w:pPr>
      <w:r>
        <w:rPr>
          <w:rFonts w:ascii="Calibri" w:hAnsi="Calibri"/>
          <w:b w:val="0"/>
          <w:i w:val="0"/>
          <w:sz w:val="20"/>
        </w:rPr>
        <w:t>•  The house manager reviews the rules with each new resident.</w:t>
      </w:r>
    </w:p>
    <w:p>
      <w:pPr>
        <w:spacing w:before="0" w:after="60"/>
        <w:ind w:left="340"/>
      </w:pPr>
      <w:r>
        <w:rPr>
          <w:rFonts w:ascii="Calibri" w:hAnsi="Calibri"/>
          <w:b w:val="0"/>
          <w:i w:val="0"/>
          <w:sz w:val="20"/>
        </w:rPr>
        <w:t>•  The signed acknowledgment is kept in the resident file.</w:t>
      </w:r>
    </w:p>
    <w:p>
      <w:pPr>
        <w:spacing w:before="0" w:after="60"/>
        <w:ind w:left="340"/>
      </w:pPr>
      <w:r>
        <w:rPr>
          <w:rFonts w:ascii="Calibri" w:hAnsi="Calibri"/>
          <w:b w:val="0"/>
          <w:i w:val="0"/>
          <w:sz w:val="20"/>
        </w:rPr>
        <w:t>•  Rules and consequences (including graduated responses) are explained.</w:t>
      </w:r>
    </w:p>
    <w:p>
      <w:pPr>
        <w:spacing w:before="0" w:after="60"/>
        <w:ind w:left="340"/>
      </w:pPr>
      <w:r>
        <w:rPr>
          <w:rFonts w:ascii="Calibri" w:hAnsi="Calibri"/>
          <w:b w:val="0"/>
          <w:i w:val="0"/>
          <w:sz w:val="20"/>
        </w:rPr>
        <w:t>•  Material changes to house rules are communicated and re-acknowledged.</w:t>
      </w:r>
    </w:p>
    <w:p>
      <w:pPr>
        <w:spacing w:before="260" w:after="90"/>
      </w:pPr>
      <w:r>
        <w:rPr>
          <w:rFonts w:ascii="Calibri" w:hAnsi="Calibri"/>
          <w:b/>
          <w:i w:val="0"/>
          <w:sz w:val="23"/>
        </w:rPr>
        <w:t>3.07  Orientation and Onboarding</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set each new resident up for success in the first days.</w:t>
      </w:r>
    </w:p>
    <w:p>
      <w:pPr>
        <w:spacing w:before="0" w:after="110"/>
      </w:pPr>
      <w:r>
        <w:rPr>
          <w:rFonts w:ascii="Calibri" w:hAnsi="Calibri"/>
          <w:b/>
          <w:i w:val="0"/>
          <w:sz w:val="20"/>
        </w:rPr>
        <w:t xml:space="preserve">Policy. </w:t>
      </w:r>
      <w:r>
        <w:rPr>
          <w:rFonts w:ascii="Calibri" w:hAnsi="Calibri"/>
          <w:b w:val="0"/>
          <w:i w:val="0"/>
          <w:sz w:val="20"/>
        </w:rPr>
        <w:t>Each resident receives a structured orientation covering safety, expectations, resources, and how to get help.</w:t>
      </w:r>
    </w:p>
    <w:p>
      <w:pPr>
        <w:spacing w:before="0" w:after="60"/>
      </w:pPr>
      <w:r>
        <w:rPr>
          <w:rFonts w:ascii="Calibri" w:hAnsi="Calibri"/>
          <w:b/>
          <w:i w:val="0"/>
          <w:sz w:val="20"/>
        </w:rPr>
        <w:t>Procedure.</w:t>
      </w:r>
    </w:p>
    <w:p>
      <w:pPr>
        <w:spacing w:before="0" w:after="60"/>
        <w:ind w:left="340"/>
      </w:pPr>
      <w:r>
        <w:rPr>
          <w:rFonts w:ascii="Calibri" w:hAnsi="Calibri"/>
          <w:b w:val="0"/>
          <w:i w:val="0"/>
          <w:sz w:val="20"/>
        </w:rPr>
        <w:t>•  Orientation covers emergency procedures, naloxone location, and exits.</w:t>
      </w:r>
    </w:p>
    <w:p>
      <w:pPr>
        <w:spacing w:before="0" w:after="60"/>
        <w:ind w:left="340"/>
      </w:pPr>
      <w:r>
        <w:rPr>
          <w:rFonts w:ascii="Calibri" w:hAnsi="Calibri"/>
          <w:b w:val="0"/>
          <w:i w:val="0"/>
          <w:sz w:val="20"/>
        </w:rPr>
        <w:t>•  The resident is introduced to the house manager, peers, and daily structure.</w:t>
      </w:r>
    </w:p>
    <w:p>
      <w:pPr>
        <w:spacing w:before="0" w:after="60"/>
        <w:ind w:left="340"/>
      </w:pPr>
      <w:r>
        <w:rPr>
          <w:rFonts w:ascii="Calibri" w:hAnsi="Calibri"/>
          <w:b w:val="0"/>
          <w:i w:val="0"/>
          <w:sz w:val="20"/>
        </w:rPr>
        <w:t>•  Recovery supports, meetings, and local resources are reviewed.</w:t>
      </w:r>
    </w:p>
    <w:p>
      <w:pPr>
        <w:spacing w:before="0" w:after="60"/>
        <w:ind w:left="340"/>
      </w:pPr>
      <w:r>
        <w:rPr>
          <w:rFonts w:ascii="Calibri" w:hAnsi="Calibri"/>
          <w:b w:val="0"/>
          <w:i w:val="0"/>
          <w:sz w:val="20"/>
        </w:rPr>
        <w:t>•  The resident's questions are answered and initial goals discussed.</w:t>
      </w:r>
    </w:p>
    <w:p>
      <w:pPr>
        <w:spacing w:before="0" w:after="60"/>
        <w:ind w:left="340"/>
      </w:pPr>
      <w:r>
        <w:rPr>
          <w:rFonts w:ascii="Calibri" w:hAnsi="Calibri"/>
          <w:b w:val="0"/>
          <w:i w:val="0"/>
          <w:sz w:val="20"/>
        </w:rPr>
        <w:t>•  Completion of orientation is documented.</w:t>
      </w:r>
    </w:p>
    <w:p>
      <w:pPr>
        <w:spacing w:before="260" w:after="90"/>
      </w:pPr>
      <w:r>
        <w:rPr>
          <w:rFonts w:ascii="Calibri" w:hAnsi="Calibri"/>
          <w:b/>
          <w:i w:val="0"/>
          <w:sz w:val="23"/>
        </w:rPr>
        <w:t>3.08  Resident Belongings and Room Assignment</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handle residents' living space and belongings fairly and safely.</w:t>
      </w:r>
    </w:p>
    <w:p>
      <w:pPr>
        <w:spacing w:before="0" w:after="110"/>
      </w:pPr>
      <w:r>
        <w:rPr>
          <w:rFonts w:ascii="Calibri" w:hAnsi="Calibri"/>
          <w:b/>
          <w:i w:val="0"/>
          <w:sz w:val="20"/>
        </w:rPr>
        <w:t xml:space="preserve">Policy. </w:t>
      </w:r>
      <w:r>
        <w:rPr>
          <w:rFonts w:ascii="Calibri" w:hAnsi="Calibri"/>
          <w:b w:val="0"/>
          <w:i w:val="0"/>
          <w:sz w:val="20"/>
        </w:rPr>
        <w:t>The home assigns living space fairly, respects residents' belongings, and inspects for safety without violating dignity.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Room and bed assignments are made fairly and documented.</w:t>
      </w:r>
    </w:p>
    <w:p>
      <w:pPr>
        <w:spacing w:before="0" w:after="60"/>
        <w:ind w:left="340"/>
      </w:pPr>
      <w:r>
        <w:rPr>
          <w:rFonts w:ascii="Calibri" w:hAnsi="Calibri"/>
          <w:b w:val="0"/>
          <w:i w:val="0"/>
          <w:sz w:val="20"/>
        </w:rPr>
        <w:t>•  Reasonable personal belongings are permitted within safety limits.</w:t>
      </w:r>
    </w:p>
    <w:p>
      <w:pPr>
        <w:spacing w:before="0" w:after="60"/>
        <w:ind w:left="340"/>
      </w:pPr>
      <w:r>
        <w:rPr>
          <w:rFonts w:ascii="Calibri" w:hAnsi="Calibri"/>
          <w:b w:val="0"/>
          <w:i w:val="0"/>
          <w:sz w:val="20"/>
        </w:rPr>
        <w:t>•  Any search for prohibited items follows the written search policy (4.10).</w:t>
      </w:r>
    </w:p>
    <w:p>
      <w:pPr>
        <w:spacing w:before="0" w:after="60"/>
        <w:ind w:left="340"/>
      </w:pPr>
      <w:r>
        <w:rPr>
          <w:rFonts w:ascii="Calibri" w:hAnsi="Calibri"/>
          <w:b w:val="0"/>
          <w:i w:val="0"/>
          <w:sz w:val="20"/>
        </w:rPr>
        <w:t>•  Belongings left after departure are handled per the resident agreement.</w:t>
      </w:r>
    </w:p>
    <w:p>
      <w:pPr>
        <w:spacing w:before="0" w:after="60"/>
        <w:ind w:left="340"/>
      </w:pPr>
      <w:r>
        <w:rPr>
          <w:rFonts w:ascii="Calibri" w:hAnsi="Calibri"/>
          <w:b w:val="0"/>
          <w:i w:val="0"/>
          <w:sz w:val="20"/>
        </w:rPr>
        <w:t>•  Residents are given reasonable storage and security for personal items.</w:t>
      </w:r>
    </w:p>
    <w:p>
      <w:pPr>
        <w:spacing w:before="260" w:after="90"/>
      </w:pPr>
      <w:r>
        <w:rPr>
          <w:rFonts w:ascii="Calibri" w:hAnsi="Calibri"/>
          <w:b/>
          <w:i w:val="0"/>
          <w:sz w:val="23"/>
        </w:rPr>
        <w:t>3.09  Emergency Contacts and Release of Information</w:t>
      </w:r>
    </w:p>
    <w:p>
      <w:pPr>
        <w:spacing w:before="0" w:after="80"/>
      </w:pPr>
      <w:r>
        <w:rPr>
          <w:rFonts w:ascii="Calibri" w:hAnsi="Calibri"/>
          <w:b w:val="0"/>
          <w:i/>
          <w:color w:val="555555"/>
          <w:sz w:val="19"/>
        </w:rPr>
        <w:t>Confidentiality; NARR ethics</w:t>
      </w:r>
    </w:p>
    <w:p>
      <w:pPr>
        <w:spacing w:before="0" w:after="110"/>
      </w:pPr>
      <w:r>
        <w:rPr>
          <w:rFonts w:ascii="Calibri" w:hAnsi="Calibri"/>
          <w:b/>
          <w:i w:val="0"/>
          <w:sz w:val="20"/>
        </w:rPr>
        <w:t xml:space="preserve">Purpose. </w:t>
      </w:r>
      <w:r>
        <w:rPr>
          <w:rFonts w:ascii="Calibri" w:hAnsi="Calibri"/>
          <w:b w:val="0"/>
          <w:i w:val="0"/>
          <w:sz w:val="20"/>
        </w:rPr>
        <w:t>To enable emergency response while protecting privacy.</w:t>
      </w:r>
    </w:p>
    <w:p>
      <w:pPr>
        <w:spacing w:before="0" w:after="110"/>
      </w:pPr>
      <w:r>
        <w:rPr>
          <w:rFonts w:ascii="Calibri" w:hAnsi="Calibri"/>
          <w:b/>
          <w:i w:val="0"/>
          <w:sz w:val="20"/>
        </w:rPr>
        <w:t xml:space="preserve">Policy. </w:t>
      </w:r>
      <w:r>
        <w:rPr>
          <w:rFonts w:ascii="Calibri" w:hAnsi="Calibri"/>
          <w:b w:val="0"/>
          <w:i w:val="0"/>
          <w:sz w:val="20"/>
        </w:rPr>
        <w:t>The home collects emergency contact information and obtains written consent before sharing resident information.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resident provides at least one emergency contact at intake.</w:t>
      </w:r>
    </w:p>
    <w:p>
      <w:pPr>
        <w:spacing w:before="0" w:after="60"/>
        <w:ind w:left="340"/>
      </w:pPr>
      <w:r>
        <w:rPr>
          <w:rFonts w:ascii="Calibri" w:hAnsi="Calibri"/>
          <w:b w:val="0"/>
          <w:i w:val="0"/>
          <w:sz w:val="20"/>
        </w:rPr>
        <w:t>•  Release-of-information consents specify who, what, and for how long.</w:t>
      </w:r>
    </w:p>
    <w:p>
      <w:pPr>
        <w:spacing w:before="0" w:after="60"/>
        <w:ind w:left="340"/>
      </w:pPr>
      <w:r>
        <w:rPr>
          <w:rFonts w:ascii="Calibri" w:hAnsi="Calibri"/>
          <w:b w:val="0"/>
          <w:i w:val="0"/>
          <w:sz w:val="20"/>
        </w:rPr>
        <w:t>•  In a life-threatening emergency, information necessary for care may be shared.</w:t>
      </w:r>
    </w:p>
    <w:p>
      <w:pPr>
        <w:spacing w:before="0" w:after="60"/>
        <w:ind w:left="340"/>
      </w:pPr>
      <w:r>
        <w:rPr>
          <w:rFonts w:ascii="Calibri" w:hAnsi="Calibri"/>
          <w:b w:val="0"/>
          <w:i w:val="0"/>
          <w:sz w:val="20"/>
        </w:rPr>
        <w:t>•  Consents are stored securely and honored as written.</w:t>
      </w:r>
    </w:p>
    <w:p>
      <w:pPr>
        <w:spacing w:before="0" w:after="60"/>
        <w:ind w:left="340"/>
      </w:pPr>
      <w:r>
        <w:rPr>
          <w:rFonts w:ascii="Calibri" w:hAnsi="Calibri"/>
          <w:b w:val="0"/>
          <w:i w:val="0"/>
          <w:sz w:val="20"/>
        </w:rPr>
        <w:t>•  Residents may update or revoke consents at any time.</w:t>
      </w:r>
    </w:p>
    <w:p>
      <w:pPr>
        <w:spacing w:before="260" w:after="90"/>
      </w:pPr>
      <w:r>
        <w:rPr>
          <w:rFonts w:ascii="Calibri" w:hAnsi="Calibri"/>
          <w:b/>
          <w:i w:val="0"/>
          <w:sz w:val="23"/>
        </w:rPr>
        <w:t>3.10  Naloxone and Overdose Education at Intake</w:t>
      </w:r>
    </w:p>
    <w:p>
      <w:pPr>
        <w:spacing w:before="0" w:after="80"/>
      </w:pPr>
      <w:r>
        <w:rPr>
          <w:rFonts w:ascii="Calibri" w:hAnsi="Calibri"/>
          <w:b w:val="0"/>
          <w:i/>
          <w:color w:val="555555"/>
          <w:sz w:val="19"/>
        </w:rPr>
        <w:t>Florida naloxone standing order; SAMHSA best practice</w:t>
      </w:r>
    </w:p>
    <w:p>
      <w:pPr>
        <w:spacing w:before="0" w:after="110"/>
      </w:pPr>
      <w:r>
        <w:rPr>
          <w:rFonts w:ascii="Calibri" w:hAnsi="Calibri"/>
          <w:b/>
          <w:i w:val="0"/>
          <w:sz w:val="20"/>
        </w:rPr>
        <w:t xml:space="preserve">Purpose. </w:t>
      </w:r>
      <w:r>
        <w:rPr>
          <w:rFonts w:ascii="Calibri" w:hAnsi="Calibri"/>
          <w:b w:val="0"/>
          <w:i w:val="0"/>
          <w:sz w:val="20"/>
        </w:rPr>
        <w:t>To equip every resident to prevent and reverse an overdose from day one.</w:t>
      </w:r>
    </w:p>
    <w:p>
      <w:pPr>
        <w:spacing w:before="0" w:after="110"/>
      </w:pPr>
      <w:r>
        <w:rPr>
          <w:rFonts w:ascii="Calibri" w:hAnsi="Calibri"/>
          <w:b/>
          <w:i w:val="0"/>
          <w:sz w:val="20"/>
        </w:rPr>
        <w:t xml:space="preserve">Policy. </w:t>
      </w:r>
      <w:r>
        <w:rPr>
          <w:rFonts w:ascii="Calibri" w:hAnsi="Calibri"/>
          <w:b w:val="0"/>
          <w:i w:val="0"/>
          <w:sz w:val="20"/>
        </w:rPr>
        <w:t>Every resident receives overdose-prevention education and is shown where naloxone is kept at intake.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shown naloxone locations and how to use it during orientation.</w:t>
      </w:r>
    </w:p>
    <w:p>
      <w:pPr>
        <w:spacing w:before="0" w:after="60"/>
        <w:ind w:left="340"/>
      </w:pPr>
      <w:r>
        <w:rPr>
          <w:rFonts w:ascii="Calibri" w:hAnsi="Calibri"/>
          <w:b w:val="0"/>
          <w:i w:val="0"/>
          <w:sz w:val="20"/>
        </w:rPr>
        <w:t>•  Overdose risk after a period of abstinence is explained.</w:t>
      </w:r>
    </w:p>
    <w:p>
      <w:pPr>
        <w:spacing w:before="0" w:after="60"/>
        <w:ind w:left="340"/>
      </w:pPr>
      <w:r>
        <w:rPr>
          <w:rFonts w:ascii="Calibri" w:hAnsi="Calibri"/>
          <w:b w:val="0"/>
          <w:i w:val="0"/>
          <w:sz w:val="20"/>
        </w:rPr>
        <w:t>•  Residents are offered their own naloxone kit where available.</w:t>
      </w:r>
    </w:p>
    <w:p>
      <w:pPr>
        <w:spacing w:before="0" w:after="60"/>
        <w:ind w:left="340"/>
      </w:pPr>
      <w:r>
        <w:rPr>
          <w:rFonts w:ascii="Calibri" w:hAnsi="Calibri"/>
          <w:b w:val="0"/>
          <w:i w:val="0"/>
          <w:sz w:val="20"/>
        </w:rPr>
        <w:t>•  The home documents that education was provided.</w:t>
      </w:r>
    </w:p>
    <w:p>
      <w:pPr>
        <w:spacing w:before="0" w:after="60"/>
        <w:ind w:left="340"/>
      </w:pPr>
      <w:r>
        <w:rPr>
          <w:rFonts w:ascii="Calibri" w:hAnsi="Calibri"/>
          <w:b w:val="0"/>
          <w:i w:val="0"/>
          <w:sz w:val="20"/>
        </w:rPr>
        <w:t>•  Refresher education is offered periodically.</w:t>
      </w:r>
    </w:p>
    <w:p>
      <w:pPr>
        <w:spacing w:before="260" w:after="90"/>
      </w:pPr>
      <w:r>
        <w:rPr>
          <w:rFonts w:ascii="Calibri" w:hAnsi="Calibri"/>
          <w:b/>
          <w:i w:val="0"/>
          <w:sz w:val="23"/>
        </w:rPr>
        <w:t>3.11  Tenancy Rights and the Discharge Boundary</w:t>
      </w:r>
    </w:p>
    <w:p>
      <w:pPr>
        <w:spacing w:before="0" w:after="80"/>
      </w:pPr>
      <w:r>
        <w:rPr>
          <w:rFonts w:ascii="Calibri" w:hAnsi="Calibri"/>
          <w:b w:val="0"/>
          <w:i/>
          <w:color w:val="555555"/>
          <w:sz w:val="19"/>
        </w:rPr>
        <w:t>Florida Residential Landlord &amp; Tenant Act (F.S. 83 Pt II)</w:t>
      </w:r>
    </w:p>
    <w:p>
      <w:pPr>
        <w:spacing w:before="0" w:after="110"/>
      </w:pPr>
      <w:r>
        <w:rPr>
          <w:rFonts w:ascii="Calibri" w:hAnsi="Calibri"/>
          <w:b/>
          <w:i w:val="0"/>
          <w:sz w:val="20"/>
        </w:rPr>
        <w:t xml:space="preserve">Purpose. </w:t>
      </w:r>
      <w:r>
        <w:rPr>
          <w:rFonts w:ascii="Calibri" w:hAnsi="Calibri"/>
          <w:b w:val="0"/>
          <w:i w:val="0"/>
          <w:sz w:val="20"/>
        </w:rPr>
        <w:t>To handle the line between program discharge and tenancy termination lawfully.</w:t>
      </w:r>
    </w:p>
    <w:p>
      <w:pPr>
        <w:spacing w:before="0" w:after="110"/>
      </w:pPr>
      <w:r>
        <w:rPr>
          <w:rFonts w:ascii="Calibri" w:hAnsi="Calibri"/>
          <w:b/>
          <w:i w:val="0"/>
          <w:sz w:val="20"/>
        </w:rPr>
        <w:t xml:space="preserve">Policy. </w:t>
      </w:r>
      <w:r>
        <w:rPr>
          <w:rFonts w:ascii="Calibri" w:hAnsi="Calibri"/>
          <w:b w:val="0"/>
          <w:i w:val="0"/>
          <w:sz w:val="20"/>
        </w:rPr>
        <w:t>The home structures residency and discharge in a way that respects any applicable Florida tenancy rights while preserving the safety of a substance-free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operator obtains guidance on when Florida landlord-tenant law applies to the residency arrangement.</w:t>
      </w:r>
    </w:p>
    <w:p>
      <w:pPr>
        <w:spacing w:before="0" w:after="60"/>
        <w:ind w:left="340"/>
      </w:pPr>
      <w:r>
        <w:rPr>
          <w:rFonts w:ascii="Calibri" w:hAnsi="Calibri"/>
          <w:b w:val="0"/>
          <w:i w:val="0"/>
          <w:sz w:val="20"/>
        </w:rPr>
        <w:t>•  The resident agreement is drafted with that boundary in mind.</w:t>
      </w:r>
    </w:p>
    <w:p>
      <w:pPr>
        <w:spacing w:before="0" w:after="60"/>
        <w:ind w:left="340"/>
      </w:pPr>
      <w:r>
        <w:rPr>
          <w:rFonts w:ascii="Calibri" w:hAnsi="Calibri"/>
          <w:b w:val="0"/>
          <w:i w:val="0"/>
          <w:sz w:val="20"/>
        </w:rPr>
        <w:t>•  Immediate-safety discharges (violence, overdose risk to others) follow the safety policy.</w:t>
      </w:r>
    </w:p>
    <w:p>
      <w:pPr>
        <w:spacing w:before="0" w:after="60"/>
        <w:ind w:left="340"/>
      </w:pPr>
      <w:r>
        <w:rPr>
          <w:rFonts w:ascii="Calibri" w:hAnsi="Calibri"/>
          <w:b w:val="0"/>
          <w:i w:val="0"/>
          <w:sz w:val="20"/>
        </w:rPr>
        <w:t>•  Where tenancy protections apply, lawful notice and process are followed.</w:t>
      </w:r>
    </w:p>
    <w:p>
      <w:pPr>
        <w:spacing w:before="0" w:after="60"/>
        <w:ind w:left="340"/>
      </w:pPr>
      <w:r>
        <w:rPr>
          <w:rFonts w:ascii="Calibri" w:hAnsi="Calibri"/>
          <w:b w:val="0"/>
          <w:i w:val="0"/>
          <w:sz w:val="20"/>
        </w:rPr>
        <w:t>•  Legal counsel is consulted on the home's specific discharge structure.</w:t>
      </w:r>
    </w:p>
    <w:p>
      <w:pPr>
        <w:spacing w:before="260" w:after="90"/>
      </w:pPr>
      <w:r>
        <w:rPr>
          <w:rFonts w:ascii="Calibri" w:hAnsi="Calibri"/>
          <w:b/>
          <w:i w:val="0"/>
          <w:sz w:val="23"/>
        </w:rPr>
        <w:t>3.12  Waitlist &amp; Referral Coordination</w:t>
      </w:r>
    </w:p>
    <w:p>
      <w:pPr>
        <w:spacing w:before="0" w:after="80"/>
      </w:pPr>
      <w:r>
        <w:rPr>
          <w:rFonts w:ascii="Calibri" w:hAnsi="Calibri"/>
          <w:b w:val="0"/>
          <w:i/>
          <w:color w:val="555555"/>
          <w:sz w:val="19"/>
        </w:rPr>
        <w:t>Fair Housing Act; NARR Standard</w:t>
      </w:r>
    </w:p>
    <w:p>
      <w:pPr>
        <w:spacing w:before="0" w:after="110"/>
      </w:pPr>
      <w:r>
        <w:rPr>
          <w:rFonts w:ascii="Calibri" w:hAnsi="Calibri"/>
          <w:b/>
          <w:i w:val="0"/>
          <w:sz w:val="20"/>
        </w:rPr>
        <w:t xml:space="preserve">Purpose. </w:t>
      </w:r>
      <w:r>
        <w:rPr>
          <w:rFonts w:ascii="Calibri" w:hAnsi="Calibri"/>
          <w:b w:val="0"/>
          <w:i w:val="0"/>
          <w:sz w:val="20"/>
        </w:rPr>
        <w:t>To manage demand fairly and coordinate cleanly with referral sources.</w:t>
      </w:r>
    </w:p>
    <w:p>
      <w:pPr>
        <w:spacing w:before="0" w:after="110"/>
      </w:pPr>
      <w:r>
        <w:rPr>
          <w:rFonts w:ascii="Calibri" w:hAnsi="Calibri"/>
          <w:b/>
          <w:i w:val="0"/>
          <w:sz w:val="20"/>
        </w:rPr>
        <w:t xml:space="preserve">Policy. </w:t>
      </w:r>
      <w:r>
        <w:rPr>
          <w:rFonts w:ascii="Calibri" w:hAnsi="Calibri"/>
          <w:b w:val="0"/>
          <w:i w:val="0"/>
          <w:sz w:val="20"/>
        </w:rPr>
        <w:t>The home manages any waitlist transparently and coordinates admissions with referral sources without prohibited inducements.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A waitlist, when used, records inquiry date and is worked in a consistent order.</w:t>
      </w:r>
    </w:p>
    <w:p>
      <w:pPr>
        <w:spacing w:before="0" w:after="60"/>
        <w:ind w:left="340"/>
      </w:pPr>
      <w:r>
        <w:rPr>
          <w:rFonts w:ascii="Calibri" w:hAnsi="Calibri"/>
          <w:b w:val="0"/>
          <w:i w:val="0"/>
          <w:sz w:val="20"/>
        </w:rPr>
        <w:t>•  Referral sources receive accurate information about availability and criteria.</w:t>
      </w:r>
    </w:p>
    <w:p>
      <w:pPr>
        <w:spacing w:before="0" w:after="60"/>
        <w:ind w:left="340"/>
      </w:pPr>
      <w:r>
        <w:rPr>
          <w:rFonts w:ascii="Calibri" w:hAnsi="Calibri"/>
          <w:b w:val="0"/>
          <w:i w:val="0"/>
          <w:sz w:val="20"/>
        </w:rPr>
        <w:t>•  No payment is given or received for a referral (see 7.03).</w:t>
      </w:r>
    </w:p>
    <w:p>
      <w:pPr>
        <w:spacing w:before="0" w:after="60"/>
        <w:ind w:left="340"/>
      </w:pPr>
      <w:r>
        <w:rPr>
          <w:rFonts w:ascii="Calibri" w:hAnsi="Calibri"/>
          <w:b w:val="0"/>
          <w:i w:val="0"/>
          <w:sz w:val="20"/>
        </w:rPr>
        <w:t>•  Applicants are kept informed of their status and expected timelines.</w:t>
      </w:r>
    </w:p>
    <w:p>
      <w:pPr>
        <w:spacing w:before="0" w:after="60"/>
        <w:ind w:left="340"/>
      </w:pPr>
      <w:r>
        <w:rPr>
          <w:rFonts w:ascii="Calibri" w:hAnsi="Calibri"/>
          <w:b w:val="0"/>
          <w:i w:val="0"/>
          <w:sz w:val="20"/>
        </w:rPr>
        <w:t>•  Diversion to appropriate alternatives is offered when the home is full or not a fit.</w:t>
      </w:r>
    </w:p>
    <w:p>
      <w:pPr>
        <w:spacing w:before="0" w:after="60"/>
        <w:ind w:left="340"/>
      </w:pPr>
      <w:r>
        <w:rPr>
          <w:rFonts w:ascii="Calibri" w:hAnsi="Calibri"/>
          <w:b w:val="0"/>
          <w:i w:val="0"/>
          <w:sz w:val="20"/>
        </w:rPr>
        <w:t>•  Waitlist records are retained per schedule.</w:t>
      </w:r>
    </w:p>
    <w:p>
      <w:pPr>
        <w:spacing w:before="260" w:after="90"/>
      </w:pPr>
      <w:r>
        <w:rPr>
          <w:rFonts w:ascii="Calibri" w:hAnsi="Calibri"/>
          <w:b/>
          <w:i w:val="0"/>
          <w:sz w:val="23"/>
        </w:rPr>
        <w:t>3.13  Move-In Inspection &amp; Inventory</w:t>
      </w:r>
    </w:p>
    <w:p>
      <w:pPr>
        <w:spacing w:before="0" w:after="80"/>
      </w:pPr>
      <w:r>
        <w:rPr>
          <w:rFonts w:ascii="Calibri" w:hAnsi="Calibri"/>
          <w:b w:val="0"/>
          <w:i/>
          <w:color w:val="555555"/>
          <w:sz w:val="19"/>
        </w:rPr>
        <w:t>NARR Standard — Property domain; Florida landlord-tenant</w:t>
      </w:r>
    </w:p>
    <w:p>
      <w:pPr>
        <w:spacing w:before="0" w:after="110"/>
      </w:pPr>
      <w:r>
        <w:rPr>
          <w:rFonts w:ascii="Calibri" w:hAnsi="Calibri"/>
          <w:b/>
          <w:i w:val="0"/>
          <w:sz w:val="20"/>
        </w:rPr>
        <w:t xml:space="preserve">Purpose. </w:t>
      </w:r>
      <w:r>
        <w:rPr>
          <w:rFonts w:ascii="Calibri" w:hAnsi="Calibri"/>
          <w:b w:val="0"/>
          <w:i w:val="0"/>
          <w:sz w:val="20"/>
        </w:rPr>
        <w:t>To document the condition of the space and protect both parties at move-in.</w:t>
      </w:r>
    </w:p>
    <w:p>
      <w:pPr>
        <w:spacing w:before="0" w:after="110"/>
      </w:pPr>
      <w:r>
        <w:rPr>
          <w:rFonts w:ascii="Calibri" w:hAnsi="Calibri"/>
          <w:b/>
          <w:i w:val="0"/>
          <w:sz w:val="20"/>
        </w:rPr>
        <w:t xml:space="preserve">Policy. </w:t>
      </w:r>
      <w:r>
        <w:rPr>
          <w:rFonts w:ascii="Calibri" w:hAnsi="Calibri"/>
          <w:b w:val="0"/>
          <w:i w:val="0"/>
          <w:sz w:val="20"/>
        </w:rPr>
        <w:t>The home documents the condition of the resident's space and any provided furnishings at move-in.</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or photographic move-in condition record is completed and signed.</w:t>
      </w:r>
    </w:p>
    <w:p>
      <w:pPr>
        <w:spacing w:before="0" w:after="60"/>
        <w:ind w:left="340"/>
      </w:pPr>
      <w:r>
        <w:rPr>
          <w:rFonts w:ascii="Calibri" w:hAnsi="Calibri"/>
          <w:b w:val="0"/>
          <w:i w:val="0"/>
          <w:sz w:val="20"/>
        </w:rPr>
        <w:t>•  Provided furnishings and their condition are inventoried.</w:t>
      </w:r>
    </w:p>
    <w:p>
      <w:pPr>
        <w:spacing w:before="0" w:after="60"/>
        <w:ind w:left="340"/>
      </w:pPr>
      <w:r>
        <w:rPr>
          <w:rFonts w:ascii="Calibri" w:hAnsi="Calibri"/>
          <w:b w:val="0"/>
          <w:i w:val="0"/>
          <w:sz w:val="20"/>
        </w:rPr>
        <w:t>•  The resident receives a copy of the move-in record.</w:t>
      </w:r>
    </w:p>
    <w:p>
      <w:pPr>
        <w:spacing w:before="0" w:after="60"/>
        <w:ind w:left="340"/>
      </w:pPr>
      <w:r>
        <w:rPr>
          <w:rFonts w:ascii="Calibri" w:hAnsi="Calibri"/>
          <w:b w:val="0"/>
          <w:i w:val="0"/>
          <w:sz w:val="20"/>
        </w:rPr>
        <w:t>•  Deposits, if any, are tied to the documented condition.</w:t>
      </w:r>
    </w:p>
    <w:p>
      <w:pPr>
        <w:spacing w:before="0" w:after="60"/>
        <w:ind w:left="340"/>
      </w:pPr>
      <w:r>
        <w:rPr>
          <w:rFonts w:ascii="Calibri" w:hAnsi="Calibri"/>
          <w:b w:val="0"/>
          <w:i w:val="0"/>
          <w:sz w:val="20"/>
        </w:rPr>
        <w:t>•  The record is used at move-out to assess any damage fairly.</w:t>
      </w:r>
    </w:p>
    <w:p>
      <w:pPr>
        <w:spacing w:before="0" w:after="60"/>
        <w:ind w:left="340"/>
      </w:pPr>
      <w:r>
        <w:rPr>
          <w:rFonts w:ascii="Calibri" w:hAnsi="Calibri"/>
          <w:b w:val="0"/>
          <w:i w:val="0"/>
          <w:sz w:val="20"/>
        </w:rPr>
        <w:t>•  Records are retained per the resident agreement and law.</w:t>
      </w:r>
    </w:p>
    <w:p>
      <w:pPr>
        <w:spacing w:before="260" w:after="90"/>
      </w:pPr>
      <w:r>
        <w:rPr>
          <w:rFonts w:ascii="Calibri" w:hAnsi="Calibri"/>
          <w:b/>
          <w:i w:val="0"/>
          <w:sz w:val="23"/>
        </w:rPr>
        <w:t>3.14  Re-Admission After a Prior Discharge</w:t>
      </w:r>
    </w:p>
    <w:p>
      <w:pPr>
        <w:spacing w:before="0" w:after="80"/>
      </w:pPr>
      <w:r>
        <w:rPr>
          <w:rFonts w:ascii="Calibri" w:hAnsi="Calibri"/>
          <w:b w:val="0"/>
          <w:i/>
          <w:color w:val="555555"/>
          <w:sz w:val="19"/>
        </w:rPr>
        <w:t>Fair Housing Act; NARR ethics</w:t>
      </w:r>
    </w:p>
    <w:p>
      <w:pPr>
        <w:spacing w:before="0" w:after="110"/>
      </w:pPr>
      <w:r>
        <w:rPr>
          <w:rFonts w:ascii="Calibri" w:hAnsi="Calibri"/>
          <w:b/>
          <w:i w:val="0"/>
          <w:sz w:val="20"/>
        </w:rPr>
        <w:t xml:space="preserve">Purpose. </w:t>
      </w:r>
      <w:r>
        <w:rPr>
          <w:rFonts w:ascii="Calibri" w:hAnsi="Calibri"/>
          <w:b w:val="0"/>
          <w:i w:val="0"/>
          <w:sz w:val="20"/>
        </w:rPr>
        <w:t>To handle returning residents fairly and safely.</w:t>
      </w:r>
    </w:p>
    <w:p>
      <w:pPr>
        <w:spacing w:before="0" w:after="110"/>
      </w:pPr>
      <w:r>
        <w:rPr>
          <w:rFonts w:ascii="Calibri" w:hAnsi="Calibri"/>
          <w:b/>
          <w:i w:val="0"/>
          <w:sz w:val="20"/>
        </w:rPr>
        <w:t xml:space="preserve">Policy. </w:t>
      </w:r>
      <w:r>
        <w:rPr>
          <w:rFonts w:ascii="Calibri" w:hAnsi="Calibri"/>
          <w:b w:val="0"/>
          <w:i w:val="0"/>
          <w:sz w:val="20"/>
        </w:rPr>
        <w:t>The home considers re-admission of previously discharged residents on consistent criteria that balance the person's recovery and the community's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Re-admission criteria are written and applied consistently.</w:t>
      </w:r>
    </w:p>
    <w:p>
      <w:pPr>
        <w:spacing w:before="0" w:after="60"/>
        <w:ind w:left="340"/>
      </w:pPr>
      <w:r>
        <w:rPr>
          <w:rFonts w:ascii="Calibri" w:hAnsi="Calibri"/>
          <w:b w:val="0"/>
          <w:i w:val="0"/>
          <w:sz w:val="20"/>
        </w:rPr>
        <w:t>•  A prior recurrence is not, by itself, a permanent bar to return.</w:t>
      </w:r>
    </w:p>
    <w:p>
      <w:pPr>
        <w:spacing w:before="0" w:after="60"/>
        <w:ind w:left="340"/>
      </w:pPr>
      <w:r>
        <w:rPr>
          <w:rFonts w:ascii="Calibri" w:hAnsi="Calibri"/>
          <w:b w:val="0"/>
          <w:i w:val="0"/>
          <w:sz w:val="20"/>
        </w:rPr>
        <w:t>•  Safety concerns from a prior discharge are specifically assessed.</w:t>
      </w:r>
    </w:p>
    <w:p>
      <w:pPr>
        <w:spacing w:before="0" w:after="60"/>
        <w:ind w:left="340"/>
      </w:pPr>
      <w:r>
        <w:rPr>
          <w:rFonts w:ascii="Calibri" w:hAnsi="Calibri"/>
          <w:b w:val="0"/>
          <w:i w:val="0"/>
          <w:sz w:val="20"/>
        </w:rPr>
        <w:t>•  Any conditions of return are documented in a new or amended agreement.</w:t>
      </w:r>
    </w:p>
    <w:p>
      <w:pPr>
        <w:spacing w:before="0" w:after="60"/>
        <w:ind w:left="340"/>
      </w:pPr>
      <w:r>
        <w:rPr>
          <w:rFonts w:ascii="Calibri" w:hAnsi="Calibri"/>
          <w:b w:val="0"/>
          <w:i w:val="0"/>
          <w:sz w:val="20"/>
        </w:rPr>
        <w:t>•  The decision and its basis are recorded.</w:t>
      </w:r>
    </w:p>
    <w:p>
      <w:pPr>
        <w:spacing w:before="0" w:after="60"/>
        <w:ind w:left="340"/>
      </w:pPr>
      <w:r>
        <w:rPr>
          <w:rFonts w:ascii="Calibri" w:hAnsi="Calibri"/>
          <w:b w:val="0"/>
          <w:i w:val="0"/>
          <w:sz w:val="20"/>
        </w:rPr>
        <w:t>•  Residents barred for genuine safety reasons are referred to alternatives.</w:t>
      </w:r>
    </w:p>
    <w:p>
      <w:pPr>
        <w:spacing w:before="260" w:after="90"/>
      </w:pPr>
      <w:r>
        <w:rPr>
          <w:rFonts w:ascii="Calibri" w:hAnsi="Calibri"/>
          <w:b/>
          <w:i w:val="0"/>
          <w:sz w:val="23"/>
        </w:rPr>
        <w:t>3.15  Medication List &amp; Allergy Record at Intake</w:t>
      </w:r>
    </w:p>
    <w:p>
      <w:pPr>
        <w:spacing w:before="0" w:after="80"/>
      </w:pPr>
      <w:r>
        <w:rPr>
          <w:rFonts w:ascii="Calibri" w:hAnsi="Calibri"/>
          <w:b w:val="0"/>
          <w:i/>
          <w:color w:val="555555"/>
          <w:sz w:val="19"/>
        </w:rPr>
        <w:t>Safety (non-clinical); ADA (MAT protection)</w:t>
      </w:r>
    </w:p>
    <w:p>
      <w:pPr>
        <w:spacing w:before="0" w:after="110"/>
      </w:pPr>
      <w:r>
        <w:rPr>
          <w:rFonts w:ascii="Calibri" w:hAnsi="Calibri"/>
          <w:b/>
          <w:i w:val="0"/>
          <w:sz w:val="20"/>
        </w:rPr>
        <w:t xml:space="preserve">Purpose. </w:t>
      </w:r>
      <w:r>
        <w:rPr>
          <w:rFonts w:ascii="Calibri" w:hAnsi="Calibri"/>
          <w:b w:val="0"/>
          <w:i w:val="0"/>
          <w:sz w:val="20"/>
        </w:rPr>
        <w:t>To capture a safety snapshot of each resident's medications and allergies without providing clinical care.</w:t>
      </w:r>
    </w:p>
    <w:p>
      <w:pPr>
        <w:spacing w:before="0" w:after="110"/>
      </w:pPr>
      <w:r>
        <w:rPr>
          <w:rFonts w:ascii="Calibri" w:hAnsi="Calibri"/>
          <w:b/>
          <w:i w:val="0"/>
          <w:sz w:val="20"/>
        </w:rPr>
        <w:t xml:space="preserve">Policy. </w:t>
      </w:r>
      <w:r>
        <w:rPr>
          <w:rFonts w:ascii="Calibri" w:hAnsi="Calibri"/>
          <w:b w:val="0"/>
          <w:i w:val="0"/>
          <w:sz w:val="20"/>
        </w:rPr>
        <w:t>At intake the home records, for safety and emergency response only, the resident's current medications (including MAT/MOUD) and known allergies, and does not manage or adjust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resident voluntarily provides a current medication and allergy list.</w:t>
      </w:r>
    </w:p>
    <w:p>
      <w:pPr>
        <w:spacing w:before="0" w:after="60"/>
        <w:ind w:left="340"/>
      </w:pPr>
      <w:r>
        <w:rPr>
          <w:rFonts w:ascii="Calibri" w:hAnsi="Calibri"/>
          <w:b w:val="0"/>
          <w:i w:val="0"/>
          <w:sz w:val="20"/>
        </w:rPr>
        <w:t>•  The list is used only for emergency response and safe storage, not clinical management.</w:t>
      </w:r>
    </w:p>
    <w:p>
      <w:pPr>
        <w:spacing w:before="0" w:after="60"/>
        <w:ind w:left="340"/>
      </w:pPr>
      <w:r>
        <w:rPr>
          <w:rFonts w:ascii="Calibri" w:hAnsi="Calibri"/>
          <w:b w:val="0"/>
          <w:i w:val="0"/>
          <w:sz w:val="20"/>
        </w:rPr>
        <w:t>•  MAT/MOUD medications are recorded without stigma and protected (2.03, 4.07).</w:t>
      </w:r>
    </w:p>
    <w:p>
      <w:pPr>
        <w:spacing w:before="0" w:after="60"/>
        <w:ind w:left="340"/>
      </w:pPr>
      <w:r>
        <w:rPr>
          <w:rFonts w:ascii="Calibri" w:hAnsi="Calibri"/>
          <w:b w:val="0"/>
          <w:i w:val="0"/>
          <w:sz w:val="20"/>
        </w:rPr>
        <w:t>•  The information is kept confidential in the resident file.</w:t>
      </w:r>
    </w:p>
    <w:p>
      <w:pPr>
        <w:spacing w:before="0" w:after="60"/>
        <w:ind w:left="340"/>
      </w:pPr>
      <w:r>
        <w:rPr>
          <w:rFonts w:ascii="Calibri" w:hAnsi="Calibri"/>
          <w:b w:val="0"/>
          <w:i w:val="0"/>
          <w:sz w:val="20"/>
        </w:rPr>
        <w:t>•  Residents are asked to update the list when it changes.</w:t>
      </w:r>
    </w:p>
    <w:p>
      <w:pPr>
        <w:spacing w:before="0" w:after="60"/>
        <w:ind w:left="340"/>
      </w:pPr>
      <w:r>
        <w:rPr>
          <w:rFonts w:ascii="Calibri" w:hAnsi="Calibri"/>
          <w:b w:val="0"/>
          <w:i w:val="0"/>
          <w:sz w:val="20"/>
        </w:rPr>
        <w:t>•  Emergency responders can be given the list in a medical emergency.</w:t>
      </w:r>
    </w:p>
    <w:p>
      <w:r>
        <w:br w:type="page"/>
      </w:r>
    </w:p>
    <w:p>
      <w:pPr>
        <w:spacing w:before="0" w:after="80"/>
      </w:pPr>
      <w:r>
        <w:rPr>
          <w:rFonts w:ascii="Calibri" w:hAnsi="Calibri"/>
          <w:b/>
          <w:i w:val="0"/>
          <w:sz w:val="26"/>
        </w:rPr>
        <w:t>Section 4 — House Operations &amp; Daily Structure</w:t>
      </w:r>
    </w:p>
    <w:p>
      <w:pPr>
        <w:spacing w:before="0" w:after="160"/>
      </w:pPr>
      <w:r>
        <w:rPr>
          <w:rFonts w:ascii="Calibri" w:hAnsi="Calibri"/>
          <w:b w:val="0"/>
          <w:i/>
          <w:sz w:val="20"/>
        </w:rPr>
        <w:t>The daily rhythm of the home is where recovery is practiced. This section covers the substance-free environment that defines a recovery residence, drug and alcohol testing, house rules and accountability, recovery-support expectations, guests, medication handling, and the routines that keep a shared home safe and functional.</w:t>
      </w:r>
    </w:p>
    <w:p>
      <w:pPr>
        <w:spacing w:before="260" w:after="90"/>
      </w:pPr>
      <w:r>
        <w:rPr>
          <w:rFonts w:ascii="Calibri" w:hAnsi="Calibri"/>
          <w:b/>
          <w:i w:val="0"/>
          <w:sz w:val="23"/>
        </w:rPr>
        <w:t>4.01  Substance-Free Environment</w:t>
      </w:r>
    </w:p>
    <w:p>
      <w:pPr>
        <w:spacing w:before="0" w:after="80"/>
      </w:pPr>
      <w:r>
        <w:rPr>
          <w:rFonts w:ascii="Calibri" w:hAnsi="Calibri"/>
          <w:b w:val="0"/>
          <w:i/>
          <w:color w:val="555555"/>
          <w:sz w:val="19"/>
        </w:rPr>
        <w:t>Certification requirement; NARR Standard; F.S. 397.487</w:t>
      </w:r>
    </w:p>
    <w:p>
      <w:pPr>
        <w:spacing w:before="0" w:after="110"/>
      </w:pPr>
      <w:r>
        <w:rPr>
          <w:rFonts w:ascii="Calibri" w:hAnsi="Calibri"/>
          <w:b/>
          <w:i w:val="0"/>
          <w:sz w:val="20"/>
        </w:rPr>
        <w:t xml:space="preserve">Purpose. </w:t>
      </w:r>
      <w:r>
        <w:rPr>
          <w:rFonts w:ascii="Calibri" w:hAnsi="Calibri"/>
          <w:b w:val="0"/>
          <w:i w:val="0"/>
          <w:sz w:val="20"/>
        </w:rPr>
        <w:t>To maintain the alcohol- and drug-free environment that is the core of a recovery residence.</w:t>
      </w:r>
    </w:p>
    <w:p>
      <w:pPr>
        <w:spacing w:before="0" w:after="110"/>
      </w:pPr>
      <w:r>
        <w:rPr>
          <w:rFonts w:ascii="Calibri" w:hAnsi="Calibri"/>
          <w:b/>
          <w:i w:val="0"/>
          <w:sz w:val="20"/>
        </w:rPr>
        <w:t xml:space="preserve">Policy. </w:t>
      </w:r>
      <w:r>
        <w:rPr>
          <w:rFonts w:ascii="Calibri" w:hAnsi="Calibri"/>
          <w:b w:val="0"/>
          <w:i w:val="0"/>
          <w:sz w:val="20"/>
        </w:rPr>
        <w:t>The home prohibits alcohol and non-prescribed drugs on the premises and by residents, while protecting lawful prescribed medication including MAT/MOUD.</w:t>
      </w:r>
    </w:p>
    <w:p>
      <w:pPr>
        <w:spacing w:before="0" w:after="60"/>
      </w:pPr>
      <w:r>
        <w:rPr>
          <w:rFonts w:ascii="Calibri" w:hAnsi="Calibri"/>
          <w:b/>
          <w:i w:val="0"/>
          <w:sz w:val="20"/>
        </w:rPr>
        <w:t>Procedure.</w:t>
      </w:r>
    </w:p>
    <w:p>
      <w:pPr>
        <w:spacing w:before="0" w:after="60"/>
        <w:ind w:left="340"/>
      </w:pPr>
      <w:r>
        <w:rPr>
          <w:rFonts w:ascii="Calibri" w:hAnsi="Calibri"/>
          <w:b w:val="0"/>
          <w:i w:val="0"/>
          <w:sz w:val="20"/>
        </w:rPr>
        <w:t>•  No alcohol or illicit drugs are permitted on the property or used by residents.</w:t>
      </w:r>
    </w:p>
    <w:p>
      <w:pPr>
        <w:spacing w:before="0" w:after="60"/>
        <w:ind w:left="340"/>
      </w:pPr>
      <w:r>
        <w:rPr>
          <w:rFonts w:ascii="Calibri" w:hAnsi="Calibri"/>
          <w:b w:val="0"/>
          <w:i w:val="0"/>
          <w:sz w:val="20"/>
        </w:rPr>
        <w:t>•  Prescribed medications, including MAT/MOUD, are permitted and managed under 4.07.</w:t>
      </w:r>
    </w:p>
    <w:p>
      <w:pPr>
        <w:spacing w:before="0" w:after="60"/>
        <w:ind w:left="340"/>
      </w:pPr>
      <w:r>
        <w:rPr>
          <w:rFonts w:ascii="Calibri" w:hAnsi="Calibri"/>
          <w:b w:val="0"/>
          <w:i w:val="0"/>
          <w:sz w:val="20"/>
        </w:rPr>
        <w:t>•  The prohibition is stated in the resident agreement and house rules.</w:t>
      </w:r>
    </w:p>
    <w:p>
      <w:pPr>
        <w:spacing w:before="0" w:after="60"/>
        <w:ind w:left="340"/>
      </w:pPr>
      <w:r>
        <w:rPr>
          <w:rFonts w:ascii="Calibri" w:hAnsi="Calibri"/>
          <w:b w:val="0"/>
          <w:i w:val="0"/>
          <w:sz w:val="20"/>
        </w:rPr>
        <w:t>•  Violations trigger the graduated response and recurrence policy, not automatic loss of safety.</w:t>
      </w:r>
    </w:p>
    <w:p>
      <w:pPr>
        <w:spacing w:before="0" w:after="60"/>
        <w:ind w:left="340"/>
      </w:pPr>
      <w:r>
        <w:rPr>
          <w:rFonts w:ascii="Calibri" w:hAnsi="Calibri"/>
          <w:b w:val="0"/>
          <w:i w:val="0"/>
          <w:sz w:val="20"/>
        </w:rPr>
        <w:t>•  The environment is kept free of paraphernalia and triggers as practicable.</w:t>
      </w:r>
    </w:p>
    <w:p>
      <w:pPr>
        <w:spacing w:before="260" w:after="90"/>
      </w:pPr>
      <w:r>
        <w:rPr>
          <w:rFonts w:ascii="Calibri" w:hAnsi="Calibri"/>
          <w:b/>
          <w:i w:val="0"/>
          <w:sz w:val="23"/>
        </w:rPr>
        <w:t>4.02  Drug and Alcohol Testing</w:t>
      </w:r>
    </w:p>
    <w:p>
      <w:pPr>
        <w:spacing w:before="0" w:after="80"/>
      </w:pPr>
      <w:r>
        <w:rPr>
          <w:rFonts w:ascii="Calibri" w:hAnsi="Calibri"/>
          <w:b w:val="0"/>
          <w:i/>
          <w:color w:val="555555"/>
          <w:sz w:val="19"/>
        </w:rPr>
        <w:t>NARR Standard; SAMHSA guidance</w:t>
      </w:r>
    </w:p>
    <w:p>
      <w:pPr>
        <w:spacing w:before="0" w:after="110"/>
      </w:pPr>
      <w:r>
        <w:rPr>
          <w:rFonts w:ascii="Calibri" w:hAnsi="Calibri"/>
          <w:b/>
          <w:i w:val="0"/>
          <w:sz w:val="20"/>
        </w:rPr>
        <w:t xml:space="preserve">Purpose. </w:t>
      </w:r>
      <w:r>
        <w:rPr>
          <w:rFonts w:ascii="Calibri" w:hAnsi="Calibri"/>
          <w:b w:val="0"/>
          <w:i w:val="0"/>
          <w:sz w:val="20"/>
        </w:rPr>
        <w:t>To support accountability and safety through fair, consistent testing.</w:t>
      </w:r>
    </w:p>
    <w:p>
      <w:pPr>
        <w:spacing w:before="0" w:after="110"/>
      </w:pPr>
      <w:r>
        <w:rPr>
          <w:rFonts w:ascii="Calibri" w:hAnsi="Calibri"/>
          <w:b/>
          <w:i w:val="0"/>
          <w:sz w:val="20"/>
        </w:rPr>
        <w:t xml:space="preserve">Policy. </w:t>
      </w:r>
      <w:r>
        <w:rPr>
          <w:rFonts w:ascii="Calibri" w:hAnsi="Calibri"/>
          <w:b w:val="0"/>
          <w:i w:val="0"/>
          <w:sz w:val="20"/>
        </w:rPr>
        <w:t>The home conducts drug and alcohol testing on a consistent, non-punitive, recovery-oriented basis disclosed in advance.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Testing practices (random, for-cause, scheduled) are described in the resident agreement.</w:t>
      </w:r>
    </w:p>
    <w:p>
      <w:pPr>
        <w:spacing w:before="0" w:after="60"/>
        <w:ind w:left="340"/>
      </w:pPr>
      <w:r>
        <w:rPr>
          <w:rFonts w:ascii="Calibri" w:hAnsi="Calibri"/>
          <w:b w:val="0"/>
          <w:i w:val="0"/>
          <w:sz w:val="20"/>
        </w:rPr>
        <w:t>•  Testing is applied consistently and never used to target protected residents.</w:t>
      </w:r>
    </w:p>
    <w:p>
      <w:pPr>
        <w:spacing w:before="0" w:after="60"/>
        <w:ind w:left="340"/>
      </w:pPr>
      <w:r>
        <w:rPr>
          <w:rFonts w:ascii="Calibri" w:hAnsi="Calibri"/>
          <w:b w:val="0"/>
          <w:i w:val="0"/>
          <w:sz w:val="20"/>
        </w:rPr>
        <w:t>•  A confirmed positive triggers the recurrence response (6.07), focused on safety and re-engagement.</w:t>
      </w:r>
    </w:p>
    <w:p>
      <w:pPr>
        <w:spacing w:before="0" w:after="60"/>
        <w:ind w:left="340"/>
      </w:pPr>
      <w:r>
        <w:rPr>
          <w:rFonts w:ascii="Calibri" w:hAnsi="Calibri"/>
          <w:b w:val="0"/>
          <w:i w:val="0"/>
          <w:sz w:val="20"/>
        </w:rPr>
        <w:t>•  MAT/MOUD medications are accounted for so that lawful prescriptions are not treated as violations.</w:t>
      </w:r>
    </w:p>
    <w:p>
      <w:pPr>
        <w:spacing w:before="0" w:after="60"/>
        <w:ind w:left="340"/>
      </w:pPr>
      <w:r>
        <w:rPr>
          <w:rFonts w:ascii="Calibri" w:hAnsi="Calibri"/>
          <w:b w:val="0"/>
          <w:i w:val="0"/>
          <w:sz w:val="20"/>
        </w:rPr>
        <w:t>•  Test records are kept confidential in the resident file.</w:t>
      </w:r>
    </w:p>
    <w:p>
      <w:pPr>
        <w:spacing w:before="260" w:after="90"/>
      </w:pPr>
      <w:r>
        <w:rPr>
          <w:rFonts w:ascii="Calibri" w:hAnsi="Calibri"/>
          <w:b/>
          <w:i w:val="0"/>
          <w:sz w:val="23"/>
        </w:rPr>
        <w:t>4.03  House Rules and Community Standards</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set clear, reasonable expectations for communal recovery living.</w:t>
      </w:r>
    </w:p>
    <w:p>
      <w:pPr>
        <w:spacing w:before="0" w:after="110"/>
      </w:pPr>
      <w:r>
        <w:rPr>
          <w:rFonts w:ascii="Calibri" w:hAnsi="Calibri"/>
          <w:b/>
          <w:i w:val="0"/>
          <w:sz w:val="20"/>
        </w:rPr>
        <w:t xml:space="preserve">Policy. </w:t>
      </w:r>
      <w:r>
        <w:rPr>
          <w:rFonts w:ascii="Calibri" w:hAnsi="Calibri"/>
          <w:b w:val="0"/>
          <w:i w:val="0"/>
          <w:sz w:val="20"/>
        </w:rPr>
        <w:t>The home maintains written house rules that promote safety, respect, and recovery, applied consistently to all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Rules address conduct, chores, curfew, guests, quiet hours, and prohibited items.</w:t>
      </w:r>
    </w:p>
    <w:p>
      <w:pPr>
        <w:spacing w:before="0" w:after="60"/>
        <w:ind w:left="340"/>
      </w:pPr>
      <w:r>
        <w:rPr>
          <w:rFonts w:ascii="Calibri" w:hAnsi="Calibri"/>
          <w:b w:val="0"/>
          <w:i w:val="0"/>
          <w:sz w:val="20"/>
        </w:rPr>
        <w:t>•  Rules are reasonable, recovery-based, and consistently enforced.</w:t>
      </w:r>
    </w:p>
    <w:p>
      <w:pPr>
        <w:spacing w:before="0" w:after="60"/>
        <w:ind w:left="340"/>
      </w:pPr>
      <w:r>
        <w:rPr>
          <w:rFonts w:ascii="Calibri" w:hAnsi="Calibri"/>
          <w:b w:val="0"/>
          <w:i w:val="0"/>
          <w:sz w:val="20"/>
        </w:rPr>
        <w:t>•  Consequences follow a graduated, documented approach.</w:t>
      </w:r>
    </w:p>
    <w:p>
      <w:pPr>
        <w:spacing w:before="0" w:after="60"/>
        <w:ind w:left="340"/>
      </w:pPr>
      <w:r>
        <w:rPr>
          <w:rFonts w:ascii="Calibri" w:hAnsi="Calibri"/>
          <w:b w:val="0"/>
          <w:i w:val="0"/>
          <w:sz w:val="20"/>
        </w:rPr>
        <w:t>•  Residents are involved in shaping non-safety norms where appropriate.</w:t>
      </w:r>
    </w:p>
    <w:p>
      <w:pPr>
        <w:spacing w:before="0" w:after="60"/>
        <w:ind w:left="340"/>
      </w:pPr>
      <w:r>
        <w:rPr>
          <w:rFonts w:ascii="Calibri" w:hAnsi="Calibri"/>
          <w:b w:val="0"/>
          <w:i w:val="0"/>
          <w:sz w:val="20"/>
        </w:rPr>
        <w:t>•  Rules are reviewed periodically for fairness and effectiveness.</w:t>
      </w:r>
    </w:p>
    <w:p>
      <w:pPr>
        <w:spacing w:before="260" w:after="90"/>
      </w:pPr>
      <w:r>
        <w:rPr>
          <w:rFonts w:ascii="Calibri" w:hAnsi="Calibri"/>
          <w:b/>
          <w:i w:val="0"/>
          <w:sz w:val="23"/>
        </w:rPr>
        <w:t>4.04  Curfew, Attendance and Accountability</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provide the structure and accountability that support early recovery.</w:t>
      </w:r>
    </w:p>
    <w:p>
      <w:pPr>
        <w:spacing w:before="0" w:after="110"/>
      </w:pPr>
      <w:r>
        <w:rPr>
          <w:rFonts w:ascii="Calibri" w:hAnsi="Calibri"/>
          <w:b/>
          <w:i w:val="0"/>
          <w:sz w:val="20"/>
        </w:rPr>
        <w:t xml:space="preserve">Policy. </w:t>
      </w:r>
      <w:r>
        <w:rPr>
          <w:rFonts w:ascii="Calibri" w:hAnsi="Calibri"/>
          <w:b w:val="0"/>
          <w:i w:val="0"/>
          <w:sz w:val="20"/>
        </w:rPr>
        <w:t>The home sets reasonable curfew and attendance expectations appropriate to its level and supports residents in meeting them.</w:t>
      </w:r>
    </w:p>
    <w:p>
      <w:pPr>
        <w:spacing w:before="0" w:after="60"/>
      </w:pPr>
      <w:r>
        <w:rPr>
          <w:rFonts w:ascii="Calibri" w:hAnsi="Calibri"/>
          <w:b/>
          <w:i w:val="0"/>
          <w:sz w:val="20"/>
        </w:rPr>
        <w:t>Procedure.</w:t>
      </w:r>
    </w:p>
    <w:p>
      <w:pPr>
        <w:spacing w:before="0" w:after="60"/>
        <w:ind w:left="340"/>
      </w:pPr>
      <w:r>
        <w:rPr>
          <w:rFonts w:ascii="Calibri" w:hAnsi="Calibri"/>
          <w:b w:val="0"/>
          <w:i w:val="0"/>
          <w:sz w:val="20"/>
        </w:rPr>
        <w:t>•  Curfew and check-in expectations are stated in the house rules.</w:t>
      </w:r>
    </w:p>
    <w:p>
      <w:pPr>
        <w:spacing w:before="0" w:after="60"/>
        <w:ind w:left="340"/>
      </w:pPr>
      <w:r>
        <w:rPr>
          <w:rFonts w:ascii="Calibri" w:hAnsi="Calibri"/>
          <w:b w:val="0"/>
          <w:i w:val="0"/>
          <w:sz w:val="20"/>
        </w:rPr>
        <w:t>•  Accommodations are made for work, treatment, and family obligations.</w:t>
      </w:r>
    </w:p>
    <w:p>
      <w:pPr>
        <w:spacing w:before="0" w:after="60"/>
        <w:ind w:left="340"/>
      </w:pPr>
      <w:r>
        <w:rPr>
          <w:rFonts w:ascii="Calibri" w:hAnsi="Calibri"/>
          <w:b w:val="0"/>
          <w:i w:val="0"/>
          <w:sz w:val="20"/>
        </w:rPr>
        <w:t>•  Absences are tracked in a way that supports safety and accountability.</w:t>
      </w:r>
    </w:p>
    <w:p>
      <w:pPr>
        <w:spacing w:before="0" w:after="60"/>
        <w:ind w:left="340"/>
      </w:pPr>
      <w:r>
        <w:rPr>
          <w:rFonts w:ascii="Calibri" w:hAnsi="Calibri"/>
          <w:b w:val="0"/>
          <w:i w:val="0"/>
          <w:sz w:val="20"/>
        </w:rPr>
        <w:t>•  Expectations are adjusted as residents progress in recovery.</w:t>
      </w:r>
    </w:p>
    <w:p>
      <w:pPr>
        <w:spacing w:before="0" w:after="60"/>
        <w:ind w:left="340"/>
      </w:pPr>
      <w:r>
        <w:rPr>
          <w:rFonts w:ascii="Calibri" w:hAnsi="Calibri"/>
          <w:b w:val="0"/>
          <w:i w:val="0"/>
          <w:sz w:val="20"/>
        </w:rPr>
        <w:t>•  Patterns suggesting risk are addressed supportively.</w:t>
      </w:r>
    </w:p>
    <w:p>
      <w:pPr>
        <w:spacing w:before="260" w:after="90"/>
      </w:pPr>
      <w:r>
        <w:rPr>
          <w:rFonts w:ascii="Calibri" w:hAnsi="Calibri"/>
          <w:b/>
          <w:i w:val="0"/>
          <w:sz w:val="23"/>
        </w:rPr>
        <w:t>4.05  Recovery Support Requirements</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connect residents to the recovery activities that sustain long-term change.</w:t>
      </w:r>
    </w:p>
    <w:p>
      <w:pPr>
        <w:spacing w:before="0" w:after="110"/>
      </w:pPr>
      <w:r>
        <w:rPr>
          <w:rFonts w:ascii="Calibri" w:hAnsi="Calibri"/>
          <w:b/>
          <w:i w:val="0"/>
          <w:sz w:val="20"/>
        </w:rPr>
        <w:t xml:space="preserve">Policy. </w:t>
      </w:r>
      <w:r>
        <w:rPr>
          <w:rFonts w:ascii="Calibri" w:hAnsi="Calibri"/>
          <w:b w:val="0"/>
          <w:i w:val="0"/>
          <w:sz w:val="20"/>
        </w:rPr>
        <w:t>The home expects residents to engage in recovery-supporting activity — meetings, peer support, employment, education, or treatment — appropriate to their plan.</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develop an individualized recovery or wellness plan.</w:t>
      </w:r>
    </w:p>
    <w:p>
      <w:pPr>
        <w:spacing w:before="0" w:after="60"/>
        <w:ind w:left="340"/>
      </w:pPr>
      <w:r>
        <w:rPr>
          <w:rFonts w:ascii="Calibri" w:hAnsi="Calibri"/>
          <w:b w:val="0"/>
          <w:i w:val="0"/>
          <w:sz w:val="20"/>
        </w:rPr>
        <w:t>•  Participation in mutual-aid, peer support, or treatment is encouraged and tracked respectfully.</w:t>
      </w:r>
    </w:p>
    <w:p>
      <w:pPr>
        <w:spacing w:before="0" w:after="60"/>
        <w:ind w:left="340"/>
      </w:pPr>
      <w:r>
        <w:rPr>
          <w:rFonts w:ascii="Calibri" w:hAnsi="Calibri"/>
          <w:b w:val="0"/>
          <w:i w:val="0"/>
          <w:sz w:val="20"/>
        </w:rPr>
        <w:t>•  Employment, education, or volunteering is supported as recovery capital.</w:t>
      </w:r>
    </w:p>
    <w:p>
      <w:pPr>
        <w:spacing w:before="0" w:after="60"/>
        <w:ind w:left="340"/>
      </w:pPr>
      <w:r>
        <w:rPr>
          <w:rFonts w:ascii="Calibri" w:hAnsi="Calibri"/>
          <w:b w:val="0"/>
          <w:i w:val="0"/>
          <w:sz w:val="20"/>
        </w:rPr>
        <w:t>•  The home connects residents to community meetings and peer resources.</w:t>
      </w:r>
    </w:p>
    <w:p>
      <w:pPr>
        <w:spacing w:before="0" w:after="60"/>
        <w:ind w:left="340"/>
      </w:pPr>
      <w:r>
        <w:rPr>
          <w:rFonts w:ascii="Calibri" w:hAnsi="Calibri"/>
          <w:b w:val="0"/>
          <w:i w:val="0"/>
          <w:sz w:val="20"/>
        </w:rPr>
        <w:t>•  Requirements are flexible and person-centered, not one-size-fits-all.</w:t>
      </w:r>
    </w:p>
    <w:p>
      <w:pPr>
        <w:spacing w:before="260" w:after="90"/>
      </w:pPr>
      <w:r>
        <w:rPr>
          <w:rFonts w:ascii="Calibri" w:hAnsi="Calibri"/>
          <w:b/>
          <w:i w:val="0"/>
          <w:sz w:val="23"/>
        </w:rPr>
        <w:t>4.06  Guests and Visitors</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allow healthy connection while protecting the safety of the home.</w:t>
      </w:r>
    </w:p>
    <w:p>
      <w:pPr>
        <w:spacing w:before="0" w:after="110"/>
      </w:pPr>
      <w:r>
        <w:rPr>
          <w:rFonts w:ascii="Calibri" w:hAnsi="Calibri"/>
          <w:b/>
          <w:i w:val="0"/>
          <w:sz w:val="20"/>
        </w:rPr>
        <w:t xml:space="preserve">Policy. </w:t>
      </w:r>
      <w:r>
        <w:rPr>
          <w:rFonts w:ascii="Calibri" w:hAnsi="Calibri"/>
          <w:b w:val="0"/>
          <w:i w:val="0"/>
          <w:sz w:val="20"/>
        </w:rPr>
        <w:t>The home permits guests under reasonable rules that protect residents' recovery and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Visiting hours and sign-in expectations are stated in the house rules.</w:t>
      </w:r>
    </w:p>
    <w:p>
      <w:pPr>
        <w:spacing w:before="0" w:after="60"/>
        <w:ind w:left="340"/>
      </w:pPr>
      <w:r>
        <w:rPr>
          <w:rFonts w:ascii="Calibri" w:hAnsi="Calibri"/>
          <w:b w:val="0"/>
          <w:i w:val="0"/>
          <w:sz w:val="20"/>
        </w:rPr>
        <w:t>•  Guests must respect the substance-free environment and house rules.</w:t>
      </w:r>
    </w:p>
    <w:p>
      <w:pPr>
        <w:spacing w:before="0" w:after="60"/>
        <w:ind w:left="340"/>
      </w:pPr>
      <w:r>
        <w:rPr>
          <w:rFonts w:ascii="Calibri" w:hAnsi="Calibri"/>
          <w:b w:val="0"/>
          <w:i w:val="0"/>
          <w:sz w:val="20"/>
        </w:rPr>
        <w:t>•  Overnight guests, if allowed, follow a written policy.</w:t>
      </w:r>
    </w:p>
    <w:p>
      <w:pPr>
        <w:spacing w:before="0" w:after="60"/>
        <w:ind w:left="340"/>
      </w:pPr>
      <w:r>
        <w:rPr>
          <w:rFonts w:ascii="Calibri" w:hAnsi="Calibri"/>
          <w:b w:val="0"/>
          <w:i w:val="0"/>
          <w:sz w:val="20"/>
        </w:rPr>
        <w:t>•  Guests who threaten safety or sobriety may be barred.</w:t>
      </w:r>
    </w:p>
    <w:p>
      <w:pPr>
        <w:spacing w:before="0" w:after="60"/>
        <w:ind w:left="340"/>
      </w:pPr>
      <w:r>
        <w:rPr>
          <w:rFonts w:ascii="Calibri" w:hAnsi="Calibri"/>
          <w:b w:val="0"/>
          <w:i w:val="0"/>
          <w:sz w:val="20"/>
        </w:rPr>
        <w:t>•  Residents are responsible for their guests' conduct.</w:t>
      </w:r>
    </w:p>
    <w:p>
      <w:pPr>
        <w:spacing w:before="260" w:after="90"/>
      </w:pPr>
      <w:r>
        <w:rPr>
          <w:rFonts w:ascii="Calibri" w:hAnsi="Calibri"/>
          <w:b/>
          <w:i w:val="0"/>
          <w:sz w:val="23"/>
        </w:rPr>
        <w:t>4.07  Medication Storage and Self-Administration</w:t>
      </w:r>
    </w:p>
    <w:p>
      <w:pPr>
        <w:spacing w:before="0" w:after="80"/>
      </w:pPr>
      <w:r>
        <w:rPr>
          <w:rFonts w:ascii="Calibri" w:hAnsi="Calibri"/>
          <w:b w:val="0"/>
          <w:i/>
          <w:color w:val="555555"/>
          <w:sz w:val="19"/>
        </w:rPr>
        <w:t>ADA (MAT protection); NARR Standard</w:t>
      </w:r>
    </w:p>
    <w:p>
      <w:pPr>
        <w:spacing w:before="0" w:after="110"/>
      </w:pPr>
      <w:r>
        <w:rPr>
          <w:rFonts w:ascii="Calibri" w:hAnsi="Calibri"/>
          <w:b/>
          <w:i w:val="0"/>
          <w:sz w:val="20"/>
        </w:rPr>
        <w:t xml:space="preserve">Purpose. </w:t>
      </w:r>
      <w:r>
        <w:rPr>
          <w:rFonts w:ascii="Calibri" w:hAnsi="Calibri"/>
          <w:b w:val="0"/>
          <w:i w:val="0"/>
          <w:sz w:val="20"/>
        </w:rPr>
        <w:t>To handle residents' medications safely without providing clinical care.</w:t>
      </w:r>
    </w:p>
    <w:p>
      <w:pPr>
        <w:spacing w:before="0" w:after="110"/>
      </w:pPr>
      <w:r>
        <w:rPr>
          <w:rFonts w:ascii="Calibri" w:hAnsi="Calibri"/>
          <w:b/>
          <w:i w:val="0"/>
          <w:sz w:val="20"/>
        </w:rPr>
        <w:t xml:space="preserve">Policy. </w:t>
      </w:r>
      <w:r>
        <w:rPr>
          <w:rFonts w:ascii="Calibri" w:hAnsi="Calibri"/>
          <w:b w:val="0"/>
          <w:i w:val="0"/>
          <w:sz w:val="20"/>
        </w:rPr>
        <w:t>Residents self-administer their own prescribed medications, which are stored securely, and the home does not administer or manage medication as a clinical service.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keep and self-administer their own prescriptions.</w:t>
      </w:r>
    </w:p>
    <w:p>
      <w:pPr>
        <w:spacing w:before="0" w:after="60"/>
        <w:ind w:left="340"/>
      </w:pPr>
      <w:r>
        <w:rPr>
          <w:rFonts w:ascii="Calibri" w:hAnsi="Calibri"/>
          <w:b w:val="0"/>
          <w:i w:val="0"/>
          <w:sz w:val="20"/>
        </w:rPr>
        <w:t>•  Secure (e.g., lockable) storage is provided, especially for controlled substances and MAT/MOUD.</w:t>
      </w:r>
    </w:p>
    <w:p>
      <w:pPr>
        <w:spacing w:before="0" w:after="60"/>
        <w:ind w:left="340"/>
      </w:pPr>
      <w:r>
        <w:rPr>
          <w:rFonts w:ascii="Calibri" w:hAnsi="Calibri"/>
          <w:b w:val="0"/>
          <w:i w:val="0"/>
          <w:sz w:val="20"/>
        </w:rPr>
        <w:t>•  Staff do not dispense or administer medications.</w:t>
      </w:r>
    </w:p>
    <w:p>
      <w:pPr>
        <w:spacing w:before="0" w:after="60"/>
        <w:ind w:left="340"/>
      </w:pPr>
      <w:r>
        <w:rPr>
          <w:rFonts w:ascii="Calibri" w:hAnsi="Calibri"/>
          <w:b w:val="0"/>
          <w:i w:val="0"/>
          <w:sz w:val="20"/>
        </w:rPr>
        <w:t>•  The home supports adherence through reminders and structure, not clinical management.</w:t>
      </w:r>
    </w:p>
    <w:p>
      <w:pPr>
        <w:spacing w:before="0" w:after="60"/>
        <w:ind w:left="340"/>
      </w:pPr>
      <w:r>
        <w:rPr>
          <w:rFonts w:ascii="Calibri" w:hAnsi="Calibri"/>
          <w:b w:val="0"/>
          <w:i w:val="0"/>
          <w:sz w:val="20"/>
        </w:rPr>
        <w:t>•  Suspected diversion is addressed through safety procedures, not exclusion of MAT users.</w:t>
      </w:r>
    </w:p>
    <w:p>
      <w:pPr>
        <w:spacing w:before="260" w:after="90"/>
      </w:pPr>
      <w:r>
        <w:rPr>
          <w:rFonts w:ascii="Calibri" w:hAnsi="Calibri"/>
          <w:b/>
          <w:i w:val="0"/>
          <w:sz w:val="23"/>
        </w:rPr>
        <w:t>4.08  Chores, Maintenance and Household Duties</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keep the home clean, safe, and shared fairly.</w:t>
      </w:r>
    </w:p>
    <w:p>
      <w:pPr>
        <w:spacing w:before="0" w:after="110"/>
      </w:pPr>
      <w:r>
        <w:rPr>
          <w:rFonts w:ascii="Calibri" w:hAnsi="Calibri"/>
          <w:b/>
          <w:i w:val="0"/>
          <w:sz w:val="20"/>
        </w:rPr>
        <w:t xml:space="preserve">Policy. </w:t>
      </w:r>
      <w:r>
        <w:rPr>
          <w:rFonts w:ascii="Calibri" w:hAnsi="Calibri"/>
          <w:b w:val="0"/>
          <w:i w:val="0"/>
          <w:sz w:val="20"/>
        </w:rPr>
        <w:t>Residents share reasonable household responsibilities that build recovery skills and maintain the home.</w:t>
      </w:r>
    </w:p>
    <w:p>
      <w:pPr>
        <w:spacing w:before="0" w:after="60"/>
      </w:pPr>
      <w:r>
        <w:rPr>
          <w:rFonts w:ascii="Calibri" w:hAnsi="Calibri"/>
          <w:b/>
          <w:i w:val="0"/>
          <w:sz w:val="20"/>
        </w:rPr>
        <w:t>Procedure.</w:t>
      </w:r>
    </w:p>
    <w:p>
      <w:pPr>
        <w:spacing w:before="0" w:after="60"/>
        <w:ind w:left="340"/>
      </w:pPr>
      <w:r>
        <w:rPr>
          <w:rFonts w:ascii="Calibri" w:hAnsi="Calibri"/>
          <w:b w:val="0"/>
          <w:i w:val="0"/>
          <w:sz w:val="20"/>
        </w:rPr>
        <w:t>•  A written chore system distributes duties fairly.</w:t>
      </w:r>
    </w:p>
    <w:p>
      <w:pPr>
        <w:spacing w:before="0" w:after="60"/>
        <w:ind w:left="340"/>
      </w:pPr>
      <w:r>
        <w:rPr>
          <w:rFonts w:ascii="Calibri" w:hAnsi="Calibri"/>
          <w:b w:val="0"/>
          <w:i w:val="0"/>
          <w:sz w:val="20"/>
        </w:rPr>
        <w:t>•  Expectations are reasonable and tied to communal living.</w:t>
      </w:r>
    </w:p>
    <w:p>
      <w:pPr>
        <w:spacing w:before="0" w:after="60"/>
        <w:ind w:left="340"/>
      </w:pPr>
      <w:r>
        <w:rPr>
          <w:rFonts w:ascii="Calibri" w:hAnsi="Calibri"/>
          <w:b w:val="0"/>
          <w:i w:val="0"/>
          <w:sz w:val="20"/>
        </w:rPr>
        <w:t>•  The operator maintains the property in safe, habitable condition.</w:t>
      </w:r>
    </w:p>
    <w:p>
      <w:pPr>
        <w:spacing w:before="0" w:after="60"/>
        <w:ind w:left="340"/>
      </w:pPr>
      <w:r>
        <w:rPr>
          <w:rFonts w:ascii="Calibri" w:hAnsi="Calibri"/>
          <w:b w:val="0"/>
          <w:i w:val="0"/>
          <w:sz w:val="20"/>
        </w:rPr>
        <w:t>•  Maintenance issues are reported and addressed promptly.</w:t>
      </w:r>
    </w:p>
    <w:p>
      <w:pPr>
        <w:spacing w:before="0" w:after="60"/>
        <w:ind w:left="340"/>
      </w:pPr>
      <w:r>
        <w:rPr>
          <w:rFonts w:ascii="Calibri" w:hAnsi="Calibri"/>
          <w:b w:val="0"/>
          <w:i w:val="0"/>
          <w:sz w:val="20"/>
        </w:rPr>
        <w:t>•  Chores are framed as recovery skill-building, not punishment.</w:t>
      </w:r>
    </w:p>
    <w:p>
      <w:pPr>
        <w:spacing w:before="260" w:after="90"/>
      </w:pPr>
      <w:r>
        <w:rPr>
          <w:rFonts w:ascii="Calibri" w:hAnsi="Calibri"/>
          <w:b/>
          <w:i w:val="0"/>
          <w:sz w:val="23"/>
        </w:rPr>
        <w:t>4.09  Quiet Hours and Community Living</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protect rest, study, and peace in a shared home.</w:t>
      </w:r>
    </w:p>
    <w:p>
      <w:pPr>
        <w:spacing w:before="0" w:after="110"/>
      </w:pPr>
      <w:r>
        <w:rPr>
          <w:rFonts w:ascii="Calibri" w:hAnsi="Calibri"/>
          <w:b/>
          <w:i w:val="0"/>
          <w:sz w:val="20"/>
        </w:rPr>
        <w:t xml:space="preserve">Policy. </w:t>
      </w:r>
      <w:r>
        <w:rPr>
          <w:rFonts w:ascii="Calibri" w:hAnsi="Calibri"/>
          <w:b w:val="0"/>
          <w:i w:val="0"/>
          <w:sz w:val="20"/>
        </w:rPr>
        <w:t>The home maintains reasonable quiet hours and community-living norms.</w:t>
      </w:r>
    </w:p>
    <w:p>
      <w:pPr>
        <w:spacing w:before="0" w:after="60"/>
      </w:pPr>
      <w:r>
        <w:rPr>
          <w:rFonts w:ascii="Calibri" w:hAnsi="Calibri"/>
          <w:b/>
          <w:i w:val="0"/>
          <w:sz w:val="20"/>
        </w:rPr>
        <w:t>Procedure.</w:t>
      </w:r>
    </w:p>
    <w:p>
      <w:pPr>
        <w:spacing w:before="0" w:after="60"/>
        <w:ind w:left="340"/>
      </w:pPr>
      <w:r>
        <w:rPr>
          <w:rFonts w:ascii="Calibri" w:hAnsi="Calibri"/>
          <w:b w:val="0"/>
          <w:i w:val="0"/>
          <w:sz w:val="20"/>
        </w:rPr>
        <w:t>•  Quiet hours are posted and reasonable.</w:t>
      </w:r>
    </w:p>
    <w:p>
      <w:pPr>
        <w:spacing w:before="0" w:after="60"/>
        <w:ind w:left="340"/>
      </w:pPr>
      <w:r>
        <w:rPr>
          <w:rFonts w:ascii="Calibri" w:hAnsi="Calibri"/>
          <w:b w:val="0"/>
          <w:i w:val="0"/>
          <w:sz w:val="20"/>
        </w:rPr>
        <w:t>•  Shared-space norms are set collaboratively where possible.</w:t>
      </w:r>
    </w:p>
    <w:p>
      <w:pPr>
        <w:spacing w:before="0" w:after="60"/>
        <w:ind w:left="340"/>
      </w:pPr>
      <w:r>
        <w:rPr>
          <w:rFonts w:ascii="Calibri" w:hAnsi="Calibri"/>
          <w:b w:val="0"/>
          <w:i w:val="0"/>
          <w:sz w:val="20"/>
        </w:rPr>
        <w:t>•  Conflicts are mediated constructively.</w:t>
      </w:r>
    </w:p>
    <w:p>
      <w:pPr>
        <w:spacing w:before="0" w:after="60"/>
        <w:ind w:left="340"/>
      </w:pPr>
      <w:r>
        <w:rPr>
          <w:rFonts w:ascii="Calibri" w:hAnsi="Calibri"/>
          <w:b w:val="0"/>
          <w:i w:val="0"/>
          <w:sz w:val="20"/>
        </w:rPr>
        <w:t>•  Residents are supported in respectful communication.</w:t>
      </w:r>
    </w:p>
    <w:p>
      <w:pPr>
        <w:spacing w:before="0" w:after="60"/>
        <w:ind w:left="340"/>
      </w:pPr>
      <w:r>
        <w:rPr>
          <w:rFonts w:ascii="Calibri" w:hAnsi="Calibri"/>
          <w:b w:val="0"/>
          <w:i w:val="0"/>
          <w:sz w:val="20"/>
        </w:rPr>
        <w:t>•  Persistent disruption is addressed through the graduated response.</w:t>
      </w:r>
    </w:p>
    <w:p>
      <w:pPr>
        <w:spacing w:before="260" w:after="90"/>
      </w:pPr>
      <w:r>
        <w:rPr>
          <w:rFonts w:ascii="Calibri" w:hAnsi="Calibri"/>
          <w:b/>
          <w:i w:val="0"/>
          <w:sz w:val="23"/>
        </w:rPr>
        <w:t>4.10  Prohibited Items and Searches</w:t>
      </w:r>
    </w:p>
    <w:p>
      <w:pPr>
        <w:spacing w:before="0" w:after="80"/>
      </w:pPr>
      <w:r>
        <w:rPr>
          <w:rFonts w:ascii="Calibri" w:hAnsi="Calibri"/>
          <w:b w:val="0"/>
          <w:i/>
          <w:color w:val="555555"/>
          <w:sz w:val="19"/>
        </w:rPr>
        <w:t>Fourth Amendment norms (private setting); NARR ethics</w:t>
      </w:r>
    </w:p>
    <w:p>
      <w:pPr>
        <w:spacing w:before="0" w:after="110"/>
      </w:pPr>
      <w:r>
        <w:rPr>
          <w:rFonts w:ascii="Calibri" w:hAnsi="Calibri"/>
          <w:b/>
          <w:i w:val="0"/>
          <w:sz w:val="20"/>
        </w:rPr>
        <w:t xml:space="preserve">Purpose. </w:t>
      </w:r>
      <w:r>
        <w:rPr>
          <w:rFonts w:ascii="Calibri" w:hAnsi="Calibri"/>
          <w:b w:val="0"/>
          <w:i w:val="0"/>
          <w:sz w:val="20"/>
        </w:rPr>
        <w:t>To keep the home safe while respecting resident dignity.</w:t>
      </w:r>
    </w:p>
    <w:p>
      <w:pPr>
        <w:spacing w:before="0" w:after="110"/>
      </w:pPr>
      <w:r>
        <w:rPr>
          <w:rFonts w:ascii="Calibri" w:hAnsi="Calibri"/>
          <w:b/>
          <w:i w:val="0"/>
          <w:sz w:val="20"/>
        </w:rPr>
        <w:t xml:space="preserve">Policy. </w:t>
      </w:r>
      <w:r>
        <w:rPr>
          <w:rFonts w:ascii="Calibri" w:hAnsi="Calibri"/>
          <w:b w:val="0"/>
          <w:i w:val="0"/>
          <w:sz w:val="20"/>
        </w:rPr>
        <w:t>The home defines prohibited items and conducts any searches under a written, respectful, consistently applied policy disclosed in advance.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Prohibited items (alcohol, illicit drugs, paraphernalia, weapons) are listed in house rules.</w:t>
      </w:r>
    </w:p>
    <w:p>
      <w:pPr>
        <w:spacing w:before="0" w:after="60"/>
        <w:ind w:left="340"/>
      </w:pPr>
      <w:r>
        <w:rPr>
          <w:rFonts w:ascii="Calibri" w:hAnsi="Calibri"/>
          <w:b w:val="0"/>
          <w:i w:val="0"/>
          <w:sz w:val="20"/>
        </w:rPr>
        <w:t>•  The search policy and residents' consent to it are disclosed in the resident agreement.</w:t>
      </w:r>
    </w:p>
    <w:p>
      <w:pPr>
        <w:spacing w:before="0" w:after="60"/>
        <w:ind w:left="340"/>
      </w:pPr>
      <w:r>
        <w:rPr>
          <w:rFonts w:ascii="Calibri" w:hAnsi="Calibri"/>
          <w:b w:val="0"/>
          <w:i w:val="0"/>
          <w:sz w:val="20"/>
        </w:rPr>
        <w:t>•  Searches are conducted respectfully, with a witness where practical, and documented.</w:t>
      </w:r>
    </w:p>
    <w:p>
      <w:pPr>
        <w:spacing w:before="0" w:after="60"/>
        <w:ind w:left="340"/>
      </w:pPr>
      <w:r>
        <w:rPr>
          <w:rFonts w:ascii="Calibri" w:hAnsi="Calibri"/>
          <w:b w:val="0"/>
          <w:i w:val="0"/>
          <w:sz w:val="20"/>
        </w:rPr>
        <w:t>•  Confiscated illegal items are handled per law; prescribed medication is not treated as contraband.</w:t>
      </w:r>
    </w:p>
    <w:p>
      <w:pPr>
        <w:spacing w:before="0" w:after="60"/>
        <w:ind w:left="340"/>
      </w:pPr>
      <w:r>
        <w:rPr>
          <w:rFonts w:ascii="Calibri" w:hAnsi="Calibri"/>
          <w:b w:val="0"/>
          <w:i w:val="0"/>
          <w:sz w:val="20"/>
        </w:rPr>
        <w:t>•  Searches are never used to target protected residents.</w:t>
      </w:r>
    </w:p>
    <w:p>
      <w:pPr>
        <w:spacing w:before="260" w:after="90"/>
      </w:pPr>
      <w:r>
        <w:rPr>
          <w:rFonts w:ascii="Calibri" w:hAnsi="Calibri"/>
          <w:b/>
          <w:i w:val="0"/>
          <w:sz w:val="23"/>
        </w:rPr>
        <w:t>4.11  Technology and Communication</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set healthy norms for devices and communication in the home.</w:t>
      </w:r>
    </w:p>
    <w:p>
      <w:pPr>
        <w:spacing w:before="0" w:after="110"/>
      </w:pPr>
      <w:r>
        <w:rPr>
          <w:rFonts w:ascii="Calibri" w:hAnsi="Calibri"/>
          <w:b/>
          <w:i w:val="0"/>
          <w:sz w:val="20"/>
        </w:rPr>
        <w:t xml:space="preserve">Policy. </w:t>
      </w:r>
      <w:r>
        <w:rPr>
          <w:rFonts w:ascii="Calibri" w:hAnsi="Calibri"/>
          <w:b w:val="0"/>
          <w:i w:val="0"/>
          <w:sz w:val="20"/>
        </w:rPr>
        <w:t>The home sets reasonable expectations for technology use that support recovery and respect others.</w:t>
      </w:r>
    </w:p>
    <w:p>
      <w:pPr>
        <w:spacing w:before="0" w:after="60"/>
      </w:pPr>
      <w:r>
        <w:rPr>
          <w:rFonts w:ascii="Calibri" w:hAnsi="Calibri"/>
          <w:b/>
          <w:i w:val="0"/>
          <w:sz w:val="20"/>
        </w:rPr>
        <w:t>Procedure.</w:t>
      </w:r>
    </w:p>
    <w:p>
      <w:pPr>
        <w:spacing w:before="0" w:after="60"/>
        <w:ind w:left="340"/>
      </w:pPr>
      <w:r>
        <w:rPr>
          <w:rFonts w:ascii="Calibri" w:hAnsi="Calibri"/>
          <w:b w:val="0"/>
          <w:i w:val="0"/>
          <w:sz w:val="20"/>
        </w:rPr>
        <w:t>•  Reasonable norms for phones, internet, and shared devices are set.</w:t>
      </w:r>
    </w:p>
    <w:p>
      <w:pPr>
        <w:spacing w:before="0" w:after="60"/>
        <w:ind w:left="340"/>
      </w:pPr>
      <w:r>
        <w:rPr>
          <w:rFonts w:ascii="Calibri" w:hAnsi="Calibri"/>
          <w:b w:val="0"/>
          <w:i w:val="0"/>
          <w:sz w:val="20"/>
        </w:rPr>
        <w:t>•  Communication that threatens safety or privacy is prohibited.</w:t>
      </w:r>
    </w:p>
    <w:p>
      <w:pPr>
        <w:spacing w:before="0" w:after="60"/>
        <w:ind w:left="340"/>
      </w:pPr>
      <w:r>
        <w:rPr>
          <w:rFonts w:ascii="Calibri" w:hAnsi="Calibri"/>
          <w:b w:val="0"/>
          <w:i w:val="0"/>
          <w:sz w:val="20"/>
        </w:rPr>
        <w:t>•  The home protects residents' privacy in any home communications.</w:t>
      </w:r>
    </w:p>
    <w:p>
      <w:pPr>
        <w:spacing w:before="0" w:after="60"/>
        <w:ind w:left="340"/>
      </w:pPr>
      <w:r>
        <w:rPr>
          <w:rFonts w:ascii="Calibri" w:hAnsi="Calibri"/>
          <w:b w:val="0"/>
          <w:i w:val="0"/>
          <w:sz w:val="20"/>
        </w:rPr>
        <w:t>•  Technology is leveraged to connect residents to recovery resources.</w:t>
      </w:r>
    </w:p>
    <w:p>
      <w:pPr>
        <w:spacing w:before="0" w:after="60"/>
        <w:ind w:left="340"/>
      </w:pPr>
      <w:r>
        <w:rPr>
          <w:rFonts w:ascii="Calibri" w:hAnsi="Calibri"/>
          <w:b w:val="0"/>
          <w:i w:val="0"/>
          <w:sz w:val="20"/>
        </w:rPr>
        <w:t>•  Norms are applied consistently.</w:t>
      </w:r>
    </w:p>
    <w:p>
      <w:pPr>
        <w:spacing w:before="260" w:after="90"/>
      </w:pPr>
      <w:r>
        <w:rPr>
          <w:rFonts w:ascii="Calibri" w:hAnsi="Calibri"/>
          <w:b/>
          <w:i w:val="0"/>
          <w:sz w:val="23"/>
        </w:rPr>
        <w:t>4.12  Transportation</w:t>
      </w:r>
    </w:p>
    <w:p>
      <w:pPr>
        <w:spacing w:before="0" w:after="80"/>
      </w:pPr>
      <w:r>
        <w:rPr>
          <w:rFonts w:ascii="Calibri" w:hAnsi="Calibri"/>
          <w:b w:val="0"/>
          <w:i/>
          <w:color w:val="555555"/>
          <w:sz w:val="19"/>
        </w:rPr>
        <w:t>NARR Standard; insurance (1.12)</w:t>
      </w:r>
    </w:p>
    <w:p>
      <w:pPr>
        <w:spacing w:before="0" w:after="110"/>
      </w:pPr>
      <w:r>
        <w:rPr>
          <w:rFonts w:ascii="Calibri" w:hAnsi="Calibri"/>
          <w:b/>
          <w:i w:val="0"/>
          <w:sz w:val="20"/>
        </w:rPr>
        <w:t xml:space="preserve">Purpose. </w:t>
      </w:r>
      <w:r>
        <w:rPr>
          <w:rFonts w:ascii="Calibri" w:hAnsi="Calibri"/>
          <w:b w:val="0"/>
          <w:i w:val="0"/>
          <w:sz w:val="20"/>
        </w:rPr>
        <w:t>To handle any resident transportation safely and lawfully.</w:t>
      </w:r>
    </w:p>
    <w:p>
      <w:pPr>
        <w:spacing w:before="0" w:after="110"/>
      </w:pPr>
      <w:r>
        <w:rPr>
          <w:rFonts w:ascii="Calibri" w:hAnsi="Calibri"/>
          <w:b/>
          <w:i w:val="0"/>
          <w:sz w:val="20"/>
        </w:rPr>
        <w:t xml:space="preserve">Policy. </w:t>
      </w:r>
      <w:r>
        <w:rPr>
          <w:rFonts w:ascii="Calibri" w:hAnsi="Calibri"/>
          <w:b w:val="0"/>
          <w:i w:val="0"/>
          <w:sz w:val="20"/>
        </w:rPr>
        <w:t>When the home provides or arranges transportation, it does so safely, with proper licensing and insurance.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Any home vehicle is properly maintained, licensed, and insured.</w:t>
      </w:r>
    </w:p>
    <w:p>
      <w:pPr>
        <w:spacing w:before="0" w:after="60"/>
        <w:ind w:left="340"/>
      </w:pPr>
      <w:r>
        <w:rPr>
          <w:rFonts w:ascii="Calibri" w:hAnsi="Calibri"/>
          <w:b w:val="0"/>
          <w:i w:val="0"/>
          <w:sz w:val="20"/>
        </w:rPr>
        <w:t>•  Drivers are licensed and, where staff, screened.</w:t>
      </w:r>
    </w:p>
    <w:p>
      <w:pPr>
        <w:spacing w:before="0" w:after="60"/>
        <w:ind w:left="340"/>
      </w:pPr>
      <w:r>
        <w:rPr>
          <w:rFonts w:ascii="Calibri" w:hAnsi="Calibri"/>
          <w:b w:val="0"/>
          <w:i w:val="0"/>
          <w:sz w:val="20"/>
        </w:rPr>
        <w:t>•  Residents are informed of available transportation supports.</w:t>
      </w:r>
    </w:p>
    <w:p>
      <w:pPr>
        <w:spacing w:before="0" w:after="60"/>
        <w:ind w:left="340"/>
      </w:pPr>
      <w:r>
        <w:rPr>
          <w:rFonts w:ascii="Calibri" w:hAnsi="Calibri"/>
          <w:b w:val="0"/>
          <w:i w:val="0"/>
          <w:sz w:val="20"/>
        </w:rPr>
        <w:t>•  Transportation to meetings, work, and appointments is facilitated where feasible.</w:t>
      </w:r>
    </w:p>
    <w:p>
      <w:pPr>
        <w:spacing w:before="0" w:after="60"/>
        <w:ind w:left="340"/>
      </w:pPr>
      <w:r>
        <w:rPr>
          <w:rFonts w:ascii="Calibri" w:hAnsi="Calibri"/>
          <w:b w:val="0"/>
          <w:i w:val="0"/>
          <w:sz w:val="20"/>
        </w:rPr>
        <w:t>•  Safety expectations for any home-provided rides are documented.</w:t>
      </w:r>
    </w:p>
    <w:p>
      <w:pPr>
        <w:spacing w:before="260" w:after="90"/>
      </w:pPr>
      <w:r>
        <w:rPr>
          <w:rFonts w:ascii="Calibri" w:hAnsi="Calibri"/>
          <w:b/>
          <w:i w:val="0"/>
          <w:sz w:val="23"/>
        </w:rPr>
        <w:t>4.13  Kitchen, Food Safety &amp; Shared Meals</w:t>
      </w:r>
    </w:p>
    <w:p>
      <w:pPr>
        <w:spacing w:before="0" w:after="80"/>
      </w:pPr>
      <w:r>
        <w:rPr>
          <w:rFonts w:ascii="Calibri" w:hAnsi="Calibri"/>
          <w:b w:val="0"/>
          <w:i/>
          <w:color w:val="555555"/>
          <w:sz w:val="19"/>
        </w:rPr>
        <w:t>Local health code; NARR Standard — Property domain</w:t>
      </w:r>
    </w:p>
    <w:p>
      <w:pPr>
        <w:spacing w:before="0" w:after="110"/>
      </w:pPr>
      <w:r>
        <w:rPr>
          <w:rFonts w:ascii="Calibri" w:hAnsi="Calibri"/>
          <w:b/>
          <w:i w:val="0"/>
          <w:sz w:val="20"/>
        </w:rPr>
        <w:t xml:space="preserve">Purpose. </w:t>
      </w:r>
      <w:r>
        <w:rPr>
          <w:rFonts w:ascii="Calibri" w:hAnsi="Calibri"/>
          <w:b w:val="0"/>
          <w:i w:val="0"/>
          <w:sz w:val="20"/>
        </w:rPr>
        <w:t>To keep shared food areas safe and support healthy communal living.</w:t>
      </w:r>
    </w:p>
    <w:p>
      <w:pPr>
        <w:spacing w:before="0" w:after="110"/>
      </w:pPr>
      <w:r>
        <w:rPr>
          <w:rFonts w:ascii="Calibri" w:hAnsi="Calibri"/>
          <w:b/>
          <w:i w:val="0"/>
          <w:sz w:val="20"/>
        </w:rPr>
        <w:t xml:space="preserve">Policy. </w:t>
      </w:r>
      <w:r>
        <w:rPr>
          <w:rFonts w:ascii="Calibri" w:hAnsi="Calibri"/>
          <w:b w:val="0"/>
          <w:i w:val="0"/>
          <w:sz w:val="20"/>
        </w:rPr>
        <w:t>The home maintains safe, sanitary kitchen and food-storage practices and supports residents in preparing and sharing meals.</w:t>
      </w:r>
    </w:p>
    <w:p>
      <w:pPr>
        <w:spacing w:before="0" w:after="60"/>
      </w:pPr>
      <w:r>
        <w:rPr>
          <w:rFonts w:ascii="Calibri" w:hAnsi="Calibri"/>
          <w:b/>
          <w:i w:val="0"/>
          <w:sz w:val="20"/>
        </w:rPr>
        <w:t>Procedure.</w:t>
      </w:r>
    </w:p>
    <w:p>
      <w:pPr>
        <w:spacing w:before="0" w:after="60"/>
        <w:ind w:left="340"/>
      </w:pPr>
      <w:r>
        <w:rPr>
          <w:rFonts w:ascii="Calibri" w:hAnsi="Calibri"/>
          <w:b w:val="0"/>
          <w:i w:val="0"/>
          <w:sz w:val="20"/>
        </w:rPr>
        <w:t>•  Kitchen and food-storage areas are kept clean and sanitary.</w:t>
      </w:r>
    </w:p>
    <w:p>
      <w:pPr>
        <w:spacing w:before="0" w:after="60"/>
        <w:ind w:left="340"/>
      </w:pPr>
      <w:r>
        <w:rPr>
          <w:rFonts w:ascii="Calibri" w:hAnsi="Calibri"/>
          <w:b w:val="0"/>
          <w:i w:val="0"/>
          <w:sz w:val="20"/>
        </w:rPr>
        <w:t>•  Basic food-safety practices (refrigeration, labeling, cleanup) are followed.</w:t>
      </w:r>
    </w:p>
    <w:p>
      <w:pPr>
        <w:spacing w:before="0" w:after="60"/>
        <w:ind w:left="340"/>
      </w:pPr>
      <w:r>
        <w:rPr>
          <w:rFonts w:ascii="Calibri" w:hAnsi="Calibri"/>
          <w:b w:val="0"/>
          <w:i w:val="0"/>
          <w:sz w:val="20"/>
        </w:rPr>
        <w:t>•  Shared and personal food storage is organized and respectful.</w:t>
      </w:r>
    </w:p>
    <w:p>
      <w:pPr>
        <w:spacing w:before="0" w:after="60"/>
        <w:ind w:left="340"/>
      </w:pPr>
      <w:r>
        <w:rPr>
          <w:rFonts w:ascii="Calibri" w:hAnsi="Calibri"/>
          <w:b w:val="0"/>
          <w:i w:val="0"/>
          <w:sz w:val="20"/>
        </w:rPr>
        <w:t>•  Any communal-meal program is run safely and inclusively.</w:t>
      </w:r>
    </w:p>
    <w:p>
      <w:pPr>
        <w:spacing w:before="0" w:after="60"/>
        <w:ind w:left="340"/>
      </w:pPr>
      <w:r>
        <w:rPr>
          <w:rFonts w:ascii="Calibri" w:hAnsi="Calibri"/>
          <w:b w:val="0"/>
          <w:i w:val="0"/>
          <w:sz w:val="20"/>
        </w:rPr>
        <w:t>•  Pests are prevented and addressed promptly.</w:t>
      </w:r>
    </w:p>
    <w:p>
      <w:pPr>
        <w:spacing w:before="0" w:after="60"/>
        <w:ind w:left="340"/>
      </w:pPr>
      <w:r>
        <w:rPr>
          <w:rFonts w:ascii="Calibri" w:hAnsi="Calibri"/>
          <w:b w:val="0"/>
          <w:i w:val="0"/>
          <w:sz w:val="20"/>
        </w:rPr>
        <w:t>•  Residents share responsibility for kitchen cleanliness.</w:t>
      </w:r>
    </w:p>
    <w:p>
      <w:pPr>
        <w:spacing w:before="260" w:after="90"/>
      </w:pPr>
      <w:r>
        <w:rPr>
          <w:rFonts w:ascii="Calibri" w:hAnsi="Calibri"/>
          <w:b/>
          <w:i w:val="0"/>
          <w:sz w:val="23"/>
        </w:rPr>
        <w:t>4.14  Tobacco, Smoking &amp; Vaping</w:t>
      </w:r>
    </w:p>
    <w:p>
      <w:pPr>
        <w:spacing w:before="0" w:after="80"/>
      </w:pPr>
      <w:r>
        <w:rPr>
          <w:rFonts w:ascii="Calibri" w:hAnsi="Calibri"/>
          <w:b w:val="0"/>
          <w:i/>
          <w:color w:val="555555"/>
          <w:sz w:val="19"/>
        </w:rPr>
        <w:t>Local ordinances; NARR Standard</w:t>
      </w:r>
    </w:p>
    <w:p>
      <w:pPr>
        <w:spacing w:before="0" w:after="110"/>
      </w:pPr>
      <w:r>
        <w:rPr>
          <w:rFonts w:ascii="Calibri" w:hAnsi="Calibri"/>
          <w:b/>
          <w:i w:val="0"/>
          <w:sz w:val="20"/>
        </w:rPr>
        <w:t xml:space="preserve">Purpose. </w:t>
      </w:r>
      <w:r>
        <w:rPr>
          <w:rFonts w:ascii="Calibri" w:hAnsi="Calibri"/>
          <w:b w:val="0"/>
          <w:i w:val="0"/>
          <w:sz w:val="20"/>
        </w:rPr>
        <w:t>To set a clear, health-supportive policy on tobacco and vaping.</w:t>
      </w:r>
    </w:p>
    <w:p>
      <w:pPr>
        <w:spacing w:before="0" w:after="110"/>
      </w:pPr>
      <w:r>
        <w:rPr>
          <w:rFonts w:ascii="Calibri" w:hAnsi="Calibri"/>
          <w:b/>
          <w:i w:val="0"/>
          <w:sz w:val="20"/>
        </w:rPr>
        <w:t xml:space="preserve">Policy. </w:t>
      </w:r>
      <w:r>
        <w:rPr>
          <w:rFonts w:ascii="Calibri" w:hAnsi="Calibri"/>
          <w:b w:val="0"/>
          <w:i w:val="0"/>
          <w:sz w:val="20"/>
        </w:rPr>
        <w:t>The home adopts a written tobacco, smoking, and vaping policy that protects health and complies with local rules.</w:t>
      </w:r>
    </w:p>
    <w:p>
      <w:pPr>
        <w:spacing w:before="0" w:after="60"/>
      </w:pPr>
      <w:r>
        <w:rPr>
          <w:rFonts w:ascii="Calibri" w:hAnsi="Calibri"/>
          <w:b/>
          <w:i w:val="0"/>
          <w:sz w:val="20"/>
        </w:rPr>
        <w:t>Procedure.</w:t>
      </w:r>
    </w:p>
    <w:p>
      <w:pPr>
        <w:spacing w:before="0" w:after="60"/>
        <w:ind w:left="340"/>
      </w:pPr>
      <w:r>
        <w:rPr>
          <w:rFonts w:ascii="Calibri" w:hAnsi="Calibri"/>
          <w:b w:val="0"/>
          <w:i w:val="0"/>
          <w:sz w:val="20"/>
        </w:rPr>
        <w:t>•  Designated smoking areas and prohibitions are clearly stated.</w:t>
      </w:r>
    </w:p>
    <w:p>
      <w:pPr>
        <w:spacing w:before="0" w:after="60"/>
        <w:ind w:left="340"/>
      </w:pPr>
      <w:r>
        <w:rPr>
          <w:rFonts w:ascii="Calibri" w:hAnsi="Calibri"/>
          <w:b w:val="0"/>
          <w:i w:val="0"/>
          <w:sz w:val="20"/>
        </w:rPr>
        <w:t>•  Indoor smoking and vaping rules protect non-smoking residents.</w:t>
      </w:r>
    </w:p>
    <w:p>
      <w:pPr>
        <w:spacing w:before="0" w:after="60"/>
        <w:ind w:left="340"/>
      </w:pPr>
      <w:r>
        <w:rPr>
          <w:rFonts w:ascii="Calibri" w:hAnsi="Calibri"/>
          <w:b w:val="0"/>
          <w:i w:val="0"/>
          <w:sz w:val="20"/>
        </w:rPr>
        <w:t>•  Fire-safety practices for smoking materials are enforced.</w:t>
      </w:r>
    </w:p>
    <w:p>
      <w:pPr>
        <w:spacing w:before="0" w:after="60"/>
        <w:ind w:left="340"/>
      </w:pPr>
      <w:r>
        <w:rPr>
          <w:rFonts w:ascii="Calibri" w:hAnsi="Calibri"/>
          <w:b w:val="0"/>
          <w:i w:val="0"/>
          <w:sz w:val="20"/>
        </w:rPr>
        <w:t>•  Cessation resources are offered to interested residents.</w:t>
      </w:r>
    </w:p>
    <w:p>
      <w:pPr>
        <w:spacing w:before="0" w:after="60"/>
        <w:ind w:left="340"/>
      </w:pPr>
      <w:r>
        <w:rPr>
          <w:rFonts w:ascii="Calibri" w:hAnsi="Calibri"/>
          <w:b w:val="0"/>
          <w:i w:val="0"/>
          <w:sz w:val="20"/>
        </w:rPr>
        <w:t>•  The policy complies with local ordinances and lease terms.</w:t>
      </w:r>
    </w:p>
    <w:p>
      <w:pPr>
        <w:spacing w:before="0" w:after="60"/>
        <w:ind w:left="340"/>
      </w:pPr>
      <w:r>
        <w:rPr>
          <w:rFonts w:ascii="Calibri" w:hAnsi="Calibri"/>
          <w:b w:val="0"/>
          <w:i w:val="0"/>
          <w:sz w:val="20"/>
        </w:rPr>
        <w:t>•  Violations are handled under the graduated response.</w:t>
      </w:r>
    </w:p>
    <w:p>
      <w:pPr>
        <w:spacing w:before="260" w:after="90"/>
      </w:pPr>
      <w:r>
        <w:rPr>
          <w:rFonts w:ascii="Calibri" w:hAnsi="Calibri"/>
          <w:b/>
          <w:i w:val="0"/>
          <w:sz w:val="23"/>
        </w:rPr>
        <w:t>4.15  Pets in the Home</w:t>
      </w:r>
    </w:p>
    <w:p>
      <w:pPr>
        <w:spacing w:before="0" w:after="80"/>
      </w:pPr>
      <w:r>
        <w:rPr>
          <w:rFonts w:ascii="Calibri" w:hAnsi="Calibri"/>
          <w:b w:val="0"/>
          <w:i/>
          <w:color w:val="555555"/>
          <w:sz w:val="19"/>
        </w:rPr>
        <w:t>NARR Standard — Property domain</w:t>
      </w:r>
    </w:p>
    <w:p>
      <w:pPr>
        <w:spacing w:before="0" w:after="110"/>
      </w:pPr>
      <w:r>
        <w:rPr>
          <w:rFonts w:ascii="Calibri" w:hAnsi="Calibri"/>
          <w:b/>
          <w:i w:val="0"/>
          <w:sz w:val="20"/>
        </w:rPr>
        <w:t xml:space="preserve">Purpose. </w:t>
      </w:r>
      <w:r>
        <w:rPr>
          <w:rFonts w:ascii="Calibri" w:hAnsi="Calibri"/>
          <w:b w:val="0"/>
          <w:i w:val="0"/>
          <w:sz w:val="20"/>
        </w:rPr>
        <w:t>To set a fair pet policy distinct from service/assistance animals.</w:t>
      </w:r>
    </w:p>
    <w:p>
      <w:pPr>
        <w:spacing w:before="0" w:after="110"/>
      </w:pPr>
      <w:r>
        <w:rPr>
          <w:rFonts w:ascii="Calibri" w:hAnsi="Calibri"/>
          <w:b/>
          <w:i w:val="0"/>
          <w:sz w:val="20"/>
        </w:rPr>
        <w:t xml:space="preserve">Policy. </w:t>
      </w:r>
      <w:r>
        <w:rPr>
          <w:rFonts w:ascii="Calibri" w:hAnsi="Calibri"/>
          <w:b w:val="0"/>
          <w:i w:val="0"/>
          <w:sz w:val="20"/>
        </w:rPr>
        <w:t>The home sets a written pet policy that protects safety and cleanliness while distinguishing pets from service and assistance animals.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pet policy states whether and which pets are permitted.</w:t>
      </w:r>
    </w:p>
    <w:p>
      <w:pPr>
        <w:spacing w:before="0" w:after="60"/>
        <w:ind w:left="340"/>
      </w:pPr>
      <w:r>
        <w:rPr>
          <w:rFonts w:ascii="Calibri" w:hAnsi="Calibri"/>
          <w:b w:val="0"/>
          <w:i w:val="0"/>
          <w:sz w:val="20"/>
        </w:rPr>
        <w:t>•  Service and assistance animals are governed by 2.14, not this policy.</w:t>
      </w:r>
    </w:p>
    <w:p>
      <w:pPr>
        <w:spacing w:before="0" w:after="60"/>
        <w:ind w:left="340"/>
      </w:pPr>
      <w:r>
        <w:rPr>
          <w:rFonts w:ascii="Calibri" w:hAnsi="Calibri"/>
          <w:b w:val="0"/>
          <w:i w:val="0"/>
          <w:sz w:val="20"/>
        </w:rPr>
        <w:t>•  Residents with pets accept responsibility for care, behavior, and damage.</w:t>
      </w:r>
    </w:p>
    <w:p>
      <w:pPr>
        <w:spacing w:before="0" w:after="60"/>
        <w:ind w:left="340"/>
      </w:pPr>
      <w:r>
        <w:rPr>
          <w:rFonts w:ascii="Calibri" w:hAnsi="Calibri"/>
          <w:b w:val="0"/>
          <w:i w:val="0"/>
          <w:sz w:val="20"/>
        </w:rPr>
        <w:t>•  Health and sanitation standards are maintained.</w:t>
      </w:r>
    </w:p>
    <w:p>
      <w:pPr>
        <w:spacing w:before="0" w:after="60"/>
        <w:ind w:left="340"/>
      </w:pPr>
      <w:r>
        <w:rPr>
          <w:rFonts w:ascii="Calibri" w:hAnsi="Calibri"/>
          <w:b w:val="0"/>
          <w:i w:val="0"/>
          <w:sz w:val="20"/>
        </w:rPr>
        <w:t>•  Conflicts involving pets are mediated fairly.</w:t>
      </w:r>
    </w:p>
    <w:p>
      <w:pPr>
        <w:spacing w:before="0" w:after="60"/>
        <w:ind w:left="340"/>
      </w:pPr>
      <w:r>
        <w:rPr>
          <w:rFonts w:ascii="Calibri" w:hAnsi="Calibri"/>
          <w:b w:val="0"/>
          <w:i w:val="0"/>
          <w:sz w:val="20"/>
        </w:rPr>
        <w:t>•  The policy is applied consistently.</w:t>
      </w:r>
    </w:p>
    <w:p>
      <w:pPr>
        <w:spacing w:before="260" w:after="90"/>
      </w:pPr>
      <w:r>
        <w:rPr>
          <w:rFonts w:ascii="Calibri" w:hAnsi="Calibri"/>
          <w:b/>
          <w:i w:val="0"/>
          <w:sz w:val="23"/>
        </w:rPr>
        <w:t>4.16  Overnight Absence &amp; Pass Policy</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handle planned overnight absences safely and supportively.</w:t>
      </w:r>
    </w:p>
    <w:p>
      <w:pPr>
        <w:spacing w:before="0" w:after="110"/>
      </w:pPr>
      <w:r>
        <w:rPr>
          <w:rFonts w:ascii="Calibri" w:hAnsi="Calibri"/>
          <w:b/>
          <w:i w:val="0"/>
          <w:sz w:val="20"/>
        </w:rPr>
        <w:t xml:space="preserve">Policy. </w:t>
      </w:r>
      <w:r>
        <w:rPr>
          <w:rFonts w:ascii="Calibri" w:hAnsi="Calibri"/>
          <w:b w:val="0"/>
          <w:i w:val="0"/>
          <w:sz w:val="20"/>
        </w:rPr>
        <w:t>The home sets a written policy for overnight passes and absences that balances resident autonomy with safety and accountability.</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request overnight passes per the written policy.</w:t>
      </w:r>
    </w:p>
    <w:p>
      <w:pPr>
        <w:spacing w:before="0" w:after="60"/>
        <w:ind w:left="340"/>
      </w:pPr>
      <w:r>
        <w:rPr>
          <w:rFonts w:ascii="Calibri" w:hAnsi="Calibri"/>
          <w:b w:val="0"/>
          <w:i w:val="0"/>
          <w:sz w:val="20"/>
        </w:rPr>
        <w:t>•  Passes consider recovery stability and safety.</w:t>
      </w:r>
    </w:p>
    <w:p>
      <w:pPr>
        <w:spacing w:before="0" w:after="60"/>
        <w:ind w:left="340"/>
      </w:pPr>
      <w:r>
        <w:rPr>
          <w:rFonts w:ascii="Calibri" w:hAnsi="Calibri"/>
          <w:b w:val="0"/>
          <w:i w:val="0"/>
          <w:sz w:val="20"/>
        </w:rPr>
        <w:t>•  Expected return times and check-ins are agreed.</w:t>
      </w:r>
    </w:p>
    <w:p>
      <w:pPr>
        <w:spacing w:before="0" w:after="60"/>
        <w:ind w:left="340"/>
      </w:pPr>
      <w:r>
        <w:rPr>
          <w:rFonts w:ascii="Calibri" w:hAnsi="Calibri"/>
          <w:b w:val="0"/>
          <w:i w:val="0"/>
          <w:sz w:val="20"/>
        </w:rPr>
        <w:t>•  Unapproved or unexplained overnight absences trigger a welfare check (6.12).</w:t>
      </w:r>
    </w:p>
    <w:p>
      <w:pPr>
        <w:spacing w:before="0" w:after="60"/>
        <w:ind w:left="340"/>
      </w:pPr>
      <w:r>
        <w:rPr>
          <w:rFonts w:ascii="Calibri" w:hAnsi="Calibri"/>
          <w:b w:val="0"/>
          <w:i w:val="0"/>
          <w:sz w:val="20"/>
        </w:rPr>
        <w:t>•  Overdose risk after time away is considered on return.</w:t>
      </w:r>
    </w:p>
    <w:p>
      <w:pPr>
        <w:spacing w:before="0" w:after="60"/>
        <w:ind w:left="340"/>
      </w:pPr>
      <w:r>
        <w:rPr>
          <w:rFonts w:ascii="Calibri" w:hAnsi="Calibri"/>
          <w:b w:val="0"/>
          <w:i w:val="0"/>
          <w:sz w:val="20"/>
        </w:rPr>
        <w:t>•  Pass decisions are documented.</w:t>
      </w:r>
    </w:p>
    <w:p>
      <w:r>
        <w:br w:type="page"/>
      </w:r>
    </w:p>
    <w:p>
      <w:pPr>
        <w:spacing w:before="0" w:after="80"/>
      </w:pPr>
      <w:r>
        <w:rPr>
          <w:rFonts w:ascii="Calibri" w:hAnsi="Calibri"/>
          <w:b/>
          <w:i w:val="0"/>
          <w:sz w:val="26"/>
        </w:rPr>
        <w:t>Section 5 — Personnel, House Managers &amp; Training</w:t>
      </w:r>
    </w:p>
    <w:p>
      <w:pPr>
        <w:spacing w:before="0" w:after="160"/>
      </w:pPr>
      <w:r>
        <w:rPr>
          <w:rFonts w:ascii="Calibri" w:hAnsi="Calibri"/>
          <w:b w:val="0"/>
          <w:i/>
          <w:sz w:val="20"/>
        </w:rPr>
        <w:t>The people who run the home determine its quality and safety. This section sets the qualifications and conduct expected of house managers and staff, the screening that protects residents, and the training — especially overdose response — that every home needs. It also recognizes Florida's peer-support workforce and credentialing.</w:t>
      </w:r>
    </w:p>
    <w:p>
      <w:pPr>
        <w:spacing w:before="260" w:after="90"/>
      </w:pPr>
      <w:r>
        <w:rPr>
          <w:rFonts w:ascii="Calibri" w:hAnsi="Calibri"/>
          <w:b/>
          <w:i w:val="0"/>
          <w:sz w:val="23"/>
        </w:rPr>
        <w:t>5.01  House Manager Role and Qualifications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ensure the home is led by a qualified, stable house manager.</w:t>
      </w:r>
    </w:p>
    <w:p>
      <w:pPr>
        <w:spacing w:before="0" w:after="110"/>
      </w:pPr>
      <w:r>
        <w:rPr>
          <w:rFonts w:ascii="Calibri" w:hAnsi="Calibri"/>
          <w:b/>
          <w:i w:val="0"/>
          <w:sz w:val="20"/>
        </w:rPr>
        <w:t xml:space="preserve">Policy. </w:t>
      </w:r>
      <w:r>
        <w:rPr>
          <w:rFonts w:ascii="Calibri" w:hAnsi="Calibri"/>
          <w:b w:val="0"/>
          <w:i w:val="0"/>
          <w:sz w:val="20"/>
        </w:rPr>
        <w:t>The house manager is selected for stability in recovery, judgment, and leadership, and their role and authority are defined in writing.</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manager's duties, authority, and reporting line are documented.</w:t>
      </w:r>
    </w:p>
    <w:p>
      <w:pPr>
        <w:spacing w:before="0" w:after="60"/>
        <w:ind w:left="340"/>
      </w:pPr>
      <w:r>
        <w:rPr>
          <w:rFonts w:ascii="Calibri" w:hAnsi="Calibri"/>
          <w:b w:val="0"/>
          <w:i w:val="0"/>
          <w:sz w:val="20"/>
        </w:rPr>
        <w:t>•  Managers in recovery demonstrate sustained stability (commonly one year or more) where the home requires it.</w:t>
      </w:r>
    </w:p>
    <w:p>
      <w:pPr>
        <w:spacing w:before="0" w:after="60"/>
        <w:ind w:left="340"/>
      </w:pPr>
      <w:r>
        <w:rPr>
          <w:rFonts w:ascii="Calibri" w:hAnsi="Calibri"/>
          <w:b w:val="0"/>
          <w:i w:val="0"/>
          <w:sz w:val="20"/>
        </w:rPr>
        <w:t>•  The manager is trained on this manual, emergency response, and resident rights.</w:t>
      </w:r>
    </w:p>
    <w:p>
      <w:pPr>
        <w:spacing w:before="0" w:after="60"/>
        <w:ind w:left="340"/>
      </w:pPr>
      <w:r>
        <w:rPr>
          <w:rFonts w:ascii="Calibri" w:hAnsi="Calibri"/>
          <w:b w:val="0"/>
          <w:i w:val="0"/>
          <w:sz w:val="20"/>
        </w:rPr>
        <w:t>•  The manager enforces house rules fairly and models recovery.</w:t>
      </w:r>
    </w:p>
    <w:p>
      <w:pPr>
        <w:spacing w:before="0" w:after="60"/>
        <w:ind w:left="340"/>
      </w:pPr>
      <w:r>
        <w:rPr>
          <w:rFonts w:ascii="Calibri" w:hAnsi="Calibri"/>
          <w:b w:val="0"/>
          <w:i w:val="0"/>
          <w:sz w:val="20"/>
        </w:rPr>
        <w:t>•  A backup ensures coverage when the manager is absent.</w:t>
      </w:r>
    </w:p>
    <w:p>
      <w:pPr>
        <w:spacing w:before="260" w:after="90"/>
      </w:pPr>
      <w:r>
        <w:rPr>
          <w:rFonts w:ascii="Calibri" w:hAnsi="Calibri"/>
          <w:b/>
          <w:i w:val="0"/>
          <w:sz w:val="23"/>
        </w:rPr>
        <w:t>5.02  Peer Recovery Support and Certified Peer Workers</w:t>
      </w:r>
    </w:p>
    <w:p>
      <w:pPr>
        <w:spacing w:before="0" w:after="80"/>
      </w:pPr>
      <w:r>
        <w:rPr>
          <w:rFonts w:ascii="Calibri" w:hAnsi="Calibri"/>
          <w:b w:val="0"/>
          <w:i/>
          <w:color w:val="555555"/>
          <w:sz w:val="19"/>
        </w:rPr>
        <w:t>Florida Certified Recovery Peer Specialist (Florida Certification Board)</w:t>
      </w:r>
    </w:p>
    <w:p>
      <w:pPr>
        <w:spacing w:before="0" w:after="110"/>
      </w:pPr>
      <w:r>
        <w:rPr>
          <w:rFonts w:ascii="Calibri" w:hAnsi="Calibri"/>
          <w:b/>
          <w:i w:val="0"/>
          <w:sz w:val="20"/>
        </w:rPr>
        <w:t xml:space="preserve">Purpose. </w:t>
      </w:r>
      <w:r>
        <w:rPr>
          <w:rFonts w:ascii="Calibri" w:hAnsi="Calibri"/>
          <w:b w:val="0"/>
          <w:i w:val="0"/>
          <w:sz w:val="20"/>
        </w:rPr>
        <w:t>To deliver peer support competently and, where formalized, through credentialed workers.</w:t>
      </w:r>
    </w:p>
    <w:p>
      <w:pPr>
        <w:spacing w:before="0" w:after="110"/>
      </w:pPr>
      <w:r>
        <w:rPr>
          <w:rFonts w:ascii="Calibri" w:hAnsi="Calibri"/>
          <w:b/>
          <w:i w:val="0"/>
          <w:sz w:val="20"/>
        </w:rPr>
        <w:t xml:space="preserve">Policy. </w:t>
      </w:r>
      <w:r>
        <w:rPr>
          <w:rFonts w:ascii="Calibri" w:hAnsi="Calibri"/>
          <w:b w:val="0"/>
          <w:i w:val="0"/>
          <w:sz w:val="20"/>
        </w:rPr>
        <w:t>When the home offers formal peer recovery support, it uses appropriately trained or Florida-certified recovery peer specialists and keeps peer support within its non-clinical scope.</w:t>
      </w:r>
    </w:p>
    <w:p>
      <w:pPr>
        <w:spacing w:before="0" w:after="60"/>
      </w:pPr>
      <w:r>
        <w:rPr>
          <w:rFonts w:ascii="Calibri" w:hAnsi="Calibri"/>
          <w:b/>
          <w:i w:val="0"/>
          <w:sz w:val="20"/>
        </w:rPr>
        <w:t>Procedure.</w:t>
      </w:r>
    </w:p>
    <w:p>
      <w:pPr>
        <w:spacing w:before="0" w:after="60"/>
        <w:ind w:left="340"/>
      </w:pPr>
      <w:r>
        <w:rPr>
          <w:rFonts w:ascii="Calibri" w:hAnsi="Calibri"/>
          <w:b w:val="0"/>
          <w:i w:val="0"/>
          <w:sz w:val="20"/>
        </w:rPr>
        <w:t>•  Formal peer support is delivered by trained or certified peer-recovery-supporter staff where required.</w:t>
      </w:r>
    </w:p>
    <w:p>
      <w:pPr>
        <w:spacing w:before="0" w:after="60"/>
        <w:ind w:left="340"/>
      </w:pPr>
      <w:r>
        <w:rPr>
          <w:rFonts w:ascii="Calibri" w:hAnsi="Calibri"/>
          <w:b w:val="0"/>
          <w:i w:val="0"/>
          <w:sz w:val="20"/>
        </w:rPr>
        <w:t>•  Peer support stays within a non-clinical, recovery-oriented scope.</w:t>
      </w:r>
    </w:p>
    <w:p>
      <w:pPr>
        <w:spacing w:before="0" w:after="60"/>
        <w:ind w:left="340"/>
      </w:pPr>
      <w:r>
        <w:rPr>
          <w:rFonts w:ascii="Calibri" w:hAnsi="Calibri"/>
          <w:b w:val="0"/>
          <w:i w:val="0"/>
          <w:sz w:val="20"/>
        </w:rPr>
        <w:t>•  Peer workers follow ethical boundaries and confidentiality rules.</w:t>
      </w:r>
    </w:p>
    <w:p>
      <w:pPr>
        <w:spacing w:before="0" w:after="60"/>
        <w:ind w:left="340"/>
      </w:pPr>
      <w:r>
        <w:rPr>
          <w:rFonts w:ascii="Calibri" w:hAnsi="Calibri"/>
          <w:b w:val="0"/>
          <w:i w:val="0"/>
          <w:sz w:val="20"/>
        </w:rPr>
        <w:t>•  The home supports staff pursuing Florida recovery peer specialist credentials.</w:t>
      </w:r>
    </w:p>
    <w:p>
      <w:pPr>
        <w:spacing w:before="0" w:after="60"/>
        <w:ind w:left="340"/>
      </w:pPr>
      <w:r>
        <w:rPr>
          <w:rFonts w:ascii="Calibri" w:hAnsi="Calibri"/>
          <w:b w:val="0"/>
          <w:i w:val="0"/>
          <w:sz w:val="20"/>
        </w:rPr>
        <w:t>•  Peer roles are distinguished from clinical roles in writing.</w:t>
      </w:r>
    </w:p>
    <w:p>
      <w:pPr>
        <w:spacing w:before="260" w:after="90"/>
      </w:pPr>
      <w:r>
        <w:rPr>
          <w:rFonts w:ascii="Calibri" w:hAnsi="Calibri"/>
          <w:b/>
          <w:i w:val="0"/>
          <w:sz w:val="23"/>
        </w:rPr>
        <w:t>5.03  Staff and Volunteer Screening and Background Checks</w:t>
      </w:r>
    </w:p>
    <w:p>
      <w:pPr>
        <w:spacing w:before="0" w:after="80"/>
      </w:pPr>
      <w:r>
        <w:rPr>
          <w:rFonts w:ascii="Calibri" w:hAnsi="Calibri"/>
          <w:b w:val="0"/>
          <w:i/>
          <w:color w:val="555555"/>
          <w:sz w:val="19"/>
        </w:rPr>
        <w:t>NARR Standard; Florida Level 2 background screening (Ch. 435)</w:t>
      </w:r>
    </w:p>
    <w:p>
      <w:pPr>
        <w:spacing w:before="0" w:after="110"/>
      </w:pPr>
      <w:r>
        <w:rPr>
          <w:rFonts w:ascii="Calibri" w:hAnsi="Calibri"/>
          <w:b/>
          <w:i w:val="0"/>
          <w:sz w:val="20"/>
        </w:rPr>
        <w:t xml:space="preserve">Purpose. </w:t>
      </w:r>
      <w:r>
        <w:rPr>
          <w:rFonts w:ascii="Calibri" w:hAnsi="Calibri"/>
          <w:b w:val="0"/>
          <w:i w:val="0"/>
          <w:sz w:val="20"/>
        </w:rPr>
        <w:t>To protect residents through appropriate screening of anyone in a position of trust.</w:t>
      </w:r>
    </w:p>
    <w:p>
      <w:pPr>
        <w:spacing w:before="0" w:after="110"/>
      </w:pPr>
      <w:r>
        <w:rPr>
          <w:rFonts w:ascii="Calibri" w:hAnsi="Calibri"/>
          <w:b/>
          <w:i w:val="0"/>
          <w:sz w:val="20"/>
        </w:rPr>
        <w:t xml:space="preserve">Policy. </w:t>
      </w:r>
      <w:r>
        <w:rPr>
          <w:rFonts w:ascii="Calibri" w:hAnsi="Calibri"/>
          <w:b w:val="0"/>
          <w:i w:val="0"/>
          <w:sz w:val="20"/>
        </w:rPr>
        <w:t>The home screens staff and volunteers appropriately before they take on responsibility for or access to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Background checks appropriate to the role are conducted and documented.</w:t>
      </w:r>
    </w:p>
    <w:p>
      <w:pPr>
        <w:spacing w:before="0" w:after="60"/>
        <w:ind w:left="340"/>
      </w:pPr>
      <w:r>
        <w:rPr>
          <w:rFonts w:ascii="Calibri" w:hAnsi="Calibri"/>
          <w:b w:val="0"/>
          <w:i w:val="0"/>
          <w:sz w:val="20"/>
        </w:rPr>
        <w:t>•  References and relevant credentials are verified.</w:t>
      </w:r>
    </w:p>
    <w:p>
      <w:pPr>
        <w:spacing w:before="0" w:after="60"/>
        <w:ind w:left="340"/>
      </w:pPr>
      <w:r>
        <w:rPr>
          <w:rFonts w:ascii="Calibri" w:hAnsi="Calibri"/>
          <w:b w:val="0"/>
          <w:i w:val="0"/>
          <w:sz w:val="20"/>
        </w:rPr>
        <w:t>•  Screening criteria are applied consistently and lawfully, considering recovery and second-chance principles.</w:t>
      </w:r>
    </w:p>
    <w:p>
      <w:pPr>
        <w:spacing w:before="0" w:after="60"/>
        <w:ind w:left="340"/>
      </w:pPr>
      <w:r>
        <w:rPr>
          <w:rFonts w:ascii="Calibri" w:hAnsi="Calibri"/>
          <w:b w:val="0"/>
          <w:i w:val="0"/>
          <w:sz w:val="20"/>
        </w:rPr>
        <w:t>•  Results are kept confidential in personnel files.</w:t>
      </w:r>
    </w:p>
    <w:p>
      <w:pPr>
        <w:spacing w:before="0" w:after="60"/>
        <w:ind w:left="340"/>
      </w:pPr>
      <w:r>
        <w:rPr>
          <w:rFonts w:ascii="Calibri" w:hAnsi="Calibri"/>
          <w:b w:val="0"/>
          <w:i w:val="0"/>
          <w:sz w:val="20"/>
        </w:rPr>
        <w:t>•  Re-screening occurs as policy or funders require.</w:t>
      </w:r>
    </w:p>
    <w:p>
      <w:pPr>
        <w:spacing w:before="260" w:after="90"/>
      </w:pPr>
      <w:r>
        <w:rPr>
          <w:rFonts w:ascii="Calibri" w:hAnsi="Calibri"/>
          <w:b/>
          <w:i w:val="0"/>
          <w:sz w:val="23"/>
        </w:rPr>
        <w:t>5.04  Code of Conduct for Staff and Managers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hold everyone in a position of trust to clear conduct standards.</w:t>
      </w:r>
    </w:p>
    <w:p>
      <w:pPr>
        <w:spacing w:before="0" w:after="110"/>
      </w:pPr>
      <w:r>
        <w:rPr>
          <w:rFonts w:ascii="Calibri" w:hAnsi="Calibri"/>
          <w:b/>
          <w:i w:val="0"/>
          <w:sz w:val="20"/>
        </w:rPr>
        <w:t xml:space="preserve">Policy. </w:t>
      </w:r>
      <w:r>
        <w:rPr>
          <w:rFonts w:ascii="Calibri" w:hAnsi="Calibri"/>
          <w:b w:val="0"/>
          <w:i w:val="0"/>
          <w:sz w:val="20"/>
        </w:rPr>
        <w:t>Staff and managers follow a written code of conduct centered on resident welfare, boundaries, and integrity.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code prohibits exploitation, harassment, and boundary violations.</w:t>
      </w:r>
    </w:p>
    <w:p>
      <w:pPr>
        <w:spacing w:before="0" w:after="60"/>
        <w:ind w:left="340"/>
      </w:pPr>
      <w:r>
        <w:rPr>
          <w:rFonts w:ascii="Calibri" w:hAnsi="Calibri"/>
          <w:b w:val="0"/>
          <w:i w:val="0"/>
          <w:sz w:val="20"/>
        </w:rPr>
        <w:t>•  Staff maintain professional boundaries with current and recent residents.</w:t>
      </w:r>
    </w:p>
    <w:p>
      <w:pPr>
        <w:spacing w:before="0" w:after="60"/>
        <w:ind w:left="340"/>
      </w:pPr>
      <w:r>
        <w:rPr>
          <w:rFonts w:ascii="Calibri" w:hAnsi="Calibri"/>
          <w:b w:val="0"/>
          <w:i w:val="0"/>
          <w:sz w:val="20"/>
        </w:rPr>
        <w:t>•  Financial dealings with residents for personal gain are prohibited.</w:t>
      </w:r>
    </w:p>
    <w:p>
      <w:pPr>
        <w:spacing w:before="0" w:after="60"/>
        <w:ind w:left="340"/>
      </w:pPr>
      <w:r>
        <w:rPr>
          <w:rFonts w:ascii="Calibri" w:hAnsi="Calibri"/>
          <w:b w:val="0"/>
          <w:i w:val="0"/>
          <w:sz w:val="20"/>
        </w:rPr>
        <w:t>•  Violations are documented and result in corrective action.</w:t>
      </w:r>
    </w:p>
    <w:p>
      <w:pPr>
        <w:spacing w:before="0" w:after="60"/>
        <w:ind w:left="340"/>
      </w:pPr>
      <w:r>
        <w:rPr>
          <w:rFonts w:ascii="Calibri" w:hAnsi="Calibri"/>
          <w:b w:val="0"/>
          <w:i w:val="0"/>
          <w:sz w:val="20"/>
        </w:rPr>
        <w:t>•  All staff sign the code and are re-oriented periodically.</w:t>
      </w:r>
    </w:p>
    <w:p>
      <w:pPr>
        <w:spacing w:before="260" w:after="90"/>
      </w:pPr>
      <w:r>
        <w:rPr>
          <w:rFonts w:ascii="Calibri" w:hAnsi="Calibri"/>
          <w:b/>
          <w:i w:val="0"/>
          <w:sz w:val="23"/>
        </w:rPr>
        <w:t>5.05  Training and Orientation for Staff</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equip staff to do their jobs safely and well.</w:t>
      </w:r>
    </w:p>
    <w:p>
      <w:pPr>
        <w:spacing w:before="0" w:after="110"/>
      </w:pPr>
      <w:r>
        <w:rPr>
          <w:rFonts w:ascii="Calibri" w:hAnsi="Calibri"/>
          <w:b/>
          <w:i w:val="0"/>
          <w:sz w:val="20"/>
        </w:rPr>
        <w:t xml:space="preserve">Policy. </w:t>
      </w:r>
      <w:r>
        <w:rPr>
          <w:rFonts w:ascii="Calibri" w:hAnsi="Calibri"/>
          <w:b w:val="0"/>
          <w:i w:val="0"/>
          <w:sz w:val="20"/>
        </w:rPr>
        <w:t>All staff and managers complete orientation and ongoing training appropriate to their role.</w:t>
      </w:r>
    </w:p>
    <w:p>
      <w:pPr>
        <w:spacing w:before="0" w:after="60"/>
      </w:pPr>
      <w:r>
        <w:rPr>
          <w:rFonts w:ascii="Calibri" w:hAnsi="Calibri"/>
          <w:b/>
          <w:i w:val="0"/>
          <w:sz w:val="20"/>
        </w:rPr>
        <w:t>Procedure.</w:t>
      </w:r>
    </w:p>
    <w:p>
      <w:pPr>
        <w:spacing w:before="0" w:after="60"/>
        <w:ind w:left="340"/>
      </w:pPr>
      <w:r>
        <w:rPr>
          <w:rFonts w:ascii="Calibri" w:hAnsi="Calibri"/>
          <w:b w:val="0"/>
          <w:i w:val="0"/>
          <w:sz w:val="20"/>
        </w:rPr>
        <w:t>•  Orientation covers this manual, resident rights, and emergency procedures.</w:t>
      </w:r>
    </w:p>
    <w:p>
      <w:pPr>
        <w:spacing w:before="0" w:after="60"/>
        <w:ind w:left="340"/>
      </w:pPr>
      <w:r>
        <w:rPr>
          <w:rFonts w:ascii="Calibri" w:hAnsi="Calibri"/>
          <w:b w:val="0"/>
          <w:i w:val="0"/>
          <w:sz w:val="20"/>
        </w:rPr>
        <w:t>•  Training includes de-escalation, boundaries, and cultural responsiveness.</w:t>
      </w:r>
    </w:p>
    <w:p>
      <w:pPr>
        <w:spacing w:before="0" w:after="60"/>
        <w:ind w:left="340"/>
      </w:pPr>
      <w:r>
        <w:rPr>
          <w:rFonts w:ascii="Calibri" w:hAnsi="Calibri"/>
          <w:b w:val="0"/>
          <w:i w:val="0"/>
          <w:sz w:val="20"/>
        </w:rPr>
        <w:t>•  Overdose response training is required (5.06).</w:t>
      </w:r>
    </w:p>
    <w:p>
      <w:pPr>
        <w:spacing w:before="0" w:after="60"/>
        <w:ind w:left="340"/>
      </w:pPr>
      <w:r>
        <w:rPr>
          <w:rFonts w:ascii="Calibri" w:hAnsi="Calibri"/>
          <w:b w:val="0"/>
          <w:i w:val="0"/>
          <w:sz w:val="20"/>
        </w:rPr>
        <w:t>•  Training is documented with dates and topics.</w:t>
      </w:r>
    </w:p>
    <w:p>
      <w:pPr>
        <w:spacing w:before="0" w:after="60"/>
        <w:ind w:left="340"/>
      </w:pPr>
      <w:r>
        <w:rPr>
          <w:rFonts w:ascii="Calibri" w:hAnsi="Calibri"/>
          <w:b w:val="0"/>
          <w:i w:val="0"/>
          <w:sz w:val="20"/>
        </w:rPr>
        <w:t>•  Refresher training is provided at least annually.</w:t>
      </w:r>
    </w:p>
    <w:p>
      <w:pPr>
        <w:spacing w:before="260" w:after="90"/>
      </w:pPr>
      <w:r>
        <w:rPr>
          <w:rFonts w:ascii="Calibri" w:hAnsi="Calibri"/>
          <w:b/>
          <w:i w:val="0"/>
          <w:sz w:val="23"/>
        </w:rPr>
        <w:t>5.06  Naloxone and Overdose Response Training</w:t>
      </w:r>
    </w:p>
    <w:p>
      <w:pPr>
        <w:spacing w:before="0" w:after="80"/>
      </w:pPr>
      <w:r>
        <w:rPr>
          <w:rFonts w:ascii="Calibri" w:hAnsi="Calibri"/>
          <w:b w:val="0"/>
          <w:i/>
          <w:color w:val="555555"/>
          <w:sz w:val="19"/>
        </w:rPr>
        <w:t>Florida naloxone standing order; SAMHSA</w:t>
      </w:r>
    </w:p>
    <w:p>
      <w:pPr>
        <w:spacing w:before="0" w:after="110"/>
      </w:pPr>
      <w:r>
        <w:rPr>
          <w:rFonts w:ascii="Calibri" w:hAnsi="Calibri"/>
          <w:b/>
          <w:i w:val="0"/>
          <w:sz w:val="20"/>
        </w:rPr>
        <w:t xml:space="preserve">Purpose. </w:t>
      </w:r>
      <w:r>
        <w:rPr>
          <w:rFonts w:ascii="Calibri" w:hAnsi="Calibri"/>
          <w:b w:val="0"/>
          <w:i w:val="0"/>
          <w:sz w:val="20"/>
        </w:rPr>
        <w:t>To ensure staff can recognize and reverse an overdose.</w:t>
      </w:r>
    </w:p>
    <w:p>
      <w:pPr>
        <w:spacing w:before="0" w:after="110"/>
      </w:pPr>
      <w:r>
        <w:rPr>
          <w:rFonts w:ascii="Calibri" w:hAnsi="Calibri"/>
          <w:b/>
          <w:i w:val="0"/>
          <w:sz w:val="20"/>
        </w:rPr>
        <w:t xml:space="preserve">Policy. </w:t>
      </w:r>
      <w:r>
        <w:rPr>
          <w:rFonts w:ascii="Calibri" w:hAnsi="Calibri"/>
          <w:b w:val="0"/>
          <w:i w:val="0"/>
          <w:sz w:val="20"/>
        </w:rPr>
        <w:t>Every manager and staff member is trained to recognize an overdose and administer naloxone.</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complete overdose-recognition and naloxone training at onboarding.</w:t>
      </w:r>
    </w:p>
    <w:p>
      <w:pPr>
        <w:spacing w:before="0" w:after="60"/>
        <w:ind w:left="340"/>
      </w:pPr>
      <w:r>
        <w:rPr>
          <w:rFonts w:ascii="Calibri" w:hAnsi="Calibri"/>
          <w:b w:val="0"/>
          <w:i w:val="0"/>
          <w:sz w:val="20"/>
        </w:rPr>
        <w:t>•  Naloxone locations and the response protocol are known to all staff.</w:t>
      </w:r>
    </w:p>
    <w:p>
      <w:pPr>
        <w:spacing w:before="0" w:after="60"/>
        <w:ind w:left="340"/>
      </w:pPr>
      <w:r>
        <w:rPr>
          <w:rFonts w:ascii="Calibri" w:hAnsi="Calibri"/>
          <w:b w:val="0"/>
          <w:i w:val="0"/>
          <w:sz w:val="20"/>
        </w:rPr>
        <w:t>•  Training is refreshed regularly and after any incident.</w:t>
      </w:r>
    </w:p>
    <w:p>
      <w:pPr>
        <w:spacing w:before="0" w:after="60"/>
        <w:ind w:left="340"/>
      </w:pPr>
      <w:r>
        <w:rPr>
          <w:rFonts w:ascii="Calibri" w:hAnsi="Calibri"/>
          <w:b w:val="0"/>
          <w:i w:val="0"/>
          <w:sz w:val="20"/>
        </w:rPr>
        <w:t>•  Residents are included in overdose-response education.</w:t>
      </w:r>
    </w:p>
    <w:p>
      <w:pPr>
        <w:spacing w:before="0" w:after="60"/>
        <w:ind w:left="340"/>
      </w:pPr>
      <w:r>
        <w:rPr>
          <w:rFonts w:ascii="Calibri" w:hAnsi="Calibri"/>
          <w:b w:val="0"/>
          <w:i w:val="0"/>
          <w:sz w:val="20"/>
        </w:rPr>
        <w:t>•  Training completion is documented.</w:t>
      </w:r>
    </w:p>
    <w:p>
      <w:pPr>
        <w:spacing w:before="260" w:after="90"/>
      </w:pPr>
      <w:r>
        <w:rPr>
          <w:rFonts w:ascii="Calibri" w:hAnsi="Calibri"/>
          <w:b/>
          <w:i w:val="0"/>
          <w:sz w:val="23"/>
        </w:rPr>
        <w:t>5.07  Boundaries and Dual Relationships</w:t>
      </w:r>
    </w:p>
    <w:p>
      <w:pPr>
        <w:spacing w:before="0" w:after="80"/>
      </w:pPr>
      <w:r>
        <w:rPr>
          <w:rFonts w:ascii="Calibri" w:hAnsi="Calibri"/>
          <w:b w:val="0"/>
          <w:i/>
          <w:color w:val="555555"/>
          <w:sz w:val="19"/>
        </w:rPr>
        <w:t>NARR Code of Ethics</w:t>
      </w:r>
    </w:p>
    <w:p>
      <w:pPr>
        <w:spacing w:before="0" w:after="110"/>
      </w:pPr>
      <w:r>
        <w:rPr>
          <w:rFonts w:ascii="Calibri" w:hAnsi="Calibri"/>
          <w:b/>
          <w:i w:val="0"/>
          <w:sz w:val="20"/>
        </w:rPr>
        <w:t xml:space="preserve">Purpose. </w:t>
      </w:r>
      <w:r>
        <w:rPr>
          <w:rFonts w:ascii="Calibri" w:hAnsi="Calibri"/>
          <w:b w:val="0"/>
          <w:i w:val="0"/>
          <w:sz w:val="20"/>
        </w:rPr>
        <w:t>To prevent harm from blurred or exploitative relationships.</w:t>
      </w:r>
    </w:p>
    <w:p>
      <w:pPr>
        <w:spacing w:before="0" w:after="110"/>
      </w:pPr>
      <w:r>
        <w:rPr>
          <w:rFonts w:ascii="Calibri" w:hAnsi="Calibri"/>
          <w:b/>
          <w:i w:val="0"/>
          <w:sz w:val="20"/>
        </w:rPr>
        <w:t xml:space="preserve">Policy. </w:t>
      </w:r>
      <w:r>
        <w:rPr>
          <w:rFonts w:ascii="Calibri" w:hAnsi="Calibri"/>
          <w:b w:val="0"/>
          <w:i w:val="0"/>
          <w:sz w:val="20"/>
        </w:rPr>
        <w:t>Staff avoid dual relationships that could exploit or harm residents and disclose unavoidable ones.</w:t>
      </w:r>
    </w:p>
    <w:p>
      <w:pPr>
        <w:spacing w:before="0" w:after="60"/>
      </w:pPr>
      <w:r>
        <w:rPr>
          <w:rFonts w:ascii="Calibri" w:hAnsi="Calibri"/>
          <w:b/>
          <w:i w:val="0"/>
          <w:sz w:val="20"/>
        </w:rPr>
        <w:t>Procedure.</w:t>
      </w:r>
    </w:p>
    <w:p>
      <w:pPr>
        <w:spacing w:before="0" w:after="60"/>
        <w:ind w:left="340"/>
      </w:pPr>
      <w:r>
        <w:rPr>
          <w:rFonts w:ascii="Calibri" w:hAnsi="Calibri"/>
          <w:b w:val="0"/>
          <w:i w:val="0"/>
          <w:sz w:val="20"/>
        </w:rPr>
        <w:t>•  Romantic or sexual relationships with current residents are prohibited.</w:t>
      </w:r>
    </w:p>
    <w:p>
      <w:pPr>
        <w:spacing w:before="0" w:after="60"/>
        <w:ind w:left="340"/>
      </w:pPr>
      <w:r>
        <w:rPr>
          <w:rFonts w:ascii="Calibri" w:hAnsi="Calibri"/>
          <w:b w:val="0"/>
          <w:i w:val="0"/>
          <w:sz w:val="20"/>
        </w:rPr>
        <w:t>•  Pre-existing relationships are disclosed and managed.</w:t>
      </w:r>
    </w:p>
    <w:p>
      <w:pPr>
        <w:spacing w:before="0" w:after="60"/>
        <w:ind w:left="340"/>
      </w:pPr>
      <w:r>
        <w:rPr>
          <w:rFonts w:ascii="Calibri" w:hAnsi="Calibri"/>
          <w:b w:val="0"/>
          <w:i w:val="0"/>
          <w:sz w:val="20"/>
        </w:rPr>
        <w:t>•  Staff do not borrow from or lend to residents.</w:t>
      </w:r>
    </w:p>
    <w:p>
      <w:pPr>
        <w:spacing w:before="0" w:after="60"/>
        <w:ind w:left="340"/>
      </w:pPr>
      <w:r>
        <w:rPr>
          <w:rFonts w:ascii="Calibri" w:hAnsi="Calibri"/>
          <w:b w:val="0"/>
          <w:i w:val="0"/>
          <w:sz w:val="20"/>
        </w:rPr>
        <w:t>•  Boundary concerns are reported and addressed.</w:t>
      </w:r>
    </w:p>
    <w:p>
      <w:pPr>
        <w:spacing w:before="0" w:after="60"/>
        <w:ind w:left="340"/>
      </w:pPr>
      <w:r>
        <w:rPr>
          <w:rFonts w:ascii="Calibri" w:hAnsi="Calibri"/>
          <w:b w:val="0"/>
          <w:i w:val="0"/>
          <w:sz w:val="20"/>
        </w:rPr>
        <w:t>•  The operator monitors for boundary risks.</w:t>
      </w:r>
    </w:p>
    <w:p>
      <w:pPr>
        <w:spacing w:before="260" w:after="90"/>
      </w:pPr>
      <w:r>
        <w:rPr>
          <w:rFonts w:ascii="Calibri" w:hAnsi="Calibri"/>
          <w:b/>
          <w:i w:val="0"/>
          <w:sz w:val="23"/>
        </w:rPr>
        <w:t>5.08  Supervision and Support of House Managers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support managers so they can support residents.</w:t>
      </w:r>
    </w:p>
    <w:p>
      <w:pPr>
        <w:spacing w:before="0" w:after="110"/>
      </w:pPr>
      <w:r>
        <w:rPr>
          <w:rFonts w:ascii="Calibri" w:hAnsi="Calibri"/>
          <w:b/>
          <w:i w:val="0"/>
          <w:sz w:val="20"/>
        </w:rPr>
        <w:t xml:space="preserve">Policy. </w:t>
      </w:r>
      <w:r>
        <w:rPr>
          <w:rFonts w:ascii="Calibri" w:hAnsi="Calibri"/>
          <w:b w:val="0"/>
          <w:i w:val="0"/>
          <w:sz w:val="20"/>
        </w:rPr>
        <w:t>The operator provides regular supervision, support, and resources to house managers.</w:t>
      </w:r>
    </w:p>
    <w:p>
      <w:pPr>
        <w:spacing w:before="0" w:after="60"/>
      </w:pPr>
      <w:r>
        <w:rPr>
          <w:rFonts w:ascii="Calibri" w:hAnsi="Calibri"/>
          <w:b/>
          <w:i w:val="0"/>
          <w:sz w:val="20"/>
        </w:rPr>
        <w:t>Procedure.</w:t>
      </w:r>
    </w:p>
    <w:p>
      <w:pPr>
        <w:spacing w:before="0" w:after="60"/>
        <w:ind w:left="340"/>
      </w:pPr>
      <w:r>
        <w:rPr>
          <w:rFonts w:ascii="Calibri" w:hAnsi="Calibri"/>
          <w:b w:val="0"/>
          <w:i w:val="0"/>
          <w:sz w:val="20"/>
        </w:rPr>
        <w:t>•  Regular check-ins between operator and manager occur and are documented.</w:t>
      </w:r>
    </w:p>
    <w:p>
      <w:pPr>
        <w:spacing w:before="0" w:after="60"/>
        <w:ind w:left="340"/>
      </w:pPr>
      <w:r>
        <w:rPr>
          <w:rFonts w:ascii="Calibri" w:hAnsi="Calibri"/>
          <w:b w:val="0"/>
          <w:i w:val="0"/>
          <w:sz w:val="20"/>
        </w:rPr>
        <w:t>•  Managers have a clear escalation path for emergencies and hard decisions.</w:t>
      </w:r>
    </w:p>
    <w:p>
      <w:pPr>
        <w:spacing w:before="0" w:after="60"/>
        <w:ind w:left="340"/>
      </w:pPr>
      <w:r>
        <w:rPr>
          <w:rFonts w:ascii="Calibri" w:hAnsi="Calibri"/>
          <w:b w:val="0"/>
          <w:i w:val="0"/>
          <w:sz w:val="20"/>
        </w:rPr>
        <w:t>•  Managers are supported in their own recovery and wellness.</w:t>
      </w:r>
    </w:p>
    <w:p>
      <w:pPr>
        <w:spacing w:before="0" w:after="60"/>
        <w:ind w:left="340"/>
      </w:pPr>
      <w:r>
        <w:rPr>
          <w:rFonts w:ascii="Calibri" w:hAnsi="Calibri"/>
          <w:b w:val="0"/>
          <w:i w:val="0"/>
          <w:sz w:val="20"/>
        </w:rPr>
        <w:t>•  Performance and conduct are reviewed periodically.</w:t>
      </w:r>
    </w:p>
    <w:p>
      <w:pPr>
        <w:spacing w:before="0" w:after="60"/>
        <w:ind w:left="340"/>
      </w:pPr>
      <w:r>
        <w:rPr>
          <w:rFonts w:ascii="Calibri" w:hAnsi="Calibri"/>
          <w:b w:val="0"/>
          <w:i w:val="0"/>
          <w:sz w:val="20"/>
        </w:rPr>
        <w:t>•  Managers are given the resources to enforce policy consistently.</w:t>
      </w:r>
    </w:p>
    <w:p>
      <w:pPr>
        <w:spacing w:before="260" w:after="90"/>
      </w:pPr>
      <w:r>
        <w:rPr>
          <w:rFonts w:ascii="Calibri" w:hAnsi="Calibri"/>
          <w:b/>
          <w:i w:val="0"/>
          <w:sz w:val="23"/>
        </w:rPr>
        <w:t>5.09  Personnel Records</w:t>
      </w:r>
    </w:p>
    <w:p>
      <w:pPr>
        <w:spacing w:before="0" w:after="80"/>
      </w:pPr>
      <w:r>
        <w:rPr>
          <w:rFonts w:ascii="Calibri" w:hAnsi="Calibri"/>
          <w:b w:val="0"/>
          <w:i/>
          <w:color w:val="555555"/>
          <w:sz w:val="19"/>
        </w:rPr>
        <w:t>NARR Standard; Florida employment law</w:t>
      </w:r>
    </w:p>
    <w:p>
      <w:pPr>
        <w:spacing w:before="0" w:after="110"/>
      </w:pPr>
      <w:r>
        <w:rPr>
          <w:rFonts w:ascii="Calibri" w:hAnsi="Calibri"/>
          <w:b/>
          <w:i w:val="0"/>
          <w:sz w:val="20"/>
        </w:rPr>
        <w:t xml:space="preserve">Purpose. </w:t>
      </w:r>
      <w:r>
        <w:rPr>
          <w:rFonts w:ascii="Calibri" w:hAnsi="Calibri"/>
          <w:b w:val="0"/>
          <w:i w:val="0"/>
          <w:sz w:val="20"/>
        </w:rPr>
        <w:t>To maintain accurate, confidential personnel records.</w:t>
      </w:r>
    </w:p>
    <w:p>
      <w:pPr>
        <w:spacing w:before="0" w:after="110"/>
      </w:pPr>
      <w:r>
        <w:rPr>
          <w:rFonts w:ascii="Calibri" w:hAnsi="Calibri"/>
          <w:b/>
          <w:i w:val="0"/>
          <w:sz w:val="20"/>
        </w:rPr>
        <w:t xml:space="preserve">Policy. </w:t>
      </w:r>
      <w:r>
        <w:rPr>
          <w:rFonts w:ascii="Calibri" w:hAnsi="Calibri"/>
          <w:b w:val="0"/>
          <w:i w:val="0"/>
          <w:sz w:val="20"/>
        </w:rPr>
        <w:t>The home maintains a confidential record for each staff member and manager documenting qualifications, screening, and training.</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personnel file includes application, screening, and training records.</w:t>
      </w:r>
    </w:p>
    <w:p>
      <w:pPr>
        <w:spacing w:before="0" w:after="60"/>
        <w:ind w:left="340"/>
      </w:pPr>
      <w:r>
        <w:rPr>
          <w:rFonts w:ascii="Calibri" w:hAnsi="Calibri"/>
          <w:b w:val="0"/>
          <w:i w:val="0"/>
          <w:sz w:val="20"/>
        </w:rPr>
        <w:t>•  Files are stored securely with limited access.</w:t>
      </w:r>
    </w:p>
    <w:p>
      <w:pPr>
        <w:spacing w:before="0" w:after="60"/>
        <w:ind w:left="340"/>
      </w:pPr>
      <w:r>
        <w:rPr>
          <w:rFonts w:ascii="Calibri" w:hAnsi="Calibri"/>
          <w:b w:val="0"/>
          <w:i w:val="0"/>
          <w:sz w:val="20"/>
        </w:rPr>
        <w:t>•  Records are retained per policy and law.</w:t>
      </w:r>
    </w:p>
    <w:p>
      <w:pPr>
        <w:spacing w:before="0" w:after="60"/>
        <w:ind w:left="340"/>
      </w:pPr>
      <w:r>
        <w:rPr>
          <w:rFonts w:ascii="Calibri" w:hAnsi="Calibri"/>
          <w:b w:val="0"/>
          <w:i w:val="0"/>
          <w:sz w:val="20"/>
        </w:rPr>
        <w:t>•  Files are kept current as credentials renew.</w:t>
      </w:r>
    </w:p>
    <w:p>
      <w:pPr>
        <w:spacing w:before="0" w:after="60"/>
        <w:ind w:left="340"/>
      </w:pPr>
      <w:r>
        <w:rPr>
          <w:rFonts w:ascii="Calibri" w:hAnsi="Calibri"/>
          <w:b w:val="0"/>
          <w:i w:val="0"/>
          <w:sz w:val="20"/>
        </w:rPr>
        <w:t>•  Access is limited to those with a legitimate need.</w:t>
      </w:r>
    </w:p>
    <w:p>
      <w:pPr>
        <w:spacing w:before="260" w:after="90"/>
      </w:pPr>
      <w:r>
        <w:rPr>
          <w:rFonts w:ascii="Calibri" w:hAnsi="Calibri"/>
          <w:b/>
          <w:i w:val="0"/>
          <w:sz w:val="23"/>
        </w:rPr>
        <w:t>5.10  Manager Sobriety and Recovery Wellness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protect the recovery of the people leading the home.</w:t>
      </w:r>
    </w:p>
    <w:p>
      <w:pPr>
        <w:spacing w:before="0" w:after="110"/>
      </w:pPr>
      <w:r>
        <w:rPr>
          <w:rFonts w:ascii="Calibri" w:hAnsi="Calibri"/>
          <w:b/>
          <w:i w:val="0"/>
          <w:sz w:val="20"/>
        </w:rPr>
        <w:t xml:space="preserve">Policy. </w:t>
      </w:r>
      <w:r>
        <w:rPr>
          <w:rFonts w:ascii="Calibri" w:hAnsi="Calibri"/>
          <w:b w:val="0"/>
          <w:i w:val="0"/>
          <w:sz w:val="20"/>
        </w:rPr>
        <w:t>The home supports the ongoing recovery and wellness of managers and staff who are themselves in recovery.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fosters a culture that supports staff recovery.</w:t>
      </w:r>
    </w:p>
    <w:p>
      <w:pPr>
        <w:spacing w:before="0" w:after="60"/>
        <w:ind w:left="340"/>
      </w:pPr>
      <w:r>
        <w:rPr>
          <w:rFonts w:ascii="Calibri" w:hAnsi="Calibri"/>
          <w:b w:val="0"/>
          <w:i w:val="0"/>
          <w:sz w:val="20"/>
        </w:rPr>
        <w:t>•  Managers have access to their own recovery supports and time off.</w:t>
      </w:r>
    </w:p>
    <w:p>
      <w:pPr>
        <w:spacing w:before="0" w:after="60"/>
        <w:ind w:left="340"/>
      </w:pPr>
      <w:r>
        <w:rPr>
          <w:rFonts w:ascii="Calibri" w:hAnsi="Calibri"/>
          <w:b w:val="0"/>
          <w:i w:val="0"/>
          <w:sz w:val="20"/>
        </w:rPr>
        <w:t>•  Signs of staff distress or recurrence are addressed supportively and safely.</w:t>
      </w:r>
    </w:p>
    <w:p>
      <w:pPr>
        <w:spacing w:before="0" w:after="60"/>
        <w:ind w:left="340"/>
      </w:pPr>
      <w:r>
        <w:rPr>
          <w:rFonts w:ascii="Calibri" w:hAnsi="Calibri"/>
          <w:b w:val="0"/>
          <w:i w:val="0"/>
          <w:sz w:val="20"/>
        </w:rPr>
        <w:t>•  The home plans for coverage if a manager needs to step back.</w:t>
      </w:r>
    </w:p>
    <w:p>
      <w:pPr>
        <w:spacing w:before="0" w:after="60"/>
        <w:ind w:left="340"/>
      </w:pPr>
      <w:r>
        <w:rPr>
          <w:rFonts w:ascii="Calibri" w:hAnsi="Calibri"/>
          <w:b w:val="0"/>
          <w:i w:val="0"/>
          <w:sz w:val="20"/>
        </w:rPr>
        <w:t>•  Wellness is treated as essential to safe operation.</w:t>
      </w:r>
    </w:p>
    <w:p>
      <w:pPr>
        <w:spacing w:before="260" w:after="90"/>
      </w:pPr>
      <w:r>
        <w:rPr>
          <w:rFonts w:ascii="Calibri" w:hAnsi="Calibri"/>
          <w:b/>
          <w:i w:val="0"/>
          <w:sz w:val="23"/>
        </w:rPr>
        <w:t>5.11  Job Descriptions &amp; Role Clarity</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define every role so responsibilities and limits are clear.</w:t>
      </w:r>
    </w:p>
    <w:p>
      <w:pPr>
        <w:spacing w:before="0" w:after="110"/>
      </w:pPr>
      <w:r>
        <w:rPr>
          <w:rFonts w:ascii="Calibri" w:hAnsi="Calibri"/>
          <w:b/>
          <w:i w:val="0"/>
          <w:sz w:val="20"/>
        </w:rPr>
        <w:t xml:space="preserve">Policy. </w:t>
      </w:r>
      <w:r>
        <w:rPr>
          <w:rFonts w:ascii="Calibri" w:hAnsi="Calibri"/>
          <w:b w:val="0"/>
          <w:i w:val="0"/>
          <w:sz w:val="20"/>
        </w:rPr>
        <w:t>The home maintains written role descriptions for the operator, house manager, staff, and volunteers.</w:t>
      </w:r>
    </w:p>
    <w:p>
      <w:pPr>
        <w:spacing w:before="0" w:after="60"/>
      </w:pPr>
      <w:r>
        <w:rPr>
          <w:rFonts w:ascii="Calibri" w:hAnsi="Calibri"/>
          <w:b/>
          <w:i w:val="0"/>
          <w:sz w:val="20"/>
        </w:rPr>
        <w:t>Procedure.</w:t>
      </w:r>
    </w:p>
    <w:p>
      <w:pPr>
        <w:spacing w:before="0" w:after="60"/>
        <w:ind w:left="340"/>
      </w:pPr>
      <w:r>
        <w:rPr>
          <w:rFonts w:ascii="Calibri" w:hAnsi="Calibri"/>
          <w:b w:val="0"/>
          <w:i w:val="0"/>
          <w:sz w:val="20"/>
        </w:rPr>
        <w:t>•  Each role has a written description of duties, authority, and limits.</w:t>
      </w:r>
    </w:p>
    <w:p>
      <w:pPr>
        <w:spacing w:before="0" w:after="60"/>
        <w:ind w:left="340"/>
      </w:pPr>
      <w:r>
        <w:rPr>
          <w:rFonts w:ascii="Calibri" w:hAnsi="Calibri"/>
          <w:b w:val="0"/>
          <w:i w:val="0"/>
          <w:sz w:val="20"/>
        </w:rPr>
        <w:t>•  The boundary between peer support and clinical services is stated in each role.</w:t>
      </w:r>
    </w:p>
    <w:p>
      <w:pPr>
        <w:spacing w:before="0" w:after="60"/>
        <w:ind w:left="340"/>
      </w:pPr>
      <w:r>
        <w:rPr>
          <w:rFonts w:ascii="Calibri" w:hAnsi="Calibri"/>
          <w:b w:val="0"/>
          <w:i w:val="0"/>
          <w:sz w:val="20"/>
        </w:rPr>
        <w:t>•  Reporting lines and escalation paths are clear.</w:t>
      </w:r>
    </w:p>
    <w:p>
      <w:pPr>
        <w:spacing w:before="0" w:after="60"/>
        <w:ind w:left="340"/>
      </w:pPr>
      <w:r>
        <w:rPr>
          <w:rFonts w:ascii="Calibri" w:hAnsi="Calibri"/>
          <w:b w:val="0"/>
          <w:i w:val="0"/>
          <w:sz w:val="20"/>
        </w:rPr>
        <w:t>•  Roles are reviewed and updated as the home grows or changes level.</w:t>
      </w:r>
    </w:p>
    <w:p>
      <w:pPr>
        <w:spacing w:before="0" w:after="60"/>
        <w:ind w:left="340"/>
      </w:pPr>
      <w:r>
        <w:rPr>
          <w:rFonts w:ascii="Calibri" w:hAnsi="Calibri"/>
          <w:b w:val="0"/>
          <w:i w:val="0"/>
          <w:sz w:val="20"/>
        </w:rPr>
        <w:t>•  New staff receive their role description at onboarding.</w:t>
      </w:r>
    </w:p>
    <w:p>
      <w:pPr>
        <w:spacing w:before="0" w:after="60"/>
        <w:ind w:left="340"/>
      </w:pPr>
      <w:r>
        <w:rPr>
          <w:rFonts w:ascii="Calibri" w:hAnsi="Calibri"/>
          <w:b w:val="0"/>
          <w:i w:val="0"/>
          <w:sz w:val="20"/>
        </w:rPr>
        <w:t>•  Descriptions are kept in personnel files.</w:t>
      </w:r>
    </w:p>
    <w:p>
      <w:pPr>
        <w:spacing w:before="260" w:after="90"/>
      </w:pPr>
      <w:r>
        <w:rPr>
          <w:rFonts w:ascii="Calibri" w:hAnsi="Calibri"/>
          <w:b/>
          <w:i w:val="0"/>
          <w:sz w:val="23"/>
        </w:rPr>
        <w:t>5.12  Performance Management &amp; Corrective Action</w:t>
      </w:r>
    </w:p>
    <w:p>
      <w:pPr>
        <w:spacing w:before="0" w:after="80"/>
      </w:pPr>
      <w:r>
        <w:rPr>
          <w:rFonts w:ascii="Calibri" w:hAnsi="Calibri"/>
          <w:b w:val="0"/>
          <w:i/>
          <w:color w:val="555555"/>
          <w:sz w:val="19"/>
        </w:rPr>
        <w:t>NARR Code of Ethics; Florida employment law</w:t>
      </w:r>
    </w:p>
    <w:p>
      <w:pPr>
        <w:spacing w:before="0" w:after="110"/>
      </w:pPr>
      <w:r>
        <w:rPr>
          <w:rFonts w:ascii="Calibri" w:hAnsi="Calibri"/>
          <w:b/>
          <w:i w:val="0"/>
          <w:sz w:val="20"/>
        </w:rPr>
        <w:t xml:space="preserve">Purpose. </w:t>
      </w:r>
      <w:r>
        <w:rPr>
          <w:rFonts w:ascii="Calibri" w:hAnsi="Calibri"/>
          <w:b w:val="0"/>
          <w:i w:val="0"/>
          <w:sz w:val="20"/>
        </w:rPr>
        <w:t>To address staff performance and conduct fairly and consistently.</w:t>
      </w:r>
    </w:p>
    <w:p>
      <w:pPr>
        <w:spacing w:before="0" w:after="110"/>
      </w:pPr>
      <w:r>
        <w:rPr>
          <w:rFonts w:ascii="Calibri" w:hAnsi="Calibri"/>
          <w:b/>
          <w:i w:val="0"/>
          <w:sz w:val="20"/>
        </w:rPr>
        <w:t xml:space="preserve">Policy. </w:t>
      </w:r>
      <w:r>
        <w:rPr>
          <w:rFonts w:ascii="Calibri" w:hAnsi="Calibri"/>
          <w:b w:val="0"/>
          <w:i w:val="0"/>
          <w:sz w:val="20"/>
        </w:rPr>
        <w:t>The home manages staff performance and conduct through documented feedback and progressive corrective action.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Expectations are set in advance and tied to role descriptions.</w:t>
      </w:r>
    </w:p>
    <w:p>
      <w:pPr>
        <w:spacing w:before="0" w:after="60"/>
        <w:ind w:left="340"/>
      </w:pPr>
      <w:r>
        <w:rPr>
          <w:rFonts w:ascii="Calibri" w:hAnsi="Calibri"/>
          <w:b w:val="0"/>
          <w:i w:val="0"/>
          <w:sz w:val="20"/>
        </w:rPr>
        <w:t>•  Feedback is given regularly and documented.</w:t>
      </w:r>
    </w:p>
    <w:p>
      <w:pPr>
        <w:spacing w:before="0" w:after="60"/>
        <w:ind w:left="340"/>
      </w:pPr>
      <w:r>
        <w:rPr>
          <w:rFonts w:ascii="Calibri" w:hAnsi="Calibri"/>
          <w:b w:val="0"/>
          <w:i w:val="0"/>
          <w:sz w:val="20"/>
        </w:rPr>
        <w:t>•  Corrective action follows a fair, progressive approach except for serious misconduct.</w:t>
      </w:r>
    </w:p>
    <w:p>
      <w:pPr>
        <w:spacing w:before="0" w:after="60"/>
        <w:ind w:left="340"/>
      </w:pPr>
      <w:r>
        <w:rPr>
          <w:rFonts w:ascii="Calibri" w:hAnsi="Calibri"/>
          <w:b w:val="0"/>
          <w:i w:val="0"/>
          <w:sz w:val="20"/>
        </w:rPr>
        <w:t>•  Serious ethics or safety violations may result in immediate removal.</w:t>
      </w:r>
    </w:p>
    <w:p>
      <w:pPr>
        <w:spacing w:before="0" w:after="60"/>
        <w:ind w:left="340"/>
      </w:pPr>
      <w:r>
        <w:rPr>
          <w:rFonts w:ascii="Calibri" w:hAnsi="Calibri"/>
          <w:b w:val="0"/>
          <w:i w:val="0"/>
          <w:sz w:val="20"/>
        </w:rPr>
        <w:t>•  Records of corrective action are kept confidentially.</w:t>
      </w:r>
    </w:p>
    <w:p>
      <w:pPr>
        <w:spacing w:before="0" w:after="60"/>
        <w:ind w:left="340"/>
      </w:pPr>
      <w:r>
        <w:rPr>
          <w:rFonts w:ascii="Calibri" w:hAnsi="Calibri"/>
          <w:b w:val="0"/>
          <w:i w:val="0"/>
          <w:sz w:val="20"/>
        </w:rPr>
        <w:t>•  Actions comply with Florida employment law.</w:t>
      </w:r>
    </w:p>
    <w:p>
      <w:pPr>
        <w:spacing w:before="260" w:after="90"/>
      </w:pPr>
      <w:r>
        <w:rPr>
          <w:rFonts w:ascii="Calibri" w:hAnsi="Calibri"/>
          <w:b/>
          <w:i w:val="0"/>
          <w:sz w:val="23"/>
        </w:rPr>
        <w:t>5.13  Volunteers &amp; Peer Mentors</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involve volunteers and peer mentors safely and effectively.</w:t>
      </w:r>
    </w:p>
    <w:p>
      <w:pPr>
        <w:spacing w:before="0" w:after="110"/>
      </w:pPr>
      <w:r>
        <w:rPr>
          <w:rFonts w:ascii="Calibri" w:hAnsi="Calibri"/>
          <w:b/>
          <w:i w:val="0"/>
          <w:sz w:val="20"/>
        </w:rPr>
        <w:t xml:space="preserve">Policy. </w:t>
      </w:r>
      <w:r>
        <w:rPr>
          <w:rFonts w:ascii="Calibri" w:hAnsi="Calibri"/>
          <w:b w:val="0"/>
          <w:i w:val="0"/>
          <w:sz w:val="20"/>
        </w:rPr>
        <w:t>The home engages volunteers and peer mentors under the same screening, boundaries, and training standards that protect residents.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Volunteers and mentors are screened appropriately for their role (5.03).</w:t>
      </w:r>
    </w:p>
    <w:p>
      <w:pPr>
        <w:spacing w:before="0" w:after="60"/>
        <w:ind w:left="340"/>
      </w:pPr>
      <w:r>
        <w:rPr>
          <w:rFonts w:ascii="Calibri" w:hAnsi="Calibri"/>
          <w:b w:val="0"/>
          <w:i w:val="0"/>
          <w:sz w:val="20"/>
        </w:rPr>
        <w:t>•  They receive orientation on boundaries, confidentiality, and emergencies.</w:t>
      </w:r>
    </w:p>
    <w:p>
      <w:pPr>
        <w:spacing w:before="0" w:after="60"/>
        <w:ind w:left="340"/>
      </w:pPr>
      <w:r>
        <w:rPr>
          <w:rFonts w:ascii="Calibri" w:hAnsi="Calibri"/>
          <w:b w:val="0"/>
          <w:i w:val="0"/>
          <w:sz w:val="20"/>
        </w:rPr>
        <w:t>•  Their role and limits are defined in writing.</w:t>
      </w:r>
    </w:p>
    <w:p>
      <w:pPr>
        <w:spacing w:before="0" w:after="60"/>
        <w:ind w:left="340"/>
      </w:pPr>
      <w:r>
        <w:rPr>
          <w:rFonts w:ascii="Calibri" w:hAnsi="Calibri"/>
          <w:b w:val="0"/>
          <w:i w:val="0"/>
          <w:sz w:val="20"/>
        </w:rPr>
        <w:t>•  They are supervised and supported like staff.</w:t>
      </w:r>
    </w:p>
    <w:p>
      <w:pPr>
        <w:spacing w:before="0" w:after="60"/>
        <w:ind w:left="340"/>
      </w:pPr>
      <w:r>
        <w:rPr>
          <w:rFonts w:ascii="Calibri" w:hAnsi="Calibri"/>
          <w:b w:val="0"/>
          <w:i w:val="0"/>
          <w:sz w:val="20"/>
        </w:rPr>
        <w:t>•  Overdose-response awareness is provided where they have resident contact.</w:t>
      </w:r>
    </w:p>
    <w:p>
      <w:pPr>
        <w:spacing w:before="0" w:after="60"/>
        <w:ind w:left="340"/>
      </w:pPr>
      <w:r>
        <w:rPr>
          <w:rFonts w:ascii="Calibri" w:hAnsi="Calibri"/>
          <w:b w:val="0"/>
          <w:i w:val="0"/>
          <w:sz w:val="20"/>
        </w:rPr>
        <w:t>•  Volunteer records are maintained.</w:t>
      </w:r>
    </w:p>
    <w:p>
      <w:pPr>
        <w:spacing w:before="260" w:after="90"/>
      </w:pPr>
      <w:r>
        <w:rPr>
          <w:rFonts w:ascii="Calibri" w:hAnsi="Calibri"/>
          <w:b/>
          <w:i w:val="0"/>
          <w:sz w:val="23"/>
        </w:rPr>
        <w:t>5.14  Staffing Coverage, On-Call &amp; After-Hours</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ensure residents can reach help at any hour.</w:t>
      </w:r>
    </w:p>
    <w:p>
      <w:pPr>
        <w:spacing w:before="0" w:after="110"/>
      </w:pPr>
      <w:r>
        <w:rPr>
          <w:rFonts w:ascii="Calibri" w:hAnsi="Calibri"/>
          <w:b/>
          <w:i w:val="0"/>
          <w:sz w:val="20"/>
        </w:rPr>
        <w:t xml:space="preserve">Policy. </w:t>
      </w:r>
      <w:r>
        <w:rPr>
          <w:rFonts w:ascii="Calibri" w:hAnsi="Calibri"/>
          <w:b w:val="0"/>
          <w:i w:val="0"/>
          <w:sz w:val="20"/>
        </w:rPr>
        <w:t>The home maintains coverage and an on-call path so residents always have a way to reach a responsible person after hours.</w:t>
      </w:r>
    </w:p>
    <w:p>
      <w:pPr>
        <w:spacing w:before="0" w:after="60"/>
      </w:pPr>
      <w:r>
        <w:rPr>
          <w:rFonts w:ascii="Calibri" w:hAnsi="Calibri"/>
          <w:b/>
          <w:i w:val="0"/>
          <w:sz w:val="20"/>
        </w:rPr>
        <w:t>Procedure.</w:t>
      </w:r>
    </w:p>
    <w:p>
      <w:pPr>
        <w:spacing w:before="0" w:after="60"/>
        <w:ind w:left="340"/>
      </w:pPr>
      <w:r>
        <w:rPr>
          <w:rFonts w:ascii="Calibri" w:hAnsi="Calibri"/>
          <w:b w:val="0"/>
          <w:i w:val="0"/>
          <w:sz w:val="20"/>
        </w:rPr>
        <w:t>•  Coverage expectations are defined for nights, weekends, and manager absences.</w:t>
      </w:r>
    </w:p>
    <w:p>
      <w:pPr>
        <w:spacing w:before="0" w:after="60"/>
        <w:ind w:left="340"/>
      </w:pPr>
      <w:r>
        <w:rPr>
          <w:rFonts w:ascii="Calibri" w:hAnsi="Calibri"/>
          <w:b w:val="0"/>
          <w:i w:val="0"/>
          <w:sz w:val="20"/>
        </w:rPr>
        <w:t>•  An on-call contact is posted and reachable.</w:t>
      </w:r>
    </w:p>
    <w:p>
      <w:pPr>
        <w:spacing w:before="0" w:after="60"/>
        <w:ind w:left="340"/>
      </w:pPr>
      <w:r>
        <w:rPr>
          <w:rFonts w:ascii="Calibri" w:hAnsi="Calibri"/>
          <w:b w:val="0"/>
          <w:i w:val="0"/>
          <w:sz w:val="20"/>
        </w:rPr>
        <w:t>•  Emergency procedures do not depend on any single person being present.</w:t>
      </w:r>
    </w:p>
    <w:p>
      <w:pPr>
        <w:spacing w:before="0" w:after="60"/>
        <w:ind w:left="340"/>
      </w:pPr>
      <w:r>
        <w:rPr>
          <w:rFonts w:ascii="Calibri" w:hAnsi="Calibri"/>
          <w:b w:val="0"/>
          <w:i w:val="0"/>
          <w:sz w:val="20"/>
        </w:rPr>
        <w:t>•  Backup coverage is arranged in advance for planned absences.</w:t>
      </w:r>
    </w:p>
    <w:p>
      <w:pPr>
        <w:spacing w:before="0" w:after="60"/>
        <w:ind w:left="340"/>
      </w:pPr>
      <w:r>
        <w:rPr>
          <w:rFonts w:ascii="Calibri" w:hAnsi="Calibri"/>
          <w:b w:val="0"/>
          <w:i w:val="0"/>
          <w:sz w:val="20"/>
        </w:rPr>
        <w:t>•  After-hours contacts are tested periodically.</w:t>
      </w:r>
    </w:p>
    <w:p>
      <w:pPr>
        <w:spacing w:before="0" w:after="60"/>
        <w:ind w:left="340"/>
      </w:pPr>
      <w:r>
        <w:rPr>
          <w:rFonts w:ascii="Calibri" w:hAnsi="Calibri"/>
          <w:b w:val="0"/>
          <w:i w:val="0"/>
          <w:sz w:val="20"/>
        </w:rPr>
        <w:t>•  Coverage gaps are treated as safety issues and corrected.</w:t>
      </w:r>
    </w:p>
    <w:p>
      <w:r>
        <w:br w:type="page"/>
      </w:r>
    </w:p>
    <w:p>
      <w:pPr>
        <w:spacing w:before="0" w:after="80"/>
      </w:pPr>
      <w:r>
        <w:rPr>
          <w:rFonts w:ascii="Calibri" w:hAnsi="Calibri"/>
          <w:b/>
          <w:i w:val="0"/>
          <w:sz w:val="26"/>
        </w:rPr>
        <w:t>Section 6 — Health, Safety &amp; Incident Management</w:t>
      </w:r>
    </w:p>
    <w:p>
      <w:pPr>
        <w:spacing w:before="0" w:after="160"/>
      </w:pPr>
      <w:r>
        <w:rPr>
          <w:rFonts w:ascii="Calibri" w:hAnsi="Calibri"/>
          <w:b w:val="0"/>
          <w:i/>
          <w:sz w:val="20"/>
        </w:rPr>
        <w:t>A recovery residence must be a physically safe place and must respond well when things go wrong. This section covers habitability and fire safety, overdose prevention and response, incident reporting, and — most importantly for a recovery setting — a recurrence (relapse) response that keeps residents alive and engaged rather than simply putting them out. It also covers discharge done safely and lawfully.</w:t>
      </w:r>
    </w:p>
    <w:p>
      <w:pPr>
        <w:spacing w:before="260" w:after="90"/>
      </w:pPr>
      <w:r>
        <w:rPr>
          <w:rFonts w:ascii="Calibri" w:hAnsi="Calibri"/>
          <w:b/>
          <w:i w:val="0"/>
          <w:sz w:val="23"/>
        </w:rPr>
        <w:t>6.01  Health and Safety Standards</w:t>
      </w:r>
    </w:p>
    <w:p>
      <w:pPr>
        <w:spacing w:before="0" w:after="80"/>
      </w:pPr>
      <w:r>
        <w:rPr>
          <w:rFonts w:ascii="Calibri" w:hAnsi="Calibri"/>
          <w:b w:val="0"/>
          <w:i/>
          <w:color w:val="555555"/>
          <w:sz w:val="19"/>
        </w:rPr>
        <w:t>Local building/fire codes; NARR Standard — Property domain</w:t>
      </w:r>
    </w:p>
    <w:p>
      <w:pPr>
        <w:spacing w:before="0" w:after="110"/>
      </w:pPr>
      <w:r>
        <w:rPr>
          <w:rFonts w:ascii="Calibri" w:hAnsi="Calibri"/>
          <w:b/>
          <w:i w:val="0"/>
          <w:sz w:val="20"/>
        </w:rPr>
        <w:t xml:space="preserve">Purpose. </w:t>
      </w:r>
      <w:r>
        <w:rPr>
          <w:rFonts w:ascii="Calibri" w:hAnsi="Calibri"/>
          <w:b w:val="0"/>
          <w:i w:val="0"/>
          <w:sz w:val="20"/>
        </w:rPr>
        <w:t>To keep the home habitable, clean, and safe.</w:t>
      </w:r>
    </w:p>
    <w:p>
      <w:pPr>
        <w:spacing w:before="0" w:after="110"/>
      </w:pPr>
      <w:r>
        <w:rPr>
          <w:rFonts w:ascii="Calibri" w:hAnsi="Calibri"/>
          <w:b/>
          <w:i w:val="0"/>
          <w:sz w:val="20"/>
        </w:rPr>
        <w:t xml:space="preserve">Policy. </w:t>
      </w:r>
      <w:r>
        <w:rPr>
          <w:rFonts w:ascii="Calibri" w:hAnsi="Calibri"/>
          <w:b w:val="0"/>
          <w:i w:val="0"/>
          <w:sz w:val="20"/>
        </w:rPr>
        <w:t>The home is maintained in safe, sanitary, habitable condition meeting applicable local housing, building, and fire codes.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property meets local occupancy, building, and health codes.</w:t>
      </w:r>
    </w:p>
    <w:p>
      <w:pPr>
        <w:spacing w:before="0" w:after="60"/>
        <w:ind w:left="340"/>
      </w:pPr>
      <w:r>
        <w:rPr>
          <w:rFonts w:ascii="Calibri" w:hAnsi="Calibri"/>
          <w:b w:val="0"/>
          <w:i w:val="0"/>
          <w:sz w:val="20"/>
        </w:rPr>
        <w:t>•  Working smoke and carbon-monoxide detectors are installed and tested.</w:t>
      </w:r>
    </w:p>
    <w:p>
      <w:pPr>
        <w:spacing w:before="0" w:after="60"/>
        <w:ind w:left="340"/>
      </w:pPr>
      <w:r>
        <w:rPr>
          <w:rFonts w:ascii="Calibri" w:hAnsi="Calibri"/>
          <w:b w:val="0"/>
          <w:i w:val="0"/>
          <w:sz w:val="20"/>
        </w:rPr>
        <w:t>•  Exits are clear and functioning.</w:t>
      </w:r>
    </w:p>
    <w:p>
      <w:pPr>
        <w:spacing w:before="0" w:after="60"/>
        <w:ind w:left="340"/>
      </w:pPr>
      <w:r>
        <w:rPr>
          <w:rFonts w:ascii="Calibri" w:hAnsi="Calibri"/>
          <w:b w:val="0"/>
          <w:i w:val="0"/>
          <w:sz w:val="20"/>
        </w:rPr>
        <w:t>•  The home is kept clean and free of hazards.</w:t>
      </w:r>
    </w:p>
    <w:p>
      <w:pPr>
        <w:spacing w:before="0" w:after="60"/>
        <w:ind w:left="340"/>
      </w:pPr>
      <w:r>
        <w:rPr>
          <w:rFonts w:ascii="Calibri" w:hAnsi="Calibri"/>
          <w:b w:val="0"/>
          <w:i w:val="0"/>
          <w:sz w:val="20"/>
        </w:rPr>
        <w:t>•  Occupancy stays within safe and lawful limits.</w:t>
      </w:r>
    </w:p>
    <w:p>
      <w:pPr>
        <w:spacing w:before="260" w:after="90"/>
      </w:pPr>
      <w:r>
        <w:rPr>
          <w:rFonts w:ascii="Calibri" w:hAnsi="Calibri"/>
          <w:b/>
          <w:i w:val="0"/>
          <w:sz w:val="23"/>
        </w:rPr>
        <w:t>6.02  Fire Safety and Emergency Preparedness</w:t>
      </w:r>
    </w:p>
    <w:p>
      <w:pPr>
        <w:spacing w:before="0" w:after="80"/>
      </w:pPr>
      <w:r>
        <w:rPr>
          <w:rFonts w:ascii="Calibri" w:hAnsi="Calibri"/>
          <w:b w:val="0"/>
          <w:i/>
          <w:color w:val="555555"/>
          <w:sz w:val="19"/>
        </w:rPr>
        <w:t>Local fire code; NARR Standard</w:t>
      </w:r>
    </w:p>
    <w:p>
      <w:pPr>
        <w:spacing w:before="0" w:after="110"/>
      </w:pPr>
      <w:r>
        <w:rPr>
          <w:rFonts w:ascii="Calibri" w:hAnsi="Calibri"/>
          <w:b/>
          <w:i w:val="0"/>
          <w:sz w:val="20"/>
        </w:rPr>
        <w:t xml:space="preserve">Purpose. </w:t>
      </w:r>
      <w:r>
        <w:rPr>
          <w:rFonts w:ascii="Calibri" w:hAnsi="Calibri"/>
          <w:b w:val="0"/>
          <w:i w:val="0"/>
          <w:sz w:val="20"/>
        </w:rPr>
        <w:t>To prepare residents and staff for fire and other emergencies.</w:t>
      </w:r>
    </w:p>
    <w:p>
      <w:pPr>
        <w:spacing w:before="0" w:after="110"/>
      </w:pPr>
      <w:r>
        <w:rPr>
          <w:rFonts w:ascii="Calibri" w:hAnsi="Calibri"/>
          <w:b/>
          <w:i w:val="0"/>
          <w:sz w:val="20"/>
        </w:rPr>
        <w:t xml:space="preserve">Policy. </w:t>
      </w:r>
      <w:r>
        <w:rPr>
          <w:rFonts w:ascii="Calibri" w:hAnsi="Calibri"/>
          <w:b w:val="0"/>
          <w:i w:val="0"/>
          <w:sz w:val="20"/>
        </w:rPr>
        <w:t>The home maintains fire-safety equipment and a written emergency plan, and practices it.</w:t>
      </w:r>
    </w:p>
    <w:p>
      <w:pPr>
        <w:spacing w:before="0" w:after="60"/>
      </w:pPr>
      <w:r>
        <w:rPr>
          <w:rFonts w:ascii="Calibri" w:hAnsi="Calibri"/>
          <w:b/>
          <w:i w:val="0"/>
          <w:sz w:val="20"/>
        </w:rPr>
        <w:t>Procedure.</w:t>
      </w:r>
    </w:p>
    <w:p>
      <w:pPr>
        <w:spacing w:before="0" w:after="60"/>
        <w:ind w:left="340"/>
      </w:pPr>
      <w:r>
        <w:rPr>
          <w:rFonts w:ascii="Calibri" w:hAnsi="Calibri"/>
          <w:b w:val="0"/>
          <w:i w:val="0"/>
          <w:sz w:val="20"/>
        </w:rPr>
        <w:t>•  Smoke detectors, extinguishers, and, where required, sprinklers are maintained.</w:t>
      </w:r>
    </w:p>
    <w:p>
      <w:pPr>
        <w:spacing w:before="0" w:after="60"/>
        <w:ind w:left="340"/>
      </w:pPr>
      <w:r>
        <w:rPr>
          <w:rFonts w:ascii="Calibri" w:hAnsi="Calibri"/>
          <w:b w:val="0"/>
          <w:i w:val="0"/>
          <w:sz w:val="20"/>
        </w:rPr>
        <w:t>•  A written evacuation plan is posted and reviewed with residents.</w:t>
      </w:r>
    </w:p>
    <w:p>
      <w:pPr>
        <w:spacing w:before="0" w:after="60"/>
        <w:ind w:left="340"/>
      </w:pPr>
      <w:r>
        <w:rPr>
          <w:rFonts w:ascii="Calibri" w:hAnsi="Calibri"/>
          <w:b w:val="0"/>
          <w:i w:val="0"/>
          <w:sz w:val="20"/>
        </w:rPr>
        <w:t>•  Evacuation drills are conducted periodically and documented.</w:t>
      </w:r>
    </w:p>
    <w:p>
      <w:pPr>
        <w:spacing w:before="0" w:after="60"/>
        <w:ind w:left="340"/>
      </w:pPr>
      <w:r>
        <w:rPr>
          <w:rFonts w:ascii="Calibri" w:hAnsi="Calibri"/>
          <w:b w:val="0"/>
          <w:i w:val="0"/>
          <w:sz w:val="20"/>
        </w:rPr>
        <w:t>•  Emergency contacts and procedures are posted.</w:t>
      </w:r>
    </w:p>
    <w:p>
      <w:pPr>
        <w:spacing w:before="0" w:after="60"/>
        <w:ind w:left="340"/>
      </w:pPr>
      <w:r>
        <w:rPr>
          <w:rFonts w:ascii="Calibri" w:hAnsi="Calibri"/>
          <w:b w:val="0"/>
          <w:i w:val="0"/>
          <w:sz w:val="20"/>
        </w:rPr>
        <w:t>•  Equipment is inspected on schedule.</w:t>
      </w:r>
    </w:p>
    <w:p>
      <w:pPr>
        <w:spacing w:before="260" w:after="90"/>
      </w:pPr>
      <w:r>
        <w:rPr>
          <w:rFonts w:ascii="Calibri" w:hAnsi="Calibri"/>
          <w:b/>
          <w:i w:val="0"/>
          <w:sz w:val="23"/>
        </w:rPr>
        <w:t>6.03  Overdose Prevention and Response</w:t>
      </w:r>
    </w:p>
    <w:p>
      <w:pPr>
        <w:spacing w:before="0" w:after="80"/>
      </w:pPr>
      <w:r>
        <w:rPr>
          <w:rFonts w:ascii="Calibri" w:hAnsi="Calibri"/>
          <w:b w:val="0"/>
          <w:i/>
          <w:color w:val="555555"/>
          <w:sz w:val="19"/>
        </w:rPr>
        <w:t>Florida naloxone standing order; SAMHSA</w:t>
      </w:r>
    </w:p>
    <w:p>
      <w:pPr>
        <w:spacing w:before="0" w:after="110"/>
      </w:pPr>
      <w:r>
        <w:rPr>
          <w:rFonts w:ascii="Calibri" w:hAnsi="Calibri"/>
          <w:b/>
          <w:i w:val="0"/>
          <w:sz w:val="20"/>
        </w:rPr>
        <w:t xml:space="preserve">Purpose. </w:t>
      </w:r>
      <w:r>
        <w:rPr>
          <w:rFonts w:ascii="Calibri" w:hAnsi="Calibri"/>
          <w:b w:val="0"/>
          <w:i w:val="0"/>
          <w:sz w:val="20"/>
        </w:rPr>
        <w:t>To prevent overdose deaths and respond immediately when one occurs.</w:t>
      </w:r>
    </w:p>
    <w:p>
      <w:pPr>
        <w:spacing w:before="0" w:after="110"/>
      </w:pPr>
      <w:r>
        <w:rPr>
          <w:rFonts w:ascii="Calibri" w:hAnsi="Calibri"/>
          <w:b/>
          <w:i w:val="0"/>
          <w:sz w:val="20"/>
        </w:rPr>
        <w:t xml:space="preserve">Policy. </w:t>
      </w:r>
      <w:r>
        <w:rPr>
          <w:rFonts w:ascii="Calibri" w:hAnsi="Calibri"/>
          <w:b w:val="0"/>
          <w:i w:val="0"/>
          <w:sz w:val="20"/>
        </w:rPr>
        <w:t>The home stocks naloxone, trains residents and staff, and follows a written overdose-response protocol.</w:t>
      </w:r>
    </w:p>
    <w:p>
      <w:pPr>
        <w:spacing w:before="0" w:after="60"/>
      </w:pPr>
      <w:r>
        <w:rPr>
          <w:rFonts w:ascii="Calibri" w:hAnsi="Calibri"/>
          <w:b/>
          <w:i w:val="0"/>
          <w:sz w:val="20"/>
        </w:rPr>
        <w:t>Procedure.</w:t>
      </w:r>
    </w:p>
    <w:p>
      <w:pPr>
        <w:spacing w:before="0" w:after="60"/>
        <w:ind w:left="340"/>
      </w:pPr>
      <w:r>
        <w:rPr>
          <w:rFonts w:ascii="Calibri" w:hAnsi="Calibri"/>
          <w:b w:val="0"/>
          <w:i w:val="0"/>
          <w:sz w:val="20"/>
        </w:rPr>
        <w:t>•  Naloxone is stocked and accessible in known locations.</w:t>
      </w:r>
    </w:p>
    <w:p>
      <w:pPr>
        <w:spacing w:before="0" w:after="60"/>
        <w:ind w:left="340"/>
      </w:pPr>
      <w:r>
        <w:rPr>
          <w:rFonts w:ascii="Calibri" w:hAnsi="Calibri"/>
          <w:b w:val="0"/>
          <w:i w:val="0"/>
          <w:sz w:val="20"/>
        </w:rPr>
        <w:t>•  Residents and staff are trained to recognize and respond to overdose.</w:t>
      </w:r>
    </w:p>
    <w:p>
      <w:pPr>
        <w:spacing w:before="0" w:after="60"/>
        <w:ind w:left="340"/>
      </w:pPr>
      <w:r>
        <w:rPr>
          <w:rFonts w:ascii="Calibri" w:hAnsi="Calibri"/>
          <w:b w:val="0"/>
          <w:i w:val="0"/>
          <w:sz w:val="20"/>
        </w:rPr>
        <w:t>•  The protocol is: call 911, administer naloxone, provide rescue support, stay until help arrives.</w:t>
      </w:r>
    </w:p>
    <w:p>
      <w:pPr>
        <w:spacing w:before="0" w:after="60"/>
        <w:ind w:left="340"/>
      </w:pPr>
      <w:r>
        <w:rPr>
          <w:rFonts w:ascii="Calibri" w:hAnsi="Calibri"/>
          <w:b w:val="0"/>
          <w:i w:val="0"/>
          <w:sz w:val="20"/>
        </w:rPr>
        <w:t>•  Florida's 911 Good Samaritan Act (F.S. 893.21) protections are explained to residents.</w:t>
      </w:r>
    </w:p>
    <w:p>
      <w:pPr>
        <w:spacing w:before="0" w:after="60"/>
        <w:ind w:left="340"/>
      </w:pPr>
      <w:r>
        <w:rPr>
          <w:rFonts w:ascii="Calibri" w:hAnsi="Calibri"/>
          <w:b w:val="0"/>
          <w:i w:val="0"/>
          <w:sz w:val="20"/>
        </w:rPr>
        <w:t>•  Every overdose event is documented and reviewed to improve safety.</w:t>
      </w:r>
    </w:p>
    <w:p>
      <w:pPr>
        <w:spacing w:before="260" w:after="90"/>
      </w:pPr>
      <w:r>
        <w:rPr>
          <w:rFonts w:ascii="Calibri" w:hAnsi="Calibri"/>
          <w:b/>
          <w:i w:val="0"/>
          <w:sz w:val="23"/>
        </w:rPr>
        <w:t>6.04  Medical Emergencies</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respond quickly and appropriately to medical emergencies.</w:t>
      </w:r>
    </w:p>
    <w:p>
      <w:pPr>
        <w:spacing w:before="0" w:after="110"/>
      </w:pPr>
      <w:r>
        <w:rPr>
          <w:rFonts w:ascii="Calibri" w:hAnsi="Calibri"/>
          <w:b/>
          <w:i w:val="0"/>
          <w:sz w:val="20"/>
        </w:rPr>
        <w:t xml:space="preserve">Policy. </w:t>
      </w:r>
      <w:r>
        <w:rPr>
          <w:rFonts w:ascii="Calibri" w:hAnsi="Calibri"/>
          <w:b w:val="0"/>
          <w:i w:val="0"/>
          <w:sz w:val="20"/>
        </w:rPr>
        <w:t>Staff and residents respond to medical emergencies by summoning professional help and providing basic support within their training.</w:t>
      </w:r>
    </w:p>
    <w:p>
      <w:pPr>
        <w:spacing w:before="0" w:after="60"/>
      </w:pPr>
      <w:r>
        <w:rPr>
          <w:rFonts w:ascii="Calibri" w:hAnsi="Calibri"/>
          <w:b/>
          <w:i w:val="0"/>
          <w:sz w:val="20"/>
        </w:rPr>
        <w:t>Procedure.</w:t>
      </w:r>
    </w:p>
    <w:p>
      <w:pPr>
        <w:spacing w:before="0" w:after="60"/>
        <w:ind w:left="340"/>
      </w:pPr>
      <w:r>
        <w:rPr>
          <w:rFonts w:ascii="Calibri" w:hAnsi="Calibri"/>
          <w:b w:val="0"/>
          <w:i w:val="0"/>
          <w:sz w:val="20"/>
        </w:rPr>
        <w:t>•  911 is called for any serious medical emergency.</w:t>
      </w:r>
    </w:p>
    <w:p>
      <w:pPr>
        <w:spacing w:before="0" w:after="60"/>
        <w:ind w:left="340"/>
      </w:pPr>
      <w:r>
        <w:rPr>
          <w:rFonts w:ascii="Calibri" w:hAnsi="Calibri"/>
          <w:b w:val="0"/>
          <w:i w:val="0"/>
          <w:sz w:val="20"/>
        </w:rPr>
        <w:t>•  Staff provide only first aid within their training.</w:t>
      </w:r>
    </w:p>
    <w:p>
      <w:pPr>
        <w:spacing w:before="0" w:after="60"/>
        <w:ind w:left="340"/>
      </w:pPr>
      <w:r>
        <w:rPr>
          <w:rFonts w:ascii="Calibri" w:hAnsi="Calibri"/>
          <w:b w:val="0"/>
          <w:i w:val="0"/>
          <w:sz w:val="20"/>
        </w:rPr>
        <w:t>•  Emergency medical information and contacts are accessible.</w:t>
      </w:r>
    </w:p>
    <w:p>
      <w:pPr>
        <w:spacing w:before="0" w:after="60"/>
        <w:ind w:left="340"/>
      </w:pPr>
      <w:r>
        <w:rPr>
          <w:rFonts w:ascii="Calibri" w:hAnsi="Calibri"/>
          <w:b w:val="0"/>
          <w:i w:val="0"/>
          <w:sz w:val="20"/>
        </w:rPr>
        <w:t>•  The event is documented and the emergency contact notified per consent.</w:t>
      </w:r>
    </w:p>
    <w:p>
      <w:pPr>
        <w:spacing w:before="0" w:after="60"/>
        <w:ind w:left="340"/>
      </w:pPr>
      <w:r>
        <w:rPr>
          <w:rFonts w:ascii="Calibri" w:hAnsi="Calibri"/>
          <w:b w:val="0"/>
          <w:i w:val="0"/>
          <w:sz w:val="20"/>
        </w:rPr>
        <w:t>•  The response is reviewed for lessons learned.</w:t>
      </w:r>
    </w:p>
    <w:p>
      <w:pPr>
        <w:spacing w:before="260" w:after="90"/>
      </w:pPr>
      <w:r>
        <w:rPr>
          <w:rFonts w:ascii="Calibri" w:hAnsi="Calibri"/>
          <w:b/>
          <w:i w:val="0"/>
          <w:sz w:val="23"/>
        </w:rPr>
        <w:t>6.05  Incident Reporting and Documentation</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capture incidents accurately for safety and accountability.</w:t>
      </w:r>
    </w:p>
    <w:p>
      <w:pPr>
        <w:spacing w:before="0" w:after="110"/>
      </w:pPr>
      <w:r>
        <w:rPr>
          <w:rFonts w:ascii="Calibri" w:hAnsi="Calibri"/>
          <w:b/>
          <w:i w:val="0"/>
          <w:sz w:val="20"/>
        </w:rPr>
        <w:t xml:space="preserve">Policy. </w:t>
      </w:r>
      <w:r>
        <w:rPr>
          <w:rFonts w:ascii="Calibri" w:hAnsi="Calibri"/>
          <w:b w:val="0"/>
          <w:i w:val="0"/>
          <w:sz w:val="20"/>
        </w:rPr>
        <w:t>The home documents incidents affecting resident safety, health, or rights in a consistent written report.</w:t>
      </w:r>
    </w:p>
    <w:p>
      <w:pPr>
        <w:spacing w:before="0" w:after="60"/>
      </w:pPr>
      <w:r>
        <w:rPr>
          <w:rFonts w:ascii="Calibri" w:hAnsi="Calibri"/>
          <w:b/>
          <w:i w:val="0"/>
          <w:sz w:val="20"/>
        </w:rPr>
        <w:t>Procedure.</w:t>
      </w:r>
    </w:p>
    <w:p>
      <w:pPr>
        <w:spacing w:before="0" w:after="60"/>
        <w:ind w:left="340"/>
      </w:pPr>
      <w:r>
        <w:rPr>
          <w:rFonts w:ascii="Calibri" w:hAnsi="Calibri"/>
          <w:b w:val="0"/>
          <w:i w:val="0"/>
          <w:sz w:val="20"/>
        </w:rPr>
        <w:t>•  A standard incident report captures what happened, when, who, and the response.</w:t>
      </w:r>
    </w:p>
    <w:p>
      <w:pPr>
        <w:spacing w:before="0" w:after="60"/>
        <w:ind w:left="340"/>
      </w:pPr>
      <w:r>
        <w:rPr>
          <w:rFonts w:ascii="Calibri" w:hAnsi="Calibri"/>
          <w:b w:val="0"/>
          <w:i w:val="0"/>
          <w:sz w:val="20"/>
        </w:rPr>
        <w:t>•  Reports are completed promptly and stored confidentially.</w:t>
      </w:r>
    </w:p>
    <w:p>
      <w:pPr>
        <w:spacing w:before="0" w:after="60"/>
        <w:ind w:left="340"/>
      </w:pPr>
      <w:r>
        <w:rPr>
          <w:rFonts w:ascii="Calibri" w:hAnsi="Calibri"/>
          <w:b w:val="0"/>
          <w:i w:val="0"/>
          <w:sz w:val="20"/>
        </w:rPr>
        <w:t>•  Serious incidents are escalated to the operator immediately.</w:t>
      </w:r>
    </w:p>
    <w:p>
      <w:pPr>
        <w:spacing w:before="0" w:after="60"/>
        <w:ind w:left="340"/>
      </w:pPr>
      <w:r>
        <w:rPr>
          <w:rFonts w:ascii="Calibri" w:hAnsi="Calibri"/>
          <w:b w:val="0"/>
          <w:i w:val="0"/>
          <w:sz w:val="20"/>
        </w:rPr>
        <w:t>•  Reports are reviewed for patterns and prevention.</w:t>
      </w:r>
    </w:p>
    <w:p>
      <w:pPr>
        <w:spacing w:before="0" w:after="60"/>
        <w:ind w:left="340"/>
      </w:pPr>
      <w:r>
        <w:rPr>
          <w:rFonts w:ascii="Calibri" w:hAnsi="Calibri"/>
          <w:b w:val="0"/>
          <w:i w:val="0"/>
          <w:sz w:val="20"/>
        </w:rPr>
        <w:t>•  Residents' privacy is protected in all reporting.</w:t>
      </w:r>
    </w:p>
    <w:p>
      <w:pPr>
        <w:spacing w:before="260" w:after="90"/>
      </w:pPr>
      <w:r>
        <w:rPr>
          <w:rFonts w:ascii="Calibri" w:hAnsi="Calibri"/>
          <w:b/>
          <w:i w:val="0"/>
          <w:sz w:val="23"/>
        </w:rPr>
        <w:t>6.06  Critical Incident Response</w:t>
      </w:r>
    </w:p>
    <w:p>
      <w:pPr>
        <w:spacing w:before="0" w:after="80"/>
      </w:pPr>
      <w:r>
        <w:rPr>
          <w:rFonts w:ascii="Calibri" w:hAnsi="Calibri"/>
          <w:b w:val="0"/>
          <w:i/>
          <w:color w:val="555555"/>
          <w:sz w:val="19"/>
        </w:rPr>
        <w:t>NARR Standard; county medical examiner (for deaths)</w:t>
      </w:r>
    </w:p>
    <w:p>
      <w:pPr>
        <w:spacing w:before="0" w:after="110"/>
      </w:pPr>
      <w:r>
        <w:rPr>
          <w:rFonts w:ascii="Calibri" w:hAnsi="Calibri"/>
          <w:b/>
          <w:i w:val="0"/>
          <w:sz w:val="20"/>
        </w:rPr>
        <w:t xml:space="preserve">Purpose. </w:t>
      </w:r>
      <w:r>
        <w:rPr>
          <w:rFonts w:ascii="Calibri" w:hAnsi="Calibri"/>
          <w:b w:val="0"/>
          <w:i w:val="0"/>
          <w:sz w:val="20"/>
        </w:rPr>
        <w:t>To respond to the most serious events — death, overdose, or serious harm — correctly.</w:t>
      </w:r>
    </w:p>
    <w:p>
      <w:pPr>
        <w:spacing w:before="0" w:after="110"/>
      </w:pPr>
      <w:r>
        <w:rPr>
          <w:rFonts w:ascii="Calibri" w:hAnsi="Calibri"/>
          <w:b/>
          <w:i w:val="0"/>
          <w:sz w:val="20"/>
        </w:rPr>
        <w:t xml:space="preserve">Policy. </w:t>
      </w:r>
      <w:r>
        <w:rPr>
          <w:rFonts w:ascii="Calibri" w:hAnsi="Calibri"/>
          <w:b w:val="0"/>
          <w:i w:val="0"/>
          <w:sz w:val="20"/>
        </w:rPr>
        <w:t>The home has a written protocol for critical incidents that protects life, preserves dignity, notifies the right parties, and supports residents and staff.</w:t>
      </w:r>
    </w:p>
    <w:p>
      <w:pPr>
        <w:spacing w:before="0" w:after="60"/>
      </w:pPr>
      <w:r>
        <w:rPr>
          <w:rFonts w:ascii="Calibri" w:hAnsi="Calibri"/>
          <w:b/>
          <w:i w:val="0"/>
          <w:sz w:val="20"/>
        </w:rPr>
        <w:t>Procedure.</w:t>
      </w:r>
    </w:p>
    <w:p>
      <w:pPr>
        <w:spacing w:before="0" w:after="60"/>
        <w:ind w:left="340"/>
      </w:pPr>
      <w:r>
        <w:rPr>
          <w:rFonts w:ascii="Calibri" w:hAnsi="Calibri"/>
          <w:b w:val="0"/>
          <w:i w:val="0"/>
          <w:sz w:val="20"/>
        </w:rPr>
        <w:t>•  Life-safety response and 911 come first.</w:t>
      </w:r>
    </w:p>
    <w:p>
      <w:pPr>
        <w:spacing w:before="0" w:after="60"/>
        <w:ind w:left="340"/>
      </w:pPr>
      <w:r>
        <w:rPr>
          <w:rFonts w:ascii="Calibri" w:hAnsi="Calibri"/>
          <w:b w:val="0"/>
          <w:i w:val="0"/>
          <w:sz w:val="20"/>
        </w:rPr>
        <w:t>•  In the event of a death, the home cooperates with 911 and the Office of the Medical Investigator and does not disturb the scene.</w:t>
      </w:r>
    </w:p>
    <w:p>
      <w:pPr>
        <w:spacing w:before="0" w:after="60"/>
        <w:ind w:left="340"/>
      </w:pPr>
      <w:r>
        <w:rPr>
          <w:rFonts w:ascii="Calibri" w:hAnsi="Calibri"/>
          <w:b w:val="0"/>
          <w:i w:val="0"/>
          <w:sz w:val="20"/>
        </w:rPr>
        <w:t>•  Emergency contacts are notified per consent and law.</w:t>
      </w:r>
    </w:p>
    <w:p>
      <w:pPr>
        <w:spacing w:before="0" w:after="60"/>
        <w:ind w:left="340"/>
      </w:pPr>
      <w:r>
        <w:rPr>
          <w:rFonts w:ascii="Calibri" w:hAnsi="Calibri"/>
          <w:b w:val="0"/>
          <w:i w:val="0"/>
          <w:sz w:val="20"/>
        </w:rPr>
        <w:t>•  Affected residents and staff are offered grief and recovery support.</w:t>
      </w:r>
    </w:p>
    <w:p>
      <w:pPr>
        <w:spacing w:before="0" w:after="60"/>
        <w:ind w:left="340"/>
      </w:pPr>
      <w:r>
        <w:rPr>
          <w:rFonts w:ascii="Calibri" w:hAnsi="Calibri"/>
          <w:b w:val="0"/>
          <w:i w:val="0"/>
          <w:sz w:val="20"/>
        </w:rPr>
        <w:t>•  The incident is documented and reviewed; the certifying body is notified where required.</w:t>
      </w:r>
    </w:p>
    <w:p>
      <w:pPr>
        <w:spacing w:before="260" w:after="90"/>
      </w:pPr>
      <w:r>
        <w:rPr>
          <w:rFonts w:ascii="Calibri" w:hAnsi="Calibri"/>
          <w:b/>
          <w:i w:val="0"/>
          <w:sz w:val="23"/>
        </w:rPr>
        <w:t>6.07  Recurrence (Relapse) Response</w:t>
      </w:r>
    </w:p>
    <w:p>
      <w:pPr>
        <w:spacing w:before="0" w:after="80"/>
      </w:pPr>
      <w:r>
        <w:rPr>
          <w:rFonts w:ascii="Calibri" w:hAnsi="Calibri"/>
          <w:b w:val="0"/>
          <w:i/>
          <w:color w:val="555555"/>
          <w:sz w:val="19"/>
        </w:rPr>
        <w:t>SAMHSA recovery-oriented practice; NARR Standard</w:t>
      </w:r>
    </w:p>
    <w:p>
      <w:pPr>
        <w:spacing w:before="0" w:after="110"/>
      </w:pPr>
      <w:r>
        <w:rPr>
          <w:rFonts w:ascii="Calibri" w:hAnsi="Calibri"/>
          <w:b/>
          <w:i w:val="0"/>
          <w:sz w:val="20"/>
        </w:rPr>
        <w:t xml:space="preserve">Purpose. </w:t>
      </w:r>
      <w:r>
        <w:rPr>
          <w:rFonts w:ascii="Calibri" w:hAnsi="Calibri"/>
          <w:b w:val="0"/>
          <w:i w:val="0"/>
          <w:sz w:val="20"/>
        </w:rPr>
        <w:t>To respond to a return to use in a way that prioritizes life, safety, and re-engagement.</w:t>
      </w:r>
    </w:p>
    <w:p>
      <w:pPr>
        <w:spacing w:before="0" w:after="110"/>
      </w:pPr>
      <w:r>
        <w:rPr>
          <w:rFonts w:ascii="Calibri" w:hAnsi="Calibri"/>
          <w:b/>
          <w:i w:val="0"/>
          <w:sz w:val="20"/>
        </w:rPr>
        <w:t xml:space="preserve">Policy. </w:t>
      </w:r>
      <w:r>
        <w:rPr>
          <w:rFonts w:ascii="Calibri" w:hAnsi="Calibri"/>
          <w:b w:val="0"/>
          <w:i w:val="0"/>
          <w:sz w:val="20"/>
        </w:rPr>
        <w:t>The home responds to a resident's recurrence of substance use with a recovery-focused, individualized process rather than automatic discharge, while protecting the safety of the whole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A confirmed return to use triggers a supportive conversation and safety assessment, not an automatic exit.</w:t>
      </w:r>
    </w:p>
    <w:p>
      <w:pPr>
        <w:spacing w:before="0" w:after="60"/>
        <w:ind w:left="340"/>
      </w:pPr>
      <w:r>
        <w:rPr>
          <w:rFonts w:ascii="Calibri" w:hAnsi="Calibri"/>
          <w:b w:val="0"/>
          <w:i w:val="0"/>
          <w:sz w:val="20"/>
        </w:rPr>
        <w:t>•  Options may include a higher level of care, a safety plan, or a return-to-structure agreement.</w:t>
      </w:r>
    </w:p>
    <w:p>
      <w:pPr>
        <w:spacing w:before="0" w:after="60"/>
        <w:ind w:left="340"/>
      </w:pPr>
      <w:r>
        <w:rPr>
          <w:rFonts w:ascii="Calibri" w:hAnsi="Calibri"/>
          <w:b w:val="0"/>
          <w:i w:val="0"/>
          <w:sz w:val="20"/>
        </w:rPr>
        <w:t>•  Overdose risk after a period of abstinence is specifically addressed with naloxone and monitoring.</w:t>
      </w:r>
    </w:p>
    <w:p>
      <w:pPr>
        <w:spacing w:before="0" w:after="60"/>
        <w:ind w:left="340"/>
      </w:pPr>
      <w:r>
        <w:rPr>
          <w:rFonts w:ascii="Calibri" w:hAnsi="Calibri"/>
          <w:b w:val="0"/>
          <w:i w:val="0"/>
          <w:sz w:val="20"/>
        </w:rPr>
        <w:t>•  Discharge is reserved for situations where safety cannot be maintained, and is done per 6.08–6.09.</w:t>
      </w:r>
    </w:p>
    <w:p>
      <w:pPr>
        <w:spacing w:before="0" w:after="60"/>
        <w:ind w:left="340"/>
      </w:pPr>
      <w:r>
        <w:rPr>
          <w:rFonts w:ascii="Calibri" w:hAnsi="Calibri"/>
          <w:b w:val="0"/>
          <w:i w:val="0"/>
          <w:sz w:val="20"/>
        </w:rPr>
        <w:t>•  The response and its rationale are documented and reviewed.</w:t>
      </w:r>
    </w:p>
    <w:p>
      <w:pPr>
        <w:spacing w:before="260" w:after="90"/>
      </w:pPr>
      <w:r>
        <w:rPr>
          <w:rFonts w:ascii="Calibri" w:hAnsi="Calibri"/>
          <w:b/>
          <w:i w:val="0"/>
          <w:sz w:val="23"/>
        </w:rPr>
        <w:t>6.08  Discharge Planning and Transitions</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make every departure as safe as possible.</w:t>
      </w:r>
    </w:p>
    <w:p>
      <w:pPr>
        <w:spacing w:before="0" w:after="110"/>
      </w:pPr>
      <w:r>
        <w:rPr>
          <w:rFonts w:ascii="Calibri" w:hAnsi="Calibri"/>
          <w:b/>
          <w:i w:val="0"/>
          <w:sz w:val="20"/>
        </w:rPr>
        <w:t xml:space="preserve">Policy. </w:t>
      </w:r>
      <w:r>
        <w:rPr>
          <w:rFonts w:ascii="Calibri" w:hAnsi="Calibri"/>
          <w:b w:val="0"/>
          <w:i w:val="0"/>
          <w:sz w:val="20"/>
        </w:rPr>
        <w:t>The home plans discharges and transitions to support continued recovery and reduce risk, whether the departure is planned or unplanned.</w:t>
      </w:r>
    </w:p>
    <w:p>
      <w:pPr>
        <w:spacing w:before="0" w:after="60"/>
      </w:pPr>
      <w:r>
        <w:rPr>
          <w:rFonts w:ascii="Calibri" w:hAnsi="Calibri"/>
          <w:b/>
          <w:i w:val="0"/>
          <w:sz w:val="20"/>
        </w:rPr>
        <w:t>Procedure.</w:t>
      </w:r>
    </w:p>
    <w:p>
      <w:pPr>
        <w:spacing w:before="0" w:after="60"/>
        <w:ind w:left="340"/>
      </w:pPr>
      <w:r>
        <w:rPr>
          <w:rFonts w:ascii="Calibri" w:hAnsi="Calibri"/>
          <w:b w:val="0"/>
          <w:i w:val="0"/>
          <w:sz w:val="20"/>
        </w:rPr>
        <w:t>•  A discharge or transition plan addresses housing, supports, and continuing care.</w:t>
      </w:r>
    </w:p>
    <w:p>
      <w:pPr>
        <w:spacing w:before="0" w:after="60"/>
        <w:ind w:left="340"/>
      </w:pPr>
      <w:r>
        <w:rPr>
          <w:rFonts w:ascii="Calibri" w:hAnsi="Calibri"/>
          <w:b w:val="0"/>
          <w:i w:val="0"/>
          <w:sz w:val="20"/>
        </w:rPr>
        <w:t>•  Residents leaving are offered referrals and resources.</w:t>
      </w:r>
    </w:p>
    <w:p>
      <w:pPr>
        <w:spacing w:before="0" w:after="60"/>
        <w:ind w:left="340"/>
      </w:pPr>
      <w:r>
        <w:rPr>
          <w:rFonts w:ascii="Calibri" w:hAnsi="Calibri"/>
          <w:b w:val="0"/>
          <w:i w:val="0"/>
          <w:sz w:val="20"/>
        </w:rPr>
        <w:t>•  For involuntary discharge, overdose and safety risk are specifically addressed.</w:t>
      </w:r>
    </w:p>
    <w:p>
      <w:pPr>
        <w:spacing w:before="0" w:after="60"/>
        <w:ind w:left="340"/>
      </w:pPr>
      <w:r>
        <w:rPr>
          <w:rFonts w:ascii="Calibri" w:hAnsi="Calibri"/>
          <w:b w:val="0"/>
          <w:i w:val="0"/>
          <w:sz w:val="20"/>
        </w:rPr>
        <w:t>•  Belongings and any refunds are handled per the resident agreement.</w:t>
      </w:r>
    </w:p>
    <w:p>
      <w:pPr>
        <w:spacing w:before="0" w:after="60"/>
        <w:ind w:left="340"/>
      </w:pPr>
      <w:r>
        <w:rPr>
          <w:rFonts w:ascii="Calibri" w:hAnsi="Calibri"/>
          <w:b w:val="0"/>
          <w:i w:val="0"/>
          <w:sz w:val="20"/>
        </w:rPr>
        <w:t>•  The plan and referrals are documented.</w:t>
      </w:r>
    </w:p>
    <w:p>
      <w:pPr>
        <w:spacing w:before="260" w:after="90"/>
      </w:pPr>
      <w:r>
        <w:rPr>
          <w:rFonts w:ascii="Calibri" w:hAnsi="Calibri"/>
          <w:b/>
          <w:i w:val="0"/>
          <w:sz w:val="23"/>
        </w:rPr>
        <w:t>6.09  Involuntary Discharge Procedure</w:t>
      </w:r>
    </w:p>
    <w:p>
      <w:pPr>
        <w:spacing w:before="0" w:after="80"/>
      </w:pPr>
      <w:r>
        <w:rPr>
          <w:rFonts w:ascii="Calibri" w:hAnsi="Calibri"/>
          <w:b w:val="0"/>
          <w:i/>
          <w:color w:val="555555"/>
          <w:sz w:val="19"/>
        </w:rPr>
        <w:t>Florida Residential Landlord &amp; Tenant Act (F.S. 83 Pt II); Fair Housing Act</w:t>
      </w:r>
    </w:p>
    <w:p>
      <w:pPr>
        <w:spacing w:before="0" w:after="110"/>
      </w:pPr>
      <w:r>
        <w:rPr>
          <w:rFonts w:ascii="Calibri" w:hAnsi="Calibri"/>
          <w:b/>
          <w:i w:val="0"/>
          <w:sz w:val="20"/>
        </w:rPr>
        <w:t xml:space="preserve">Purpose. </w:t>
      </w:r>
      <w:r>
        <w:rPr>
          <w:rFonts w:ascii="Calibri" w:hAnsi="Calibri"/>
          <w:b w:val="0"/>
          <w:i w:val="0"/>
          <w:sz w:val="20"/>
        </w:rPr>
        <w:t>To conduct involuntary discharges fairly, safely, and lawfully.</w:t>
      </w:r>
    </w:p>
    <w:p>
      <w:pPr>
        <w:spacing w:before="0" w:after="110"/>
      </w:pPr>
      <w:r>
        <w:rPr>
          <w:rFonts w:ascii="Calibri" w:hAnsi="Calibri"/>
          <w:b/>
          <w:i w:val="0"/>
          <w:sz w:val="20"/>
        </w:rPr>
        <w:t xml:space="preserve">Policy. </w:t>
      </w:r>
      <w:r>
        <w:rPr>
          <w:rFonts w:ascii="Calibri" w:hAnsi="Calibri"/>
          <w:b w:val="0"/>
          <w:i w:val="0"/>
          <w:sz w:val="20"/>
        </w:rPr>
        <w:t>Involuntary discharge follows a written, fair process that respects any applicable tenancy rights and prioritizes the resident's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Grounds for involuntary discharge are stated in the resident agreement.</w:t>
      </w:r>
    </w:p>
    <w:p>
      <w:pPr>
        <w:spacing w:before="0" w:after="60"/>
        <w:ind w:left="340"/>
      </w:pPr>
      <w:r>
        <w:rPr>
          <w:rFonts w:ascii="Calibri" w:hAnsi="Calibri"/>
          <w:b w:val="0"/>
          <w:i w:val="0"/>
          <w:sz w:val="20"/>
        </w:rPr>
        <w:t>•  Except in immediate-safety situations, the resident receives notice and an opportunity to be heard.</w:t>
      </w:r>
    </w:p>
    <w:p>
      <w:pPr>
        <w:spacing w:before="0" w:after="60"/>
        <w:ind w:left="340"/>
      </w:pPr>
      <w:r>
        <w:rPr>
          <w:rFonts w:ascii="Calibri" w:hAnsi="Calibri"/>
          <w:b w:val="0"/>
          <w:i w:val="0"/>
          <w:sz w:val="20"/>
        </w:rPr>
        <w:t>•  Where Florida tenancy law applies, lawful notice and process are followed (see 3.11).</w:t>
      </w:r>
    </w:p>
    <w:p>
      <w:pPr>
        <w:spacing w:before="0" w:after="60"/>
        <w:ind w:left="340"/>
      </w:pPr>
      <w:r>
        <w:rPr>
          <w:rFonts w:ascii="Calibri" w:hAnsi="Calibri"/>
          <w:b w:val="0"/>
          <w:i w:val="0"/>
          <w:sz w:val="20"/>
        </w:rPr>
        <w:t>•  Discharge for safety is documented with the specific safety basis.</w:t>
      </w:r>
    </w:p>
    <w:p>
      <w:pPr>
        <w:spacing w:before="0" w:after="60"/>
        <w:ind w:left="340"/>
      </w:pPr>
      <w:r>
        <w:rPr>
          <w:rFonts w:ascii="Calibri" w:hAnsi="Calibri"/>
          <w:b w:val="0"/>
          <w:i w:val="0"/>
          <w:sz w:val="20"/>
        </w:rPr>
        <w:t>•  The resident is given referrals, belongings, and any refund due.</w:t>
      </w:r>
    </w:p>
    <w:p>
      <w:pPr>
        <w:spacing w:before="260" w:after="90"/>
      </w:pPr>
      <w:r>
        <w:rPr>
          <w:rFonts w:ascii="Calibri" w:hAnsi="Calibri"/>
          <w:b/>
          <w:i w:val="0"/>
          <w:sz w:val="23"/>
        </w:rPr>
        <w:t>6.10  Infectious Disease and Sanitation</w:t>
      </w:r>
    </w:p>
    <w:p>
      <w:pPr>
        <w:spacing w:before="0" w:after="80"/>
      </w:pPr>
      <w:r>
        <w:rPr>
          <w:rFonts w:ascii="Calibri" w:hAnsi="Calibri"/>
          <w:b w:val="0"/>
          <w:i/>
          <w:color w:val="555555"/>
          <w:sz w:val="19"/>
        </w:rPr>
        <w:t>Local health code; CDC guidance</w:t>
      </w:r>
    </w:p>
    <w:p>
      <w:pPr>
        <w:spacing w:before="0" w:after="110"/>
      </w:pPr>
      <w:r>
        <w:rPr>
          <w:rFonts w:ascii="Calibri" w:hAnsi="Calibri"/>
          <w:b/>
          <w:i w:val="0"/>
          <w:sz w:val="20"/>
        </w:rPr>
        <w:t xml:space="preserve">Purpose. </w:t>
      </w:r>
      <w:r>
        <w:rPr>
          <w:rFonts w:ascii="Calibri" w:hAnsi="Calibri"/>
          <w:b w:val="0"/>
          <w:i w:val="0"/>
          <w:sz w:val="20"/>
        </w:rPr>
        <w:t>To reduce the spread of infectious disease in a shared home.</w:t>
      </w:r>
    </w:p>
    <w:p>
      <w:pPr>
        <w:spacing w:before="0" w:after="110"/>
      </w:pPr>
      <w:r>
        <w:rPr>
          <w:rFonts w:ascii="Calibri" w:hAnsi="Calibri"/>
          <w:b/>
          <w:i w:val="0"/>
          <w:sz w:val="20"/>
        </w:rPr>
        <w:t xml:space="preserve">Policy. </w:t>
      </w:r>
      <w:r>
        <w:rPr>
          <w:rFonts w:ascii="Calibri" w:hAnsi="Calibri"/>
          <w:b w:val="0"/>
          <w:i w:val="0"/>
          <w:sz w:val="20"/>
        </w:rPr>
        <w:t>The home maintains sanitation practices and responds appropriately to infectious-disease concerns.</w:t>
      </w:r>
    </w:p>
    <w:p>
      <w:pPr>
        <w:spacing w:before="0" w:after="60"/>
      </w:pPr>
      <w:r>
        <w:rPr>
          <w:rFonts w:ascii="Calibri" w:hAnsi="Calibri"/>
          <w:b/>
          <w:i w:val="0"/>
          <w:sz w:val="20"/>
        </w:rPr>
        <w:t>Procedure.</w:t>
      </w:r>
    </w:p>
    <w:p>
      <w:pPr>
        <w:spacing w:before="0" w:after="60"/>
        <w:ind w:left="340"/>
      </w:pPr>
      <w:r>
        <w:rPr>
          <w:rFonts w:ascii="Calibri" w:hAnsi="Calibri"/>
          <w:b w:val="0"/>
          <w:i w:val="0"/>
          <w:sz w:val="20"/>
        </w:rPr>
        <w:t>•  Cleaning and sanitation routines are established and followed.</w:t>
      </w:r>
    </w:p>
    <w:p>
      <w:pPr>
        <w:spacing w:before="0" w:after="60"/>
        <w:ind w:left="340"/>
      </w:pPr>
      <w:r>
        <w:rPr>
          <w:rFonts w:ascii="Calibri" w:hAnsi="Calibri"/>
          <w:b w:val="0"/>
          <w:i w:val="0"/>
          <w:sz w:val="20"/>
        </w:rPr>
        <w:t>•  The home responds to communicable-disease concerns per public-health guidance.</w:t>
      </w:r>
    </w:p>
    <w:p>
      <w:pPr>
        <w:spacing w:before="0" w:after="60"/>
        <w:ind w:left="340"/>
      </w:pPr>
      <w:r>
        <w:rPr>
          <w:rFonts w:ascii="Calibri" w:hAnsi="Calibri"/>
          <w:b w:val="0"/>
          <w:i w:val="0"/>
          <w:sz w:val="20"/>
        </w:rPr>
        <w:t>•  Residents are educated on hygiene and prevention.</w:t>
      </w:r>
    </w:p>
    <w:p>
      <w:pPr>
        <w:spacing w:before="0" w:after="60"/>
        <w:ind w:left="340"/>
      </w:pPr>
      <w:r>
        <w:rPr>
          <w:rFonts w:ascii="Calibri" w:hAnsi="Calibri"/>
          <w:b w:val="0"/>
          <w:i w:val="0"/>
          <w:sz w:val="20"/>
        </w:rPr>
        <w:t>•  Isolation or referral is arranged when appropriate.</w:t>
      </w:r>
    </w:p>
    <w:p>
      <w:pPr>
        <w:spacing w:before="0" w:after="60"/>
        <w:ind w:left="340"/>
      </w:pPr>
      <w:r>
        <w:rPr>
          <w:rFonts w:ascii="Calibri" w:hAnsi="Calibri"/>
          <w:b w:val="0"/>
          <w:i w:val="0"/>
          <w:sz w:val="20"/>
        </w:rPr>
        <w:t>•  Supplies for hygiene and cleaning are provided.</w:t>
      </w:r>
    </w:p>
    <w:p>
      <w:pPr>
        <w:spacing w:before="260" w:after="90"/>
      </w:pPr>
      <w:r>
        <w:rPr>
          <w:rFonts w:ascii="Calibri" w:hAnsi="Calibri"/>
          <w:b/>
          <w:i w:val="0"/>
          <w:sz w:val="23"/>
        </w:rPr>
        <w:t>6.11  Weapons and Violence Prevention</w:t>
      </w:r>
    </w:p>
    <w:p>
      <w:pPr>
        <w:spacing w:before="0" w:after="80"/>
      </w:pPr>
      <w:r>
        <w:rPr>
          <w:rFonts w:ascii="Calibri" w:hAnsi="Calibri"/>
          <w:b w:val="0"/>
          <w:i/>
          <w:color w:val="555555"/>
          <w:sz w:val="19"/>
        </w:rPr>
        <w:t>NARR Standard; local law</w:t>
      </w:r>
    </w:p>
    <w:p>
      <w:pPr>
        <w:spacing w:before="0" w:after="110"/>
      </w:pPr>
      <w:r>
        <w:rPr>
          <w:rFonts w:ascii="Calibri" w:hAnsi="Calibri"/>
          <w:b/>
          <w:i w:val="0"/>
          <w:sz w:val="20"/>
        </w:rPr>
        <w:t xml:space="preserve">Purpose. </w:t>
      </w:r>
      <w:r>
        <w:rPr>
          <w:rFonts w:ascii="Calibri" w:hAnsi="Calibri"/>
          <w:b w:val="0"/>
          <w:i w:val="0"/>
          <w:sz w:val="20"/>
        </w:rPr>
        <w:t>To keep the home free of weapons and violence.</w:t>
      </w:r>
    </w:p>
    <w:p>
      <w:pPr>
        <w:spacing w:before="0" w:after="110"/>
      </w:pPr>
      <w:r>
        <w:rPr>
          <w:rFonts w:ascii="Calibri" w:hAnsi="Calibri"/>
          <w:b/>
          <w:i w:val="0"/>
          <w:sz w:val="20"/>
        </w:rPr>
        <w:t xml:space="preserve">Policy. </w:t>
      </w:r>
      <w:r>
        <w:rPr>
          <w:rFonts w:ascii="Calibri" w:hAnsi="Calibri"/>
          <w:b w:val="0"/>
          <w:i w:val="0"/>
          <w:sz w:val="20"/>
        </w:rPr>
        <w:t>The home prohibits weapons and violence and responds decisively to threats to safety.</w:t>
      </w:r>
    </w:p>
    <w:p>
      <w:pPr>
        <w:spacing w:before="0" w:after="60"/>
      </w:pPr>
      <w:r>
        <w:rPr>
          <w:rFonts w:ascii="Calibri" w:hAnsi="Calibri"/>
          <w:b/>
          <w:i w:val="0"/>
          <w:sz w:val="20"/>
        </w:rPr>
        <w:t>Procedure.</w:t>
      </w:r>
    </w:p>
    <w:p>
      <w:pPr>
        <w:spacing w:before="0" w:after="60"/>
        <w:ind w:left="340"/>
      </w:pPr>
      <w:r>
        <w:rPr>
          <w:rFonts w:ascii="Calibri" w:hAnsi="Calibri"/>
          <w:b w:val="0"/>
          <w:i w:val="0"/>
          <w:sz w:val="20"/>
        </w:rPr>
        <w:t>•  Weapons are prohibited on the premises and listed as contraband.</w:t>
      </w:r>
    </w:p>
    <w:p>
      <w:pPr>
        <w:spacing w:before="0" w:after="60"/>
        <w:ind w:left="340"/>
      </w:pPr>
      <w:r>
        <w:rPr>
          <w:rFonts w:ascii="Calibri" w:hAnsi="Calibri"/>
          <w:b w:val="0"/>
          <w:i w:val="0"/>
          <w:sz w:val="20"/>
        </w:rPr>
        <w:t>•  Threats or acts of violence trigger an immediate safety response, including 911 where needed.</w:t>
      </w:r>
    </w:p>
    <w:p>
      <w:pPr>
        <w:spacing w:before="0" w:after="60"/>
        <w:ind w:left="340"/>
      </w:pPr>
      <w:r>
        <w:rPr>
          <w:rFonts w:ascii="Calibri" w:hAnsi="Calibri"/>
          <w:b w:val="0"/>
          <w:i w:val="0"/>
          <w:sz w:val="20"/>
        </w:rPr>
        <w:t>•  De-escalation is used where safe; safety of all residents is paramount.</w:t>
      </w:r>
    </w:p>
    <w:p>
      <w:pPr>
        <w:spacing w:before="0" w:after="60"/>
        <w:ind w:left="340"/>
      </w:pPr>
      <w:r>
        <w:rPr>
          <w:rFonts w:ascii="Calibri" w:hAnsi="Calibri"/>
          <w:b w:val="0"/>
          <w:i w:val="0"/>
          <w:sz w:val="20"/>
        </w:rPr>
        <w:t>•  Incidents are documented and may be grounds for immediate discharge.</w:t>
      </w:r>
    </w:p>
    <w:p>
      <w:pPr>
        <w:spacing w:before="0" w:after="60"/>
        <w:ind w:left="340"/>
      </w:pPr>
      <w:r>
        <w:rPr>
          <w:rFonts w:ascii="Calibri" w:hAnsi="Calibri"/>
          <w:b w:val="0"/>
          <w:i w:val="0"/>
          <w:sz w:val="20"/>
        </w:rPr>
        <w:t>•  Staff are trained in de-escalation and emergency response.</w:t>
      </w:r>
    </w:p>
    <w:p>
      <w:pPr>
        <w:spacing w:before="260" w:after="90"/>
      </w:pPr>
      <w:r>
        <w:rPr>
          <w:rFonts w:ascii="Calibri" w:hAnsi="Calibri"/>
          <w:b/>
          <w:i w:val="0"/>
          <w:sz w:val="23"/>
        </w:rPr>
        <w:t>6.12  Missing Resident and Welfare Checks</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respond appropriately when a resident is unexpectedly absent or at risk.</w:t>
      </w:r>
    </w:p>
    <w:p>
      <w:pPr>
        <w:spacing w:before="0" w:after="110"/>
      </w:pPr>
      <w:r>
        <w:rPr>
          <w:rFonts w:ascii="Calibri" w:hAnsi="Calibri"/>
          <w:b/>
          <w:i w:val="0"/>
          <w:sz w:val="20"/>
        </w:rPr>
        <w:t xml:space="preserve">Policy. </w:t>
      </w:r>
      <w:r>
        <w:rPr>
          <w:rFonts w:ascii="Calibri" w:hAnsi="Calibri"/>
          <w:b w:val="0"/>
          <w:i w:val="0"/>
          <w:sz w:val="20"/>
        </w:rPr>
        <w:t>The home responds to an unexplained absence or welfare concern with reasonable checks and, where warranted, emergency contact.</w:t>
      </w:r>
    </w:p>
    <w:p>
      <w:pPr>
        <w:spacing w:before="0" w:after="60"/>
      </w:pPr>
      <w:r>
        <w:rPr>
          <w:rFonts w:ascii="Calibri" w:hAnsi="Calibri"/>
          <w:b/>
          <w:i w:val="0"/>
          <w:sz w:val="20"/>
        </w:rPr>
        <w:t>Procedure.</w:t>
      </w:r>
    </w:p>
    <w:p>
      <w:pPr>
        <w:spacing w:before="0" w:after="60"/>
        <w:ind w:left="340"/>
      </w:pPr>
      <w:r>
        <w:rPr>
          <w:rFonts w:ascii="Calibri" w:hAnsi="Calibri"/>
          <w:b w:val="0"/>
          <w:i w:val="0"/>
          <w:sz w:val="20"/>
        </w:rPr>
        <w:t>•  Unexplained absences that raise safety concern are noted and followed up.</w:t>
      </w:r>
    </w:p>
    <w:p>
      <w:pPr>
        <w:spacing w:before="0" w:after="60"/>
        <w:ind w:left="340"/>
      </w:pPr>
      <w:r>
        <w:rPr>
          <w:rFonts w:ascii="Calibri" w:hAnsi="Calibri"/>
          <w:b w:val="0"/>
          <w:i w:val="0"/>
          <w:sz w:val="20"/>
        </w:rPr>
        <w:t>•  The home attempts contact and, where consented, contacts the emergency contact.</w:t>
      </w:r>
    </w:p>
    <w:p>
      <w:pPr>
        <w:spacing w:before="0" w:after="60"/>
        <w:ind w:left="340"/>
      </w:pPr>
      <w:r>
        <w:rPr>
          <w:rFonts w:ascii="Calibri" w:hAnsi="Calibri"/>
          <w:b w:val="0"/>
          <w:i w:val="0"/>
          <w:sz w:val="20"/>
        </w:rPr>
        <w:t>•  If overdose or self-harm risk is suspected, emergency services are called.</w:t>
      </w:r>
    </w:p>
    <w:p>
      <w:pPr>
        <w:spacing w:before="0" w:after="60"/>
        <w:ind w:left="340"/>
      </w:pPr>
      <w:r>
        <w:rPr>
          <w:rFonts w:ascii="Calibri" w:hAnsi="Calibri"/>
          <w:b w:val="0"/>
          <w:i w:val="0"/>
          <w:sz w:val="20"/>
        </w:rPr>
        <w:t>•  Actions taken are documented.</w:t>
      </w:r>
    </w:p>
    <w:p>
      <w:pPr>
        <w:spacing w:before="0" w:after="60"/>
        <w:ind w:left="340"/>
      </w:pPr>
      <w:r>
        <w:rPr>
          <w:rFonts w:ascii="Calibri" w:hAnsi="Calibri"/>
          <w:b w:val="0"/>
          <w:i w:val="0"/>
          <w:sz w:val="20"/>
        </w:rPr>
        <w:t>•  Privacy is balanced against safety in every welfare check.</w:t>
      </w:r>
    </w:p>
    <w:p>
      <w:pPr>
        <w:spacing w:before="260" w:after="90"/>
      </w:pPr>
      <w:r>
        <w:rPr>
          <w:rFonts w:ascii="Calibri" w:hAnsi="Calibri"/>
          <w:b/>
          <w:i w:val="0"/>
          <w:sz w:val="23"/>
        </w:rPr>
        <w:t>6.13  Mental Health Crisis &amp; Suicide-Risk Response</w:t>
      </w:r>
    </w:p>
    <w:p>
      <w:pPr>
        <w:spacing w:before="0" w:after="80"/>
      </w:pPr>
      <w:r>
        <w:rPr>
          <w:rFonts w:ascii="Calibri" w:hAnsi="Calibri"/>
          <w:b w:val="0"/>
          <w:i/>
          <w:color w:val="555555"/>
          <w:sz w:val="19"/>
        </w:rPr>
        <w:t>988 Suicide &amp; Crisis Lifeline; Florida 211</w:t>
      </w:r>
    </w:p>
    <w:p>
      <w:pPr>
        <w:spacing w:before="0" w:after="110"/>
      </w:pPr>
      <w:r>
        <w:rPr>
          <w:rFonts w:ascii="Calibri" w:hAnsi="Calibri"/>
          <w:b/>
          <w:i w:val="0"/>
          <w:sz w:val="20"/>
        </w:rPr>
        <w:t xml:space="preserve">Purpose. </w:t>
      </w:r>
      <w:r>
        <w:rPr>
          <w:rFonts w:ascii="Calibri" w:hAnsi="Calibri"/>
          <w:b w:val="0"/>
          <w:i w:val="0"/>
          <w:sz w:val="20"/>
        </w:rPr>
        <w:t>To respond safely to a resident in mental-health crisis.</w:t>
      </w:r>
    </w:p>
    <w:p>
      <w:pPr>
        <w:spacing w:before="0" w:after="110"/>
      </w:pPr>
      <w:r>
        <w:rPr>
          <w:rFonts w:ascii="Calibri" w:hAnsi="Calibri"/>
          <w:b/>
          <w:i w:val="0"/>
          <w:sz w:val="20"/>
        </w:rPr>
        <w:t xml:space="preserve">Policy. </w:t>
      </w:r>
      <w:r>
        <w:rPr>
          <w:rFonts w:ascii="Calibri" w:hAnsi="Calibri"/>
          <w:b w:val="0"/>
          <w:i w:val="0"/>
          <w:sz w:val="20"/>
        </w:rPr>
        <w:t>The home responds to signs of mental-health crisis or suicide risk by connecting the resident to professional crisis services immediately and keeping them safe in the interim.</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are oriented to recognize signs of crisis and suicide risk.</w:t>
      </w:r>
    </w:p>
    <w:p>
      <w:pPr>
        <w:spacing w:before="0" w:after="60"/>
        <w:ind w:left="340"/>
      </w:pPr>
      <w:r>
        <w:rPr>
          <w:rFonts w:ascii="Calibri" w:hAnsi="Calibri"/>
          <w:b w:val="0"/>
          <w:i w:val="0"/>
          <w:sz w:val="20"/>
        </w:rPr>
        <w:t>•  988 and Florida 211 are posted and used.</w:t>
      </w:r>
    </w:p>
    <w:p>
      <w:pPr>
        <w:spacing w:before="0" w:after="60"/>
        <w:ind w:left="340"/>
      </w:pPr>
      <w:r>
        <w:rPr>
          <w:rFonts w:ascii="Calibri" w:hAnsi="Calibri"/>
          <w:b w:val="0"/>
          <w:i w:val="0"/>
          <w:sz w:val="20"/>
        </w:rPr>
        <w:t>•  In imminent danger, 911 is called and the resident is not left alone.</w:t>
      </w:r>
    </w:p>
    <w:p>
      <w:pPr>
        <w:spacing w:before="0" w:after="60"/>
        <w:ind w:left="340"/>
      </w:pPr>
      <w:r>
        <w:rPr>
          <w:rFonts w:ascii="Calibri" w:hAnsi="Calibri"/>
          <w:b w:val="0"/>
          <w:i w:val="0"/>
          <w:sz w:val="20"/>
        </w:rPr>
        <w:t>•  The home connects residents to professional help; it does not provide clinical treatment.</w:t>
      </w:r>
    </w:p>
    <w:p>
      <w:pPr>
        <w:spacing w:before="0" w:after="60"/>
        <w:ind w:left="340"/>
      </w:pPr>
      <w:r>
        <w:rPr>
          <w:rFonts w:ascii="Calibri" w:hAnsi="Calibri"/>
          <w:b w:val="0"/>
          <w:i w:val="0"/>
          <w:sz w:val="20"/>
        </w:rPr>
        <w:t>•  Means-safety steps are taken within the home's authority.</w:t>
      </w:r>
    </w:p>
    <w:p>
      <w:pPr>
        <w:spacing w:before="0" w:after="60"/>
        <w:ind w:left="340"/>
      </w:pPr>
      <w:r>
        <w:rPr>
          <w:rFonts w:ascii="Calibri" w:hAnsi="Calibri"/>
          <w:b w:val="0"/>
          <w:i w:val="0"/>
          <w:sz w:val="20"/>
        </w:rPr>
        <w:t>•  The event is documented and followed up with support and referral.</w:t>
      </w:r>
    </w:p>
    <w:p>
      <w:pPr>
        <w:spacing w:before="260" w:after="90"/>
      </w:pPr>
      <w:r>
        <w:rPr>
          <w:rFonts w:ascii="Calibri" w:hAnsi="Calibri"/>
          <w:b/>
          <w:i w:val="0"/>
          <w:sz w:val="23"/>
        </w:rPr>
        <w:t>6.14  Severe Weather &amp; Natural-Disaster Preparedness</w:t>
      </w:r>
    </w:p>
    <w:p>
      <w:pPr>
        <w:spacing w:before="0" w:after="80"/>
      </w:pPr>
      <w:r>
        <w:rPr>
          <w:rFonts w:ascii="Calibri" w:hAnsi="Calibri"/>
          <w:b w:val="0"/>
          <w:i/>
          <w:color w:val="555555"/>
          <w:sz w:val="19"/>
        </w:rPr>
        <w:t>NARR Standard; local emergency management</w:t>
      </w:r>
    </w:p>
    <w:p>
      <w:pPr>
        <w:spacing w:before="0" w:after="110"/>
      </w:pPr>
      <w:r>
        <w:rPr>
          <w:rFonts w:ascii="Calibri" w:hAnsi="Calibri"/>
          <w:b/>
          <w:i w:val="0"/>
          <w:sz w:val="20"/>
        </w:rPr>
        <w:t xml:space="preserve">Purpose. </w:t>
      </w:r>
      <w:r>
        <w:rPr>
          <w:rFonts w:ascii="Calibri" w:hAnsi="Calibri"/>
          <w:b w:val="0"/>
          <w:i w:val="0"/>
          <w:sz w:val="20"/>
        </w:rPr>
        <w:t>To prepare the home for Florida weather and disaster risks (hurricanes, flooding).</w:t>
      </w:r>
    </w:p>
    <w:p>
      <w:pPr>
        <w:spacing w:before="0" w:after="110"/>
      </w:pPr>
      <w:r>
        <w:rPr>
          <w:rFonts w:ascii="Calibri" w:hAnsi="Calibri"/>
          <w:b/>
          <w:i w:val="0"/>
          <w:sz w:val="20"/>
        </w:rPr>
        <w:t xml:space="preserve">Policy. </w:t>
      </w:r>
      <w:r>
        <w:rPr>
          <w:rFonts w:ascii="Calibri" w:hAnsi="Calibri"/>
          <w:b w:val="0"/>
          <w:i w:val="0"/>
          <w:sz w:val="20"/>
        </w:rPr>
        <w:t>The home maintains a written plan for severe weather and natural disasters relevant to its location (heat, wildfire, flooding, winter storms).</w:t>
      </w:r>
    </w:p>
    <w:p>
      <w:pPr>
        <w:spacing w:before="0" w:after="60"/>
      </w:pPr>
      <w:r>
        <w:rPr>
          <w:rFonts w:ascii="Calibri" w:hAnsi="Calibri"/>
          <w:b/>
          <w:i w:val="0"/>
          <w:sz w:val="20"/>
        </w:rPr>
        <w:t>Procedure.</w:t>
      </w:r>
    </w:p>
    <w:p>
      <w:pPr>
        <w:spacing w:before="0" w:after="60"/>
        <w:ind w:left="340"/>
      </w:pPr>
      <w:r>
        <w:rPr>
          <w:rFonts w:ascii="Calibri" w:hAnsi="Calibri"/>
          <w:b w:val="0"/>
          <w:i w:val="0"/>
          <w:sz w:val="20"/>
        </w:rPr>
        <w:t>•  Risks relevant to the home's location are identified.</w:t>
      </w:r>
    </w:p>
    <w:p>
      <w:pPr>
        <w:spacing w:before="0" w:after="60"/>
        <w:ind w:left="340"/>
      </w:pPr>
      <w:r>
        <w:rPr>
          <w:rFonts w:ascii="Calibri" w:hAnsi="Calibri"/>
          <w:b w:val="0"/>
          <w:i w:val="0"/>
          <w:sz w:val="20"/>
        </w:rPr>
        <w:t>•  Shelter-in-place and evacuation procedures are written and shared.</w:t>
      </w:r>
    </w:p>
    <w:p>
      <w:pPr>
        <w:spacing w:before="0" w:after="60"/>
        <w:ind w:left="340"/>
      </w:pPr>
      <w:r>
        <w:rPr>
          <w:rFonts w:ascii="Calibri" w:hAnsi="Calibri"/>
          <w:b w:val="0"/>
          <w:i w:val="0"/>
          <w:sz w:val="20"/>
        </w:rPr>
        <w:t>•  Emergency supplies (water, first aid, flashlights) are maintained.</w:t>
      </w:r>
    </w:p>
    <w:p>
      <w:pPr>
        <w:spacing w:before="0" w:after="60"/>
        <w:ind w:left="340"/>
      </w:pPr>
      <w:r>
        <w:rPr>
          <w:rFonts w:ascii="Calibri" w:hAnsi="Calibri"/>
          <w:b w:val="0"/>
          <w:i w:val="0"/>
          <w:sz w:val="20"/>
        </w:rPr>
        <w:t>•  Residents know the plan and any assembly points.</w:t>
      </w:r>
    </w:p>
    <w:p>
      <w:pPr>
        <w:spacing w:before="0" w:after="60"/>
        <w:ind w:left="340"/>
      </w:pPr>
      <w:r>
        <w:rPr>
          <w:rFonts w:ascii="Calibri" w:hAnsi="Calibri"/>
          <w:b w:val="0"/>
          <w:i w:val="0"/>
          <w:sz w:val="20"/>
        </w:rPr>
        <w:t>•  Communication and accountability procedures are defined.</w:t>
      </w:r>
    </w:p>
    <w:p>
      <w:pPr>
        <w:spacing w:before="0" w:after="60"/>
        <w:ind w:left="340"/>
      </w:pPr>
      <w:r>
        <w:rPr>
          <w:rFonts w:ascii="Calibri" w:hAnsi="Calibri"/>
          <w:b w:val="0"/>
          <w:i w:val="0"/>
          <w:sz w:val="20"/>
        </w:rPr>
        <w:t>•  The plan is reviewed at least annually.</w:t>
      </w:r>
    </w:p>
    <w:p>
      <w:pPr>
        <w:spacing w:before="260" w:after="90"/>
      </w:pPr>
      <w:r>
        <w:rPr>
          <w:rFonts w:ascii="Calibri" w:hAnsi="Calibri"/>
          <w:b/>
          <w:i w:val="0"/>
          <w:sz w:val="23"/>
        </w:rPr>
        <w:t>6.15  First Aid &amp; CPR Readiness</w:t>
      </w:r>
    </w:p>
    <w:p>
      <w:pPr>
        <w:spacing w:before="0" w:after="80"/>
      </w:pPr>
      <w:r>
        <w:rPr>
          <w:rFonts w:ascii="Calibri" w:hAnsi="Calibri"/>
          <w:b w:val="0"/>
          <w:i/>
          <w:color w:val="555555"/>
          <w:sz w:val="19"/>
        </w:rPr>
        <w:t>NARR Standard; Good Samaritan</w:t>
      </w:r>
    </w:p>
    <w:p>
      <w:pPr>
        <w:spacing w:before="0" w:after="110"/>
      </w:pPr>
      <w:r>
        <w:rPr>
          <w:rFonts w:ascii="Calibri" w:hAnsi="Calibri"/>
          <w:b/>
          <w:i w:val="0"/>
          <w:sz w:val="20"/>
        </w:rPr>
        <w:t xml:space="preserve">Purpose. </w:t>
      </w:r>
      <w:r>
        <w:rPr>
          <w:rFonts w:ascii="Calibri" w:hAnsi="Calibri"/>
          <w:b w:val="0"/>
          <w:i w:val="0"/>
          <w:sz w:val="20"/>
        </w:rPr>
        <w:t>To ensure basic emergency care is available in the home.</w:t>
      </w:r>
    </w:p>
    <w:p>
      <w:pPr>
        <w:spacing w:before="0" w:after="110"/>
      </w:pPr>
      <w:r>
        <w:rPr>
          <w:rFonts w:ascii="Calibri" w:hAnsi="Calibri"/>
          <w:b/>
          <w:i w:val="0"/>
          <w:sz w:val="20"/>
        </w:rPr>
        <w:t xml:space="preserve">Policy. </w:t>
      </w:r>
      <w:r>
        <w:rPr>
          <w:rFonts w:ascii="Calibri" w:hAnsi="Calibri"/>
          <w:b w:val="0"/>
          <w:i w:val="0"/>
          <w:sz w:val="20"/>
        </w:rPr>
        <w:t>The home maintains first-aid supplies and ensures managers hold current first-aid and CPR readiness.</w:t>
      </w:r>
    </w:p>
    <w:p>
      <w:pPr>
        <w:spacing w:before="0" w:after="60"/>
      </w:pPr>
      <w:r>
        <w:rPr>
          <w:rFonts w:ascii="Calibri" w:hAnsi="Calibri"/>
          <w:b/>
          <w:i w:val="0"/>
          <w:sz w:val="20"/>
        </w:rPr>
        <w:t>Procedure.</w:t>
      </w:r>
    </w:p>
    <w:p>
      <w:pPr>
        <w:spacing w:before="0" w:after="60"/>
        <w:ind w:left="340"/>
      </w:pPr>
      <w:r>
        <w:rPr>
          <w:rFonts w:ascii="Calibri" w:hAnsi="Calibri"/>
          <w:b w:val="0"/>
          <w:i w:val="0"/>
          <w:sz w:val="20"/>
        </w:rPr>
        <w:t>•  A stocked first-aid kit is maintained and checked.</w:t>
      </w:r>
    </w:p>
    <w:p>
      <w:pPr>
        <w:spacing w:before="0" w:after="60"/>
        <w:ind w:left="340"/>
      </w:pPr>
      <w:r>
        <w:rPr>
          <w:rFonts w:ascii="Calibri" w:hAnsi="Calibri"/>
          <w:b w:val="0"/>
          <w:i w:val="0"/>
          <w:sz w:val="20"/>
        </w:rPr>
        <w:t>•  House managers hold or pursue current CPR/first-aid training.</w:t>
      </w:r>
    </w:p>
    <w:p>
      <w:pPr>
        <w:spacing w:before="0" w:after="60"/>
        <w:ind w:left="340"/>
      </w:pPr>
      <w:r>
        <w:rPr>
          <w:rFonts w:ascii="Calibri" w:hAnsi="Calibri"/>
          <w:b w:val="0"/>
          <w:i w:val="0"/>
          <w:sz w:val="20"/>
        </w:rPr>
        <w:t>•  Emergency numbers and procedures are posted.</w:t>
      </w:r>
    </w:p>
    <w:p>
      <w:pPr>
        <w:spacing w:before="0" w:after="60"/>
        <w:ind w:left="340"/>
      </w:pPr>
      <w:r>
        <w:rPr>
          <w:rFonts w:ascii="Calibri" w:hAnsi="Calibri"/>
          <w:b w:val="0"/>
          <w:i w:val="0"/>
          <w:sz w:val="20"/>
        </w:rPr>
        <w:t>•  Naloxone readiness (6.03) complements first-aid readiness.</w:t>
      </w:r>
    </w:p>
    <w:p>
      <w:pPr>
        <w:spacing w:before="0" w:after="60"/>
        <w:ind w:left="340"/>
      </w:pPr>
      <w:r>
        <w:rPr>
          <w:rFonts w:ascii="Calibri" w:hAnsi="Calibri"/>
          <w:b w:val="0"/>
          <w:i w:val="0"/>
          <w:sz w:val="20"/>
        </w:rPr>
        <w:t>•  Supplies are restocked after use.</w:t>
      </w:r>
    </w:p>
    <w:p>
      <w:pPr>
        <w:spacing w:before="0" w:after="60"/>
        <w:ind w:left="340"/>
      </w:pPr>
      <w:r>
        <w:rPr>
          <w:rFonts w:ascii="Calibri" w:hAnsi="Calibri"/>
          <w:b w:val="0"/>
          <w:i w:val="0"/>
          <w:sz w:val="20"/>
        </w:rPr>
        <w:t>•  Training currency is documented.</w:t>
      </w:r>
    </w:p>
    <w:p>
      <w:pPr>
        <w:spacing w:before="260" w:after="90"/>
      </w:pPr>
      <w:r>
        <w:rPr>
          <w:rFonts w:ascii="Calibri" w:hAnsi="Calibri"/>
          <w:b/>
          <w:i w:val="0"/>
          <w:sz w:val="23"/>
        </w:rPr>
        <w:t>6.16  Post-Incident Debrief &amp; Prevention</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learn from every serious incident and prevent the next one.</w:t>
      </w:r>
    </w:p>
    <w:p>
      <w:pPr>
        <w:spacing w:before="0" w:after="110"/>
      </w:pPr>
      <w:r>
        <w:rPr>
          <w:rFonts w:ascii="Calibri" w:hAnsi="Calibri"/>
          <w:b/>
          <w:i w:val="0"/>
          <w:sz w:val="20"/>
        </w:rPr>
        <w:t xml:space="preserve">Policy. </w:t>
      </w:r>
      <w:r>
        <w:rPr>
          <w:rFonts w:ascii="Calibri" w:hAnsi="Calibri"/>
          <w:b w:val="0"/>
          <w:i w:val="0"/>
          <w:sz w:val="20"/>
        </w:rPr>
        <w:t>After a serious incident the home conducts a debrief to support those affected and to identify preventable causes.</w:t>
      </w:r>
    </w:p>
    <w:p>
      <w:pPr>
        <w:spacing w:before="0" w:after="60"/>
      </w:pPr>
      <w:r>
        <w:rPr>
          <w:rFonts w:ascii="Calibri" w:hAnsi="Calibri"/>
          <w:b/>
          <w:i w:val="0"/>
          <w:sz w:val="20"/>
        </w:rPr>
        <w:t>Procedure.</w:t>
      </w:r>
    </w:p>
    <w:p>
      <w:pPr>
        <w:spacing w:before="0" w:after="60"/>
        <w:ind w:left="340"/>
      </w:pPr>
      <w:r>
        <w:rPr>
          <w:rFonts w:ascii="Calibri" w:hAnsi="Calibri"/>
          <w:b w:val="0"/>
          <w:i w:val="0"/>
          <w:sz w:val="20"/>
        </w:rPr>
        <w:t>•  A debrief follows critical incidents, overdoses, and serious safety events.</w:t>
      </w:r>
    </w:p>
    <w:p>
      <w:pPr>
        <w:spacing w:before="0" w:after="60"/>
        <w:ind w:left="340"/>
      </w:pPr>
      <w:r>
        <w:rPr>
          <w:rFonts w:ascii="Calibri" w:hAnsi="Calibri"/>
          <w:b w:val="0"/>
          <w:i w:val="0"/>
          <w:sz w:val="20"/>
        </w:rPr>
        <w:t>•  The focus is learning and support, not blame.</w:t>
      </w:r>
    </w:p>
    <w:p>
      <w:pPr>
        <w:spacing w:before="0" w:after="60"/>
        <w:ind w:left="340"/>
      </w:pPr>
      <w:r>
        <w:rPr>
          <w:rFonts w:ascii="Calibri" w:hAnsi="Calibri"/>
          <w:b w:val="0"/>
          <w:i w:val="0"/>
          <w:sz w:val="20"/>
        </w:rPr>
        <w:t>•  Contributing factors and preventable causes are identified.</w:t>
      </w:r>
    </w:p>
    <w:p>
      <w:pPr>
        <w:spacing w:before="0" w:after="60"/>
        <w:ind w:left="340"/>
      </w:pPr>
      <w:r>
        <w:rPr>
          <w:rFonts w:ascii="Calibri" w:hAnsi="Calibri"/>
          <w:b w:val="0"/>
          <w:i w:val="0"/>
          <w:sz w:val="20"/>
        </w:rPr>
        <w:t>•  Action items are assigned with owners and dates.</w:t>
      </w:r>
    </w:p>
    <w:p>
      <w:pPr>
        <w:spacing w:before="0" w:after="60"/>
        <w:ind w:left="340"/>
      </w:pPr>
      <w:r>
        <w:rPr>
          <w:rFonts w:ascii="Calibri" w:hAnsi="Calibri"/>
          <w:b w:val="0"/>
          <w:i w:val="0"/>
          <w:sz w:val="20"/>
        </w:rPr>
        <w:t>•  Affected residents and staff are offered support.</w:t>
      </w:r>
    </w:p>
    <w:p>
      <w:pPr>
        <w:spacing w:before="0" w:after="60"/>
        <w:ind w:left="340"/>
      </w:pPr>
      <w:r>
        <w:rPr>
          <w:rFonts w:ascii="Calibri" w:hAnsi="Calibri"/>
          <w:b w:val="0"/>
          <w:i w:val="0"/>
          <w:sz w:val="20"/>
        </w:rPr>
        <w:t>•  Findings feed policy updates and quality improvement (8.01).</w:t>
      </w:r>
    </w:p>
    <w:p>
      <w:r>
        <w:br w:type="page"/>
      </w:r>
    </w:p>
    <w:p>
      <w:pPr>
        <w:spacing w:before="0" w:after="80"/>
      </w:pPr>
      <w:r>
        <w:rPr>
          <w:rFonts w:ascii="Calibri" w:hAnsi="Calibri"/>
          <w:b/>
          <w:i w:val="0"/>
          <w:sz w:val="26"/>
        </w:rPr>
        <w:t>Section 7 — Finances, Records &amp; Compliance</w:t>
      </w:r>
    </w:p>
    <w:p>
      <w:pPr>
        <w:spacing w:before="0" w:after="160"/>
      </w:pPr>
      <w:r>
        <w:rPr>
          <w:rFonts w:ascii="Calibri" w:hAnsi="Calibri"/>
          <w:b w:val="0"/>
          <w:i/>
          <w:sz w:val="20"/>
        </w:rPr>
        <w:t>Sound money handling and honest compliance protect residents and the operator alike. This section covers financial transparency, the federal anti-kickback and anti-patient-brokering rules that recovery housing must take seriously, recordkeeping and confidentiality, accounting for any grant funds, and Florida's mandatory abuse-reporting duties.</w:t>
      </w:r>
    </w:p>
    <w:p>
      <w:pPr>
        <w:spacing w:before="260" w:after="90"/>
      </w:pPr>
      <w:r>
        <w:rPr>
          <w:rFonts w:ascii="Calibri" w:hAnsi="Calibri"/>
          <w:b/>
          <w:i w:val="0"/>
          <w:sz w:val="23"/>
        </w:rPr>
        <w:t>7.01  Financial Management and Transparency</w:t>
      </w:r>
    </w:p>
    <w:p>
      <w:pPr>
        <w:spacing w:before="0" w:after="80"/>
      </w:pPr>
      <w:r>
        <w:rPr>
          <w:rFonts w:ascii="Calibri" w:hAnsi="Calibri"/>
          <w:b w:val="0"/>
          <w:i/>
          <w:color w:val="555555"/>
          <w:sz w:val="19"/>
        </w:rPr>
        <w:t>NARR Standard — Operations domain</w:t>
      </w:r>
    </w:p>
    <w:p>
      <w:pPr>
        <w:spacing w:before="0" w:after="110"/>
      </w:pPr>
      <w:r>
        <w:rPr>
          <w:rFonts w:ascii="Calibri" w:hAnsi="Calibri"/>
          <w:b/>
          <w:i w:val="0"/>
          <w:sz w:val="20"/>
        </w:rPr>
        <w:t xml:space="preserve">Purpose. </w:t>
      </w:r>
      <w:r>
        <w:rPr>
          <w:rFonts w:ascii="Calibri" w:hAnsi="Calibri"/>
          <w:b w:val="0"/>
          <w:i w:val="0"/>
          <w:sz w:val="20"/>
        </w:rPr>
        <w:t>To manage the home's money honestly and transparently.</w:t>
      </w:r>
    </w:p>
    <w:p>
      <w:pPr>
        <w:spacing w:before="0" w:after="110"/>
      </w:pPr>
      <w:r>
        <w:rPr>
          <w:rFonts w:ascii="Calibri" w:hAnsi="Calibri"/>
          <w:b/>
          <w:i w:val="0"/>
          <w:sz w:val="20"/>
        </w:rPr>
        <w:t xml:space="preserve">Policy. </w:t>
      </w:r>
      <w:r>
        <w:rPr>
          <w:rFonts w:ascii="Calibri" w:hAnsi="Calibri"/>
          <w:b w:val="0"/>
          <w:i w:val="0"/>
          <w:sz w:val="20"/>
        </w:rPr>
        <w:t>The operator maintains sound financial practices, keeps home funds separate from personal funds, and accounts accurately for resident payments.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keeps organized financial records of income and expenses.</w:t>
      </w:r>
    </w:p>
    <w:p>
      <w:pPr>
        <w:spacing w:before="0" w:after="60"/>
        <w:ind w:left="340"/>
      </w:pPr>
      <w:r>
        <w:rPr>
          <w:rFonts w:ascii="Calibri" w:hAnsi="Calibri"/>
          <w:b w:val="0"/>
          <w:i w:val="0"/>
          <w:sz w:val="20"/>
        </w:rPr>
        <w:t>•  Home funds are kept separate from the operator's personal accounts.</w:t>
      </w:r>
    </w:p>
    <w:p>
      <w:pPr>
        <w:spacing w:before="0" w:after="60"/>
        <w:ind w:left="340"/>
      </w:pPr>
      <w:r>
        <w:rPr>
          <w:rFonts w:ascii="Calibri" w:hAnsi="Calibri"/>
          <w:b w:val="0"/>
          <w:i w:val="0"/>
          <w:sz w:val="20"/>
        </w:rPr>
        <w:t>•  Resident payments are receipted and recorded.</w:t>
      </w:r>
    </w:p>
    <w:p>
      <w:pPr>
        <w:spacing w:before="0" w:after="60"/>
        <w:ind w:left="340"/>
      </w:pPr>
      <w:r>
        <w:rPr>
          <w:rFonts w:ascii="Calibri" w:hAnsi="Calibri"/>
          <w:b w:val="0"/>
          <w:i w:val="0"/>
          <w:sz w:val="20"/>
        </w:rPr>
        <w:t>•  Financial practices support the home's stability and commitments.</w:t>
      </w:r>
    </w:p>
    <w:p>
      <w:pPr>
        <w:spacing w:before="0" w:after="60"/>
        <w:ind w:left="340"/>
      </w:pPr>
      <w:r>
        <w:rPr>
          <w:rFonts w:ascii="Calibri" w:hAnsi="Calibri"/>
          <w:b w:val="0"/>
          <w:i w:val="0"/>
          <w:sz w:val="20"/>
        </w:rPr>
        <w:t>•  Records are available for audit by funders where applicable.</w:t>
      </w:r>
    </w:p>
    <w:p>
      <w:pPr>
        <w:spacing w:before="260" w:after="90"/>
      </w:pPr>
      <w:r>
        <w:rPr>
          <w:rFonts w:ascii="Calibri" w:hAnsi="Calibri"/>
          <w:b/>
          <w:i w:val="0"/>
          <w:sz w:val="23"/>
        </w:rPr>
        <w:t>7.02  Resident Fees and Refund Policy</w:t>
      </w:r>
    </w:p>
    <w:p>
      <w:pPr>
        <w:spacing w:before="0" w:after="80"/>
      </w:pPr>
      <w:r>
        <w:rPr>
          <w:rFonts w:ascii="Calibri" w:hAnsi="Calibri"/>
          <w:b w:val="0"/>
          <w:i/>
          <w:color w:val="555555"/>
          <w:sz w:val="19"/>
        </w:rPr>
        <w:t>FTC; Florida Deceptive &amp; Unfair Trade Practices Act; NARR ethics</w:t>
      </w:r>
    </w:p>
    <w:p>
      <w:pPr>
        <w:spacing w:before="0" w:after="110"/>
      </w:pPr>
      <w:r>
        <w:rPr>
          <w:rFonts w:ascii="Calibri" w:hAnsi="Calibri"/>
          <w:b/>
          <w:i w:val="0"/>
          <w:sz w:val="20"/>
        </w:rPr>
        <w:t xml:space="preserve">Purpose. </w:t>
      </w:r>
      <w:r>
        <w:rPr>
          <w:rFonts w:ascii="Calibri" w:hAnsi="Calibri"/>
          <w:b w:val="0"/>
          <w:i w:val="0"/>
          <w:sz w:val="20"/>
        </w:rPr>
        <w:t>To charge and refund fairly and as disclosed.</w:t>
      </w:r>
    </w:p>
    <w:p>
      <w:pPr>
        <w:spacing w:before="0" w:after="110"/>
      </w:pPr>
      <w:r>
        <w:rPr>
          <w:rFonts w:ascii="Calibri" w:hAnsi="Calibri"/>
          <w:b/>
          <w:i w:val="0"/>
          <w:sz w:val="20"/>
        </w:rPr>
        <w:t xml:space="preserve">Policy. </w:t>
      </w:r>
      <w:r>
        <w:rPr>
          <w:rFonts w:ascii="Calibri" w:hAnsi="Calibri"/>
          <w:b w:val="0"/>
          <w:i w:val="0"/>
          <w:sz w:val="20"/>
        </w:rPr>
        <w:t>The home charges only disclosed fees and applies a clear, fair refund policy stated in the resident agreement.</w:t>
      </w:r>
    </w:p>
    <w:p>
      <w:pPr>
        <w:spacing w:before="0" w:after="60"/>
      </w:pPr>
      <w:r>
        <w:rPr>
          <w:rFonts w:ascii="Calibri" w:hAnsi="Calibri"/>
          <w:b/>
          <w:i w:val="0"/>
          <w:sz w:val="20"/>
        </w:rPr>
        <w:t>Procedure.</w:t>
      </w:r>
    </w:p>
    <w:p>
      <w:pPr>
        <w:spacing w:before="0" w:after="60"/>
        <w:ind w:left="340"/>
      </w:pPr>
      <w:r>
        <w:rPr>
          <w:rFonts w:ascii="Calibri" w:hAnsi="Calibri"/>
          <w:b w:val="0"/>
          <w:i w:val="0"/>
          <w:sz w:val="20"/>
        </w:rPr>
        <w:t>•  Fees match the written schedule provided at intake.</w:t>
      </w:r>
    </w:p>
    <w:p>
      <w:pPr>
        <w:spacing w:before="0" w:after="60"/>
        <w:ind w:left="340"/>
      </w:pPr>
      <w:r>
        <w:rPr>
          <w:rFonts w:ascii="Calibri" w:hAnsi="Calibri"/>
          <w:b w:val="0"/>
          <w:i w:val="0"/>
          <w:sz w:val="20"/>
        </w:rPr>
        <w:t>•  Refund and proration terms are clear and honored.</w:t>
      </w:r>
    </w:p>
    <w:p>
      <w:pPr>
        <w:spacing w:before="0" w:after="60"/>
        <w:ind w:left="340"/>
      </w:pPr>
      <w:r>
        <w:rPr>
          <w:rFonts w:ascii="Calibri" w:hAnsi="Calibri"/>
          <w:b w:val="0"/>
          <w:i w:val="0"/>
          <w:sz w:val="20"/>
        </w:rPr>
        <w:t>•  Deposits are handled and returned per the agreement and law.</w:t>
      </w:r>
    </w:p>
    <w:p>
      <w:pPr>
        <w:spacing w:before="0" w:after="60"/>
        <w:ind w:left="340"/>
      </w:pPr>
      <w:r>
        <w:rPr>
          <w:rFonts w:ascii="Calibri" w:hAnsi="Calibri"/>
          <w:b w:val="0"/>
          <w:i w:val="0"/>
          <w:sz w:val="20"/>
        </w:rPr>
        <w:t>•  Disputed charges are addressed through the grievance process.</w:t>
      </w:r>
    </w:p>
    <w:p>
      <w:pPr>
        <w:spacing w:before="0" w:after="60"/>
        <w:ind w:left="340"/>
      </w:pPr>
      <w:r>
        <w:rPr>
          <w:rFonts w:ascii="Calibri" w:hAnsi="Calibri"/>
          <w:b w:val="0"/>
          <w:i w:val="0"/>
          <w:sz w:val="20"/>
        </w:rPr>
        <w:t>•  No undisclosed fees are imposed.</w:t>
      </w:r>
    </w:p>
    <w:p>
      <w:pPr>
        <w:spacing w:before="260" w:after="90"/>
      </w:pPr>
      <w:r>
        <w:rPr>
          <w:rFonts w:ascii="Calibri" w:hAnsi="Calibri"/>
          <w:b/>
          <w:i w:val="0"/>
          <w:sz w:val="23"/>
        </w:rPr>
        <w:t>7.03  Anti-Kickback and Anti-Patient-Brokering Compliance</w:t>
      </w:r>
    </w:p>
    <w:p>
      <w:pPr>
        <w:spacing w:before="0" w:after="80"/>
      </w:pPr>
      <w:r>
        <w:rPr>
          <w:rFonts w:ascii="Calibri" w:hAnsi="Calibri"/>
          <w:b w:val="0"/>
          <w:i/>
          <w:color w:val="555555"/>
          <w:sz w:val="19"/>
        </w:rPr>
        <w:t>EKRA (18 U.S.C. § 220); federal Anti-Kickback Statute (42 U.S.C. § 1320a-7b)</w:t>
      </w:r>
    </w:p>
    <w:p>
      <w:pPr>
        <w:spacing w:before="0" w:after="110"/>
      </w:pPr>
      <w:r>
        <w:rPr>
          <w:rFonts w:ascii="Calibri" w:hAnsi="Calibri"/>
          <w:b/>
          <w:i w:val="0"/>
          <w:sz w:val="20"/>
        </w:rPr>
        <w:t xml:space="preserve">Purpose. </w:t>
      </w:r>
      <w:r>
        <w:rPr>
          <w:rFonts w:ascii="Calibri" w:hAnsi="Calibri"/>
          <w:b w:val="0"/>
          <w:i w:val="0"/>
          <w:sz w:val="20"/>
        </w:rPr>
        <w:t>To keep the home entirely clear of the referral-payment schemes that plague the industry.</w:t>
      </w:r>
    </w:p>
    <w:p>
      <w:pPr>
        <w:spacing w:before="0" w:after="110"/>
      </w:pPr>
      <w:r>
        <w:rPr>
          <w:rFonts w:ascii="Calibri" w:hAnsi="Calibri"/>
          <w:b/>
          <w:i w:val="0"/>
          <w:sz w:val="20"/>
        </w:rPr>
        <w:t xml:space="preserve">Policy. </w:t>
      </w:r>
      <w:r>
        <w:rPr>
          <w:rFonts w:ascii="Calibri" w:hAnsi="Calibri"/>
          <w:b w:val="0"/>
          <w:i w:val="0"/>
          <w:sz w:val="20"/>
        </w:rPr>
        <w:t>The home neither pays nor accepts any form of remuneration for referring residents to or from treatment providers, laboratories, or other recovery homes.</w:t>
      </w:r>
    </w:p>
    <w:p>
      <w:pPr>
        <w:spacing w:before="0" w:after="60"/>
      </w:pPr>
      <w:r>
        <w:rPr>
          <w:rFonts w:ascii="Calibri" w:hAnsi="Calibri"/>
          <w:b/>
          <w:i w:val="0"/>
          <w:sz w:val="20"/>
        </w:rPr>
        <w:t>Procedure.</w:t>
      </w:r>
    </w:p>
    <w:p>
      <w:pPr>
        <w:spacing w:before="0" w:after="60"/>
        <w:ind w:left="340"/>
      </w:pPr>
      <w:r>
        <w:rPr>
          <w:rFonts w:ascii="Calibri" w:hAnsi="Calibri"/>
          <w:b w:val="0"/>
          <w:i w:val="0"/>
          <w:sz w:val="20"/>
        </w:rPr>
        <w:t>•  No payment, discount, or thing of value is given or received for a resident referral.</w:t>
      </w:r>
    </w:p>
    <w:p>
      <w:pPr>
        <w:spacing w:before="0" w:after="60"/>
        <w:ind w:left="340"/>
      </w:pPr>
      <w:r>
        <w:rPr>
          <w:rFonts w:ascii="Calibri" w:hAnsi="Calibri"/>
          <w:b w:val="0"/>
          <w:i w:val="0"/>
          <w:sz w:val="20"/>
        </w:rPr>
        <w:t>•  The home complies with the federal Eliminating Kickbacks in Recovery Act (EKRA) and the Anti-Kickback Statute.</w:t>
      </w:r>
    </w:p>
    <w:p>
      <w:pPr>
        <w:spacing w:before="0" w:after="60"/>
        <w:ind w:left="340"/>
      </w:pPr>
      <w:r>
        <w:rPr>
          <w:rFonts w:ascii="Calibri" w:hAnsi="Calibri"/>
          <w:b w:val="0"/>
          <w:i w:val="0"/>
          <w:sz w:val="20"/>
        </w:rPr>
        <w:t>•  Relationships with treatment providers and labs are documented and free of prohibited inducements.</w:t>
      </w:r>
    </w:p>
    <w:p>
      <w:pPr>
        <w:spacing w:before="0" w:after="60"/>
        <w:ind w:left="340"/>
      </w:pPr>
      <w:r>
        <w:rPr>
          <w:rFonts w:ascii="Calibri" w:hAnsi="Calibri"/>
          <w:b w:val="0"/>
          <w:i w:val="0"/>
          <w:sz w:val="20"/>
        </w:rPr>
        <w:t>•  Staff are trained to recognize and refuse patient-brokering arrangements.</w:t>
      </w:r>
    </w:p>
    <w:p>
      <w:pPr>
        <w:spacing w:before="0" w:after="60"/>
        <w:ind w:left="340"/>
      </w:pPr>
      <w:r>
        <w:rPr>
          <w:rFonts w:ascii="Calibri" w:hAnsi="Calibri"/>
          <w:b w:val="0"/>
          <w:i w:val="0"/>
          <w:sz w:val="20"/>
        </w:rPr>
        <w:t>•  Suspected violations are reported and the arrangement terminated.</w:t>
      </w:r>
    </w:p>
    <w:p>
      <w:pPr>
        <w:spacing w:before="260" w:after="90"/>
      </w:pPr>
      <w:r>
        <w:rPr>
          <w:rFonts w:ascii="Calibri" w:hAnsi="Calibri"/>
          <w:b/>
          <w:i w:val="0"/>
          <w:sz w:val="23"/>
        </w:rPr>
        <w:t>7.04  Prohibition on Fraudulent Billing and Insurance Schemes</w:t>
      </w:r>
    </w:p>
    <w:p>
      <w:pPr>
        <w:spacing w:before="0" w:after="80"/>
      </w:pPr>
      <w:r>
        <w:rPr>
          <w:rFonts w:ascii="Calibri" w:hAnsi="Calibri"/>
          <w:b w:val="0"/>
          <w:i/>
          <w:color w:val="555555"/>
          <w:sz w:val="19"/>
        </w:rPr>
        <w:t>EKRA; federal health-care fraud statutes</w:t>
      </w:r>
    </w:p>
    <w:p>
      <w:pPr>
        <w:spacing w:before="0" w:after="110"/>
      </w:pPr>
      <w:r>
        <w:rPr>
          <w:rFonts w:ascii="Calibri" w:hAnsi="Calibri"/>
          <w:b/>
          <w:i w:val="0"/>
          <w:sz w:val="20"/>
        </w:rPr>
        <w:t xml:space="preserve">Purpose. </w:t>
      </w:r>
      <w:r>
        <w:rPr>
          <w:rFonts w:ascii="Calibri" w:hAnsi="Calibri"/>
          <w:b w:val="0"/>
          <w:i w:val="0"/>
          <w:sz w:val="20"/>
        </w:rPr>
        <w:t>To ensure the home never participates in insurance or billing fraud.</w:t>
      </w:r>
    </w:p>
    <w:p>
      <w:pPr>
        <w:spacing w:before="0" w:after="110"/>
      </w:pPr>
      <w:r>
        <w:rPr>
          <w:rFonts w:ascii="Calibri" w:hAnsi="Calibri"/>
          <w:b/>
          <w:i w:val="0"/>
          <w:sz w:val="20"/>
        </w:rPr>
        <w:t xml:space="preserve">Policy. </w:t>
      </w:r>
      <w:r>
        <w:rPr>
          <w:rFonts w:ascii="Calibri" w:hAnsi="Calibri"/>
          <w:b w:val="0"/>
          <w:i w:val="0"/>
          <w:sz w:val="20"/>
        </w:rPr>
        <w:t>The home does not bill insurance for services it does not provide and does not participate in any scheme to defraud payers.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does not submit or facilitate false claims.</w:t>
      </w:r>
    </w:p>
    <w:p>
      <w:pPr>
        <w:spacing w:before="0" w:after="60"/>
        <w:ind w:left="340"/>
      </w:pPr>
      <w:r>
        <w:rPr>
          <w:rFonts w:ascii="Calibri" w:hAnsi="Calibri"/>
          <w:b w:val="0"/>
          <w:i w:val="0"/>
          <w:sz w:val="20"/>
        </w:rPr>
        <w:t>•  As a housing provider, the home does not bill for clinical services it is not licensed to provide.</w:t>
      </w:r>
    </w:p>
    <w:p>
      <w:pPr>
        <w:spacing w:before="0" w:after="60"/>
        <w:ind w:left="340"/>
      </w:pPr>
      <w:r>
        <w:rPr>
          <w:rFonts w:ascii="Calibri" w:hAnsi="Calibri"/>
          <w:b w:val="0"/>
          <w:i w:val="0"/>
          <w:sz w:val="20"/>
        </w:rPr>
        <w:t>•  Any legitimate billing (e.g., licensed services in a Level IV operation) is accurate and compliant.</w:t>
      </w:r>
    </w:p>
    <w:p>
      <w:pPr>
        <w:spacing w:before="0" w:after="60"/>
        <w:ind w:left="340"/>
      </w:pPr>
      <w:r>
        <w:rPr>
          <w:rFonts w:ascii="Calibri" w:hAnsi="Calibri"/>
          <w:b w:val="0"/>
          <w:i w:val="0"/>
          <w:sz w:val="20"/>
        </w:rPr>
        <w:t>•  The home refuses arrangements that tie housing to fraudulent billing.</w:t>
      </w:r>
    </w:p>
    <w:p>
      <w:pPr>
        <w:spacing w:before="0" w:after="60"/>
        <w:ind w:left="340"/>
      </w:pPr>
      <w:r>
        <w:rPr>
          <w:rFonts w:ascii="Calibri" w:hAnsi="Calibri"/>
          <w:b w:val="0"/>
          <w:i w:val="0"/>
          <w:sz w:val="20"/>
        </w:rPr>
        <w:t>•  Concerns are reported to appropriate authorities.</w:t>
      </w:r>
    </w:p>
    <w:p>
      <w:pPr>
        <w:spacing w:before="260" w:after="90"/>
      </w:pPr>
      <w:r>
        <w:rPr>
          <w:rFonts w:ascii="Calibri" w:hAnsi="Calibri"/>
          <w:b/>
          <w:i w:val="0"/>
          <w:sz w:val="23"/>
        </w:rPr>
        <w:t>7.05  Recordkeeping and Retention</w:t>
      </w:r>
    </w:p>
    <w:p>
      <w:pPr>
        <w:spacing w:before="0" w:after="80"/>
      </w:pPr>
      <w:r>
        <w:rPr>
          <w:rFonts w:ascii="Calibri" w:hAnsi="Calibri"/>
          <w:b w:val="0"/>
          <w:i/>
          <w:color w:val="555555"/>
          <w:sz w:val="19"/>
        </w:rPr>
        <w:t>NARR Standard; funder requirements</w:t>
      </w:r>
    </w:p>
    <w:p>
      <w:pPr>
        <w:spacing w:before="0" w:after="110"/>
      </w:pPr>
      <w:r>
        <w:rPr>
          <w:rFonts w:ascii="Calibri" w:hAnsi="Calibri"/>
          <w:b/>
          <w:i w:val="0"/>
          <w:sz w:val="20"/>
        </w:rPr>
        <w:t xml:space="preserve">Purpose. </w:t>
      </w:r>
      <w:r>
        <w:rPr>
          <w:rFonts w:ascii="Calibri" w:hAnsi="Calibri"/>
          <w:b w:val="0"/>
          <w:i w:val="0"/>
          <w:sz w:val="20"/>
        </w:rPr>
        <w:t>To keep the records the home needs and dispose of them properly.</w:t>
      </w:r>
    </w:p>
    <w:p>
      <w:pPr>
        <w:spacing w:before="0" w:after="110"/>
      </w:pPr>
      <w:r>
        <w:rPr>
          <w:rFonts w:ascii="Calibri" w:hAnsi="Calibri"/>
          <w:b/>
          <w:i w:val="0"/>
          <w:sz w:val="20"/>
        </w:rPr>
        <w:t xml:space="preserve">Policy. </w:t>
      </w:r>
      <w:r>
        <w:rPr>
          <w:rFonts w:ascii="Calibri" w:hAnsi="Calibri"/>
          <w:b w:val="0"/>
          <w:i w:val="0"/>
          <w:sz w:val="20"/>
        </w:rPr>
        <w:t>The home maintains resident, personnel, financial, and operational records and retains them for the periods policy and law require.</w:t>
      </w:r>
    </w:p>
    <w:p>
      <w:pPr>
        <w:spacing w:before="0" w:after="60"/>
      </w:pPr>
      <w:r>
        <w:rPr>
          <w:rFonts w:ascii="Calibri" w:hAnsi="Calibri"/>
          <w:b/>
          <w:i w:val="0"/>
          <w:sz w:val="20"/>
        </w:rPr>
        <w:t>Procedure.</w:t>
      </w:r>
    </w:p>
    <w:p>
      <w:pPr>
        <w:spacing w:before="0" w:after="60"/>
        <w:ind w:left="340"/>
      </w:pPr>
      <w:r>
        <w:rPr>
          <w:rFonts w:ascii="Calibri" w:hAnsi="Calibri"/>
          <w:b w:val="0"/>
          <w:i w:val="0"/>
          <w:sz w:val="20"/>
        </w:rPr>
        <w:t>•  A records index identifies what is kept, where, and for how long.</w:t>
      </w:r>
    </w:p>
    <w:p>
      <w:pPr>
        <w:spacing w:before="0" w:after="60"/>
        <w:ind w:left="340"/>
      </w:pPr>
      <w:r>
        <w:rPr>
          <w:rFonts w:ascii="Calibri" w:hAnsi="Calibri"/>
          <w:b w:val="0"/>
          <w:i w:val="0"/>
          <w:sz w:val="20"/>
        </w:rPr>
        <w:t>•  Resident, incident, financial, and personnel records are retained per schedule.</w:t>
      </w:r>
    </w:p>
    <w:p>
      <w:pPr>
        <w:spacing w:before="0" w:after="60"/>
        <w:ind w:left="340"/>
      </w:pPr>
      <w:r>
        <w:rPr>
          <w:rFonts w:ascii="Calibri" w:hAnsi="Calibri"/>
          <w:b w:val="0"/>
          <w:i w:val="0"/>
          <w:sz w:val="20"/>
        </w:rPr>
        <w:t>•  Records are stored securely against loss and unauthorized access.</w:t>
      </w:r>
    </w:p>
    <w:p>
      <w:pPr>
        <w:spacing w:before="0" w:after="60"/>
        <w:ind w:left="340"/>
      </w:pPr>
      <w:r>
        <w:rPr>
          <w:rFonts w:ascii="Calibri" w:hAnsi="Calibri"/>
          <w:b w:val="0"/>
          <w:i w:val="0"/>
          <w:sz w:val="20"/>
        </w:rPr>
        <w:t>•  Records are disposed of securely at end of retention.</w:t>
      </w:r>
    </w:p>
    <w:p>
      <w:pPr>
        <w:spacing w:before="0" w:after="60"/>
        <w:ind w:left="340"/>
      </w:pPr>
      <w:r>
        <w:rPr>
          <w:rFonts w:ascii="Calibri" w:hAnsi="Calibri"/>
          <w:b w:val="0"/>
          <w:i w:val="0"/>
          <w:sz w:val="20"/>
        </w:rPr>
        <w:t>•  Funder-specific retention (e.g., grant) is met where applicable.</w:t>
      </w:r>
    </w:p>
    <w:p>
      <w:pPr>
        <w:spacing w:before="260" w:after="90"/>
      </w:pPr>
      <w:r>
        <w:rPr>
          <w:rFonts w:ascii="Calibri" w:hAnsi="Calibri"/>
          <w:b/>
          <w:i w:val="0"/>
          <w:sz w:val="23"/>
        </w:rPr>
        <w:t>7.06  Confidentiality of Records</w:t>
      </w:r>
    </w:p>
    <w:p>
      <w:pPr>
        <w:spacing w:before="0" w:after="80"/>
      </w:pPr>
      <w:r>
        <w:rPr>
          <w:rFonts w:ascii="Calibri" w:hAnsi="Calibri"/>
          <w:b w:val="0"/>
          <w:i/>
          <w:color w:val="555555"/>
          <w:sz w:val="19"/>
        </w:rPr>
        <w:t>42 CFR Part 2 boundary; HIPAA boundary; NARR ethics</w:t>
      </w:r>
    </w:p>
    <w:p>
      <w:pPr>
        <w:spacing w:before="0" w:after="110"/>
      </w:pPr>
      <w:r>
        <w:rPr>
          <w:rFonts w:ascii="Calibri" w:hAnsi="Calibri"/>
          <w:b/>
          <w:i w:val="0"/>
          <w:sz w:val="20"/>
        </w:rPr>
        <w:t xml:space="preserve">Purpose. </w:t>
      </w:r>
      <w:r>
        <w:rPr>
          <w:rFonts w:ascii="Calibri" w:hAnsi="Calibri"/>
          <w:b w:val="0"/>
          <w:i w:val="0"/>
          <w:sz w:val="20"/>
        </w:rPr>
        <w:t>To protect the confidentiality of everything the home holds about residents.</w:t>
      </w:r>
    </w:p>
    <w:p>
      <w:pPr>
        <w:spacing w:before="0" w:after="110"/>
      </w:pPr>
      <w:r>
        <w:rPr>
          <w:rFonts w:ascii="Calibri" w:hAnsi="Calibri"/>
          <w:b/>
          <w:i w:val="0"/>
          <w:sz w:val="20"/>
        </w:rPr>
        <w:t xml:space="preserve">Policy. </w:t>
      </w:r>
      <w:r>
        <w:rPr>
          <w:rFonts w:ascii="Calibri" w:hAnsi="Calibri"/>
          <w:b w:val="0"/>
          <w:i w:val="0"/>
          <w:sz w:val="20"/>
        </w:rPr>
        <w:t>The home limits access to resident records, releases information only with consent or legal requirement, and trains staff on confidentiality.</w:t>
      </w:r>
    </w:p>
    <w:p>
      <w:pPr>
        <w:spacing w:before="0" w:after="60"/>
      </w:pPr>
      <w:r>
        <w:rPr>
          <w:rFonts w:ascii="Calibri" w:hAnsi="Calibri"/>
          <w:b/>
          <w:i w:val="0"/>
          <w:sz w:val="20"/>
        </w:rPr>
        <w:t>Procedure.</w:t>
      </w:r>
    </w:p>
    <w:p>
      <w:pPr>
        <w:spacing w:before="0" w:after="60"/>
        <w:ind w:left="340"/>
      </w:pPr>
      <w:r>
        <w:rPr>
          <w:rFonts w:ascii="Calibri" w:hAnsi="Calibri"/>
          <w:b w:val="0"/>
          <w:i w:val="0"/>
          <w:sz w:val="20"/>
        </w:rPr>
        <w:t>•  Access to resident records is limited to those with a legitimate need.</w:t>
      </w:r>
    </w:p>
    <w:p>
      <w:pPr>
        <w:spacing w:before="0" w:after="60"/>
        <w:ind w:left="340"/>
      </w:pPr>
      <w:r>
        <w:rPr>
          <w:rFonts w:ascii="Calibri" w:hAnsi="Calibri"/>
          <w:b w:val="0"/>
          <w:i w:val="0"/>
          <w:sz w:val="20"/>
        </w:rPr>
        <w:t>•  Releases require written consent except where law requires disclosure.</w:t>
      </w:r>
    </w:p>
    <w:p>
      <w:pPr>
        <w:spacing w:before="0" w:after="60"/>
        <w:ind w:left="340"/>
      </w:pPr>
      <w:r>
        <w:rPr>
          <w:rFonts w:ascii="Calibri" w:hAnsi="Calibri"/>
          <w:b w:val="0"/>
          <w:i w:val="0"/>
          <w:sz w:val="20"/>
        </w:rPr>
        <w:t>•  Staff are trained on confidentiality and the sensitivity of recovery information.</w:t>
      </w:r>
    </w:p>
    <w:p>
      <w:pPr>
        <w:spacing w:before="0" w:after="60"/>
        <w:ind w:left="340"/>
      </w:pPr>
      <w:r>
        <w:rPr>
          <w:rFonts w:ascii="Calibri" w:hAnsi="Calibri"/>
          <w:b w:val="0"/>
          <w:i w:val="0"/>
          <w:sz w:val="20"/>
        </w:rPr>
        <w:t>•  Electronic records are protected by reasonable security (7.09).</w:t>
      </w:r>
    </w:p>
    <w:p>
      <w:pPr>
        <w:spacing w:before="0" w:after="60"/>
        <w:ind w:left="340"/>
      </w:pPr>
      <w:r>
        <w:rPr>
          <w:rFonts w:ascii="Calibri" w:hAnsi="Calibri"/>
          <w:b w:val="0"/>
          <w:i w:val="0"/>
          <w:sz w:val="20"/>
        </w:rPr>
        <w:t>•  Breaches are addressed and, where required, reported.</w:t>
      </w:r>
    </w:p>
    <w:p>
      <w:pPr>
        <w:spacing w:before="260" w:after="90"/>
      </w:pPr>
      <w:r>
        <w:rPr>
          <w:rFonts w:ascii="Calibri" w:hAnsi="Calibri"/>
          <w:b/>
          <w:i w:val="0"/>
          <w:sz w:val="23"/>
        </w:rPr>
        <w:t>7.07  Fair Housing Recordkeeping</w:t>
      </w:r>
    </w:p>
    <w:p>
      <w:pPr>
        <w:spacing w:before="0" w:after="80"/>
      </w:pPr>
      <w:r>
        <w:rPr>
          <w:rFonts w:ascii="Calibri" w:hAnsi="Calibri"/>
          <w:b w:val="0"/>
          <w:i/>
          <w:color w:val="555555"/>
          <w:sz w:val="19"/>
        </w:rPr>
        <w:t>Fair Housing Act; HUD</w:t>
      </w:r>
    </w:p>
    <w:p>
      <w:pPr>
        <w:spacing w:before="0" w:after="110"/>
      </w:pPr>
      <w:r>
        <w:rPr>
          <w:rFonts w:ascii="Calibri" w:hAnsi="Calibri"/>
          <w:b/>
          <w:i w:val="0"/>
          <w:sz w:val="20"/>
        </w:rPr>
        <w:t xml:space="preserve">Purpose. </w:t>
      </w:r>
      <w:r>
        <w:rPr>
          <w:rFonts w:ascii="Calibri" w:hAnsi="Calibri"/>
          <w:b w:val="0"/>
          <w:i w:val="0"/>
          <w:sz w:val="20"/>
        </w:rPr>
        <w:t>To document fair-housing compliance and accommodation decisions.</w:t>
      </w:r>
    </w:p>
    <w:p>
      <w:pPr>
        <w:spacing w:before="0" w:after="110"/>
      </w:pPr>
      <w:r>
        <w:rPr>
          <w:rFonts w:ascii="Calibri" w:hAnsi="Calibri"/>
          <w:b/>
          <w:i w:val="0"/>
          <w:sz w:val="20"/>
        </w:rPr>
        <w:t xml:space="preserve">Policy. </w:t>
      </w:r>
      <w:r>
        <w:rPr>
          <w:rFonts w:ascii="Calibri" w:hAnsi="Calibri"/>
          <w:b w:val="0"/>
          <w:i w:val="0"/>
          <w:sz w:val="20"/>
        </w:rPr>
        <w:t>The home documents admissions, denials, accommodation requests, and their outcomes to demonstrate fair-housing compliance.</w:t>
      </w:r>
    </w:p>
    <w:p>
      <w:pPr>
        <w:spacing w:before="0" w:after="60"/>
      </w:pPr>
      <w:r>
        <w:rPr>
          <w:rFonts w:ascii="Calibri" w:hAnsi="Calibri"/>
          <w:b/>
          <w:i w:val="0"/>
          <w:sz w:val="20"/>
        </w:rPr>
        <w:t>Procedure.</w:t>
      </w:r>
    </w:p>
    <w:p>
      <w:pPr>
        <w:spacing w:before="0" w:after="60"/>
        <w:ind w:left="340"/>
      </w:pPr>
      <w:r>
        <w:rPr>
          <w:rFonts w:ascii="Calibri" w:hAnsi="Calibri"/>
          <w:b w:val="0"/>
          <w:i w:val="0"/>
          <w:sz w:val="20"/>
        </w:rPr>
        <w:t>•  Admission and denial decisions are recorded with objective reasons.</w:t>
      </w:r>
    </w:p>
    <w:p>
      <w:pPr>
        <w:spacing w:before="0" w:after="60"/>
        <w:ind w:left="340"/>
      </w:pPr>
      <w:r>
        <w:rPr>
          <w:rFonts w:ascii="Calibri" w:hAnsi="Calibri"/>
          <w:b w:val="0"/>
          <w:i w:val="0"/>
          <w:sz w:val="20"/>
        </w:rPr>
        <w:t>•  Reasonable-accommodation requests and responses are documented.</w:t>
      </w:r>
    </w:p>
    <w:p>
      <w:pPr>
        <w:spacing w:before="0" w:after="60"/>
        <w:ind w:left="340"/>
      </w:pPr>
      <w:r>
        <w:rPr>
          <w:rFonts w:ascii="Calibri" w:hAnsi="Calibri"/>
          <w:b w:val="0"/>
          <w:i w:val="0"/>
          <w:sz w:val="20"/>
        </w:rPr>
        <w:t>•  Records support a showing of nondiscriminatory practice.</w:t>
      </w:r>
    </w:p>
    <w:p>
      <w:pPr>
        <w:spacing w:before="0" w:after="60"/>
        <w:ind w:left="340"/>
      </w:pPr>
      <w:r>
        <w:rPr>
          <w:rFonts w:ascii="Calibri" w:hAnsi="Calibri"/>
          <w:b w:val="0"/>
          <w:i w:val="0"/>
          <w:sz w:val="20"/>
        </w:rPr>
        <w:t>•  Fair-housing records are retained per schedule.</w:t>
      </w:r>
    </w:p>
    <w:p>
      <w:pPr>
        <w:spacing w:before="0" w:after="60"/>
        <w:ind w:left="340"/>
      </w:pPr>
      <w:r>
        <w:rPr>
          <w:rFonts w:ascii="Calibri" w:hAnsi="Calibri"/>
          <w:b w:val="0"/>
          <w:i w:val="0"/>
          <w:sz w:val="20"/>
        </w:rPr>
        <w:t>•  Patterns are reviewed to detect and correct any disparate impact.</w:t>
      </w:r>
    </w:p>
    <w:p>
      <w:pPr>
        <w:spacing w:before="260" w:after="90"/>
      </w:pPr>
      <w:r>
        <w:rPr>
          <w:rFonts w:ascii="Calibri" w:hAnsi="Calibri"/>
          <w:b/>
          <w:i w:val="0"/>
          <w:sz w:val="23"/>
        </w:rPr>
        <w:t>7.08  Grant &amp; Program Funds Accounting</w:t>
      </w:r>
    </w:p>
    <w:p>
      <w:pPr>
        <w:spacing w:before="0" w:after="80"/>
      </w:pPr>
      <w:r>
        <w:rPr>
          <w:rFonts w:ascii="Calibri" w:hAnsi="Calibri"/>
          <w:b w:val="0"/>
          <w:i/>
          <w:color w:val="555555"/>
          <w:sz w:val="19"/>
        </w:rPr>
        <w:t>DCF / state grants; HUD recovery-housing funds</w:t>
      </w:r>
    </w:p>
    <w:p>
      <w:pPr>
        <w:spacing w:before="0" w:after="110"/>
      </w:pPr>
      <w:r>
        <w:rPr>
          <w:rFonts w:ascii="Calibri" w:hAnsi="Calibri"/>
          <w:b/>
          <w:i w:val="0"/>
          <w:sz w:val="20"/>
        </w:rPr>
        <w:t xml:space="preserve">Purpose. </w:t>
      </w:r>
      <w:r>
        <w:rPr>
          <w:rFonts w:ascii="Calibri" w:hAnsi="Calibri"/>
          <w:b w:val="0"/>
          <w:i w:val="0"/>
          <w:sz w:val="20"/>
        </w:rPr>
        <w:t>To account properly for any DCF, state, or other grant funds.</w:t>
      </w:r>
    </w:p>
    <w:p>
      <w:pPr>
        <w:spacing w:before="0" w:after="110"/>
      </w:pPr>
      <w:r>
        <w:rPr>
          <w:rFonts w:ascii="Calibri" w:hAnsi="Calibri"/>
          <w:b/>
          <w:i w:val="0"/>
          <w:sz w:val="20"/>
        </w:rPr>
        <w:t xml:space="preserve">Policy. </w:t>
      </w:r>
      <w:r>
        <w:rPr>
          <w:rFonts w:ascii="Calibri" w:hAnsi="Calibri"/>
          <w:b w:val="0"/>
          <w:i w:val="0"/>
          <w:sz w:val="20"/>
        </w:rPr>
        <w:t>When the home receives DCF, state, or other grant funds, it uses them only for eligible activities and accounts for them as the funder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Grant funds are tracked separately and used only for eligible activities.</w:t>
      </w:r>
    </w:p>
    <w:p>
      <w:pPr>
        <w:spacing w:before="0" w:after="60"/>
        <w:ind w:left="340"/>
      </w:pPr>
      <w:r>
        <w:rPr>
          <w:rFonts w:ascii="Calibri" w:hAnsi="Calibri"/>
          <w:b w:val="0"/>
          <w:i w:val="0"/>
          <w:sz w:val="20"/>
        </w:rPr>
        <w:t>•  Documentation supports every draw and expenditure.</w:t>
      </w:r>
    </w:p>
    <w:p>
      <w:pPr>
        <w:spacing w:before="0" w:after="60"/>
        <w:ind w:left="340"/>
      </w:pPr>
      <w:r>
        <w:rPr>
          <w:rFonts w:ascii="Calibri" w:hAnsi="Calibri"/>
          <w:b w:val="0"/>
          <w:i w:val="0"/>
          <w:sz w:val="20"/>
        </w:rPr>
        <w:t>•  Reporting deadlines and requirements set by the grantor are met.</w:t>
      </w:r>
    </w:p>
    <w:p>
      <w:pPr>
        <w:spacing w:before="0" w:after="60"/>
        <w:ind w:left="340"/>
      </w:pPr>
      <w:r>
        <w:rPr>
          <w:rFonts w:ascii="Calibri" w:hAnsi="Calibri"/>
          <w:b w:val="0"/>
          <w:i w:val="0"/>
          <w:sz w:val="20"/>
        </w:rPr>
        <w:t>•  The home cooperates with monitoring and audits.</w:t>
      </w:r>
    </w:p>
    <w:p>
      <w:pPr>
        <w:spacing w:before="0" w:after="60"/>
        <w:ind w:left="340"/>
      </w:pPr>
      <w:r>
        <w:rPr>
          <w:rFonts w:ascii="Calibri" w:hAnsi="Calibri"/>
          <w:b w:val="0"/>
          <w:i w:val="0"/>
          <w:sz w:val="20"/>
        </w:rPr>
        <w:t>•  Any unspent or misapplied funds are handled per the grant agreement.</w:t>
      </w:r>
    </w:p>
    <w:p>
      <w:pPr>
        <w:spacing w:before="260" w:after="90"/>
      </w:pPr>
      <w:r>
        <w:rPr>
          <w:rFonts w:ascii="Calibri" w:hAnsi="Calibri"/>
          <w:b/>
          <w:i w:val="0"/>
          <w:sz w:val="23"/>
        </w:rPr>
        <w:t>7.09  Data Privacy and Security</w:t>
      </w:r>
    </w:p>
    <w:p>
      <w:pPr>
        <w:spacing w:before="0" w:after="80"/>
      </w:pPr>
      <w:r>
        <w:rPr>
          <w:rFonts w:ascii="Calibri" w:hAnsi="Calibri"/>
          <w:b w:val="0"/>
          <w:i/>
          <w:color w:val="555555"/>
          <w:sz w:val="19"/>
        </w:rPr>
        <w:t>Florida Information Protection Act (F.S. 501.171); NARR ethics</w:t>
      </w:r>
    </w:p>
    <w:p>
      <w:pPr>
        <w:spacing w:before="0" w:after="110"/>
      </w:pPr>
      <w:r>
        <w:rPr>
          <w:rFonts w:ascii="Calibri" w:hAnsi="Calibri"/>
          <w:b/>
          <w:i w:val="0"/>
          <w:sz w:val="20"/>
        </w:rPr>
        <w:t xml:space="preserve">Purpose. </w:t>
      </w:r>
      <w:r>
        <w:rPr>
          <w:rFonts w:ascii="Calibri" w:hAnsi="Calibri"/>
          <w:b w:val="0"/>
          <w:i w:val="0"/>
          <w:sz w:val="20"/>
        </w:rPr>
        <w:t>To protect resident and operational data from loss or breach.</w:t>
      </w:r>
    </w:p>
    <w:p>
      <w:pPr>
        <w:spacing w:before="0" w:after="110"/>
      </w:pPr>
      <w:r>
        <w:rPr>
          <w:rFonts w:ascii="Calibri" w:hAnsi="Calibri"/>
          <w:b/>
          <w:i w:val="0"/>
          <w:sz w:val="20"/>
        </w:rPr>
        <w:t xml:space="preserve">Policy. </w:t>
      </w:r>
      <w:r>
        <w:rPr>
          <w:rFonts w:ascii="Calibri" w:hAnsi="Calibri"/>
          <w:b w:val="0"/>
          <w:i w:val="0"/>
          <w:sz w:val="20"/>
        </w:rPr>
        <w:t>The home protects electronic and paper data through reasonable security and responds to any breach as law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Reasonable safeguards protect devices, files, and accounts.</w:t>
      </w:r>
    </w:p>
    <w:p>
      <w:pPr>
        <w:spacing w:before="0" w:after="60"/>
        <w:ind w:left="340"/>
      </w:pPr>
      <w:r>
        <w:rPr>
          <w:rFonts w:ascii="Calibri" w:hAnsi="Calibri"/>
          <w:b w:val="0"/>
          <w:i w:val="0"/>
          <w:sz w:val="20"/>
        </w:rPr>
        <w:t>•  Access credentials are managed and limited.</w:t>
      </w:r>
    </w:p>
    <w:p>
      <w:pPr>
        <w:spacing w:before="0" w:after="60"/>
        <w:ind w:left="340"/>
      </w:pPr>
      <w:r>
        <w:rPr>
          <w:rFonts w:ascii="Calibri" w:hAnsi="Calibri"/>
          <w:b w:val="0"/>
          <w:i w:val="0"/>
          <w:sz w:val="20"/>
        </w:rPr>
        <w:t>•  Backups protect against loss.</w:t>
      </w:r>
    </w:p>
    <w:p>
      <w:pPr>
        <w:spacing w:before="0" w:after="60"/>
        <w:ind w:left="340"/>
      </w:pPr>
      <w:r>
        <w:rPr>
          <w:rFonts w:ascii="Calibri" w:hAnsi="Calibri"/>
          <w:b w:val="0"/>
          <w:i w:val="0"/>
          <w:sz w:val="20"/>
        </w:rPr>
        <w:t>•  A data breach is handled under the Florida Information Protection Act (F.S. 501.171).</w:t>
      </w:r>
    </w:p>
    <w:p>
      <w:pPr>
        <w:spacing w:before="0" w:after="60"/>
        <w:ind w:left="340"/>
      </w:pPr>
      <w:r>
        <w:rPr>
          <w:rFonts w:ascii="Calibri" w:hAnsi="Calibri"/>
          <w:b w:val="0"/>
          <w:i w:val="0"/>
          <w:sz w:val="20"/>
        </w:rPr>
        <w:t>•  Staff are trained on basic data security.</w:t>
      </w:r>
    </w:p>
    <w:p>
      <w:pPr>
        <w:spacing w:before="260" w:after="90"/>
      </w:pPr>
      <w:r>
        <w:rPr>
          <w:rFonts w:ascii="Calibri" w:hAnsi="Calibri"/>
          <w:b/>
          <w:i w:val="0"/>
          <w:sz w:val="23"/>
        </w:rPr>
        <w:t>7.10  Compliance Calendar and Self-Audit</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stay ahead of recurring obligations and catch gaps early.</w:t>
      </w:r>
    </w:p>
    <w:p>
      <w:pPr>
        <w:spacing w:before="0" w:after="110"/>
      </w:pPr>
      <w:r>
        <w:rPr>
          <w:rFonts w:ascii="Calibri" w:hAnsi="Calibri"/>
          <w:b/>
          <w:i w:val="0"/>
          <w:sz w:val="20"/>
        </w:rPr>
        <w:t xml:space="preserve">Policy. </w:t>
      </w:r>
      <w:r>
        <w:rPr>
          <w:rFonts w:ascii="Calibri" w:hAnsi="Calibri"/>
          <w:b w:val="0"/>
          <w:i w:val="0"/>
          <w:sz w:val="20"/>
        </w:rPr>
        <w:t>The home maintains a compliance calendar and conducts periodic self-audits against this manual and the NARR standard.</w:t>
      </w:r>
    </w:p>
    <w:p>
      <w:pPr>
        <w:spacing w:before="0" w:after="60"/>
      </w:pPr>
      <w:r>
        <w:rPr>
          <w:rFonts w:ascii="Calibri" w:hAnsi="Calibri"/>
          <w:b/>
          <w:i w:val="0"/>
          <w:sz w:val="20"/>
        </w:rPr>
        <w:t>Procedure.</w:t>
      </w:r>
    </w:p>
    <w:p>
      <w:pPr>
        <w:spacing w:before="0" w:after="60"/>
        <w:ind w:left="340"/>
      </w:pPr>
      <w:r>
        <w:rPr>
          <w:rFonts w:ascii="Calibri" w:hAnsi="Calibri"/>
          <w:b w:val="0"/>
          <w:i w:val="0"/>
          <w:sz w:val="20"/>
        </w:rPr>
        <w:t>•  A calendar tracks renewals, inspections, drills, training, and reporting.</w:t>
      </w:r>
    </w:p>
    <w:p>
      <w:pPr>
        <w:spacing w:before="0" w:after="60"/>
        <w:ind w:left="340"/>
      </w:pPr>
      <w:r>
        <w:rPr>
          <w:rFonts w:ascii="Calibri" w:hAnsi="Calibri"/>
          <w:b w:val="0"/>
          <w:i w:val="0"/>
          <w:sz w:val="20"/>
        </w:rPr>
        <w:t>•  Periodic self-audits check conformity with policy and NARR standards.</w:t>
      </w:r>
    </w:p>
    <w:p>
      <w:pPr>
        <w:spacing w:before="0" w:after="60"/>
        <w:ind w:left="340"/>
      </w:pPr>
      <w:r>
        <w:rPr>
          <w:rFonts w:ascii="Calibri" w:hAnsi="Calibri"/>
          <w:b w:val="0"/>
          <w:i w:val="0"/>
          <w:sz w:val="20"/>
        </w:rPr>
        <w:t>•  Findings are documented and corrected on a timeline.</w:t>
      </w:r>
    </w:p>
    <w:p>
      <w:pPr>
        <w:spacing w:before="0" w:after="60"/>
        <w:ind w:left="340"/>
      </w:pPr>
      <w:r>
        <w:rPr>
          <w:rFonts w:ascii="Calibri" w:hAnsi="Calibri"/>
          <w:b w:val="0"/>
          <w:i w:val="0"/>
          <w:sz w:val="20"/>
        </w:rPr>
        <w:t>•  The operator reviews audit results and trends.</w:t>
      </w:r>
    </w:p>
    <w:p>
      <w:pPr>
        <w:spacing w:before="0" w:after="60"/>
        <w:ind w:left="340"/>
      </w:pPr>
      <w:r>
        <w:rPr>
          <w:rFonts w:ascii="Calibri" w:hAnsi="Calibri"/>
          <w:b w:val="0"/>
          <w:i w:val="0"/>
          <w:sz w:val="20"/>
        </w:rPr>
        <w:t>•  The calendar and audit feed the annual review.</w:t>
      </w:r>
    </w:p>
    <w:p>
      <w:pPr>
        <w:spacing w:before="260" w:after="90"/>
      </w:pPr>
      <w:r>
        <w:rPr>
          <w:rFonts w:ascii="Calibri" w:hAnsi="Calibri"/>
          <w:b/>
          <w:i w:val="0"/>
          <w:sz w:val="23"/>
        </w:rPr>
        <w:t>7.11  Mandatory Reporting of Abuse, Neglect and Exploitation</w:t>
      </w:r>
    </w:p>
    <w:p>
      <w:pPr>
        <w:spacing w:before="0" w:after="80"/>
      </w:pPr>
      <w:r>
        <w:rPr>
          <w:rFonts w:ascii="Calibri" w:hAnsi="Calibri"/>
          <w:b w:val="0"/>
          <w:i/>
          <w:color w:val="555555"/>
          <w:sz w:val="19"/>
        </w:rPr>
        <w:t>Florida Adult Protective Services (F.S. 415); child-abuse reporting (F.S. 39.201)</w:t>
      </w:r>
    </w:p>
    <w:p>
      <w:pPr>
        <w:spacing w:before="0" w:after="110"/>
      </w:pPr>
      <w:r>
        <w:rPr>
          <w:rFonts w:ascii="Calibri" w:hAnsi="Calibri"/>
          <w:b/>
          <w:i w:val="0"/>
          <w:sz w:val="20"/>
        </w:rPr>
        <w:t xml:space="preserve">Purpose. </w:t>
      </w:r>
      <w:r>
        <w:rPr>
          <w:rFonts w:ascii="Calibri" w:hAnsi="Calibri"/>
          <w:b w:val="0"/>
          <w:i w:val="0"/>
          <w:sz w:val="20"/>
        </w:rPr>
        <w:t>To meet Florida's mandatory duty to report abuse, neglect, and exploitation.</w:t>
      </w:r>
    </w:p>
    <w:p>
      <w:pPr>
        <w:spacing w:before="0" w:after="110"/>
      </w:pPr>
      <w:r>
        <w:rPr>
          <w:rFonts w:ascii="Calibri" w:hAnsi="Calibri"/>
          <w:b/>
          <w:i w:val="0"/>
          <w:sz w:val="20"/>
        </w:rPr>
        <w:t xml:space="preserve">Policy. </w:t>
      </w:r>
      <w:r>
        <w:rPr>
          <w:rFonts w:ascii="Calibri" w:hAnsi="Calibri"/>
          <w:b w:val="0"/>
          <w:i w:val="0"/>
          <w:sz w:val="20"/>
        </w:rPr>
        <w:t>Staff report suspected abuse, neglect, or exploitation of an adult or child as Florida law requires.</w:t>
      </w:r>
    </w:p>
    <w:p>
      <w:pPr>
        <w:spacing w:before="0" w:after="60"/>
      </w:pPr>
      <w:r>
        <w:rPr>
          <w:rFonts w:ascii="Calibri" w:hAnsi="Calibri"/>
          <w:b/>
          <w:i w:val="0"/>
          <w:sz w:val="20"/>
        </w:rPr>
        <w:t>Procedure.</w:t>
      </w:r>
    </w:p>
    <w:p>
      <w:pPr>
        <w:spacing w:before="0" w:after="60"/>
        <w:ind w:left="340"/>
      </w:pPr>
      <w:r>
        <w:rPr>
          <w:rFonts w:ascii="Calibri" w:hAnsi="Calibri"/>
          <w:b w:val="0"/>
          <w:i w:val="0"/>
          <w:sz w:val="20"/>
        </w:rPr>
        <w:t>•  Staff are trained on Florida mandatory-reporting duties.</w:t>
      </w:r>
    </w:p>
    <w:p>
      <w:pPr>
        <w:spacing w:before="0" w:after="60"/>
        <w:ind w:left="340"/>
      </w:pPr>
      <w:r>
        <w:rPr>
          <w:rFonts w:ascii="Calibri" w:hAnsi="Calibri"/>
          <w:b w:val="0"/>
          <w:i w:val="0"/>
          <w:sz w:val="20"/>
        </w:rPr>
        <w:t>•  Suspected abuse, neglect, or exploitation of a vulnerable adult is reported to Adult Protective Services.</w:t>
      </w:r>
    </w:p>
    <w:p>
      <w:pPr>
        <w:spacing w:before="0" w:after="60"/>
        <w:ind w:left="340"/>
      </w:pPr>
      <w:r>
        <w:rPr>
          <w:rFonts w:ascii="Calibri" w:hAnsi="Calibri"/>
          <w:b w:val="0"/>
          <w:i w:val="0"/>
          <w:sz w:val="20"/>
        </w:rPr>
        <w:t>•  Suspected child abuse or neglect is reported to the statewide child-abuse hotline.</w:t>
      </w:r>
    </w:p>
    <w:p>
      <w:pPr>
        <w:spacing w:before="0" w:after="60"/>
        <w:ind w:left="340"/>
      </w:pPr>
      <w:r>
        <w:rPr>
          <w:rFonts w:ascii="Calibri" w:hAnsi="Calibri"/>
          <w:b w:val="0"/>
          <w:i w:val="0"/>
          <w:sz w:val="20"/>
        </w:rPr>
        <w:t>•  Reports are made promptly and documented.</w:t>
      </w:r>
    </w:p>
    <w:p>
      <w:pPr>
        <w:spacing w:before="0" w:after="60"/>
        <w:ind w:left="340"/>
      </w:pPr>
      <w:r>
        <w:rPr>
          <w:rFonts w:ascii="Calibri" w:hAnsi="Calibri"/>
          <w:b w:val="0"/>
          <w:i w:val="0"/>
          <w:sz w:val="20"/>
        </w:rPr>
        <w:t>•  The home does not retaliate against a good-faith reporter.</w:t>
      </w:r>
    </w:p>
    <w:p>
      <w:pPr>
        <w:spacing w:before="260" w:after="90"/>
      </w:pPr>
      <w:r>
        <w:rPr>
          <w:rFonts w:ascii="Calibri" w:hAnsi="Calibri"/>
          <w:b/>
          <w:i w:val="0"/>
          <w:sz w:val="23"/>
        </w:rPr>
        <w:t>7.12  Resident Funds &amp; Petty Cash Handling</w:t>
      </w:r>
    </w:p>
    <w:p>
      <w:pPr>
        <w:spacing w:before="0" w:after="80"/>
      </w:pPr>
      <w:r>
        <w:rPr>
          <w:rFonts w:ascii="Calibri" w:hAnsi="Calibri"/>
          <w:b w:val="0"/>
          <w:i/>
          <w:color w:val="555555"/>
          <w:sz w:val="19"/>
        </w:rPr>
        <w:t>NARR Code of Ethics; anti-exploitation</w:t>
      </w:r>
    </w:p>
    <w:p>
      <w:pPr>
        <w:spacing w:before="0" w:after="110"/>
      </w:pPr>
      <w:r>
        <w:rPr>
          <w:rFonts w:ascii="Calibri" w:hAnsi="Calibri"/>
          <w:b/>
          <w:i w:val="0"/>
          <w:sz w:val="20"/>
        </w:rPr>
        <w:t xml:space="preserve">Purpose. </w:t>
      </w:r>
      <w:r>
        <w:rPr>
          <w:rFonts w:ascii="Calibri" w:hAnsi="Calibri"/>
          <w:b w:val="0"/>
          <w:i w:val="0"/>
          <w:sz w:val="20"/>
        </w:rPr>
        <w:t>To handle any resident money and petty cash with integrity.</w:t>
      </w:r>
    </w:p>
    <w:p>
      <w:pPr>
        <w:spacing w:before="0" w:after="110"/>
      </w:pPr>
      <w:r>
        <w:rPr>
          <w:rFonts w:ascii="Calibri" w:hAnsi="Calibri"/>
          <w:b/>
          <w:i w:val="0"/>
          <w:sz w:val="20"/>
        </w:rPr>
        <w:t xml:space="preserve">Policy. </w:t>
      </w:r>
      <w:r>
        <w:rPr>
          <w:rFonts w:ascii="Calibri" w:hAnsi="Calibri"/>
          <w:b w:val="0"/>
          <w:i w:val="0"/>
          <w:sz w:val="20"/>
        </w:rPr>
        <w:t>When the home handles resident funds or petty cash, it does so transparently, separately, and with documentation that protects residents from exploitation.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avoids holding resident personal funds unless clearly necessary and consented.</w:t>
      </w:r>
    </w:p>
    <w:p>
      <w:pPr>
        <w:spacing w:before="0" w:after="60"/>
        <w:ind w:left="340"/>
      </w:pPr>
      <w:r>
        <w:rPr>
          <w:rFonts w:ascii="Calibri" w:hAnsi="Calibri"/>
          <w:b w:val="0"/>
          <w:i w:val="0"/>
          <w:sz w:val="20"/>
        </w:rPr>
        <w:t>•  Any funds held are tracked with receipts and available to the resident.</w:t>
      </w:r>
    </w:p>
    <w:p>
      <w:pPr>
        <w:spacing w:before="0" w:after="60"/>
        <w:ind w:left="340"/>
      </w:pPr>
      <w:r>
        <w:rPr>
          <w:rFonts w:ascii="Calibri" w:hAnsi="Calibri"/>
          <w:b w:val="0"/>
          <w:i w:val="0"/>
          <w:sz w:val="20"/>
        </w:rPr>
        <w:t>•  Petty cash is logged, reconciled, and separated from resident funds.</w:t>
      </w:r>
    </w:p>
    <w:p>
      <w:pPr>
        <w:spacing w:before="0" w:after="60"/>
        <w:ind w:left="340"/>
      </w:pPr>
      <w:r>
        <w:rPr>
          <w:rFonts w:ascii="Calibri" w:hAnsi="Calibri"/>
          <w:b w:val="0"/>
          <w:i w:val="0"/>
          <w:sz w:val="20"/>
        </w:rPr>
        <w:t>•  Staff never borrow from or commingle resident money.</w:t>
      </w:r>
    </w:p>
    <w:p>
      <w:pPr>
        <w:spacing w:before="0" w:after="60"/>
        <w:ind w:left="340"/>
      </w:pPr>
      <w:r>
        <w:rPr>
          <w:rFonts w:ascii="Calibri" w:hAnsi="Calibri"/>
          <w:b w:val="0"/>
          <w:i w:val="0"/>
          <w:sz w:val="20"/>
        </w:rPr>
        <w:t>•  Discrepancies are investigated and documented.</w:t>
      </w:r>
    </w:p>
    <w:p>
      <w:pPr>
        <w:spacing w:before="0" w:after="60"/>
        <w:ind w:left="340"/>
      </w:pPr>
      <w:r>
        <w:rPr>
          <w:rFonts w:ascii="Calibri" w:hAnsi="Calibri"/>
          <w:b w:val="0"/>
          <w:i w:val="0"/>
          <w:sz w:val="20"/>
        </w:rPr>
        <w:t>•  Records are retained and auditable.</w:t>
      </w:r>
    </w:p>
    <w:p>
      <w:pPr>
        <w:spacing w:before="260" w:after="90"/>
      </w:pPr>
      <w:r>
        <w:rPr>
          <w:rFonts w:ascii="Calibri" w:hAnsi="Calibri"/>
          <w:b/>
          <w:i w:val="0"/>
          <w:sz w:val="23"/>
        </w:rPr>
        <w:t>7.13  Insurance Verification &amp; the Billing Boundary</w:t>
      </w:r>
    </w:p>
    <w:p>
      <w:pPr>
        <w:spacing w:before="0" w:after="80"/>
      </w:pPr>
      <w:r>
        <w:rPr>
          <w:rFonts w:ascii="Calibri" w:hAnsi="Calibri"/>
          <w:b w:val="0"/>
          <w:i/>
          <w:color w:val="555555"/>
          <w:sz w:val="19"/>
        </w:rPr>
        <w:t>EKRA; 42 CFR Part 2; scope boundary</w:t>
      </w:r>
    </w:p>
    <w:p>
      <w:pPr>
        <w:spacing w:before="0" w:after="110"/>
      </w:pPr>
      <w:r>
        <w:rPr>
          <w:rFonts w:ascii="Calibri" w:hAnsi="Calibri"/>
          <w:b/>
          <w:i w:val="0"/>
          <w:sz w:val="20"/>
        </w:rPr>
        <w:t xml:space="preserve">Purpose. </w:t>
      </w:r>
      <w:r>
        <w:rPr>
          <w:rFonts w:ascii="Calibri" w:hAnsi="Calibri"/>
          <w:b w:val="0"/>
          <w:i w:val="0"/>
          <w:sz w:val="20"/>
        </w:rPr>
        <w:t>To keep the home clear of improper insurance and billing activity.</w:t>
      </w:r>
    </w:p>
    <w:p>
      <w:pPr>
        <w:spacing w:before="0" w:after="110"/>
      </w:pPr>
      <w:r>
        <w:rPr>
          <w:rFonts w:ascii="Calibri" w:hAnsi="Calibri"/>
          <w:b/>
          <w:i w:val="0"/>
          <w:sz w:val="20"/>
        </w:rPr>
        <w:t xml:space="preserve">Policy. </w:t>
      </w:r>
      <w:r>
        <w:rPr>
          <w:rFonts w:ascii="Calibri" w:hAnsi="Calibri"/>
          <w:b w:val="0"/>
          <w:i w:val="0"/>
          <w:sz w:val="20"/>
        </w:rPr>
        <w:t>The home does not verify, bill, or coordinate insurance for clinical services it is not licensed to provide, and refuses any arrangement tying housing to billing.</w:t>
      </w:r>
    </w:p>
    <w:p>
      <w:pPr>
        <w:spacing w:before="0" w:after="60"/>
      </w:pPr>
      <w:r>
        <w:rPr>
          <w:rFonts w:ascii="Calibri" w:hAnsi="Calibri"/>
          <w:b/>
          <w:i w:val="0"/>
          <w:sz w:val="20"/>
        </w:rPr>
        <w:t>Procedure.</w:t>
      </w:r>
    </w:p>
    <w:p>
      <w:pPr>
        <w:spacing w:before="0" w:after="60"/>
        <w:ind w:left="340"/>
      </w:pPr>
      <w:r>
        <w:rPr>
          <w:rFonts w:ascii="Calibri" w:hAnsi="Calibri"/>
          <w:b w:val="0"/>
          <w:i w:val="0"/>
          <w:sz w:val="20"/>
        </w:rPr>
        <w:t>•  As a housing provider, the home does not bill insurance for treatment.</w:t>
      </w:r>
    </w:p>
    <w:p>
      <w:pPr>
        <w:spacing w:before="0" w:after="60"/>
        <w:ind w:left="340"/>
      </w:pPr>
      <w:r>
        <w:rPr>
          <w:rFonts w:ascii="Calibri" w:hAnsi="Calibri"/>
          <w:b w:val="0"/>
          <w:i w:val="0"/>
          <w:sz w:val="20"/>
        </w:rPr>
        <w:t>•  It does not collect insurance information to enable another party's billing.</w:t>
      </w:r>
    </w:p>
    <w:p>
      <w:pPr>
        <w:spacing w:before="0" w:after="60"/>
        <w:ind w:left="340"/>
      </w:pPr>
      <w:r>
        <w:rPr>
          <w:rFonts w:ascii="Calibri" w:hAnsi="Calibri"/>
          <w:b w:val="0"/>
          <w:i w:val="0"/>
          <w:sz w:val="20"/>
        </w:rPr>
        <w:t>•  Referral relationships are free of prohibited payments (7.03).</w:t>
      </w:r>
    </w:p>
    <w:p>
      <w:pPr>
        <w:spacing w:before="0" w:after="60"/>
        <w:ind w:left="340"/>
      </w:pPr>
      <w:r>
        <w:rPr>
          <w:rFonts w:ascii="Calibri" w:hAnsi="Calibri"/>
          <w:b w:val="0"/>
          <w:i w:val="0"/>
          <w:sz w:val="20"/>
        </w:rPr>
        <w:t>•  Any legitimate licensed services (Level IV) bill separately and compliantly.</w:t>
      </w:r>
    </w:p>
    <w:p>
      <w:pPr>
        <w:spacing w:before="0" w:after="60"/>
        <w:ind w:left="340"/>
      </w:pPr>
      <w:r>
        <w:rPr>
          <w:rFonts w:ascii="Calibri" w:hAnsi="Calibri"/>
          <w:b w:val="0"/>
          <w:i w:val="0"/>
          <w:sz w:val="20"/>
        </w:rPr>
        <w:t>•  Staff are trained to refuse billing-linked referral schemes.</w:t>
      </w:r>
    </w:p>
    <w:p>
      <w:pPr>
        <w:spacing w:before="0" w:after="60"/>
        <w:ind w:left="340"/>
      </w:pPr>
      <w:r>
        <w:rPr>
          <w:rFonts w:ascii="Calibri" w:hAnsi="Calibri"/>
          <w:b w:val="0"/>
          <w:i w:val="0"/>
          <w:sz w:val="20"/>
        </w:rPr>
        <w:t>•  Concerns are escalated and documented.</w:t>
      </w:r>
    </w:p>
    <w:p>
      <w:pPr>
        <w:spacing w:before="260" w:after="90"/>
      </w:pPr>
      <w:r>
        <w:rPr>
          <w:rFonts w:ascii="Calibri" w:hAnsi="Calibri"/>
          <w:b/>
          <w:i w:val="0"/>
          <w:sz w:val="23"/>
        </w:rPr>
        <w:t>7.14  Document Retention Schedule &amp; Secure Destruction</w:t>
      </w:r>
    </w:p>
    <w:p>
      <w:pPr>
        <w:spacing w:before="0" w:after="80"/>
      </w:pPr>
      <w:r>
        <w:rPr>
          <w:rFonts w:ascii="Calibri" w:hAnsi="Calibri"/>
          <w:b w:val="0"/>
          <w:i/>
          <w:color w:val="555555"/>
          <w:sz w:val="19"/>
        </w:rPr>
        <w:t>Florida records practice; funder requirements</w:t>
      </w:r>
    </w:p>
    <w:p>
      <w:pPr>
        <w:spacing w:before="0" w:after="110"/>
      </w:pPr>
      <w:r>
        <w:rPr>
          <w:rFonts w:ascii="Calibri" w:hAnsi="Calibri"/>
          <w:b/>
          <w:i w:val="0"/>
          <w:sz w:val="20"/>
        </w:rPr>
        <w:t xml:space="preserve">Purpose. </w:t>
      </w:r>
      <w:r>
        <w:rPr>
          <w:rFonts w:ascii="Calibri" w:hAnsi="Calibri"/>
          <w:b w:val="0"/>
          <w:i w:val="0"/>
          <w:sz w:val="20"/>
        </w:rPr>
        <w:t>To retain records only as long as needed and destroy them securely.</w:t>
      </w:r>
    </w:p>
    <w:p>
      <w:pPr>
        <w:spacing w:before="0" w:after="110"/>
      </w:pPr>
      <w:r>
        <w:rPr>
          <w:rFonts w:ascii="Calibri" w:hAnsi="Calibri"/>
          <w:b/>
          <w:i w:val="0"/>
          <w:sz w:val="20"/>
        </w:rPr>
        <w:t xml:space="preserve">Policy. </w:t>
      </w:r>
      <w:r>
        <w:rPr>
          <w:rFonts w:ascii="Calibri" w:hAnsi="Calibri"/>
          <w:b w:val="0"/>
          <w:i w:val="0"/>
          <w:sz w:val="20"/>
        </w:rPr>
        <w:t>The home follows a written retention schedule and destroys records securely at the end of their retention period.</w:t>
      </w:r>
    </w:p>
    <w:p>
      <w:pPr>
        <w:spacing w:before="0" w:after="60"/>
      </w:pPr>
      <w:r>
        <w:rPr>
          <w:rFonts w:ascii="Calibri" w:hAnsi="Calibri"/>
          <w:b/>
          <w:i w:val="0"/>
          <w:sz w:val="20"/>
        </w:rPr>
        <w:t>Procedure.</w:t>
      </w:r>
    </w:p>
    <w:p>
      <w:pPr>
        <w:spacing w:before="0" w:after="60"/>
        <w:ind w:left="340"/>
      </w:pPr>
      <w:r>
        <w:rPr>
          <w:rFonts w:ascii="Calibri" w:hAnsi="Calibri"/>
          <w:b w:val="0"/>
          <w:i w:val="0"/>
          <w:sz w:val="20"/>
        </w:rPr>
        <w:t>•  A schedule states retention periods for each record type.</w:t>
      </w:r>
    </w:p>
    <w:p>
      <w:pPr>
        <w:spacing w:before="0" w:after="60"/>
        <w:ind w:left="340"/>
      </w:pPr>
      <w:r>
        <w:rPr>
          <w:rFonts w:ascii="Calibri" w:hAnsi="Calibri"/>
          <w:b w:val="0"/>
          <w:i w:val="0"/>
          <w:sz w:val="20"/>
        </w:rPr>
        <w:t>•  Resident, financial, personnel, and incident records follow the schedule.</w:t>
      </w:r>
    </w:p>
    <w:p>
      <w:pPr>
        <w:spacing w:before="0" w:after="60"/>
        <w:ind w:left="340"/>
      </w:pPr>
      <w:r>
        <w:rPr>
          <w:rFonts w:ascii="Calibri" w:hAnsi="Calibri"/>
          <w:b w:val="0"/>
          <w:i w:val="0"/>
          <w:sz w:val="20"/>
        </w:rPr>
        <w:t>•  Funder-specific retention (e.g., grant/HUD) is honored where longer.</w:t>
      </w:r>
    </w:p>
    <w:p>
      <w:pPr>
        <w:spacing w:before="0" w:after="60"/>
        <w:ind w:left="340"/>
      </w:pPr>
      <w:r>
        <w:rPr>
          <w:rFonts w:ascii="Calibri" w:hAnsi="Calibri"/>
          <w:b w:val="0"/>
          <w:i w:val="0"/>
          <w:sz w:val="20"/>
        </w:rPr>
        <w:t>•  Paper records are shredded and electronic records securely wiped at end of life.</w:t>
      </w:r>
    </w:p>
    <w:p>
      <w:pPr>
        <w:spacing w:before="0" w:after="60"/>
        <w:ind w:left="340"/>
      </w:pPr>
      <w:r>
        <w:rPr>
          <w:rFonts w:ascii="Calibri" w:hAnsi="Calibri"/>
          <w:b w:val="0"/>
          <w:i w:val="0"/>
          <w:sz w:val="20"/>
        </w:rPr>
        <w:t>•  Destruction is logged.</w:t>
      </w:r>
    </w:p>
    <w:p>
      <w:pPr>
        <w:spacing w:before="0" w:after="60"/>
        <w:ind w:left="340"/>
      </w:pPr>
      <w:r>
        <w:rPr>
          <w:rFonts w:ascii="Calibri" w:hAnsi="Calibri"/>
          <w:b w:val="0"/>
          <w:i w:val="0"/>
          <w:sz w:val="20"/>
        </w:rPr>
        <w:t>•  Legal holds suspend destruction when required.</w:t>
      </w:r>
    </w:p>
    <w:p>
      <w:pPr>
        <w:spacing w:before="260" w:after="90"/>
      </w:pPr>
      <w:r>
        <w:rPr>
          <w:rFonts w:ascii="Calibri" w:hAnsi="Calibri"/>
          <w:b/>
          <w:i w:val="0"/>
          <w:sz w:val="23"/>
        </w:rPr>
        <w:t>7.15  Vendor &amp; Contractor Management</w:t>
      </w:r>
    </w:p>
    <w:p>
      <w:pPr>
        <w:spacing w:before="0" w:after="80"/>
      </w:pPr>
      <w:r>
        <w:rPr>
          <w:rFonts w:ascii="Calibri" w:hAnsi="Calibri"/>
          <w:b w:val="0"/>
          <w:i/>
          <w:color w:val="555555"/>
          <w:sz w:val="19"/>
        </w:rPr>
        <w:t>NARR Standard — Operations domain; EKRA</w:t>
      </w:r>
    </w:p>
    <w:p>
      <w:pPr>
        <w:spacing w:before="0" w:after="110"/>
      </w:pPr>
      <w:r>
        <w:rPr>
          <w:rFonts w:ascii="Calibri" w:hAnsi="Calibri"/>
          <w:b/>
          <w:i w:val="0"/>
          <w:sz w:val="20"/>
        </w:rPr>
        <w:t xml:space="preserve">Purpose. </w:t>
      </w:r>
      <w:r>
        <w:rPr>
          <w:rFonts w:ascii="Calibri" w:hAnsi="Calibri"/>
          <w:b w:val="0"/>
          <w:i w:val="0"/>
          <w:sz w:val="20"/>
        </w:rPr>
        <w:t>To manage outside vendors and contractors safely and ethically.</w:t>
      </w:r>
    </w:p>
    <w:p>
      <w:pPr>
        <w:spacing w:before="0" w:after="110"/>
      </w:pPr>
      <w:r>
        <w:rPr>
          <w:rFonts w:ascii="Calibri" w:hAnsi="Calibri"/>
          <w:b/>
          <w:i w:val="0"/>
          <w:sz w:val="20"/>
        </w:rPr>
        <w:t xml:space="preserve">Policy. </w:t>
      </w:r>
      <w:r>
        <w:rPr>
          <w:rFonts w:ascii="Calibri" w:hAnsi="Calibri"/>
          <w:b w:val="0"/>
          <w:i w:val="0"/>
          <w:sz w:val="20"/>
        </w:rPr>
        <w:t>The home selects and manages vendors and contractors on fair terms, free of prohibited referral payments, and protects residents during any on-site work.</w:t>
      </w:r>
    </w:p>
    <w:p>
      <w:pPr>
        <w:spacing w:before="0" w:after="60"/>
      </w:pPr>
      <w:r>
        <w:rPr>
          <w:rFonts w:ascii="Calibri" w:hAnsi="Calibri"/>
          <w:b/>
          <w:i w:val="0"/>
          <w:sz w:val="20"/>
        </w:rPr>
        <w:t>Procedure.</w:t>
      </w:r>
    </w:p>
    <w:p>
      <w:pPr>
        <w:spacing w:before="0" w:after="60"/>
        <w:ind w:left="340"/>
      </w:pPr>
      <w:r>
        <w:rPr>
          <w:rFonts w:ascii="Calibri" w:hAnsi="Calibri"/>
          <w:b w:val="0"/>
          <w:i w:val="0"/>
          <w:sz w:val="20"/>
        </w:rPr>
        <w:t>•  Vendors are selected on legitimate business terms, not referral inducements (7.03).</w:t>
      </w:r>
    </w:p>
    <w:p>
      <w:pPr>
        <w:spacing w:before="0" w:after="60"/>
        <w:ind w:left="340"/>
      </w:pPr>
      <w:r>
        <w:rPr>
          <w:rFonts w:ascii="Calibri" w:hAnsi="Calibri"/>
          <w:b w:val="0"/>
          <w:i w:val="0"/>
          <w:sz w:val="20"/>
        </w:rPr>
        <w:t>•  Contractors working on site respect resident privacy and safety.</w:t>
      </w:r>
    </w:p>
    <w:p>
      <w:pPr>
        <w:spacing w:before="0" w:after="60"/>
        <w:ind w:left="340"/>
      </w:pPr>
      <w:r>
        <w:rPr>
          <w:rFonts w:ascii="Calibri" w:hAnsi="Calibri"/>
          <w:b w:val="0"/>
          <w:i w:val="0"/>
          <w:sz w:val="20"/>
        </w:rPr>
        <w:t>•  Insurance and licensing of contractors are verified where appropriate.</w:t>
      </w:r>
    </w:p>
    <w:p>
      <w:pPr>
        <w:spacing w:before="0" w:after="60"/>
        <w:ind w:left="340"/>
      </w:pPr>
      <w:r>
        <w:rPr>
          <w:rFonts w:ascii="Calibri" w:hAnsi="Calibri"/>
          <w:b w:val="0"/>
          <w:i w:val="0"/>
          <w:sz w:val="20"/>
        </w:rPr>
        <w:t>•  Background considerations apply to vendors with resident contact.</w:t>
      </w:r>
    </w:p>
    <w:p>
      <w:pPr>
        <w:spacing w:before="0" w:after="60"/>
        <w:ind w:left="340"/>
      </w:pPr>
      <w:r>
        <w:rPr>
          <w:rFonts w:ascii="Calibri" w:hAnsi="Calibri"/>
          <w:b w:val="0"/>
          <w:i w:val="0"/>
          <w:sz w:val="20"/>
        </w:rPr>
        <w:t>•  Agreements are documented.</w:t>
      </w:r>
    </w:p>
    <w:p>
      <w:pPr>
        <w:spacing w:before="0" w:after="60"/>
        <w:ind w:left="340"/>
      </w:pPr>
      <w:r>
        <w:rPr>
          <w:rFonts w:ascii="Calibri" w:hAnsi="Calibri"/>
          <w:b w:val="0"/>
          <w:i w:val="0"/>
          <w:sz w:val="20"/>
        </w:rPr>
        <w:t>•  Vendor performance and conduct are monitored.</w:t>
      </w:r>
    </w:p>
    <w:p>
      <w:r>
        <w:br w:type="page"/>
      </w:r>
    </w:p>
    <w:p>
      <w:pPr>
        <w:spacing w:before="0" w:after="80"/>
      </w:pPr>
      <w:r>
        <w:rPr>
          <w:rFonts w:ascii="Calibri" w:hAnsi="Calibri"/>
          <w:b/>
          <w:i w:val="0"/>
          <w:sz w:val="26"/>
        </w:rPr>
        <w:t>Section 8 — Quality, Improvement &amp; Community</w:t>
      </w:r>
    </w:p>
    <w:p>
      <w:pPr>
        <w:spacing w:before="0" w:after="160"/>
      </w:pPr>
      <w:r>
        <w:rPr>
          <w:rFonts w:ascii="Calibri" w:hAnsi="Calibri"/>
          <w:b w:val="0"/>
          <w:i/>
          <w:sz w:val="20"/>
        </w:rPr>
        <w:t>A good recovery residence keeps getting better and stays a good neighbor. This section covers continuous quality improvement, listening to residents, tracking outcomes, supporting alumni, and the good-neighbor and community-relations practices that let a home earn lasting trust in its neighborhood and in Florida's recovery ecosystem.</w:t>
      </w:r>
    </w:p>
    <w:p>
      <w:pPr>
        <w:spacing w:before="260" w:after="90"/>
      </w:pPr>
      <w:r>
        <w:rPr>
          <w:rFonts w:ascii="Calibri" w:hAnsi="Calibri"/>
          <w:b/>
          <w:i w:val="0"/>
          <w:sz w:val="23"/>
        </w:rPr>
        <w:t>8.01  Continuous Quality Improvement</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improve the home continuously through a simple, real feedback loop.</w:t>
      </w:r>
    </w:p>
    <w:p>
      <w:pPr>
        <w:spacing w:before="0" w:after="110"/>
      </w:pPr>
      <w:r>
        <w:rPr>
          <w:rFonts w:ascii="Calibri" w:hAnsi="Calibri"/>
          <w:b/>
          <w:i w:val="0"/>
          <w:sz w:val="20"/>
        </w:rPr>
        <w:t xml:space="preserve">Policy. </w:t>
      </w:r>
      <w:r>
        <w:rPr>
          <w:rFonts w:ascii="Calibri" w:hAnsi="Calibri"/>
          <w:b w:val="0"/>
          <w:i w:val="0"/>
          <w:sz w:val="20"/>
        </w:rPr>
        <w:t>The home gathers data and feedback, identifies improvements, acts on them, and reviews the results.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collects resident feedback, incident data, and outcomes.</w:t>
      </w:r>
    </w:p>
    <w:p>
      <w:pPr>
        <w:spacing w:before="0" w:after="60"/>
        <w:ind w:left="340"/>
      </w:pPr>
      <w:r>
        <w:rPr>
          <w:rFonts w:ascii="Calibri" w:hAnsi="Calibri"/>
          <w:b w:val="0"/>
          <w:i w:val="0"/>
          <w:sz w:val="20"/>
        </w:rPr>
        <w:t>•  Improvement opportunities are identified and prioritized.</w:t>
      </w:r>
    </w:p>
    <w:p>
      <w:pPr>
        <w:spacing w:before="0" w:after="60"/>
        <w:ind w:left="340"/>
      </w:pPr>
      <w:r>
        <w:rPr>
          <w:rFonts w:ascii="Calibri" w:hAnsi="Calibri"/>
          <w:b w:val="0"/>
          <w:i w:val="0"/>
          <w:sz w:val="20"/>
        </w:rPr>
        <w:t>•  Changes are implemented and their effect reviewed.</w:t>
      </w:r>
    </w:p>
    <w:p>
      <w:pPr>
        <w:spacing w:before="0" w:after="60"/>
        <w:ind w:left="340"/>
      </w:pPr>
      <w:r>
        <w:rPr>
          <w:rFonts w:ascii="Calibri" w:hAnsi="Calibri"/>
          <w:b w:val="0"/>
          <w:i w:val="0"/>
          <w:sz w:val="20"/>
        </w:rPr>
        <w:t>•  Quality activities are documented.</w:t>
      </w:r>
    </w:p>
    <w:p>
      <w:pPr>
        <w:spacing w:before="0" w:after="60"/>
        <w:ind w:left="340"/>
      </w:pPr>
      <w:r>
        <w:rPr>
          <w:rFonts w:ascii="Calibri" w:hAnsi="Calibri"/>
          <w:b w:val="0"/>
          <w:i w:val="0"/>
          <w:sz w:val="20"/>
        </w:rPr>
        <w:t>•  Results inform the annual review.</w:t>
      </w:r>
    </w:p>
    <w:p>
      <w:pPr>
        <w:spacing w:before="260" w:after="90"/>
      </w:pPr>
      <w:r>
        <w:rPr>
          <w:rFonts w:ascii="Calibri" w:hAnsi="Calibri"/>
          <w:b/>
          <w:i w:val="0"/>
          <w:sz w:val="23"/>
        </w:rPr>
        <w:t>8.02  Resident Satisfaction and Feedback</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hear from residents and act on what they say.</w:t>
      </w:r>
    </w:p>
    <w:p>
      <w:pPr>
        <w:spacing w:before="0" w:after="110"/>
      </w:pPr>
      <w:r>
        <w:rPr>
          <w:rFonts w:ascii="Calibri" w:hAnsi="Calibri"/>
          <w:b/>
          <w:i w:val="0"/>
          <w:sz w:val="20"/>
        </w:rPr>
        <w:t xml:space="preserve">Policy. </w:t>
      </w:r>
      <w:r>
        <w:rPr>
          <w:rFonts w:ascii="Calibri" w:hAnsi="Calibri"/>
          <w:b w:val="0"/>
          <w:i w:val="0"/>
          <w:sz w:val="20"/>
        </w:rPr>
        <w:t>The home regularly seeks resident feedback and uses it to improve.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surveyed or interviewed periodically.</w:t>
      </w:r>
    </w:p>
    <w:p>
      <w:pPr>
        <w:spacing w:before="0" w:after="60"/>
        <w:ind w:left="340"/>
      </w:pPr>
      <w:r>
        <w:rPr>
          <w:rFonts w:ascii="Calibri" w:hAnsi="Calibri"/>
          <w:b w:val="0"/>
          <w:i w:val="0"/>
          <w:sz w:val="20"/>
        </w:rPr>
        <w:t>•  Feedback channels are safe and free of retaliation.</w:t>
      </w:r>
    </w:p>
    <w:p>
      <w:pPr>
        <w:spacing w:before="0" w:after="60"/>
        <w:ind w:left="340"/>
      </w:pPr>
      <w:r>
        <w:rPr>
          <w:rFonts w:ascii="Calibri" w:hAnsi="Calibri"/>
          <w:b w:val="0"/>
          <w:i w:val="0"/>
          <w:sz w:val="20"/>
        </w:rPr>
        <w:t>•  Themes are summarized and shared with the operator.</w:t>
      </w:r>
    </w:p>
    <w:p>
      <w:pPr>
        <w:spacing w:before="0" w:after="60"/>
        <w:ind w:left="340"/>
      </w:pPr>
      <w:r>
        <w:rPr>
          <w:rFonts w:ascii="Calibri" w:hAnsi="Calibri"/>
          <w:b w:val="0"/>
          <w:i w:val="0"/>
          <w:sz w:val="20"/>
        </w:rPr>
        <w:t>•  Reasonable suggestions are acted upon.</w:t>
      </w:r>
    </w:p>
    <w:p>
      <w:pPr>
        <w:spacing w:before="0" w:after="60"/>
        <w:ind w:left="340"/>
      </w:pPr>
      <w:r>
        <w:rPr>
          <w:rFonts w:ascii="Calibri" w:hAnsi="Calibri"/>
          <w:b w:val="0"/>
          <w:i w:val="0"/>
          <w:sz w:val="20"/>
        </w:rPr>
        <w:t>•  Residents see that their input matters.</w:t>
      </w:r>
    </w:p>
    <w:p>
      <w:pPr>
        <w:spacing w:before="260" w:after="90"/>
      </w:pPr>
      <w:r>
        <w:rPr>
          <w:rFonts w:ascii="Calibri" w:hAnsi="Calibri"/>
          <w:b/>
          <w:i w:val="0"/>
          <w:sz w:val="23"/>
        </w:rPr>
        <w:t>8.03  Outcome Tracking and Recovery Measures</w:t>
      </w:r>
    </w:p>
    <w:p>
      <w:pPr>
        <w:spacing w:before="0" w:after="80"/>
      </w:pPr>
      <w:r>
        <w:rPr>
          <w:rFonts w:ascii="Calibri" w:hAnsi="Calibri"/>
          <w:b w:val="0"/>
          <w:i/>
          <w:color w:val="555555"/>
          <w:sz w:val="19"/>
        </w:rPr>
        <w:t>NARR Standard; SAMHSA recovery measures</w:t>
      </w:r>
    </w:p>
    <w:p>
      <w:pPr>
        <w:spacing w:before="0" w:after="110"/>
      </w:pPr>
      <w:r>
        <w:rPr>
          <w:rFonts w:ascii="Calibri" w:hAnsi="Calibri"/>
          <w:b/>
          <w:i w:val="0"/>
          <w:sz w:val="20"/>
        </w:rPr>
        <w:t xml:space="preserve">Purpose. </w:t>
      </w:r>
      <w:r>
        <w:rPr>
          <w:rFonts w:ascii="Calibri" w:hAnsi="Calibri"/>
          <w:b w:val="0"/>
          <w:i w:val="0"/>
          <w:sz w:val="20"/>
        </w:rPr>
        <w:t>To understand whether the home is helping residents recover.</w:t>
      </w:r>
    </w:p>
    <w:p>
      <w:pPr>
        <w:spacing w:before="0" w:after="110"/>
      </w:pPr>
      <w:r>
        <w:rPr>
          <w:rFonts w:ascii="Calibri" w:hAnsi="Calibri"/>
          <w:b/>
          <w:i w:val="0"/>
          <w:sz w:val="20"/>
        </w:rPr>
        <w:t xml:space="preserve">Policy. </w:t>
      </w:r>
      <w:r>
        <w:rPr>
          <w:rFonts w:ascii="Calibri" w:hAnsi="Calibri"/>
          <w:b w:val="0"/>
          <w:i w:val="0"/>
          <w:sz w:val="20"/>
        </w:rPr>
        <w:t>The home tracks basic, respectful outcome measures to gauge and improve its impact.</w:t>
      </w:r>
    </w:p>
    <w:p>
      <w:pPr>
        <w:spacing w:before="0" w:after="60"/>
      </w:pPr>
      <w:r>
        <w:rPr>
          <w:rFonts w:ascii="Calibri" w:hAnsi="Calibri"/>
          <w:b/>
          <w:i w:val="0"/>
          <w:sz w:val="20"/>
        </w:rPr>
        <w:t>Procedure.</w:t>
      </w:r>
    </w:p>
    <w:p>
      <w:pPr>
        <w:spacing w:before="0" w:after="60"/>
        <w:ind w:left="340"/>
      </w:pPr>
      <w:r>
        <w:rPr>
          <w:rFonts w:ascii="Calibri" w:hAnsi="Calibri"/>
          <w:b w:val="0"/>
          <w:i w:val="0"/>
          <w:sz w:val="20"/>
        </w:rPr>
        <w:t>•  Measures may include length of stay, successful transitions, employment, and engagement.</w:t>
      </w:r>
    </w:p>
    <w:p>
      <w:pPr>
        <w:spacing w:before="0" w:after="60"/>
        <w:ind w:left="340"/>
      </w:pPr>
      <w:r>
        <w:rPr>
          <w:rFonts w:ascii="Calibri" w:hAnsi="Calibri"/>
          <w:b w:val="0"/>
          <w:i w:val="0"/>
          <w:sz w:val="20"/>
        </w:rPr>
        <w:t>•  Data is collected respectfully and confidentially.</w:t>
      </w:r>
    </w:p>
    <w:p>
      <w:pPr>
        <w:spacing w:before="0" w:after="60"/>
        <w:ind w:left="340"/>
      </w:pPr>
      <w:r>
        <w:rPr>
          <w:rFonts w:ascii="Calibri" w:hAnsi="Calibri"/>
          <w:b w:val="0"/>
          <w:i w:val="0"/>
          <w:sz w:val="20"/>
        </w:rPr>
        <w:t>•  Outcomes are reviewed to guide improvement.</w:t>
      </w:r>
    </w:p>
    <w:p>
      <w:pPr>
        <w:spacing w:before="0" w:after="60"/>
        <w:ind w:left="340"/>
      </w:pPr>
      <w:r>
        <w:rPr>
          <w:rFonts w:ascii="Calibri" w:hAnsi="Calibri"/>
          <w:b w:val="0"/>
          <w:i w:val="0"/>
          <w:sz w:val="20"/>
        </w:rPr>
        <w:t>•  Aggregate outcomes may support certification and funding.</w:t>
      </w:r>
    </w:p>
    <w:p>
      <w:pPr>
        <w:spacing w:before="0" w:after="60"/>
        <w:ind w:left="340"/>
      </w:pPr>
      <w:r>
        <w:rPr>
          <w:rFonts w:ascii="Calibri" w:hAnsi="Calibri"/>
          <w:b w:val="0"/>
          <w:i w:val="0"/>
          <w:sz w:val="20"/>
        </w:rPr>
        <w:t>•  The home avoids overstating outcomes in any external claim.</w:t>
      </w:r>
    </w:p>
    <w:p>
      <w:pPr>
        <w:spacing w:before="260" w:after="90"/>
      </w:pPr>
      <w:r>
        <w:rPr>
          <w:rFonts w:ascii="Calibri" w:hAnsi="Calibri"/>
          <w:b/>
          <w:i w:val="0"/>
          <w:sz w:val="23"/>
        </w:rPr>
        <w:t>8.04  Alumni and Continuing Support</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keep supporting residents after they move on.</w:t>
      </w:r>
    </w:p>
    <w:p>
      <w:pPr>
        <w:spacing w:before="0" w:after="110"/>
      </w:pPr>
      <w:r>
        <w:rPr>
          <w:rFonts w:ascii="Calibri" w:hAnsi="Calibri"/>
          <w:b/>
          <w:i w:val="0"/>
          <w:sz w:val="20"/>
        </w:rPr>
        <w:t xml:space="preserve">Policy. </w:t>
      </w:r>
      <w:r>
        <w:rPr>
          <w:rFonts w:ascii="Calibri" w:hAnsi="Calibri"/>
          <w:b w:val="0"/>
          <w:i w:val="0"/>
          <w:sz w:val="20"/>
        </w:rPr>
        <w:t>The home offers reasonable continuing connection and support to residents who have moved on successfully.</w:t>
      </w:r>
    </w:p>
    <w:p>
      <w:pPr>
        <w:spacing w:before="0" w:after="60"/>
      </w:pPr>
      <w:r>
        <w:rPr>
          <w:rFonts w:ascii="Calibri" w:hAnsi="Calibri"/>
          <w:b/>
          <w:i w:val="0"/>
          <w:sz w:val="20"/>
        </w:rPr>
        <w:t>Procedure.</w:t>
      </w:r>
    </w:p>
    <w:p>
      <w:pPr>
        <w:spacing w:before="0" w:after="60"/>
        <w:ind w:left="340"/>
      </w:pPr>
      <w:r>
        <w:rPr>
          <w:rFonts w:ascii="Calibri" w:hAnsi="Calibri"/>
          <w:b w:val="0"/>
          <w:i w:val="0"/>
          <w:sz w:val="20"/>
        </w:rPr>
        <w:t>•  Alumni are invited to appropriate events and peer supports.</w:t>
      </w:r>
    </w:p>
    <w:p>
      <w:pPr>
        <w:spacing w:before="0" w:after="60"/>
        <w:ind w:left="340"/>
      </w:pPr>
      <w:r>
        <w:rPr>
          <w:rFonts w:ascii="Calibri" w:hAnsi="Calibri"/>
          <w:b w:val="0"/>
          <w:i w:val="0"/>
          <w:sz w:val="20"/>
        </w:rPr>
        <w:t>•  The home maintains referrals for continuing care.</w:t>
      </w:r>
    </w:p>
    <w:p>
      <w:pPr>
        <w:spacing w:before="0" w:after="60"/>
        <w:ind w:left="340"/>
      </w:pPr>
      <w:r>
        <w:rPr>
          <w:rFonts w:ascii="Calibri" w:hAnsi="Calibri"/>
          <w:b w:val="0"/>
          <w:i w:val="0"/>
          <w:sz w:val="20"/>
        </w:rPr>
        <w:t>•  Alumni engagement respects privacy and consent.</w:t>
      </w:r>
    </w:p>
    <w:p>
      <w:pPr>
        <w:spacing w:before="0" w:after="60"/>
        <w:ind w:left="340"/>
      </w:pPr>
      <w:r>
        <w:rPr>
          <w:rFonts w:ascii="Calibri" w:hAnsi="Calibri"/>
          <w:b w:val="0"/>
          <w:i w:val="0"/>
          <w:sz w:val="20"/>
        </w:rPr>
        <w:t>•  Alumni may serve as peer role models where appropriate.</w:t>
      </w:r>
    </w:p>
    <w:p>
      <w:pPr>
        <w:spacing w:before="0" w:after="60"/>
        <w:ind w:left="340"/>
      </w:pPr>
      <w:r>
        <w:rPr>
          <w:rFonts w:ascii="Calibri" w:hAnsi="Calibri"/>
          <w:b w:val="0"/>
          <w:i w:val="0"/>
          <w:sz w:val="20"/>
        </w:rPr>
        <w:t>•  Continuing support reinforces long-term recovery.</w:t>
      </w:r>
    </w:p>
    <w:p>
      <w:pPr>
        <w:spacing w:before="260" w:after="90"/>
      </w:pPr>
      <w:r>
        <w:rPr>
          <w:rFonts w:ascii="Calibri" w:hAnsi="Calibri"/>
          <w:b/>
          <w:i w:val="0"/>
          <w:sz w:val="23"/>
        </w:rPr>
        <w:t>8.05  Good Neighbor Policy</w:t>
      </w:r>
    </w:p>
    <w:p>
      <w:pPr>
        <w:spacing w:before="0" w:after="80"/>
      </w:pPr>
      <w:r>
        <w:rPr>
          <w:rFonts w:ascii="Calibri" w:hAnsi="Calibri"/>
          <w:b w:val="0"/>
          <w:i/>
          <w:color w:val="555555"/>
          <w:sz w:val="19"/>
        </w:rPr>
        <w:t>NARR Standard — Property domain; community relations</w:t>
      </w:r>
    </w:p>
    <w:p>
      <w:pPr>
        <w:spacing w:before="0" w:after="110"/>
      </w:pPr>
      <w:r>
        <w:rPr>
          <w:rFonts w:ascii="Calibri" w:hAnsi="Calibri"/>
          <w:b/>
          <w:i w:val="0"/>
          <w:sz w:val="20"/>
        </w:rPr>
        <w:t xml:space="preserve">Purpose. </w:t>
      </w:r>
      <w:r>
        <w:rPr>
          <w:rFonts w:ascii="Calibri" w:hAnsi="Calibri"/>
          <w:b w:val="0"/>
          <w:i w:val="0"/>
          <w:sz w:val="20"/>
        </w:rPr>
        <w:t>To be a responsible, welcome presence in the neighborhood.</w:t>
      </w:r>
    </w:p>
    <w:p>
      <w:pPr>
        <w:spacing w:before="0" w:after="110"/>
      </w:pPr>
      <w:r>
        <w:rPr>
          <w:rFonts w:ascii="Calibri" w:hAnsi="Calibri"/>
          <w:b/>
          <w:i w:val="0"/>
          <w:sz w:val="20"/>
        </w:rPr>
        <w:t xml:space="preserve">Policy. </w:t>
      </w:r>
      <w:r>
        <w:rPr>
          <w:rFonts w:ascii="Calibri" w:hAnsi="Calibri"/>
          <w:b w:val="0"/>
          <w:i w:val="0"/>
          <w:sz w:val="20"/>
        </w:rPr>
        <w:t>The home maintains a written good-neighbor policy with a designated contact for community concerns and clear expectations for conduct, parking, and noise.</w:t>
      </w:r>
    </w:p>
    <w:p>
      <w:pPr>
        <w:spacing w:before="0" w:after="60"/>
      </w:pPr>
      <w:r>
        <w:rPr>
          <w:rFonts w:ascii="Calibri" w:hAnsi="Calibri"/>
          <w:b/>
          <w:i w:val="0"/>
          <w:sz w:val="20"/>
        </w:rPr>
        <w:t>Procedure.</w:t>
      </w:r>
    </w:p>
    <w:p>
      <w:pPr>
        <w:spacing w:before="0" w:after="60"/>
        <w:ind w:left="340"/>
      </w:pPr>
      <w:r>
        <w:rPr>
          <w:rFonts w:ascii="Calibri" w:hAnsi="Calibri"/>
          <w:b w:val="0"/>
          <w:i w:val="0"/>
          <w:sz w:val="20"/>
        </w:rPr>
        <w:t>•  A neighborhood contact person and contact method are designated and shared as appropriate.</w:t>
      </w:r>
    </w:p>
    <w:p>
      <w:pPr>
        <w:spacing w:before="0" w:after="60"/>
        <w:ind w:left="340"/>
      </w:pPr>
      <w:r>
        <w:rPr>
          <w:rFonts w:ascii="Calibri" w:hAnsi="Calibri"/>
          <w:b w:val="0"/>
          <w:i w:val="0"/>
          <w:sz w:val="20"/>
        </w:rPr>
        <w:t>•  Expectations for parking, noise, and outdoor conduct are set and enforced.</w:t>
      </w:r>
    </w:p>
    <w:p>
      <w:pPr>
        <w:spacing w:before="0" w:after="60"/>
        <w:ind w:left="340"/>
      </w:pPr>
      <w:r>
        <w:rPr>
          <w:rFonts w:ascii="Calibri" w:hAnsi="Calibri"/>
          <w:b w:val="0"/>
          <w:i w:val="0"/>
          <w:sz w:val="20"/>
        </w:rPr>
        <w:t>•  Neighbor concerns are received and addressed promptly and respectfully.</w:t>
      </w:r>
    </w:p>
    <w:p>
      <w:pPr>
        <w:spacing w:before="0" w:after="60"/>
        <w:ind w:left="340"/>
      </w:pPr>
      <w:r>
        <w:rPr>
          <w:rFonts w:ascii="Calibri" w:hAnsi="Calibri"/>
          <w:b w:val="0"/>
          <w:i w:val="0"/>
          <w:sz w:val="20"/>
        </w:rPr>
        <w:t>•  The home maintains its property and curb appeal.</w:t>
      </w:r>
    </w:p>
    <w:p>
      <w:pPr>
        <w:spacing w:before="0" w:after="60"/>
        <w:ind w:left="340"/>
      </w:pPr>
      <w:r>
        <w:rPr>
          <w:rFonts w:ascii="Calibri" w:hAnsi="Calibri"/>
          <w:b w:val="0"/>
          <w:i w:val="0"/>
          <w:sz w:val="20"/>
        </w:rPr>
        <w:t>•  The good-neighbor policy supports the home's fair-housing standing.</w:t>
      </w:r>
    </w:p>
    <w:p>
      <w:pPr>
        <w:spacing w:before="260" w:after="90"/>
      </w:pPr>
      <w:r>
        <w:rPr>
          <w:rFonts w:ascii="Calibri" w:hAnsi="Calibri"/>
          <w:b/>
          <w:i w:val="0"/>
          <w:sz w:val="23"/>
        </w:rPr>
        <w:t>8.06  Community Relations and the Recovery Ecosystem</w:t>
      </w:r>
    </w:p>
    <w:p>
      <w:pPr>
        <w:spacing w:before="0" w:after="80"/>
      </w:pPr>
      <w:r>
        <w:rPr>
          <w:rFonts w:ascii="Calibri" w:hAnsi="Calibri"/>
          <w:b w:val="0"/>
          <w:i/>
          <w:color w:val="555555"/>
          <w:sz w:val="19"/>
        </w:rPr>
        <w:t>DCF; local coalitions; Oxford House</w:t>
      </w:r>
    </w:p>
    <w:p>
      <w:pPr>
        <w:spacing w:before="0" w:after="110"/>
      </w:pPr>
      <w:r>
        <w:rPr>
          <w:rFonts w:ascii="Calibri" w:hAnsi="Calibri"/>
          <w:b/>
          <w:i w:val="0"/>
          <w:sz w:val="20"/>
        </w:rPr>
        <w:t xml:space="preserve">Purpose. </w:t>
      </w:r>
      <w:r>
        <w:rPr>
          <w:rFonts w:ascii="Calibri" w:hAnsi="Calibri"/>
          <w:b w:val="0"/>
          <w:i w:val="0"/>
          <w:sz w:val="20"/>
        </w:rPr>
        <w:t>To connect the home to Florida's broader recovery system.</w:t>
      </w:r>
    </w:p>
    <w:p>
      <w:pPr>
        <w:spacing w:before="0" w:after="110"/>
      </w:pPr>
      <w:r>
        <w:rPr>
          <w:rFonts w:ascii="Calibri" w:hAnsi="Calibri"/>
          <w:b/>
          <w:i w:val="0"/>
          <w:sz w:val="20"/>
        </w:rPr>
        <w:t xml:space="preserve">Policy. </w:t>
      </w:r>
      <w:r>
        <w:rPr>
          <w:rFonts w:ascii="Calibri" w:hAnsi="Calibri"/>
          <w:b w:val="0"/>
          <w:i w:val="0"/>
          <w:sz w:val="20"/>
        </w:rPr>
        <w:t>The home builds constructive relationships with providers, peer organizations, and the recovery community.</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home participates in local recovery coalitions and provider networks.</w:t>
      </w:r>
    </w:p>
    <w:p>
      <w:pPr>
        <w:spacing w:before="0" w:after="60"/>
        <w:ind w:left="340"/>
      </w:pPr>
      <w:r>
        <w:rPr>
          <w:rFonts w:ascii="Calibri" w:hAnsi="Calibri"/>
          <w:b w:val="0"/>
          <w:i w:val="0"/>
          <w:sz w:val="20"/>
        </w:rPr>
        <w:t>•  Referral relationships are maintained ethically and without prohibited payments.</w:t>
      </w:r>
    </w:p>
    <w:p>
      <w:pPr>
        <w:spacing w:before="0" w:after="60"/>
        <w:ind w:left="340"/>
      </w:pPr>
      <w:r>
        <w:rPr>
          <w:rFonts w:ascii="Calibri" w:hAnsi="Calibri"/>
          <w:b w:val="0"/>
          <w:i w:val="0"/>
          <w:sz w:val="20"/>
        </w:rPr>
        <w:t>•  The home stays informed on Florida recovery-housing developments (F.S. 397.487–397.4873, DCF rules).</w:t>
      </w:r>
    </w:p>
    <w:p>
      <w:pPr>
        <w:spacing w:before="0" w:after="60"/>
        <w:ind w:left="340"/>
      </w:pPr>
      <w:r>
        <w:rPr>
          <w:rFonts w:ascii="Calibri" w:hAnsi="Calibri"/>
          <w:b w:val="0"/>
          <w:i w:val="0"/>
          <w:sz w:val="20"/>
        </w:rPr>
        <w:t>•  Partnerships expand resources available to residents.</w:t>
      </w:r>
    </w:p>
    <w:p>
      <w:pPr>
        <w:spacing w:before="0" w:after="60"/>
        <w:ind w:left="340"/>
      </w:pPr>
      <w:r>
        <w:rPr>
          <w:rFonts w:ascii="Calibri" w:hAnsi="Calibri"/>
          <w:b w:val="0"/>
          <w:i w:val="0"/>
          <w:sz w:val="20"/>
        </w:rPr>
        <w:t>•  The home represents recovery housing positively in the community.</w:t>
      </w:r>
    </w:p>
    <w:p>
      <w:pPr>
        <w:spacing w:before="260" w:after="90"/>
      </w:pPr>
      <w:r>
        <w:rPr>
          <w:rFonts w:ascii="Calibri" w:hAnsi="Calibri"/>
          <w:b/>
          <w:i w:val="0"/>
          <w:sz w:val="23"/>
        </w:rPr>
        <w:t>8.07  Certification Maintenance and Renewal</w:t>
      </w:r>
    </w:p>
    <w:p>
      <w:pPr>
        <w:spacing w:before="0" w:after="80"/>
      </w:pPr>
      <w:r>
        <w:rPr>
          <w:rFonts w:ascii="Calibri" w:hAnsi="Calibri"/>
          <w:b w:val="0"/>
          <w:i/>
          <w:color w:val="555555"/>
          <w:sz w:val="19"/>
        </w:rPr>
        <w:t>NARR Standard</w:t>
      </w:r>
    </w:p>
    <w:p>
      <w:pPr>
        <w:spacing w:before="0" w:after="110"/>
      </w:pPr>
      <w:r>
        <w:rPr>
          <w:rFonts w:ascii="Calibri" w:hAnsi="Calibri"/>
          <w:b/>
          <w:i w:val="0"/>
          <w:sz w:val="20"/>
        </w:rPr>
        <w:t xml:space="preserve">Purpose. </w:t>
      </w:r>
      <w:r>
        <w:rPr>
          <w:rFonts w:ascii="Calibri" w:hAnsi="Calibri"/>
          <w:b w:val="0"/>
          <w:i w:val="0"/>
          <w:sz w:val="20"/>
        </w:rPr>
        <w:t>To keep any voluntary certification current and in good standing.</w:t>
      </w:r>
    </w:p>
    <w:p>
      <w:pPr>
        <w:spacing w:before="0" w:after="110"/>
      </w:pPr>
      <w:r>
        <w:rPr>
          <w:rFonts w:ascii="Calibri" w:hAnsi="Calibri"/>
          <w:b/>
          <w:i w:val="0"/>
          <w:sz w:val="20"/>
        </w:rPr>
        <w:t xml:space="preserve">Policy. </w:t>
      </w:r>
      <w:r>
        <w:rPr>
          <w:rFonts w:ascii="Calibri" w:hAnsi="Calibri"/>
          <w:b w:val="0"/>
          <w:i w:val="0"/>
          <w:sz w:val="20"/>
        </w:rPr>
        <w:t>The home maintains the standards it certified to and renews certification on time.</w:t>
      </w:r>
    </w:p>
    <w:p>
      <w:pPr>
        <w:spacing w:before="0" w:after="60"/>
      </w:pPr>
      <w:r>
        <w:rPr>
          <w:rFonts w:ascii="Calibri" w:hAnsi="Calibri"/>
          <w:b/>
          <w:i w:val="0"/>
          <w:sz w:val="20"/>
        </w:rPr>
        <w:t>Procedure.</w:t>
      </w:r>
    </w:p>
    <w:p>
      <w:pPr>
        <w:spacing w:before="0" w:after="60"/>
        <w:ind w:left="340"/>
      </w:pPr>
      <w:r>
        <w:rPr>
          <w:rFonts w:ascii="Calibri" w:hAnsi="Calibri"/>
          <w:b w:val="0"/>
          <w:i w:val="0"/>
          <w:sz w:val="20"/>
        </w:rPr>
        <w:t>•  Certification requirements are met continuously, not just at renewal.</w:t>
      </w:r>
    </w:p>
    <w:p>
      <w:pPr>
        <w:spacing w:before="0" w:after="60"/>
        <w:ind w:left="340"/>
      </w:pPr>
      <w:r>
        <w:rPr>
          <w:rFonts w:ascii="Calibri" w:hAnsi="Calibri"/>
          <w:b w:val="0"/>
          <w:i w:val="0"/>
          <w:sz w:val="20"/>
        </w:rPr>
        <w:t>•  Renewal deadlines are tracked on the compliance calendar.</w:t>
      </w:r>
    </w:p>
    <w:p>
      <w:pPr>
        <w:spacing w:before="0" w:after="60"/>
        <w:ind w:left="340"/>
      </w:pPr>
      <w:r>
        <w:rPr>
          <w:rFonts w:ascii="Calibri" w:hAnsi="Calibri"/>
          <w:b w:val="0"/>
          <w:i w:val="0"/>
          <w:sz w:val="20"/>
        </w:rPr>
        <w:t>•  Deficiencies found in review are corrected promptly.</w:t>
      </w:r>
    </w:p>
    <w:p>
      <w:pPr>
        <w:spacing w:before="0" w:after="60"/>
        <w:ind w:left="340"/>
      </w:pPr>
      <w:r>
        <w:rPr>
          <w:rFonts w:ascii="Calibri" w:hAnsi="Calibri"/>
          <w:b w:val="0"/>
          <w:i w:val="0"/>
          <w:sz w:val="20"/>
        </w:rPr>
        <w:t>•  The home verifies the current certifying pathway before each renewal.</w:t>
      </w:r>
    </w:p>
    <w:p>
      <w:pPr>
        <w:spacing w:before="0" w:after="60"/>
        <w:ind w:left="340"/>
      </w:pPr>
      <w:r>
        <w:rPr>
          <w:rFonts w:ascii="Calibri" w:hAnsi="Calibri"/>
          <w:b w:val="0"/>
          <w:i w:val="0"/>
          <w:sz w:val="20"/>
        </w:rPr>
        <w:t>•  Certification status is kept accurate in all listings.</w:t>
      </w:r>
    </w:p>
    <w:p>
      <w:pPr>
        <w:spacing w:before="260" w:after="90"/>
      </w:pPr>
      <w:r>
        <w:rPr>
          <w:rFonts w:ascii="Calibri" w:hAnsi="Calibri"/>
          <w:b/>
          <w:i w:val="0"/>
          <w:sz w:val="23"/>
        </w:rPr>
        <w:t>8.08  Grievance Escalation and External Complaints</w:t>
      </w:r>
    </w:p>
    <w:p>
      <w:pPr>
        <w:spacing w:before="0" w:after="80"/>
      </w:pPr>
      <w:r>
        <w:rPr>
          <w:rFonts w:ascii="Calibri" w:hAnsi="Calibri"/>
          <w:b w:val="0"/>
          <w:i/>
          <w:color w:val="555555"/>
          <w:sz w:val="19"/>
        </w:rPr>
        <w:t>NARR complaint process; HUD (fair housing)</w:t>
      </w:r>
    </w:p>
    <w:p>
      <w:pPr>
        <w:spacing w:before="0" w:after="110"/>
      </w:pPr>
      <w:r>
        <w:rPr>
          <w:rFonts w:ascii="Calibri" w:hAnsi="Calibri"/>
          <w:b/>
          <w:i w:val="0"/>
          <w:sz w:val="20"/>
        </w:rPr>
        <w:t xml:space="preserve">Purpose. </w:t>
      </w:r>
      <w:r>
        <w:rPr>
          <w:rFonts w:ascii="Calibri" w:hAnsi="Calibri"/>
          <w:b w:val="0"/>
          <w:i w:val="0"/>
          <w:sz w:val="20"/>
        </w:rPr>
        <w:t>To route unresolved complaints to the right external body.</w:t>
      </w:r>
    </w:p>
    <w:p>
      <w:pPr>
        <w:spacing w:before="0" w:after="110"/>
      </w:pPr>
      <w:r>
        <w:rPr>
          <w:rFonts w:ascii="Calibri" w:hAnsi="Calibri"/>
          <w:b/>
          <w:i w:val="0"/>
          <w:sz w:val="20"/>
        </w:rPr>
        <w:t xml:space="preserve">Policy. </w:t>
      </w:r>
      <w:r>
        <w:rPr>
          <w:rFonts w:ascii="Calibri" w:hAnsi="Calibri"/>
          <w:b w:val="0"/>
          <w:i w:val="0"/>
          <w:sz w:val="20"/>
        </w:rPr>
        <w:t>The home informs residents of external complaint options and cooperates with any external review.</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told how to escalate to the certifying body or, for fair-housing issues, to HUD or the state.</w:t>
      </w:r>
    </w:p>
    <w:p>
      <w:pPr>
        <w:spacing w:before="0" w:after="60"/>
        <w:ind w:left="340"/>
      </w:pPr>
      <w:r>
        <w:rPr>
          <w:rFonts w:ascii="Calibri" w:hAnsi="Calibri"/>
          <w:b w:val="0"/>
          <w:i w:val="0"/>
          <w:sz w:val="20"/>
        </w:rPr>
        <w:t>•  The home cooperates fully with external reviews.</w:t>
      </w:r>
    </w:p>
    <w:p>
      <w:pPr>
        <w:spacing w:before="0" w:after="60"/>
        <w:ind w:left="340"/>
      </w:pPr>
      <w:r>
        <w:rPr>
          <w:rFonts w:ascii="Calibri" w:hAnsi="Calibri"/>
          <w:b w:val="0"/>
          <w:i w:val="0"/>
          <w:sz w:val="20"/>
        </w:rPr>
        <w:t>•  Findings are addressed on a documented timeline.</w:t>
      </w:r>
    </w:p>
    <w:p>
      <w:pPr>
        <w:spacing w:before="0" w:after="60"/>
        <w:ind w:left="340"/>
      </w:pPr>
      <w:r>
        <w:rPr>
          <w:rFonts w:ascii="Calibri" w:hAnsi="Calibri"/>
          <w:b w:val="0"/>
          <w:i w:val="0"/>
          <w:sz w:val="20"/>
        </w:rPr>
        <w:t>•  Residents are protected from retaliation for external complaints.</w:t>
      </w:r>
    </w:p>
    <w:p>
      <w:pPr>
        <w:spacing w:before="0" w:after="60"/>
        <w:ind w:left="340"/>
      </w:pPr>
      <w:r>
        <w:rPr>
          <w:rFonts w:ascii="Calibri" w:hAnsi="Calibri"/>
          <w:b w:val="0"/>
          <w:i w:val="0"/>
          <w:sz w:val="20"/>
        </w:rPr>
        <w:t>•  External-complaint contacts are kept current.</w:t>
      </w:r>
    </w:p>
    <w:p>
      <w:pPr>
        <w:spacing w:before="260" w:after="90"/>
      </w:pPr>
      <w:r>
        <w:rPr>
          <w:rFonts w:ascii="Calibri" w:hAnsi="Calibri"/>
          <w:b/>
          <w:i w:val="0"/>
          <w:sz w:val="23"/>
        </w:rPr>
        <w:t>8.09  Annual Review and Policy Updates</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keep the whole manual and program current every year.</w:t>
      </w:r>
    </w:p>
    <w:p>
      <w:pPr>
        <w:spacing w:before="0" w:after="110"/>
      </w:pPr>
      <w:r>
        <w:rPr>
          <w:rFonts w:ascii="Calibri" w:hAnsi="Calibri"/>
          <w:b/>
          <w:i w:val="0"/>
          <w:sz w:val="20"/>
        </w:rPr>
        <w:t xml:space="preserve">Policy. </w:t>
      </w:r>
      <w:r>
        <w:rPr>
          <w:rFonts w:ascii="Calibri" w:hAnsi="Calibri"/>
          <w:b w:val="0"/>
          <w:i w:val="0"/>
          <w:sz w:val="20"/>
        </w:rPr>
        <w:t>The operator conducts an annual review of this manual, the home's practices, and the applicable law and standards.</w:t>
      </w:r>
    </w:p>
    <w:p>
      <w:pPr>
        <w:spacing w:before="0" w:after="60"/>
      </w:pPr>
      <w:r>
        <w:rPr>
          <w:rFonts w:ascii="Calibri" w:hAnsi="Calibri"/>
          <w:b/>
          <w:i w:val="0"/>
          <w:sz w:val="20"/>
        </w:rPr>
        <w:t>Procedure.</w:t>
      </w:r>
    </w:p>
    <w:p>
      <w:pPr>
        <w:spacing w:before="0" w:after="60"/>
        <w:ind w:left="340"/>
      </w:pPr>
      <w:r>
        <w:rPr>
          <w:rFonts w:ascii="Calibri" w:hAnsi="Calibri"/>
          <w:b w:val="0"/>
          <w:i w:val="0"/>
          <w:sz w:val="20"/>
        </w:rPr>
        <w:t>•  The annual review covers every section of this manual.</w:t>
      </w:r>
    </w:p>
    <w:p>
      <w:pPr>
        <w:spacing w:before="0" w:after="60"/>
        <w:ind w:left="340"/>
      </w:pPr>
      <w:r>
        <w:rPr>
          <w:rFonts w:ascii="Calibri" w:hAnsi="Calibri"/>
          <w:b w:val="0"/>
          <w:i w:val="0"/>
          <w:sz w:val="20"/>
        </w:rPr>
        <w:t>•  Changes in Florida law, funding, and NARR standards are incorporated.</w:t>
      </w:r>
    </w:p>
    <w:p>
      <w:pPr>
        <w:spacing w:before="0" w:after="60"/>
        <w:ind w:left="340"/>
      </w:pPr>
      <w:r>
        <w:rPr>
          <w:rFonts w:ascii="Calibri" w:hAnsi="Calibri"/>
          <w:b w:val="0"/>
          <w:i w:val="0"/>
          <w:sz w:val="20"/>
        </w:rPr>
        <w:t>•  Resident feedback and audit findings inform updates.</w:t>
      </w:r>
    </w:p>
    <w:p>
      <w:pPr>
        <w:spacing w:before="0" w:after="60"/>
        <w:ind w:left="340"/>
      </w:pPr>
      <w:r>
        <w:rPr>
          <w:rFonts w:ascii="Calibri" w:hAnsi="Calibri"/>
          <w:b w:val="0"/>
          <w:i w:val="0"/>
          <w:sz w:val="20"/>
        </w:rPr>
        <w:t>•  Updated policies are adopted, dated, and communicated.</w:t>
      </w:r>
    </w:p>
    <w:p>
      <w:pPr>
        <w:spacing w:before="0" w:after="60"/>
        <w:ind w:left="340"/>
      </w:pPr>
      <w:r>
        <w:rPr>
          <w:rFonts w:ascii="Calibri" w:hAnsi="Calibri"/>
          <w:b w:val="0"/>
          <w:i w:val="0"/>
          <w:sz w:val="20"/>
        </w:rPr>
        <w:t>•  The review is documented.</w:t>
      </w:r>
    </w:p>
    <w:p>
      <w:pPr>
        <w:spacing w:before="260" w:after="90"/>
      </w:pPr>
      <w:r>
        <w:rPr>
          <w:rFonts w:ascii="Calibri" w:hAnsi="Calibri"/>
          <w:b/>
          <w:i w:val="0"/>
          <w:sz w:val="23"/>
        </w:rPr>
        <w:t>8.10  Recovery Community Engagement</w:t>
      </w:r>
    </w:p>
    <w:p>
      <w:pPr>
        <w:spacing w:before="0" w:after="80"/>
      </w:pPr>
      <w:r>
        <w:rPr>
          <w:rFonts w:ascii="Calibri" w:hAnsi="Calibri"/>
          <w:b w:val="0"/>
          <w:i/>
          <w:color w:val="555555"/>
          <w:sz w:val="19"/>
        </w:rPr>
        <w:t>NARR Standard — Recovery Support domain</w:t>
      </w:r>
    </w:p>
    <w:p>
      <w:pPr>
        <w:spacing w:before="0" w:after="110"/>
      </w:pPr>
      <w:r>
        <w:rPr>
          <w:rFonts w:ascii="Calibri" w:hAnsi="Calibri"/>
          <w:b/>
          <w:i w:val="0"/>
          <w:sz w:val="20"/>
        </w:rPr>
        <w:t xml:space="preserve">Purpose. </w:t>
      </w:r>
      <w:r>
        <w:rPr>
          <w:rFonts w:ascii="Calibri" w:hAnsi="Calibri"/>
          <w:b w:val="0"/>
          <w:i w:val="0"/>
          <w:sz w:val="20"/>
        </w:rPr>
        <w:t>To root the home in a living recovery community.</w:t>
      </w:r>
    </w:p>
    <w:p>
      <w:pPr>
        <w:spacing w:before="0" w:after="110"/>
      </w:pPr>
      <w:r>
        <w:rPr>
          <w:rFonts w:ascii="Calibri" w:hAnsi="Calibri"/>
          <w:b/>
          <w:i w:val="0"/>
          <w:sz w:val="20"/>
        </w:rPr>
        <w:t xml:space="preserve">Policy. </w:t>
      </w:r>
      <w:r>
        <w:rPr>
          <w:rFonts w:ascii="Calibri" w:hAnsi="Calibri"/>
          <w:b w:val="0"/>
          <w:i w:val="0"/>
          <w:sz w:val="20"/>
        </w:rPr>
        <w:t>The home actively connects residents to the wider recovery community that sustains long-term change.</w:t>
      </w:r>
    </w:p>
    <w:p>
      <w:pPr>
        <w:spacing w:before="0" w:after="60"/>
      </w:pPr>
      <w:r>
        <w:rPr>
          <w:rFonts w:ascii="Calibri" w:hAnsi="Calibri"/>
          <w:b/>
          <w:i w:val="0"/>
          <w:sz w:val="20"/>
        </w:rPr>
        <w:t>Procedure.</w:t>
      </w:r>
    </w:p>
    <w:p>
      <w:pPr>
        <w:spacing w:before="0" w:after="60"/>
        <w:ind w:left="340"/>
      </w:pPr>
      <w:r>
        <w:rPr>
          <w:rFonts w:ascii="Calibri" w:hAnsi="Calibri"/>
          <w:b w:val="0"/>
          <w:i w:val="0"/>
          <w:sz w:val="20"/>
        </w:rPr>
        <w:t>•  Residents are linked to mutual-aid, peer, and community recovery events.</w:t>
      </w:r>
    </w:p>
    <w:p>
      <w:pPr>
        <w:spacing w:before="0" w:after="60"/>
        <w:ind w:left="340"/>
      </w:pPr>
      <w:r>
        <w:rPr>
          <w:rFonts w:ascii="Calibri" w:hAnsi="Calibri"/>
          <w:b w:val="0"/>
          <w:i w:val="0"/>
          <w:sz w:val="20"/>
        </w:rPr>
        <w:t>•  The home supports residents' service and giving-back activities.</w:t>
      </w:r>
    </w:p>
    <w:p>
      <w:pPr>
        <w:spacing w:before="0" w:after="60"/>
        <w:ind w:left="340"/>
      </w:pPr>
      <w:r>
        <w:rPr>
          <w:rFonts w:ascii="Calibri" w:hAnsi="Calibri"/>
          <w:b w:val="0"/>
          <w:i w:val="0"/>
          <w:sz w:val="20"/>
        </w:rPr>
        <w:t>•  Community recovery assets are mapped and shared with residents.</w:t>
      </w:r>
    </w:p>
    <w:p>
      <w:pPr>
        <w:spacing w:before="0" w:after="60"/>
        <w:ind w:left="340"/>
      </w:pPr>
      <w:r>
        <w:rPr>
          <w:rFonts w:ascii="Calibri" w:hAnsi="Calibri"/>
          <w:b w:val="0"/>
          <w:i w:val="0"/>
          <w:sz w:val="20"/>
        </w:rPr>
        <w:t>•  The home celebrates recovery milestones.</w:t>
      </w:r>
    </w:p>
    <w:p>
      <w:pPr>
        <w:spacing w:before="0" w:after="60"/>
        <w:ind w:left="340"/>
      </w:pPr>
      <w:r>
        <w:rPr>
          <w:rFonts w:ascii="Calibri" w:hAnsi="Calibri"/>
          <w:b w:val="0"/>
          <w:i w:val="0"/>
          <w:sz w:val="20"/>
        </w:rPr>
        <w:t>•  Engagement builds the recovery capital that outlasts the stay.</w:t>
      </w:r>
    </w:p>
    <w:p>
      <w:pPr>
        <w:spacing w:before="260" w:after="90"/>
      </w:pPr>
      <w:r>
        <w:rPr>
          <w:rFonts w:ascii="Calibri" w:hAnsi="Calibri"/>
          <w:b/>
          <w:i w:val="0"/>
          <w:sz w:val="23"/>
        </w:rPr>
        <w:t>8.11  Annual Report &amp; Stakeholder Communication</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communicate the home's activity and outcomes to stakeholders.</w:t>
      </w:r>
    </w:p>
    <w:p>
      <w:pPr>
        <w:spacing w:before="0" w:after="110"/>
      </w:pPr>
      <w:r>
        <w:rPr>
          <w:rFonts w:ascii="Calibri" w:hAnsi="Calibri"/>
          <w:b/>
          <w:i w:val="0"/>
          <w:sz w:val="20"/>
        </w:rPr>
        <w:t xml:space="preserve">Policy. </w:t>
      </w:r>
      <w:r>
        <w:rPr>
          <w:rFonts w:ascii="Calibri" w:hAnsi="Calibri"/>
          <w:b w:val="0"/>
          <w:i w:val="0"/>
          <w:sz w:val="20"/>
        </w:rPr>
        <w:t>The home prepares a simple annual summary of its activity, outcomes, and improvements for stakeholders and funders.</w:t>
      </w:r>
    </w:p>
    <w:p>
      <w:pPr>
        <w:spacing w:before="0" w:after="60"/>
      </w:pPr>
      <w:r>
        <w:rPr>
          <w:rFonts w:ascii="Calibri" w:hAnsi="Calibri"/>
          <w:b/>
          <w:i w:val="0"/>
          <w:sz w:val="20"/>
        </w:rPr>
        <w:t>Procedure.</w:t>
      </w:r>
    </w:p>
    <w:p>
      <w:pPr>
        <w:spacing w:before="0" w:after="60"/>
        <w:ind w:left="340"/>
      </w:pPr>
      <w:r>
        <w:rPr>
          <w:rFonts w:ascii="Calibri" w:hAnsi="Calibri"/>
          <w:b w:val="0"/>
          <w:i w:val="0"/>
          <w:sz w:val="20"/>
        </w:rPr>
        <w:t>•  An annual summary reports occupancy, outcomes, and quality activity.</w:t>
      </w:r>
    </w:p>
    <w:p>
      <w:pPr>
        <w:spacing w:before="0" w:after="60"/>
        <w:ind w:left="340"/>
      </w:pPr>
      <w:r>
        <w:rPr>
          <w:rFonts w:ascii="Calibri" w:hAnsi="Calibri"/>
          <w:b w:val="0"/>
          <w:i w:val="0"/>
          <w:sz w:val="20"/>
        </w:rPr>
        <w:t>•  It is shared with funders, partners, and, as appropriate, the community.</w:t>
      </w:r>
    </w:p>
    <w:p>
      <w:pPr>
        <w:spacing w:before="0" w:after="60"/>
        <w:ind w:left="340"/>
      </w:pPr>
      <w:r>
        <w:rPr>
          <w:rFonts w:ascii="Calibri" w:hAnsi="Calibri"/>
          <w:b w:val="0"/>
          <w:i w:val="0"/>
          <w:sz w:val="20"/>
        </w:rPr>
        <w:t>•  Claims are accurate and privacy-protecting.</w:t>
      </w:r>
    </w:p>
    <w:p>
      <w:pPr>
        <w:spacing w:before="0" w:after="60"/>
        <w:ind w:left="340"/>
      </w:pPr>
      <w:r>
        <w:rPr>
          <w:rFonts w:ascii="Calibri" w:hAnsi="Calibri"/>
          <w:b w:val="0"/>
          <w:i w:val="0"/>
          <w:sz w:val="20"/>
        </w:rPr>
        <w:t>•  The summary informs planning for the next year.</w:t>
      </w:r>
    </w:p>
    <w:p>
      <w:pPr>
        <w:spacing w:before="0" w:after="60"/>
        <w:ind w:left="340"/>
      </w:pPr>
      <w:r>
        <w:rPr>
          <w:rFonts w:ascii="Calibri" w:hAnsi="Calibri"/>
          <w:b w:val="0"/>
          <w:i w:val="0"/>
          <w:sz w:val="20"/>
        </w:rPr>
        <w:t>•  Funder-required reports are incorporated.</w:t>
      </w:r>
    </w:p>
    <w:p>
      <w:pPr>
        <w:spacing w:before="0" w:after="60"/>
        <w:ind w:left="340"/>
      </w:pPr>
      <w:r>
        <w:rPr>
          <w:rFonts w:ascii="Calibri" w:hAnsi="Calibri"/>
          <w:b w:val="0"/>
          <w:i w:val="0"/>
          <w:sz w:val="20"/>
        </w:rPr>
        <w:t>•  The report is archived.</w:t>
      </w:r>
    </w:p>
    <w:p>
      <w:pPr>
        <w:spacing w:before="260" w:after="90"/>
      </w:pPr>
      <w:r>
        <w:rPr>
          <w:rFonts w:ascii="Calibri" w:hAnsi="Calibri"/>
          <w:b/>
          <w:i w:val="0"/>
          <w:sz w:val="23"/>
        </w:rPr>
        <w:t>8.12  Governing Board or Advisory Oversight</w:t>
      </w:r>
    </w:p>
    <w:p>
      <w:pPr>
        <w:spacing w:before="0" w:after="80"/>
      </w:pPr>
      <w:r>
        <w:rPr>
          <w:rFonts w:ascii="Calibri" w:hAnsi="Calibri"/>
          <w:b w:val="0"/>
          <w:i/>
          <w:color w:val="555555"/>
          <w:sz w:val="19"/>
        </w:rPr>
        <w:t>NARR Standard; nonprofit governance</w:t>
      </w:r>
    </w:p>
    <w:p>
      <w:pPr>
        <w:spacing w:before="0" w:after="110"/>
      </w:pPr>
      <w:r>
        <w:rPr>
          <w:rFonts w:ascii="Calibri" w:hAnsi="Calibri"/>
          <w:b/>
          <w:i w:val="0"/>
          <w:sz w:val="20"/>
        </w:rPr>
        <w:t xml:space="preserve">Purpose. </w:t>
      </w:r>
      <w:r>
        <w:rPr>
          <w:rFonts w:ascii="Calibri" w:hAnsi="Calibri"/>
          <w:b w:val="0"/>
          <w:i w:val="0"/>
          <w:sz w:val="20"/>
        </w:rPr>
        <w:t>To provide appropriate governance oversight, especially for nonprofits.</w:t>
      </w:r>
    </w:p>
    <w:p>
      <w:pPr>
        <w:spacing w:before="0" w:after="110"/>
      </w:pPr>
      <w:r>
        <w:rPr>
          <w:rFonts w:ascii="Calibri" w:hAnsi="Calibri"/>
          <w:b/>
          <w:i w:val="0"/>
          <w:sz w:val="20"/>
        </w:rPr>
        <w:t xml:space="preserve">Policy. </w:t>
      </w:r>
      <w:r>
        <w:rPr>
          <w:rFonts w:ascii="Calibri" w:hAnsi="Calibri"/>
          <w:b w:val="0"/>
          <w:i w:val="0"/>
          <w:sz w:val="20"/>
        </w:rPr>
        <w:t>Nonprofit or larger operators maintain a governing board or advisory body that provides oversight, and all operators seek outside perspective on quality and ethics.</w:t>
      </w:r>
    </w:p>
    <w:p>
      <w:pPr>
        <w:spacing w:before="0" w:after="60"/>
      </w:pPr>
      <w:r>
        <w:rPr>
          <w:rFonts w:ascii="Calibri" w:hAnsi="Calibri"/>
          <w:b/>
          <w:i w:val="0"/>
          <w:sz w:val="20"/>
        </w:rPr>
        <w:t>Procedure.</w:t>
      </w:r>
    </w:p>
    <w:p>
      <w:pPr>
        <w:spacing w:before="0" w:after="60"/>
        <w:ind w:left="340"/>
      </w:pPr>
      <w:r>
        <w:rPr>
          <w:rFonts w:ascii="Calibri" w:hAnsi="Calibri"/>
          <w:b w:val="0"/>
          <w:i w:val="0"/>
          <w:sz w:val="20"/>
        </w:rPr>
        <w:t>•  Nonprofit operators maintain an active governing board as required.</w:t>
      </w:r>
    </w:p>
    <w:p>
      <w:pPr>
        <w:spacing w:before="0" w:after="60"/>
        <w:ind w:left="340"/>
      </w:pPr>
      <w:r>
        <w:rPr>
          <w:rFonts w:ascii="Calibri" w:hAnsi="Calibri"/>
          <w:b w:val="0"/>
          <w:i w:val="0"/>
          <w:sz w:val="20"/>
        </w:rPr>
        <w:t>•  The board or advisor reviews finances, quality, and major decisions.</w:t>
      </w:r>
    </w:p>
    <w:p>
      <w:pPr>
        <w:spacing w:before="0" w:after="60"/>
        <w:ind w:left="340"/>
      </w:pPr>
      <w:r>
        <w:rPr>
          <w:rFonts w:ascii="Calibri" w:hAnsi="Calibri"/>
          <w:b w:val="0"/>
          <w:i w:val="0"/>
          <w:sz w:val="20"/>
        </w:rPr>
        <w:t>•  Conflicts of interest at the governance level are managed.</w:t>
      </w:r>
    </w:p>
    <w:p>
      <w:pPr>
        <w:spacing w:before="0" w:after="60"/>
        <w:ind w:left="340"/>
      </w:pPr>
      <w:r>
        <w:rPr>
          <w:rFonts w:ascii="Calibri" w:hAnsi="Calibri"/>
          <w:b w:val="0"/>
          <w:i w:val="0"/>
          <w:sz w:val="20"/>
        </w:rPr>
        <w:t>•  Resident or alumni perspective informs governance where possible.</w:t>
      </w:r>
    </w:p>
    <w:p>
      <w:pPr>
        <w:spacing w:before="0" w:after="60"/>
        <w:ind w:left="340"/>
      </w:pPr>
      <w:r>
        <w:rPr>
          <w:rFonts w:ascii="Calibri" w:hAnsi="Calibri"/>
          <w:b w:val="0"/>
          <w:i w:val="0"/>
          <w:sz w:val="20"/>
        </w:rPr>
        <w:t>•  Governance actions are documented in minutes.</w:t>
      </w:r>
    </w:p>
    <w:p>
      <w:pPr>
        <w:spacing w:before="0" w:after="60"/>
        <w:ind w:left="340"/>
      </w:pPr>
      <w:r>
        <w:rPr>
          <w:rFonts w:ascii="Calibri" w:hAnsi="Calibri"/>
          <w:b w:val="0"/>
          <w:i w:val="0"/>
          <w:sz w:val="20"/>
        </w:rPr>
        <w:t>•  Board composition and terms are maintained.</w:t>
      </w:r>
    </w:p>
    <w:p>
      <w:pPr>
        <w:spacing w:before="260" w:after="90"/>
      </w:pPr>
      <w:r>
        <w:rPr>
          <w:rFonts w:ascii="Calibri" w:hAnsi="Calibri"/>
          <w:b/>
          <w:i w:val="0"/>
          <w:sz w:val="23"/>
        </w:rPr>
        <w:t>8.13  Continuous Certification Readiness &amp; Mock Review</w:t>
      </w:r>
    </w:p>
    <w:p>
      <w:pPr>
        <w:spacing w:before="0" w:after="80"/>
      </w:pPr>
      <w:r>
        <w:rPr>
          <w:rFonts w:ascii="Calibri" w:hAnsi="Calibri"/>
          <w:b w:val="0"/>
          <w:i/>
          <w:color w:val="555555"/>
          <w:sz w:val="19"/>
        </w:rPr>
        <w:t>NARR Standard — Administrative domain</w:t>
      </w:r>
    </w:p>
    <w:p>
      <w:pPr>
        <w:spacing w:before="0" w:after="110"/>
      </w:pPr>
      <w:r>
        <w:rPr>
          <w:rFonts w:ascii="Calibri" w:hAnsi="Calibri"/>
          <w:b/>
          <w:i w:val="0"/>
          <w:sz w:val="20"/>
        </w:rPr>
        <w:t xml:space="preserve">Purpose. </w:t>
      </w:r>
      <w:r>
        <w:rPr>
          <w:rFonts w:ascii="Calibri" w:hAnsi="Calibri"/>
          <w:b w:val="0"/>
          <w:i w:val="0"/>
          <w:sz w:val="20"/>
        </w:rPr>
        <w:t>To stay inspection-ready year-round rather than scrambling at renewal.</w:t>
      </w:r>
    </w:p>
    <w:p>
      <w:pPr>
        <w:spacing w:before="0" w:after="110"/>
      </w:pPr>
      <w:r>
        <w:rPr>
          <w:rFonts w:ascii="Calibri" w:hAnsi="Calibri"/>
          <w:b/>
          <w:i w:val="0"/>
          <w:sz w:val="20"/>
        </w:rPr>
        <w:t xml:space="preserve">Policy. </w:t>
      </w:r>
      <w:r>
        <w:rPr>
          <w:rFonts w:ascii="Calibri" w:hAnsi="Calibri"/>
          <w:b w:val="0"/>
          <w:i w:val="0"/>
          <w:sz w:val="20"/>
        </w:rPr>
        <w:t>The home treats certification standards as everyday operating practice and periodically runs a mock review to find and fix gaps before a real inspection.</w:t>
      </w:r>
    </w:p>
    <w:p>
      <w:pPr>
        <w:spacing w:before="0" w:after="60"/>
      </w:pPr>
      <w:r>
        <w:rPr>
          <w:rFonts w:ascii="Calibri" w:hAnsi="Calibri"/>
          <w:b/>
          <w:i w:val="0"/>
          <w:sz w:val="20"/>
        </w:rPr>
        <w:t>Procedure.</w:t>
      </w:r>
    </w:p>
    <w:p>
      <w:pPr>
        <w:spacing w:before="0" w:after="60"/>
        <w:ind w:left="340"/>
      </w:pPr>
      <w:r>
        <w:rPr>
          <w:rFonts w:ascii="Calibri" w:hAnsi="Calibri"/>
          <w:b w:val="0"/>
          <w:i w:val="0"/>
          <w:sz w:val="20"/>
        </w:rPr>
        <w:t>•  Standards are maintained continuously, not just before renewal (1.04, 8.07).</w:t>
      </w:r>
    </w:p>
    <w:p>
      <w:pPr>
        <w:spacing w:before="0" w:after="60"/>
        <w:ind w:left="340"/>
      </w:pPr>
      <w:r>
        <w:rPr>
          <w:rFonts w:ascii="Calibri" w:hAnsi="Calibri"/>
          <w:b w:val="0"/>
          <w:i w:val="0"/>
          <w:sz w:val="20"/>
        </w:rPr>
        <w:t>•  A periodic mock review walks the NARR domains as an inspector would.</w:t>
      </w:r>
    </w:p>
    <w:p>
      <w:pPr>
        <w:spacing w:before="0" w:after="60"/>
        <w:ind w:left="340"/>
      </w:pPr>
      <w:r>
        <w:rPr>
          <w:rFonts w:ascii="Calibri" w:hAnsi="Calibri"/>
          <w:b w:val="0"/>
          <w:i w:val="0"/>
          <w:sz w:val="20"/>
        </w:rPr>
        <w:t>•  Findings are logged with owners and correction dates.</w:t>
      </w:r>
    </w:p>
    <w:p>
      <w:pPr>
        <w:spacing w:before="0" w:after="60"/>
        <w:ind w:left="340"/>
      </w:pPr>
      <w:r>
        <w:rPr>
          <w:rFonts w:ascii="Calibri" w:hAnsi="Calibri"/>
          <w:b w:val="0"/>
          <w:i w:val="0"/>
          <w:sz w:val="20"/>
        </w:rPr>
        <w:t>•  Documentation is kept inspection-ready in the conformity file (1.13).</w:t>
      </w:r>
    </w:p>
    <w:p>
      <w:pPr>
        <w:spacing w:before="0" w:after="60"/>
        <w:ind w:left="340"/>
      </w:pPr>
      <w:r>
        <w:rPr>
          <w:rFonts w:ascii="Calibri" w:hAnsi="Calibri"/>
          <w:b w:val="0"/>
          <w:i w:val="0"/>
          <w:sz w:val="20"/>
        </w:rPr>
        <w:t>•  Residents and staff know what to expect during a review.</w:t>
      </w:r>
    </w:p>
    <w:p>
      <w:pPr>
        <w:spacing w:before="0" w:after="60"/>
        <w:ind w:left="340"/>
      </w:pPr>
      <w:r>
        <w:rPr>
          <w:rFonts w:ascii="Calibri" w:hAnsi="Calibri"/>
          <w:b w:val="0"/>
          <w:i w:val="0"/>
          <w:sz w:val="20"/>
        </w:rPr>
        <w:t>•  Mock-review results feed quality improvement and the annual review.</w:t>
      </w:r>
    </w:p>
    <w:p>
      <w:r>
        <w:br w:type="page"/>
      </w:r>
    </w:p>
    <w:p>
      <w:pPr>
        <w:spacing w:before="0" w:after="80"/>
      </w:pPr>
      <w:r>
        <w:rPr>
          <w:rFonts w:ascii="Calibri" w:hAnsi="Calibri"/>
          <w:b/>
          <w:i w:val="0"/>
          <w:sz w:val="26"/>
        </w:rPr>
        <w:t>Appendix A — Regulatory &amp; Standards Reference Map</w:t>
      </w:r>
    </w:p>
    <w:p>
      <w:pPr>
        <w:spacing w:before="0" w:after="160"/>
      </w:pPr>
      <w:r>
        <w:rPr>
          <w:rFonts w:ascii="Calibri" w:hAnsi="Calibri"/>
          <w:b w:val="0"/>
          <w:i/>
          <w:sz w:val="20"/>
        </w:rPr>
        <w:t>A quick map of the authorities this manual reflects. Florida certification is voluntary but referral-linked, so the map combines Florida's recovery-housing statutes with federal law and the NARR standard. Verify currency before relying on any entry.</w:t>
      </w:r>
    </w:p>
    <w:tbl>
      <w:tblPr>
        <w:tblStyle w:val="TableGrid"/>
        <w:tblW w:type="auto" w:w="0"/>
        <w:tblLayout w:type="fixed"/>
        <w:tblLook w:firstColumn="1" w:firstRow="1" w:lastColumn="0" w:lastRow="0" w:noHBand="0" w:noVBand="1" w:val="04A0"/>
      </w:tblPr>
      <w:tblGrid>
        <w:gridCol w:w="3009"/>
        <w:gridCol w:w="3009"/>
        <w:gridCol w:w="3009"/>
      </w:tblGrid>
      <w:tr>
        <w:tc>
          <w:tcPr>
            <w:tcW w:type="dxa" w:w="3288"/>
            <w:shd w:val="clear" w:color="auto" w:fill="E7ECF2"/>
          </w:tcPr>
          <w:p>
            <w:pPr>
              <w:spacing w:before="20" w:after="20"/>
            </w:pPr>
            <w:r/>
            <w:r>
              <w:rPr>
                <w:rFonts w:ascii="Calibri" w:hAnsi="Calibri"/>
                <w:b/>
                <w:i w:val="0"/>
                <w:sz w:val="18"/>
              </w:rPr>
              <w:t>Authority</w:t>
            </w:r>
          </w:p>
        </w:tc>
        <w:tc>
          <w:tcPr>
            <w:tcW w:type="dxa" w:w="4082"/>
            <w:shd w:val="clear" w:color="auto" w:fill="E7ECF2"/>
          </w:tcPr>
          <w:p>
            <w:pPr>
              <w:spacing w:before="20" w:after="20"/>
            </w:pPr>
            <w:r/>
            <w:r>
              <w:rPr>
                <w:rFonts w:ascii="Calibri" w:hAnsi="Calibri"/>
                <w:b/>
                <w:i w:val="0"/>
                <w:sz w:val="18"/>
              </w:rPr>
              <w:t>What it governs</w:t>
            </w:r>
          </w:p>
        </w:tc>
        <w:tc>
          <w:tcPr>
            <w:tcW w:type="dxa" w:w="2268"/>
            <w:shd w:val="clear" w:color="auto" w:fill="E7ECF2"/>
          </w:tcPr>
          <w:p>
            <w:pPr>
              <w:spacing w:before="20" w:after="20"/>
            </w:pPr>
            <w:r/>
            <w:r>
              <w:rPr>
                <w:rFonts w:ascii="Calibri" w:hAnsi="Calibri"/>
                <w:b/>
                <w:i w:val="0"/>
                <w:sz w:val="18"/>
              </w:rPr>
              <w:t>Where it appears</w:t>
            </w:r>
          </w:p>
        </w:tc>
      </w:tr>
      <w:tr>
        <w:tc>
          <w:tcPr>
            <w:tcW w:type="dxa" w:w="3288"/>
          </w:tcPr>
          <w:p>
            <w:pPr>
              <w:spacing w:before="20" w:after="20"/>
            </w:pPr>
            <w:r/>
            <w:r>
              <w:rPr>
                <w:rFonts w:ascii="Calibri" w:hAnsi="Calibri"/>
                <w:b w:val="0"/>
                <w:i w:val="0"/>
                <w:sz w:val="18"/>
              </w:rPr>
              <w:t>F.S. 397.487 — Certification</w:t>
            </w:r>
          </w:p>
        </w:tc>
        <w:tc>
          <w:tcPr>
            <w:tcW w:type="dxa" w:w="4082"/>
          </w:tcPr>
          <w:p>
            <w:pPr>
              <w:spacing w:before="20" w:after="20"/>
            </w:pPr>
            <w:r/>
            <w:r>
              <w:rPr>
                <w:rFonts w:ascii="Calibri" w:hAnsi="Calibri"/>
                <w:b w:val="0"/>
                <w:i w:val="0"/>
                <w:sz w:val="18"/>
              </w:rPr>
              <w:t>Voluntary FARR certification; required policies</w:t>
            </w:r>
          </w:p>
        </w:tc>
        <w:tc>
          <w:tcPr>
            <w:tcW w:type="dxa" w:w="2268"/>
          </w:tcPr>
          <w:p>
            <w:pPr>
              <w:spacing w:before="20" w:after="20"/>
            </w:pPr>
            <w:r/>
            <w:r>
              <w:rPr>
                <w:rFonts w:ascii="Calibri" w:hAnsi="Calibri"/>
                <w:b w:val="0"/>
                <w:i w:val="0"/>
                <w:sz w:val="18"/>
              </w:rPr>
              <w:t>1.04, 1.11</w:t>
            </w:r>
          </w:p>
        </w:tc>
      </w:tr>
      <w:tr>
        <w:tc>
          <w:tcPr>
            <w:tcW w:type="dxa" w:w="3288"/>
          </w:tcPr>
          <w:p>
            <w:pPr>
              <w:spacing w:before="20" w:after="20"/>
            </w:pPr>
            <w:r/>
            <w:r>
              <w:rPr>
                <w:rFonts w:ascii="Calibri" w:hAnsi="Calibri"/>
                <w:b w:val="0"/>
                <w:i w:val="0"/>
                <w:sz w:val="18"/>
              </w:rPr>
              <w:t>F.S. 397.4871 — Administrator</w:t>
            </w:r>
          </w:p>
        </w:tc>
        <w:tc>
          <w:tcPr>
            <w:tcW w:type="dxa" w:w="4082"/>
          </w:tcPr>
          <w:p>
            <w:pPr>
              <w:spacing w:before="20" w:after="20"/>
            </w:pPr>
            <w:r/>
            <w:r>
              <w:rPr>
                <w:rFonts w:ascii="Calibri" w:hAnsi="Calibri"/>
                <w:b w:val="0"/>
                <w:i w:val="0"/>
                <w:sz w:val="18"/>
              </w:rPr>
              <w:t>Certified Recovery Residence Administrator (CRRA)</w:t>
            </w:r>
          </w:p>
        </w:tc>
        <w:tc>
          <w:tcPr>
            <w:tcW w:type="dxa" w:w="2268"/>
          </w:tcPr>
          <w:p>
            <w:pPr>
              <w:spacing w:before="20" w:after="20"/>
            </w:pPr>
            <w:r/>
            <w:r>
              <w:rPr>
                <w:rFonts w:ascii="Calibri" w:hAnsi="Calibri"/>
                <w:b w:val="0"/>
                <w:i w:val="0"/>
                <w:sz w:val="18"/>
              </w:rPr>
              <w:t>1.05</w:t>
            </w:r>
          </w:p>
        </w:tc>
      </w:tr>
      <w:tr>
        <w:tc>
          <w:tcPr>
            <w:tcW w:type="dxa" w:w="3288"/>
          </w:tcPr>
          <w:p>
            <w:pPr>
              <w:spacing w:before="20" w:after="20"/>
            </w:pPr>
            <w:r/>
            <w:r>
              <w:rPr>
                <w:rFonts w:ascii="Calibri" w:hAnsi="Calibri"/>
                <w:b w:val="0"/>
                <w:i w:val="0"/>
                <w:sz w:val="18"/>
              </w:rPr>
              <w:t>F.S. 397.4873 — Referral restriction</w:t>
            </w:r>
          </w:p>
        </w:tc>
        <w:tc>
          <w:tcPr>
            <w:tcW w:type="dxa" w:w="4082"/>
          </w:tcPr>
          <w:p>
            <w:pPr>
              <w:spacing w:before="20" w:after="20"/>
            </w:pPr>
            <w:r/>
            <w:r>
              <w:rPr>
                <w:rFonts w:ascii="Calibri" w:hAnsi="Calibri"/>
                <w:b w:val="0"/>
                <w:i w:val="0"/>
                <w:sz w:val="18"/>
              </w:rPr>
              <w:t>Licensed-provider referrals only to certified homes</w:t>
            </w:r>
          </w:p>
        </w:tc>
        <w:tc>
          <w:tcPr>
            <w:tcW w:type="dxa" w:w="2268"/>
          </w:tcPr>
          <w:p>
            <w:pPr>
              <w:spacing w:before="20" w:after="20"/>
            </w:pPr>
            <w:r/>
            <w:r>
              <w:rPr>
                <w:rFonts w:ascii="Calibri" w:hAnsi="Calibri"/>
                <w:b w:val="0"/>
                <w:i w:val="0"/>
                <w:sz w:val="18"/>
              </w:rPr>
              <w:t>1.06, 7.03</w:t>
            </w:r>
          </w:p>
        </w:tc>
      </w:tr>
      <w:tr>
        <w:tc>
          <w:tcPr>
            <w:tcW w:type="dxa" w:w="3288"/>
          </w:tcPr>
          <w:p>
            <w:pPr>
              <w:spacing w:before="20" w:after="20"/>
            </w:pPr>
            <w:r/>
            <w:r>
              <w:rPr>
                <w:rFonts w:ascii="Calibri" w:hAnsi="Calibri"/>
                <w:b w:val="0"/>
                <w:i w:val="0"/>
                <w:sz w:val="18"/>
              </w:rPr>
              <w:t>F.S. 817.505 — Patient Brokering Act</w:t>
            </w:r>
          </w:p>
        </w:tc>
        <w:tc>
          <w:tcPr>
            <w:tcW w:type="dxa" w:w="4082"/>
          </w:tcPr>
          <w:p>
            <w:pPr>
              <w:spacing w:before="20" w:after="20"/>
            </w:pPr>
            <w:r/>
            <w:r>
              <w:rPr>
                <w:rFonts w:ascii="Calibri" w:hAnsi="Calibri"/>
                <w:b w:val="0"/>
                <w:i w:val="0"/>
                <w:sz w:val="18"/>
              </w:rPr>
              <w:t>Kickbacks/commissions for referrals (felony)</w:t>
            </w:r>
          </w:p>
        </w:tc>
        <w:tc>
          <w:tcPr>
            <w:tcW w:type="dxa" w:w="2268"/>
          </w:tcPr>
          <w:p>
            <w:pPr>
              <w:spacing w:before="20" w:after="20"/>
            </w:pPr>
            <w:r/>
            <w:r>
              <w:rPr>
                <w:rFonts w:ascii="Calibri" w:hAnsi="Calibri"/>
                <w:b w:val="0"/>
                <w:i w:val="0"/>
                <w:sz w:val="18"/>
              </w:rPr>
              <w:t>2.09, 7.03, 7.04</w:t>
            </w:r>
          </w:p>
        </w:tc>
      </w:tr>
      <w:tr>
        <w:tc>
          <w:tcPr>
            <w:tcW w:type="dxa" w:w="3288"/>
          </w:tcPr>
          <w:p>
            <w:pPr>
              <w:spacing w:before="20" w:after="20"/>
            </w:pPr>
            <w:r/>
            <w:r>
              <w:rPr>
                <w:rFonts w:ascii="Calibri" w:hAnsi="Calibri"/>
                <w:b w:val="0"/>
                <w:i w:val="0"/>
                <w:sz w:val="18"/>
              </w:rPr>
              <w:t>Chapter 435 — Level 2 screening</w:t>
            </w:r>
          </w:p>
        </w:tc>
        <w:tc>
          <w:tcPr>
            <w:tcW w:type="dxa" w:w="4082"/>
          </w:tcPr>
          <w:p>
            <w:pPr>
              <w:spacing w:before="20" w:after="20"/>
            </w:pPr>
            <w:r/>
            <w:r>
              <w:rPr>
                <w:rFonts w:ascii="Calibri" w:hAnsi="Calibri"/>
                <w:b w:val="0"/>
                <w:i w:val="0"/>
                <w:sz w:val="18"/>
              </w:rPr>
              <w:t>Fingerprint background screening</w:t>
            </w:r>
          </w:p>
        </w:tc>
        <w:tc>
          <w:tcPr>
            <w:tcW w:type="dxa" w:w="2268"/>
          </w:tcPr>
          <w:p>
            <w:pPr>
              <w:spacing w:before="20" w:after="20"/>
            </w:pPr>
            <w:r/>
            <w:r>
              <w:rPr>
                <w:rFonts w:ascii="Calibri" w:hAnsi="Calibri"/>
                <w:b w:val="0"/>
                <w:i w:val="0"/>
                <w:sz w:val="18"/>
              </w:rPr>
              <w:t>1.04, 5.03</w:t>
            </w:r>
          </w:p>
        </w:tc>
      </w:tr>
      <w:tr>
        <w:tc>
          <w:tcPr>
            <w:tcW w:type="dxa" w:w="3288"/>
          </w:tcPr>
          <w:p>
            <w:pPr>
              <w:spacing w:before="20" w:after="20"/>
            </w:pPr>
            <w:r/>
            <w:r>
              <w:rPr>
                <w:rFonts w:ascii="Calibri" w:hAnsi="Calibri"/>
                <w:b w:val="0"/>
                <w:i w:val="0"/>
                <w:sz w:val="18"/>
              </w:rPr>
              <w:t>NARR Standard (via FARR)</w:t>
            </w:r>
          </w:p>
        </w:tc>
        <w:tc>
          <w:tcPr>
            <w:tcW w:type="dxa" w:w="4082"/>
          </w:tcPr>
          <w:p>
            <w:pPr>
              <w:spacing w:before="20" w:after="20"/>
            </w:pPr>
            <w:r/>
            <w:r>
              <w:rPr>
                <w:rFonts w:ascii="Calibri" w:hAnsi="Calibri"/>
                <w:b w:val="0"/>
                <w:i w:val="0"/>
                <w:sz w:val="18"/>
              </w:rPr>
              <w:t>Recovery-residence quality, ethics, levels</w:t>
            </w:r>
          </w:p>
        </w:tc>
        <w:tc>
          <w:tcPr>
            <w:tcW w:type="dxa" w:w="2268"/>
          </w:tcPr>
          <w:p>
            <w:pPr>
              <w:spacing w:before="20" w:after="20"/>
            </w:pPr>
            <w:r/>
            <w:r>
              <w:rPr>
                <w:rFonts w:ascii="Calibri" w:hAnsi="Calibri"/>
                <w:b w:val="0"/>
                <w:i w:val="0"/>
                <w:sz w:val="18"/>
              </w:rPr>
              <w:t>1.04–1.07, throughout</w:t>
            </w:r>
          </w:p>
        </w:tc>
      </w:tr>
      <w:tr>
        <w:tc>
          <w:tcPr>
            <w:tcW w:type="dxa" w:w="3288"/>
          </w:tcPr>
          <w:p>
            <w:pPr>
              <w:spacing w:before="20" w:after="20"/>
            </w:pPr>
            <w:r/>
            <w:r>
              <w:rPr>
                <w:rFonts w:ascii="Calibri" w:hAnsi="Calibri"/>
                <w:b w:val="0"/>
                <w:i w:val="0"/>
                <w:sz w:val="18"/>
              </w:rPr>
              <w:t>NARR Code of Ethics</w:t>
            </w:r>
          </w:p>
        </w:tc>
        <w:tc>
          <w:tcPr>
            <w:tcW w:type="dxa" w:w="4082"/>
          </w:tcPr>
          <w:p>
            <w:pPr>
              <w:spacing w:before="20" w:after="20"/>
            </w:pPr>
            <w:r/>
            <w:r>
              <w:rPr>
                <w:rFonts w:ascii="Calibri" w:hAnsi="Calibri"/>
                <w:b w:val="0"/>
                <w:i w:val="0"/>
                <w:sz w:val="18"/>
              </w:rPr>
              <w:t>Ethical conduct of operators and staff</w:t>
            </w:r>
          </w:p>
        </w:tc>
        <w:tc>
          <w:tcPr>
            <w:tcW w:type="dxa" w:w="2268"/>
          </w:tcPr>
          <w:p>
            <w:pPr>
              <w:spacing w:before="20" w:after="20"/>
            </w:pPr>
            <w:r/>
            <w:r>
              <w:rPr>
                <w:rFonts w:ascii="Calibri" w:hAnsi="Calibri"/>
                <w:b w:val="0"/>
                <w:i w:val="0"/>
                <w:sz w:val="18"/>
              </w:rPr>
              <w:t>1.10, 2.09, 2.10, 5.04</w:t>
            </w:r>
          </w:p>
        </w:tc>
      </w:tr>
      <w:tr>
        <w:tc>
          <w:tcPr>
            <w:tcW w:type="dxa" w:w="3288"/>
          </w:tcPr>
          <w:p>
            <w:pPr>
              <w:spacing w:before="20" w:after="20"/>
            </w:pPr>
            <w:r/>
            <w:r>
              <w:rPr>
                <w:rFonts w:ascii="Calibri" w:hAnsi="Calibri"/>
                <w:b w:val="0"/>
                <w:i w:val="0"/>
                <w:sz w:val="18"/>
              </w:rPr>
              <w:t>Fair Housing Act (42 U.S.C. § 3601+)</w:t>
            </w:r>
          </w:p>
        </w:tc>
        <w:tc>
          <w:tcPr>
            <w:tcW w:type="dxa" w:w="4082"/>
          </w:tcPr>
          <w:p>
            <w:pPr>
              <w:spacing w:before="20" w:after="20"/>
            </w:pPr>
            <w:r/>
            <w:r>
              <w:rPr>
                <w:rFonts w:ascii="Calibri" w:hAnsi="Calibri"/>
                <w:b w:val="0"/>
                <w:i w:val="0"/>
                <w:sz w:val="18"/>
              </w:rPr>
              <w:t>Disability protection, accommodations, zoning</w:t>
            </w:r>
          </w:p>
        </w:tc>
        <w:tc>
          <w:tcPr>
            <w:tcW w:type="dxa" w:w="2268"/>
          </w:tcPr>
          <w:p>
            <w:pPr>
              <w:spacing w:before="20" w:after="20"/>
            </w:pPr>
            <w:r/>
            <w:r>
              <w:rPr>
                <w:rFonts w:ascii="Calibri" w:hAnsi="Calibri"/>
                <w:b w:val="0"/>
                <w:i w:val="0"/>
                <w:sz w:val="18"/>
              </w:rPr>
              <w:t>1.08, 2.01–2.04, 2.14</w:t>
            </w:r>
          </w:p>
        </w:tc>
      </w:tr>
      <w:tr>
        <w:tc>
          <w:tcPr>
            <w:tcW w:type="dxa" w:w="3288"/>
          </w:tcPr>
          <w:p>
            <w:pPr>
              <w:spacing w:before="20" w:after="20"/>
            </w:pPr>
            <w:r/>
            <w:r>
              <w:rPr>
                <w:rFonts w:ascii="Calibri" w:hAnsi="Calibri"/>
                <w:b w:val="0"/>
                <w:i w:val="0"/>
                <w:sz w:val="18"/>
              </w:rPr>
              <w:t>Americans with Disabilities Act</w:t>
            </w:r>
          </w:p>
        </w:tc>
        <w:tc>
          <w:tcPr>
            <w:tcW w:type="dxa" w:w="4082"/>
          </w:tcPr>
          <w:p>
            <w:pPr>
              <w:spacing w:before="20" w:after="20"/>
            </w:pPr>
            <w:r/>
            <w:r>
              <w:rPr>
                <w:rFonts w:ascii="Calibri" w:hAnsi="Calibri"/>
                <w:b w:val="0"/>
                <w:i w:val="0"/>
                <w:sz w:val="18"/>
              </w:rPr>
              <w:t>MAT protection, effective communication, animals</w:t>
            </w:r>
          </w:p>
        </w:tc>
        <w:tc>
          <w:tcPr>
            <w:tcW w:type="dxa" w:w="2268"/>
          </w:tcPr>
          <w:p>
            <w:pPr>
              <w:spacing w:before="20" w:after="20"/>
            </w:pPr>
            <w:r/>
            <w:r>
              <w:rPr>
                <w:rFonts w:ascii="Calibri" w:hAnsi="Calibri"/>
                <w:b w:val="0"/>
                <w:i w:val="0"/>
                <w:sz w:val="18"/>
              </w:rPr>
              <w:t>2.03, 2.13, 2.14</w:t>
            </w:r>
          </w:p>
        </w:tc>
      </w:tr>
      <w:tr>
        <w:tc>
          <w:tcPr>
            <w:tcW w:type="dxa" w:w="3288"/>
          </w:tcPr>
          <w:p>
            <w:pPr>
              <w:spacing w:before="20" w:after="20"/>
            </w:pPr>
            <w:r/>
            <w:r>
              <w:rPr>
                <w:rFonts w:ascii="Calibri" w:hAnsi="Calibri"/>
                <w:b w:val="0"/>
                <w:i w:val="0"/>
                <w:sz w:val="18"/>
              </w:rPr>
              <w:t>Florida Fair Housing Act (F.S. 760.23)</w:t>
            </w:r>
          </w:p>
        </w:tc>
        <w:tc>
          <w:tcPr>
            <w:tcW w:type="dxa" w:w="4082"/>
          </w:tcPr>
          <w:p>
            <w:pPr>
              <w:spacing w:before="20" w:after="20"/>
            </w:pPr>
            <w:r/>
            <w:r>
              <w:rPr>
                <w:rFonts w:ascii="Calibri" w:hAnsi="Calibri"/>
                <w:b w:val="0"/>
                <w:i w:val="0"/>
                <w:sz w:val="18"/>
              </w:rPr>
              <w:t>State anti-discrimination</w:t>
            </w:r>
          </w:p>
        </w:tc>
        <w:tc>
          <w:tcPr>
            <w:tcW w:type="dxa" w:w="2268"/>
          </w:tcPr>
          <w:p>
            <w:pPr>
              <w:spacing w:before="20" w:after="20"/>
            </w:pPr>
            <w:r/>
            <w:r>
              <w:rPr>
                <w:rFonts w:ascii="Calibri" w:hAnsi="Calibri"/>
                <w:b w:val="0"/>
                <w:i w:val="0"/>
                <w:sz w:val="18"/>
              </w:rPr>
              <w:t>2.02</w:t>
            </w:r>
          </w:p>
        </w:tc>
      </w:tr>
      <w:tr>
        <w:tc>
          <w:tcPr>
            <w:tcW w:type="dxa" w:w="3288"/>
          </w:tcPr>
          <w:p>
            <w:pPr>
              <w:spacing w:before="20" w:after="20"/>
            </w:pPr>
            <w:r/>
            <w:r>
              <w:rPr>
                <w:rFonts w:ascii="Calibri" w:hAnsi="Calibri"/>
                <w:b w:val="0"/>
                <w:i w:val="0"/>
                <w:sz w:val="18"/>
              </w:rPr>
              <w:t>EKRA (18 U.S.C. § 220)</w:t>
            </w:r>
          </w:p>
        </w:tc>
        <w:tc>
          <w:tcPr>
            <w:tcW w:type="dxa" w:w="4082"/>
          </w:tcPr>
          <w:p>
            <w:pPr>
              <w:spacing w:before="20" w:after="20"/>
            </w:pPr>
            <w:r/>
            <w:r>
              <w:rPr>
                <w:rFonts w:ascii="Calibri" w:hAnsi="Calibri"/>
                <w:b w:val="0"/>
                <w:i w:val="0"/>
                <w:sz w:val="18"/>
              </w:rPr>
              <w:t>Federal anti-kickback for recovery homes/labs</w:t>
            </w:r>
          </w:p>
        </w:tc>
        <w:tc>
          <w:tcPr>
            <w:tcW w:type="dxa" w:w="2268"/>
          </w:tcPr>
          <w:p>
            <w:pPr>
              <w:spacing w:before="20" w:after="20"/>
            </w:pPr>
            <w:r/>
            <w:r>
              <w:rPr>
                <w:rFonts w:ascii="Calibri" w:hAnsi="Calibri"/>
                <w:b w:val="0"/>
                <w:i w:val="0"/>
                <w:sz w:val="18"/>
              </w:rPr>
              <w:t>2.09, 7.03, 7.13</w:t>
            </w:r>
          </w:p>
        </w:tc>
      </w:tr>
      <w:tr>
        <w:tc>
          <w:tcPr>
            <w:tcW w:type="dxa" w:w="3288"/>
          </w:tcPr>
          <w:p>
            <w:pPr>
              <w:spacing w:before="20" w:after="20"/>
            </w:pPr>
            <w:r/>
            <w:r>
              <w:rPr>
                <w:rFonts w:ascii="Calibri" w:hAnsi="Calibri"/>
                <w:b w:val="0"/>
                <w:i w:val="0"/>
                <w:sz w:val="18"/>
              </w:rPr>
              <w:t>Florida Residential Landlord &amp; Tenant Act (F.S. 83 Pt II)</w:t>
            </w:r>
          </w:p>
        </w:tc>
        <w:tc>
          <w:tcPr>
            <w:tcW w:type="dxa" w:w="4082"/>
          </w:tcPr>
          <w:p>
            <w:pPr>
              <w:spacing w:before="20" w:after="20"/>
            </w:pPr>
            <w:r/>
            <w:r>
              <w:rPr>
                <w:rFonts w:ascii="Calibri" w:hAnsi="Calibri"/>
                <w:b w:val="0"/>
                <w:i w:val="0"/>
                <w:sz w:val="18"/>
              </w:rPr>
              <w:t>Landlord-tenant boundary</w:t>
            </w:r>
          </w:p>
        </w:tc>
        <w:tc>
          <w:tcPr>
            <w:tcW w:type="dxa" w:w="2268"/>
          </w:tcPr>
          <w:p>
            <w:pPr>
              <w:spacing w:before="20" w:after="20"/>
            </w:pPr>
            <w:r/>
            <w:r>
              <w:rPr>
                <w:rFonts w:ascii="Calibri" w:hAnsi="Calibri"/>
                <w:b w:val="0"/>
                <w:i w:val="0"/>
                <w:sz w:val="18"/>
              </w:rPr>
              <w:t>3.11, 6.09</w:t>
            </w:r>
          </w:p>
        </w:tc>
      </w:tr>
      <w:tr>
        <w:tc>
          <w:tcPr>
            <w:tcW w:type="dxa" w:w="3288"/>
          </w:tcPr>
          <w:p>
            <w:pPr>
              <w:spacing w:before="20" w:after="20"/>
            </w:pPr>
            <w:r/>
            <w:r>
              <w:rPr>
                <w:rFonts w:ascii="Calibri" w:hAnsi="Calibri"/>
                <w:b w:val="0"/>
                <w:i w:val="0"/>
                <w:sz w:val="18"/>
              </w:rPr>
              <w:t>42 CFR Part 2 / HIPAA (boundary)</w:t>
            </w:r>
          </w:p>
        </w:tc>
        <w:tc>
          <w:tcPr>
            <w:tcW w:type="dxa" w:w="4082"/>
          </w:tcPr>
          <w:p>
            <w:pPr>
              <w:spacing w:before="20" w:after="20"/>
            </w:pPr>
            <w:r/>
            <w:r>
              <w:rPr>
                <w:rFonts w:ascii="Calibri" w:hAnsi="Calibri"/>
                <w:b w:val="0"/>
                <w:i w:val="0"/>
                <w:sz w:val="18"/>
              </w:rPr>
              <w:t>Substance-use / health record confidentiality</w:t>
            </w:r>
          </w:p>
        </w:tc>
        <w:tc>
          <w:tcPr>
            <w:tcW w:type="dxa" w:w="2268"/>
          </w:tcPr>
          <w:p>
            <w:pPr>
              <w:spacing w:before="20" w:after="20"/>
            </w:pPr>
            <w:r/>
            <w:r>
              <w:rPr>
                <w:rFonts w:ascii="Calibri" w:hAnsi="Calibri"/>
                <w:b w:val="0"/>
                <w:i w:val="0"/>
                <w:sz w:val="18"/>
              </w:rPr>
              <w:t>2.06, 7.06</w:t>
            </w:r>
          </w:p>
        </w:tc>
      </w:tr>
      <w:tr>
        <w:tc>
          <w:tcPr>
            <w:tcW w:type="dxa" w:w="3288"/>
          </w:tcPr>
          <w:p>
            <w:pPr>
              <w:spacing w:before="20" w:after="20"/>
            </w:pPr>
            <w:r/>
            <w:r>
              <w:rPr>
                <w:rFonts w:ascii="Calibri" w:hAnsi="Calibri"/>
                <w:b w:val="0"/>
                <w:i w:val="0"/>
                <w:sz w:val="18"/>
              </w:rPr>
              <w:t>911 Good Samaritan Act (F.S. 893.21)</w:t>
            </w:r>
          </w:p>
        </w:tc>
        <w:tc>
          <w:tcPr>
            <w:tcW w:type="dxa" w:w="4082"/>
          </w:tcPr>
          <w:p>
            <w:pPr>
              <w:spacing w:before="20" w:after="20"/>
            </w:pPr>
            <w:r/>
            <w:r>
              <w:rPr>
                <w:rFonts w:ascii="Calibri" w:hAnsi="Calibri"/>
                <w:b w:val="0"/>
                <w:i w:val="0"/>
                <w:sz w:val="18"/>
              </w:rPr>
              <w:t>Overdose help protection &amp; response</w:t>
            </w:r>
          </w:p>
        </w:tc>
        <w:tc>
          <w:tcPr>
            <w:tcW w:type="dxa" w:w="2268"/>
          </w:tcPr>
          <w:p>
            <w:pPr>
              <w:spacing w:before="20" w:after="20"/>
            </w:pPr>
            <w:r/>
            <w:r>
              <w:rPr>
                <w:rFonts w:ascii="Calibri" w:hAnsi="Calibri"/>
                <w:b w:val="0"/>
                <w:i w:val="0"/>
                <w:sz w:val="18"/>
              </w:rPr>
              <w:t>3.10, 5.06, 6.03</w:t>
            </w:r>
          </w:p>
        </w:tc>
      </w:tr>
      <w:tr>
        <w:tc>
          <w:tcPr>
            <w:tcW w:type="dxa" w:w="3288"/>
          </w:tcPr>
          <w:p>
            <w:pPr>
              <w:spacing w:before="20" w:after="20"/>
            </w:pPr>
            <w:r/>
            <w:r>
              <w:rPr>
                <w:rFonts w:ascii="Calibri" w:hAnsi="Calibri"/>
                <w:b w:val="0"/>
                <w:i w:val="0"/>
                <w:sz w:val="18"/>
              </w:rPr>
              <w:t>Florida APS (F.S. 415); child abuse (F.S. 39.201)</w:t>
            </w:r>
          </w:p>
        </w:tc>
        <w:tc>
          <w:tcPr>
            <w:tcW w:type="dxa" w:w="4082"/>
          </w:tcPr>
          <w:p>
            <w:pPr>
              <w:spacing w:before="20" w:after="20"/>
            </w:pPr>
            <w:r/>
            <w:r>
              <w:rPr>
                <w:rFonts w:ascii="Calibri" w:hAnsi="Calibri"/>
                <w:b w:val="0"/>
                <w:i w:val="0"/>
                <w:sz w:val="18"/>
              </w:rPr>
              <w:t>Mandatory abuse reporting</w:t>
            </w:r>
          </w:p>
        </w:tc>
        <w:tc>
          <w:tcPr>
            <w:tcW w:type="dxa" w:w="2268"/>
          </w:tcPr>
          <w:p>
            <w:pPr>
              <w:spacing w:before="20" w:after="20"/>
            </w:pPr>
            <w:r/>
            <w:r>
              <w:rPr>
                <w:rFonts w:ascii="Calibri" w:hAnsi="Calibri"/>
                <w:b w:val="0"/>
                <w:i w:val="0"/>
                <w:sz w:val="18"/>
              </w:rPr>
              <w:t>7.11</w:t>
            </w:r>
          </w:p>
        </w:tc>
      </w:tr>
      <w:tr>
        <w:tc>
          <w:tcPr>
            <w:tcW w:type="dxa" w:w="3288"/>
          </w:tcPr>
          <w:p>
            <w:pPr>
              <w:spacing w:before="20" w:after="20"/>
            </w:pPr>
            <w:r/>
            <w:r>
              <w:rPr>
                <w:rFonts w:ascii="Calibri" w:hAnsi="Calibri"/>
                <w:b w:val="0"/>
                <w:i w:val="0"/>
                <w:sz w:val="18"/>
              </w:rPr>
              <w:t>DCF Chapter 397 licensure</w:t>
            </w:r>
          </w:p>
        </w:tc>
        <w:tc>
          <w:tcPr>
            <w:tcW w:type="dxa" w:w="4082"/>
          </w:tcPr>
          <w:p>
            <w:pPr>
              <w:spacing w:before="20" w:after="20"/>
            </w:pPr>
            <w:r/>
            <w:r>
              <w:rPr>
                <w:rFonts w:ascii="Calibri" w:hAnsi="Calibri"/>
                <w:b w:val="0"/>
                <w:i w:val="0"/>
                <w:sz w:val="18"/>
              </w:rPr>
              <w:t>Boundary with clinical treatment</w:t>
            </w:r>
          </w:p>
        </w:tc>
        <w:tc>
          <w:tcPr>
            <w:tcW w:type="dxa" w:w="2268"/>
          </w:tcPr>
          <w:p>
            <w:pPr>
              <w:spacing w:before="20" w:after="20"/>
            </w:pPr>
            <w:r/>
            <w:r>
              <w:rPr>
                <w:rFonts w:ascii="Calibri" w:hAnsi="Calibri"/>
                <w:b w:val="0"/>
                <w:i w:val="0"/>
                <w:sz w:val="18"/>
              </w:rPr>
              <w:t>1.03, 1.05</w:t>
            </w:r>
          </w:p>
        </w:tc>
      </w:tr>
    </w:tbl>
    <w:p/>
    <w:p>
      <w:r>
        <w:br w:type="page"/>
      </w:r>
    </w:p>
    <w:p>
      <w:pPr>
        <w:spacing w:before="0" w:after="80"/>
      </w:pPr>
      <w:r>
        <w:rPr>
          <w:rFonts w:ascii="Calibri" w:hAnsi="Calibri"/>
          <w:b/>
          <w:i w:val="0"/>
          <w:sz w:val="26"/>
        </w:rPr>
        <w:t>Appendix B — Records &amp; Retention Quick-Reference</w:t>
      </w:r>
    </w:p>
    <w:p>
      <w:pPr>
        <w:spacing w:before="0" w:after="160"/>
      </w:pPr>
      <w:r>
        <w:rPr>
          <w:rFonts w:ascii="Calibri" w:hAnsi="Calibri"/>
          <w:b w:val="0"/>
          <w:i/>
          <w:sz w:val="20"/>
        </w:rPr>
        <w:t>The core records this manual expects the home to keep. Retention periods are common defaults; confirm any longer period required by DCF, FARR, a grantor, insurer, or counsel.</w:t>
      </w:r>
    </w:p>
    <w:tbl>
      <w:tblPr>
        <w:tblStyle w:val="TableGrid"/>
        <w:tblW w:type="auto" w:w="0"/>
        <w:tblLayout w:type="fixed"/>
        <w:tblLook w:firstColumn="1" w:firstRow="1" w:lastColumn="0" w:lastRow="0" w:noHBand="0" w:noVBand="1" w:val="04A0"/>
      </w:tblPr>
      <w:tblGrid>
        <w:gridCol w:w="3009"/>
        <w:gridCol w:w="3009"/>
        <w:gridCol w:w="3009"/>
      </w:tblGrid>
      <w:tr>
        <w:tc>
          <w:tcPr>
            <w:tcW w:type="dxa" w:w="4422"/>
            <w:shd w:val="clear" w:color="auto" w:fill="E7ECF2"/>
          </w:tcPr>
          <w:p>
            <w:pPr>
              <w:spacing w:before="20" w:after="20"/>
            </w:pPr>
            <w:r/>
            <w:r>
              <w:rPr>
                <w:rFonts w:ascii="Calibri" w:hAnsi="Calibri"/>
                <w:b/>
                <w:i w:val="0"/>
                <w:sz w:val="18"/>
              </w:rPr>
              <w:t>Record</w:t>
            </w:r>
          </w:p>
        </w:tc>
        <w:tc>
          <w:tcPr>
            <w:tcW w:type="dxa" w:w="2381"/>
            <w:shd w:val="clear" w:color="auto" w:fill="E7ECF2"/>
          </w:tcPr>
          <w:p>
            <w:pPr>
              <w:spacing w:before="20" w:after="20"/>
            </w:pPr>
            <w:r/>
            <w:r>
              <w:rPr>
                <w:rFonts w:ascii="Calibri" w:hAnsi="Calibri"/>
                <w:b/>
                <w:i w:val="0"/>
                <w:sz w:val="18"/>
              </w:rPr>
              <w:t>Kept by</w:t>
            </w:r>
          </w:p>
        </w:tc>
        <w:tc>
          <w:tcPr>
            <w:tcW w:type="dxa" w:w="2835"/>
            <w:shd w:val="clear" w:color="auto" w:fill="E7ECF2"/>
          </w:tcPr>
          <w:p>
            <w:pPr>
              <w:spacing w:before="20" w:after="20"/>
            </w:pPr>
            <w:r/>
            <w:r>
              <w:rPr>
                <w:rFonts w:ascii="Calibri" w:hAnsi="Calibri"/>
                <w:b/>
                <w:i w:val="0"/>
                <w:sz w:val="18"/>
              </w:rPr>
              <w:t>Suggested retention</w:t>
            </w:r>
          </w:p>
        </w:tc>
      </w:tr>
      <w:tr>
        <w:tc>
          <w:tcPr>
            <w:tcW w:type="dxa" w:w="4422"/>
          </w:tcPr>
          <w:p>
            <w:pPr>
              <w:spacing w:before="20" w:after="20"/>
            </w:pPr>
            <w:r/>
            <w:r>
              <w:rPr>
                <w:rFonts w:ascii="Calibri" w:hAnsi="Calibri"/>
                <w:b w:val="0"/>
                <w:i w:val="0"/>
                <w:sz w:val="18"/>
              </w:rPr>
              <w:t>Resident agreements &amp; house-rule acknowledgments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Intake &amp; move-in condition records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Drug/alcohol test documentation</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Incident &amp; critical-incident reports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Grievance &amp; accommodation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Discharge &amp; referral records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3 years after departure</w:t>
            </w:r>
          </w:p>
        </w:tc>
      </w:tr>
      <w:tr>
        <w:tc>
          <w:tcPr>
            <w:tcW w:type="dxa" w:w="4422"/>
          </w:tcPr>
          <w:p>
            <w:pPr>
              <w:spacing w:before="20" w:after="20"/>
            </w:pPr>
            <w:r/>
            <w:r>
              <w:rPr>
                <w:rFonts w:ascii="Calibri" w:hAnsi="Calibri"/>
                <w:b w:val="0"/>
                <w:i w:val="0"/>
                <w:sz w:val="18"/>
              </w:rPr>
              <w:t>Personnel files (screening, training)</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3 years after separation</w:t>
            </w:r>
          </w:p>
        </w:tc>
      </w:tr>
      <w:tr>
        <w:tc>
          <w:tcPr>
            <w:tcW w:type="dxa" w:w="4422"/>
          </w:tcPr>
          <w:p>
            <w:pPr>
              <w:spacing w:before="20" w:after="20"/>
            </w:pPr>
            <w:r/>
            <w:r>
              <w:rPr>
                <w:rFonts w:ascii="Calibri" w:hAnsi="Calibri"/>
                <w:b w:val="0"/>
                <w:i w:val="0"/>
                <w:sz w:val="18"/>
              </w:rPr>
              <w:t>Overdose-response &amp; naloxone logs</w:t>
            </w:r>
          </w:p>
        </w:tc>
        <w:tc>
          <w:tcPr>
            <w:tcW w:type="dxa" w:w="2381"/>
          </w:tcPr>
          <w:p>
            <w:pPr>
              <w:spacing w:before="20" w:after="20"/>
            </w:pPr>
            <w:r/>
            <w:r>
              <w:rPr>
                <w:rFonts w:ascii="Calibri" w:hAnsi="Calibri"/>
                <w:b w:val="0"/>
                <w:i w:val="0"/>
                <w:sz w:val="18"/>
              </w:rPr>
              <w:t>House manager</w:t>
            </w:r>
          </w:p>
        </w:tc>
        <w:tc>
          <w:tcPr>
            <w:tcW w:type="dxa" w:w="2835"/>
          </w:tcPr>
          <w:p>
            <w:pPr>
              <w:spacing w:before="20" w:after="20"/>
            </w:pPr>
            <w:r/>
            <w:r>
              <w:rPr>
                <w:rFonts w:ascii="Calibri" w:hAnsi="Calibri"/>
                <w:b w:val="0"/>
                <w:i w:val="0"/>
                <w:sz w:val="18"/>
              </w:rPr>
              <w:t>5 years</w:t>
            </w:r>
          </w:p>
        </w:tc>
      </w:tr>
      <w:tr>
        <w:tc>
          <w:tcPr>
            <w:tcW w:type="dxa" w:w="4422"/>
          </w:tcPr>
          <w:p>
            <w:pPr>
              <w:spacing w:before="20" w:after="20"/>
            </w:pPr>
            <w:r/>
            <w:r>
              <w:rPr>
                <w:rFonts w:ascii="Calibri" w:hAnsi="Calibri"/>
                <w:b w:val="0"/>
                <w:i w:val="0"/>
                <w:sz w:val="18"/>
              </w:rPr>
              <w:t>Financial records &amp; receipts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7 years</w:t>
            </w:r>
          </w:p>
        </w:tc>
      </w:tr>
      <w:tr>
        <w:tc>
          <w:tcPr>
            <w:tcW w:type="dxa" w:w="4422"/>
          </w:tcPr>
          <w:p>
            <w:pPr>
              <w:spacing w:before="20" w:after="20"/>
            </w:pPr>
            <w:r/>
            <w:r>
              <w:rPr>
                <w:rFonts w:ascii="Calibri" w:hAnsi="Calibri"/>
                <w:b w:val="0"/>
                <w:i w:val="0"/>
                <w:sz w:val="18"/>
              </w:rPr>
              <w:t>FARR certification &amp; conformity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+ 1 cycle</w:t>
            </w:r>
          </w:p>
        </w:tc>
      </w:tr>
      <w:tr>
        <w:tc>
          <w:tcPr>
            <w:tcW w:type="dxa" w:w="4422"/>
          </w:tcPr>
          <w:p>
            <w:pPr>
              <w:spacing w:before="20" w:after="20"/>
            </w:pPr>
            <w:r/>
            <w:r>
              <w:rPr>
                <w:rFonts w:ascii="Calibri" w:hAnsi="Calibri"/>
                <w:b w:val="0"/>
                <w:i w:val="0"/>
                <w:sz w:val="18"/>
              </w:rPr>
              <w:t>CRRA &amp; Level 2 screening records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+ 1 cycle</w:t>
            </w:r>
          </w:p>
        </w:tc>
      </w:tr>
      <w:tr>
        <w:tc>
          <w:tcPr>
            <w:tcW w:type="dxa" w:w="4422"/>
          </w:tcPr>
          <w:p>
            <w:pPr>
              <w:spacing w:before="20" w:after="20"/>
            </w:pPr>
            <w:r/>
            <w:r>
              <w:rPr>
                <w:rFonts w:ascii="Calibri" w:hAnsi="Calibri"/>
                <w:b w:val="0"/>
                <w:i w:val="0"/>
                <w:sz w:val="18"/>
              </w:rPr>
              <w:t>Grant / program documentation</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Per grant (often 5 years)</w:t>
            </w:r>
          </w:p>
        </w:tc>
      </w:tr>
      <w:tr>
        <w:tc>
          <w:tcPr>
            <w:tcW w:type="dxa" w:w="4422"/>
          </w:tcPr>
          <w:p>
            <w:pPr>
              <w:spacing w:before="20" w:after="20"/>
            </w:pPr>
            <w:r/>
            <w:r>
              <w:rPr>
                <w:rFonts w:ascii="Calibri" w:hAnsi="Calibri"/>
                <w:b w:val="0"/>
                <w:i w:val="0"/>
                <w:sz w:val="18"/>
              </w:rPr>
              <w:t>Insurance certificates</w:t>
            </w:r>
          </w:p>
        </w:tc>
        <w:tc>
          <w:tcPr>
            <w:tcW w:type="dxa" w:w="2381"/>
          </w:tcPr>
          <w:p>
            <w:pPr>
              <w:spacing w:before="20" w:after="20"/>
            </w:pPr>
            <w:r/>
            <w:r>
              <w:rPr>
                <w:rFonts w:ascii="Calibri" w:hAnsi="Calibri"/>
                <w:b w:val="0"/>
                <w:i w:val="0"/>
                <w:sz w:val="18"/>
              </w:rPr>
              <w:t>Operator</w:t>
            </w:r>
          </w:p>
        </w:tc>
        <w:tc>
          <w:tcPr>
            <w:tcW w:type="dxa" w:w="2835"/>
          </w:tcPr>
          <w:p>
            <w:pPr>
              <w:spacing w:before="20" w:after="20"/>
            </w:pPr>
            <w:r/>
            <w:r>
              <w:rPr>
                <w:rFonts w:ascii="Calibri" w:hAnsi="Calibri"/>
                <w:b w:val="0"/>
                <w:i w:val="0"/>
                <w:sz w:val="18"/>
              </w:rPr>
              <w:t>Current + 3 years</w:t>
            </w:r>
          </w:p>
        </w:tc>
      </w:tr>
    </w:tbl>
    <w:p/>
    <w:p>
      <w:r>
        <w:br w:type="page"/>
      </w:r>
    </w:p>
    <w:p>
      <w:pPr>
        <w:spacing w:before="0" w:after="80"/>
      </w:pPr>
      <w:r>
        <w:rPr>
          <w:rFonts w:ascii="Calibri" w:hAnsi="Calibri"/>
          <w:b/>
          <w:i w:val="0"/>
          <w:sz w:val="26"/>
        </w:rPr>
        <w:t>Appendix C — Compliance Calendar</w:t>
      </w:r>
    </w:p>
    <w:p>
      <w:pPr>
        <w:spacing w:before="0" w:after="160"/>
      </w:pPr>
      <w:r>
        <w:rPr>
          <w:rFonts w:ascii="Calibri" w:hAnsi="Calibri"/>
          <w:b w:val="0"/>
          <w:i/>
          <w:sz w:val="20"/>
        </w:rPr>
        <w:t>A recurring rhythm of tasks that keep the home safe, compliant, and certification-ready. Adapt frequencies to the home's level, size, and funders.</w:t>
      </w:r>
    </w:p>
    <w:tbl>
      <w:tblPr>
        <w:tblStyle w:val="TableGrid"/>
        <w:tblW w:type="auto" w:w="0"/>
        <w:tblLayout w:type="fixed"/>
        <w:tblLook w:firstColumn="1" w:firstRow="1" w:lastColumn="0" w:lastRow="0" w:noHBand="0" w:noVBand="1" w:val="04A0"/>
      </w:tblPr>
      <w:tblGrid>
        <w:gridCol w:w="4513"/>
        <w:gridCol w:w="4513"/>
      </w:tblGrid>
      <w:tr>
        <w:tc>
          <w:tcPr>
            <w:tcW w:type="dxa" w:w="1928"/>
            <w:shd w:val="clear" w:color="auto" w:fill="E7ECF2"/>
          </w:tcPr>
          <w:p>
            <w:pPr>
              <w:spacing w:before="20" w:after="20"/>
            </w:pPr>
            <w:r/>
            <w:r>
              <w:rPr>
                <w:rFonts w:ascii="Calibri" w:hAnsi="Calibri"/>
                <w:b/>
                <w:i w:val="0"/>
                <w:sz w:val="18"/>
              </w:rPr>
              <w:t>Frequency</w:t>
            </w:r>
          </w:p>
        </w:tc>
        <w:tc>
          <w:tcPr>
            <w:tcW w:type="dxa" w:w="7710"/>
            <w:shd w:val="clear" w:color="auto" w:fill="E7ECF2"/>
          </w:tcPr>
          <w:p>
            <w:pPr>
              <w:spacing w:before="20" w:after="20"/>
            </w:pPr>
            <w:r/>
            <w:r>
              <w:rPr>
                <w:rFonts w:ascii="Calibri" w:hAnsi="Calibri"/>
                <w:b/>
                <w:i w:val="0"/>
                <w:sz w:val="18"/>
              </w:rPr>
              <w:t>Task</w:t>
            </w:r>
          </w:p>
        </w:tc>
      </w:tr>
      <w:tr>
        <w:tc>
          <w:tcPr>
            <w:tcW w:type="dxa" w:w="1928"/>
          </w:tcPr>
          <w:p>
            <w:pPr>
              <w:spacing w:before="20" w:after="20"/>
            </w:pPr>
            <w:r/>
            <w:r>
              <w:rPr>
                <w:rFonts w:ascii="Calibri" w:hAnsi="Calibri"/>
                <w:b w:val="0"/>
                <w:i w:val="0"/>
                <w:sz w:val="18"/>
              </w:rPr>
              <w:t>Daily</w:t>
            </w:r>
          </w:p>
        </w:tc>
        <w:tc>
          <w:tcPr>
            <w:tcW w:type="dxa" w:w="7710"/>
          </w:tcPr>
          <w:p>
            <w:pPr>
              <w:spacing w:before="20" w:after="20"/>
            </w:pPr>
            <w:r/>
            <w:r>
              <w:rPr>
                <w:rFonts w:ascii="Calibri" w:hAnsi="Calibri"/>
                <w:b w:val="0"/>
                <w:i w:val="0"/>
                <w:sz w:val="18"/>
              </w:rPr>
              <w:t>Head counts/check-ins; medication storage secure; naloxone accessible; cleanliness</w:t>
            </w:r>
          </w:p>
        </w:tc>
      </w:tr>
      <w:tr>
        <w:tc>
          <w:tcPr>
            <w:tcW w:type="dxa" w:w="1928"/>
          </w:tcPr>
          <w:p>
            <w:pPr>
              <w:spacing w:before="20" w:after="20"/>
            </w:pPr>
            <w:r/>
            <w:r>
              <w:rPr>
                <w:rFonts w:ascii="Calibri" w:hAnsi="Calibri"/>
                <w:b w:val="0"/>
                <w:i w:val="0"/>
                <w:sz w:val="18"/>
              </w:rPr>
              <w:t>Weekly</w:t>
            </w:r>
          </w:p>
        </w:tc>
        <w:tc>
          <w:tcPr>
            <w:tcW w:type="dxa" w:w="7710"/>
          </w:tcPr>
          <w:p>
            <w:pPr>
              <w:spacing w:before="20" w:after="20"/>
            </w:pPr>
            <w:r/>
            <w:r>
              <w:rPr>
                <w:rFonts w:ascii="Calibri" w:hAnsi="Calibri"/>
                <w:b w:val="0"/>
                <w:i w:val="0"/>
                <w:sz w:val="18"/>
              </w:rPr>
              <w:t>House meeting; chore rotation; drug-testing per policy; incident review</w:t>
            </w:r>
          </w:p>
        </w:tc>
      </w:tr>
      <w:tr>
        <w:tc>
          <w:tcPr>
            <w:tcW w:type="dxa" w:w="1928"/>
          </w:tcPr>
          <w:p>
            <w:pPr>
              <w:spacing w:before="20" w:after="20"/>
            </w:pPr>
            <w:r/>
            <w:r>
              <w:rPr>
                <w:rFonts w:ascii="Calibri" w:hAnsi="Calibri"/>
                <w:b w:val="0"/>
                <w:i w:val="0"/>
                <w:sz w:val="18"/>
              </w:rPr>
              <w:t>Monthly</w:t>
            </w:r>
          </w:p>
        </w:tc>
        <w:tc>
          <w:tcPr>
            <w:tcW w:type="dxa" w:w="7710"/>
          </w:tcPr>
          <w:p>
            <w:pPr>
              <w:spacing w:before="20" w:after="20"/>
            </w:pPr>
            <w:r/>
            <w:r>
              <w:rPr>
                <w:rFonts w:ascii="Calibri" w:hAnsi="Calibri"/>
                <w:b w:val="0"/>
                <w:i w:val="0"/>
                <w:sz w:val="18"/>
              </w:rPr>
              <w:t>Fire-safety check; first-aid/naloxone stock; financial reconciliation; records audit sample</w:t>
            </w:r>
          </w:p>
        </w:tc>
      </w:tr>
      <w:tr>
        <w:tc>
          <w:tcPr>
            <w:tcW w:type="dxa" w:w="1928"/>
          </w:tcPr>
          <w:p>
            <w:pPr>
              <w:spacing w:before="20" w:after="20"/>
            </w:pPr>
            <w:r/>
            <w:r>
              <w:rPr>
                <w:rFonts w:ascii="Calibri" w:hAnsi="Calibri"/>
                <w:b w:val="0"/>
                <w:i w:val="0"/>
                <w:sz w:val="18"/>
              </w:rPr>
              <w:t>Quarterly</w:t>
            </w:r>
          </w:p>
        </w:tc>
        <w:tc>
          <w:tcPr>
            <w:tcW w:type="dxa" w:w="7710"/>
          </w:tcPr>
          <w:p>
            <w:pPr>
              <w:spacing w:before="20" w:after="20"/>
            </w:pPr>
            <w:r/>
            <w:r>
              <w:rPr>
                <w:rFonts w:ascii="Calibri" w:hAnsi="Calibri"/>
                <w:b w:val="0"/>
                <w:i w:val="0"/>
                <w:sz w:val="18"/>
              </w:rPr>
              <w:t>Evacuation drill; policy spot-audit; staff training refresh; resident satisfaction pulse</w:t>
            </w:r>
          </w:p>
        </w:tc>
      </w:tr>
      <w:tr>
        <w:tc>
          <w:tcPr>
            <w:tcW w:type="dxa" w:w="1928"/>
          </w:tcPr>
          <w:p>
            <w:pPr>
              <w:spacing w:before="20" w:after="20"/>
            </w:pPr>
            <w:r/>
            <w:r>
              <w:rPr>
                <w:rFonts w:ascii="Calibri" w:hAnsi="Calibri"/>
                <w:b w:val="0"/>
                <w:i w:val="0"/>
                <w:sz w:val="18"/>
              </w:rPr>
              <w:t>Semi-annually</w:t>
            </w:r>
          </w:p>
        </w:tc>
        <w:tc>
          <w:tcPr>
            <w:tcW w:type="dxa" w:w="7710"/>
          </w:tcPr>
          <w:p>
            <w:pPr>
              <w:spacing w:before="20" w:after="20"/>
            </w:pPr>
            <w:r/>
            <w:r>
              <w:rPr>
                <w:rFonts w:ascii="Calibri" w:hAnsi="Calibri"/>
                <w:b w:val="0"/>
                <w:i w:val="0"/>
                <w:sz w:val="18"/>
              </w:rPr>
              <w:t>Self-assessment vs NARR standard; good-neighbor check-in; insurance review scheduling</w:t>
            </w:r>
          </w:p>
        </w:tc>
      </w:tr>
      <w:tr>
        <w:tc>
          <w:tcPr>
            <w:tcW w:type="dxa" w:w="1928"/>
          </w:tcPr>
          <w:p>
            <w:pPr>
              <w:spacing w:before="20" w:after="20"/>
            </w:pPr>
            <w:r/>
            <w:r>
              <w:rPr>
                <w:rFonts w:ascii="Calibri" w:hAnsi="Calibri"/>
                <w:b w:val="0"/>
                <w:i w:val="0"/>
                <w:sz w:val="18"/>
              </w:rPr>
              <w:t>Annually</w:t>
            </w:r>
          </w:p>
        </w:tc>
        <w:tc>
          <w:tcPr>
            <w:tcW w:type="dxa" w:w="7710"/>
          </w:tcPr>
          <w:p>
            <w:pPr>
              <w:spacing w:before="20" w:after="20"/>
            </w:pPr>
            <w:r/>
            <w:r>
              <w:rPr>
                <w:rFonts w:ascii="Calibri" w:hAnsi="Calibri"/>
                <w:b w:val="0"/>
                <w:i w:val="0"/>
                <w:sz w:val="18"/>
              </w:rPr>
              <w:t>Full manual review &amp; update; certification renewal prep; annual report; insurance renewal; disaster-plan review; training recertification</w:t>
            </w:r>
          </w:p>
        </w:tc>
      </w:tr>
      <w:tr>
        <w:tc>
          <w:tcPr>
            <w:tcW w:type="dxa" w:w="1928"/>
          </w:tcPr>
          <w:p>
            <w:pPr>
              <w:spacing w:before="20" w:after="20"/>
            </w:pPr>
            <w:r/>
            <w:r>
              <w:rPr>
                <w:rFonts w:ascii="Calibri" w:hAnsi="Calibri"/>
                <w:b w:val="0"/>
                <w:i w:val="0"/>
                <w:sz w:val="18"/>
              </w:rPr>
              <w:t>As triggered</w:t>
            </w:r>
          </w:p>
        </w:tc>
        <w:tc>
          <w:tcPr>
            <w:tcW w:type="dxa" w:w="7710"/>
          </w:tcPr>
          <w:p>
            <w:pPr>
              <w:spacing w:before="20" w:after="20"/>
            </w:pPr>
            <w:r/>
            <w:r>
              <w:rPr>
                <w:rFonts w:ascii="Calibri" w:hAnsi="Calibri"/>
                <w:b w:val="0"/>
                <w:i w:val="0"/>
                <w:sz w:val="18"/>
              </w:rPr>
              <w:t>Law/standard change → policy update; critical incident → review &amp; notify; funding change → accounting update</w:t>
            </w:r>
          </w:p>
        </w:tc>
      </w:tr>
    </w:tbl>
    <w:p/>
    <w:p>
      <w:r>
        <w:br w:type="page"/>
      </w:r>
    </w:p>
    <w:p>
      <w:pPr>
        <w:spacing w:before="0" w:after="80"/>
      </w:pPr>
      <w:r>
        <w:rPr>
          <w:rFonts w:ascii="Calibri" w:hAnsi="Calibri"/>
          <w:b/>
          <w:i w:val="0"/>
          <w:sz w:val="26"/>
        </w:rPr>
        <w:t>Appendix D — Forms &amp; Templates Index</w:t>
      </w:r>
    </w:p>
    <w:p>
      <w:pPr>
        <w:spacing w:before="0" w:after="160"/>
      </w:pPr>
      <w:r>
        <w:rPr>
          <w:rFonts w:ascii="Calibri" w:hAnsi="Calibri"/>
          <w:b w:val="0"/>
          <w:i/>
          <w:sz w:val="20"/>
        </w:rPr>
        <w:t>The forms a home implementing this manual should maintain. Titles are provided as a build list; customize each to the home's operation. This index is a checklist, not a substitute for the forms themselves.</w:t>
      </w:r>
    </w:p>
    <w:tbl>
      <w:tblPr>
        <w:tblStyle w:val="TableGrid"/>
        <w:tblW w:type="auto" w:w="0"/>
        <w:tblLayout w:type="fixed"/>
        <w:tblLook w:firstColumn="1" w:firstRow="1" w:lastColumn="0" w:lastRow="0" w:noHBand="0" w:noVBand="1" w:val="04A0"/>
      </w:tblPr>
      <w:tblGrid>
        <w:gridCol w:w="3009"/>
        <w:gridCol w:w="3009"/>
        <w:gridCol w:w="3009"/>
      </w:tblGrid>
      <w:tr>
        <w:tc>
          <w:tcPr>
            <w:tcW w:type="dxa" w:w="680"/>
            <w:shd w:val="clear" w:color="auto" w:fill="E7ECF2"/>
          </w:tcPr>
          <w:p>
            <w:pPr>
              <w:spacing w:before="20" w:after="20"/>
            </w:pPr>
            <w:r/>
            <w:r>
              <w:rPr>
                <w:rFonts w:ascii="Calibri" w:hAnsi="Calibri"/>
                <w:b/>
                <w:i w:val="0"/>
                <w:sz w:val="18"/>
              </w:rPr>
              <w:t>#</w:t>
            </w:r>
          </w:p>
        </w:tc>
        <w:tc>
          <w:tcPr>
            <w:tcW w:type="dxa" w:w="6123"/>
            <w:shd w:val="clear" w:color="auto" w:fill="E7ECF2"/>
          </w:tcPr>
          <w:p>
            <w:pPr>
              <w:spacing w:before="20" w:after="20"/>
            </w:pPr>
            <w:r/>
            <w:r>
              <w:rPr>
                <w:rFonts w:ascii="Calibri" w:hAnsi="Calibri"/>
                <w:b/>
                <w:i w:val="0"/>
                <w:sz w:val="18"/>
              </w:rPr>
              <w:t>Form / template</w:t>
            </w:r>
          </w:p>
        </w:tc>
        <w:tc>
          <w:tcPr>
            <w:tcW w:type="dxa" w:w="2835"/>
            <w:shd w:val="clear" w:color="auto" w:fill="E7ECF2"/>
          </w:tcPr>
          <w:p>
            <w:pPr>
              <w:spacing w:before="20" w:after="20"/>
            </w:pPr>
            <w:r/>
            <w:r>
              <w:rPr>
                <w:rFonts w:ascii="Calibri" w:hAnsi="Calibri"/>
                <w:b/>
                <w:i w:val="0"/>
                <w:sz w:val="18"/>
              </w:rPr>
              <w:t>Supports policy</w:t>
            </w:r>
          </w:p>
        </w:tc>
      </w:tr>
      <w:tr>
        <w:tc>
          <w:tcPr>
            <w:tcW w:type="dxa" w:w="680"/>
          </w:tcPr>
          <w:p>
            <w:pPr>
              <w:spacing w:before="20" w:after="20"/>
            </w:pPr>
            <w:r/>
            <w:r>
              <w:rPr>
                <w:rFonts w:ascii="Calibri" w:hAnsi="Calibri"/>
                <w:b w:val="0"/>
                <w:i w:val="0"/>
                <w:sz w:val="18"/>
              </w:rPr>
              <w:t>1</w:t>
            </w:r>
          </w:p>
        </w:tc>
        <w:tc>
          <w:tcPr>
            <w:tcW w:type="dxa" w:w="6123"/>
          </w:tcPr>
          <w:p>
            <w:pPr>
              <w:spacing w:before="20" w:after="20"/>
            </w:pPr>
            <w:r/>
            <w:r>
              <w:rPr>
                <w:rFonts w:ascii="Calibri" w:hAnsi="Calibri"/>
                <w:b w:val="0"/>
                <w:i w:val="0"/>
                <w:sz w:val="18"/>
              </w:rPr>
              <w:t>Resident Application &amp; Non-Clinical Screening</w:t>
            </w:r>
          </w:p>
        </w:tc>
        <w:tc>
          <w:tcPr>
            <w:tcW w:type="dxa" w:w="2835"/>
          </w:tcPr>
          <w:p>
            <w:pPr>
              <w:spacing w:before="20" w:after="20"/>
            </w:pPr>
            <w:r/>
            <w:r>
              <w:rPr>
                <w:rFonts w:ascii="Calibri" w:hAnsi="Calibri"/>
                <w:b w:val="0"/>
                <w:i w:val="0"/>
                <w:sz w:val="18"/>
              </w:rPr>
              <w:t>3.01–3.03</w:t>
            </w:r>
          </w:p>
        </w:tc>
      </w:tr>
      <w:tr>
        <w:tc>
          <w:tcPr>
            <w:tcW w:type="dxa" w:w="680"/>
          </w:tcPr>
          <w:p>
            <w:pPr>
              <w:spacing w:before="20" w:after="20"/>
            </w:pPr>
            <w:r/>
            <w:r>
              <w:rPr>
                <w:rFonts w:ascii="Calibri" w:hAnsi="Calibri"/>
                <w:b w:val="0"/>
                <w:i w:val="0"/>
                <w:sz w:val="18"/>
              </w:rPr>
              <w:t>2</w:t>
            </w:r>
          </w:p>
        </w:tc>
        <w:tc>
          <w:tcPr>
            <w:tcW w:type="dxa" w:w="6123"/>
          </w:tcPr>
          <w:p>
            <w:pPr>
              <w:spacing w:before="20" w:after="20"/>
            </w:pPr>
            <w:r/>
            <w:r>
              <w:rPr>
                <w:rFonts w:ascii="Calibri" w:hAnsi="Calibri"/>
                <w:b w:val="0"/>
                <w:i w:val="0"/>
                <w:sz w:val="18"/>
              </w:rPr>
              <w:t>Resident Agreement (fees, rules, rights, discharge)</w:t>
            </w:r>
          </w:p>
        </w:tc>
        <w:tc>
          <w:tcPr>
            <w:tcW w:type="dxa" w:w="2835"/>
          </w:tcPr>
          <w:p>
            <w:pPr>
              <w:spacing w:before="20" w:after="20"/>
            </w:pPr>
            <w:r/>
            <w:r>
              <w:rPr>
                <w:rFonts w:ascii="Calibri" w:hAnsi="Calibri"/>
                <w:b w:val="0"/>
                <w:i w:val="0"/>
                <w:sz w:val="18"/>
              </w:rPr>
              <w:t>3.04, 3.05</w:t>
            </w:r>
          </w:p>
        </w:tc>
      </w:tr>
      <w:tr>
        <w:tc>
          <w:tcPr>
            <w:tcW w:type="dxa" w:w="680"/>
          </w:tcPr>
          <w:p>
            <w:pPr>
              <w:spacing w:before="20" w:after="20"/>
            </w:pPr>
            <w:r/>
            <w:r>
              <w:rPr>
                <w:rFonts w:ascii="Calibri" w:hAnsi="Calibri"/>
                <w:b w:val="0"/>
                <w:i w:val="0"/>
                <w:sz w:val="18"/>
              </w:rPr>
              <w:t>3</w:t>
            </w:r>
          </w:p>
        </w:tc>
        <w:tc>
          <w:tcPr>
            <w:tcW w:type="dxa" w:w="6123"/>
          </w:tcPr>
          <w:p>
            <w:pPr>
              <w:spacing w:before="20" w:after="20"/>
            </w:pPr>
            <w:r/>
            <w:r>
              <w:rPr>
                <w:rFonts w:ascii="Calibri" w:hAnsi="Calibri"/>
                <w:b w:val="0"/>
                <w:i w:val="0"/>
                <w:sz w:val="18"/>
              </w:rPr>
              <w:t>House Rules &amp; Acknowledgment</w:t>
            </w:r>
          </w:p>
        </w:tc>
        <w:tc>
          <w:tcPr>
            <w:tcW w:type="dxa" w:w="2835"/>
          </w:tcPr>
          <w:p>
            <w:pPr>
              <w:spacing w:before="20" w:after="20"/>
            </w:pPr>
            <w:r/>
            <w:r>
              <w:rPr>
                <w:rFonts w:ascii="Calibri" w:hAnsi="Calibri"/>
                <w:b w:val="0"/>
                <w:i w:val="0"/>
                <w:sz w:val="18"/>
              </w:rPr>
              <w:t>3.06, 4.03</w:t>
            </w:r>
          </w:p>
        </w:tc>
      </w:tr>
      <w:tr>
        <w:tc>
          <w:tcPr>
            <w:tcW w:type="dxa" w:w="680"/>
          </w:tcPr>
          <w:p>
            <w:pPr>
              <w:spacing w:before="20" w:after="20"/>
            </w:pPr>
            <w:r/>
            <w:r>
              <w:rPr>
                <w:rFonts w:ascii="Calibri" w:hAnsi="Calibri"/>
                <w:b w:val="0"/>
                <w:i w:val="0"/>
                <w:sz w:val="18"/>
              </w:rPr>
              <w:t>4</w:t>
            </w:r>
          </w:p>
        </w:tc>
        <w:tc>
          <w:tcPr>
            <w:tcW w:type="dxa" w:w="6123"/>
          </w:tcPr>
          <w:p>
            <w:pPr>
              <w:spacing w:before="20" w:after="20"/>
            </w:pPr>
            <w:r/>
            <w:r>
              <w:rPr>
                <w:rFonts w:ascii="Calibri" w:hAnsi="Calibri"/>
                <w:b w:val="0"/>
                <w:i w:val="0"/>
                <w:sz w:val="18"/>
              </w:rPr>
              <w:t>Move-In Condition &amp; Inventory Record</w:t>
            </w:r>
          </w:p>
        </w:tc>
        <w:tc>
          <w:tcPr>
            <w:tcW w:type="dxa" w:w="2835"/>
          </w:tcPr>
          <w:p>
            <w:pPr>
              <w:spacing w:before="20" w:after="20"/>
            </w:pPr>
            <w:r/>
            <w:r>
              <w:rPr>
                <w:rFonts w:ascii="Calibri" w:hAnsi="Calibri"/>
                <w:b w:val="0"/>
                <w:i w:val="0"/>
                <w:sz w:val="18"/>
              </w:rPr>
              <w:t>3.13</w:t>
            </w:r>
          </w:p>
        </w:tc>
      </w:tr>
      <w:tr>
        <w:tc>
          <w:tcPr>
            <w:tcW w:type="dxa" w:w="680"/>
          </w:tcPr>
          <w:p>
            <w:pPr>
              <w:spacing w:before="20" w:after="20"/>
            </w:pPr>
            <w:r/>
            <w:r>
              <w:rPr>
                <w:rFonts w:ascii="Calibri" w:hAnsi="Calibri"/>
                <w:b w:val="0"/>
                <w:i w:val="0"/>
                <w:sz w:val="18"/>
              </w:rPr>
              <w:t>5</w:t>
            </w:r>
          </w:p>
        </w:tc>
        <w:tc>
          <w:tcPr>
            <w:tcW w:type="dxa" w:w="6123"/>
          </w:tcPr>
          <w:p>
            <w:pPr>
              <w:spacing w:before="20" w:after="20"/>
            </w:pPr>
            <w:r/>
            <w:r>
              <w:rPr>
                <w:rFonts w:ascii="Calibri" w:hAnsi="Calibri"/>
                <w:b w:val="0"/>
                <w:i w:val="0"/>
                <w:sz w:val="18"/>
              </w:rPr>
              <w:t>Emergency Contact &amp; Release of Information</w:t>
            </w:r>
          </w:p>
        </w:tc>
        <w:tc>
          <w:tcPr>
            <w:tcW w:type="dxa" w:w="2835"/>
          </w:tcPr>
          <w:p>
            <w:pPr>
              <w:spacing w:before="20" w:after="20"/>
            </w:pPr>
            <w:r/>
            <w:r>
              <w:rPr>
                <w:rFonts w:ascii="Calibri" w:hAnsi="Calibri"/>
                <w:b w:val="0"/>
                <w:i w:val="0"/>
                <w:sz w:val="18"/>
              </w:rPr>
              <w:t>3.09</w:t>
            </w:r>
          </w:p>
        </w:tc>
      </w:tr>
      <w:tr>
        <w:tc>
          <w:tcPr>
            <w:tcW w:type="dxa" w:w="680"/>
          </w:tcPr>
          <w:p>
            <w:pPr>
              <w:spacing w:before="20" w:after="20"/>
            </w:pPr>
            <w:r/>
            <w:r>
              <w:rPr>
                <w:rFonts w:ascii="Calibri" w:hAnsi="Calibri"/>
                <w:b w:val="0"/>
                <w:i w:val="0"/>
                <w:sz w:val="18"/>
              </w:rPr>
              <w:t>6</w:t>
            </w:r>
          </w:p>
        </w:tc>
        <w:tc>
          <w:tcPr>
            <w:tcW w:type="dxa" w:w="6123"/>
          </w:tcPr>
          <w:p>
            <w:pPr>
              <w:spacing w:before="20" w:after="20"/>
            </w:pPr>
            <w:r/>
            <w:r>
              <w:rPr>
                <w:rFonts w:ascii="Calibri" w:hAnsi="Calibri"/>
                <w:b w:val="0"/>
                <w:i w:val="0"/>
                <w:sz w:val="18"/>
              </w:rPr>
              <w:t>Reasonable-Accommodation Request &amp; Response</w:t>
            </w:r>
          </w:p>
        </w:tc>
        <w:tc>
          <w:tcPr>
            <w:tcW w:type="dxa" w:w="2835"/>
          </w:tcPr>
          <w:p>
            <w:pPr>
              <w:spacing w:before="20" w:after="20"/>
            </w:pPr>
            <w:r/>
            <w:r>
              <w:rPr>
                <w:rFonts w:ascii="Calibri" w:hAnsi="Calibri"/>
                <w:b w:val="0"/>
                <w:i w:val="0"/>
                <w:sz w:val="18"/>
              </w:rPr>
              <w:t>2.04, 2.14</w:t>
            </w:r>
          </w:p>
        </w:tc>
      </w:tr>
      <w:tr>
        <w:tc>
          <w:tcPr>
            <w:tcW w:type="dxa" w:w="680"/>
          </w:tcPr>
          <w:p>
            <w:pPr>
              <w:spacing w:before="20" w:after="20"/>
            </w:pPr>
            <w:r/>
            <w:r>
              <w:rPr>
                <w:rFonts w:ascii="Calibri" w:hAnsi="Calibri"/>
                <w:b w:val="0"/>
                <w:i w:val="0"/>
                <w:sz w:val="18"/>
              </w:rPr>
              <w:t>7</w:t>
            </w:r>
          </w:p>
        </w:tc>
        <w:tc>
          <w:tcPr>
            <w:tcW w:type="dxa" w:w="6123"/>
          </w:tcPr>
          <w:p>
            <w:pPr>
              <w:spacing w:before="20" w:after="20"/>
            </w:pPr>
            <w:r/>
            <w:r>
              <w:rPr>
                <w:rFonts w:ascii="Calibri" w:hAnsi="Calibri"/>
                <w:b w:val="0"/>
                <w:i w:val="0"/>
                <w:sz w:val="18"/>
              </w:rPr>
              <w:t>Grievance &amp; Appeal Form</w:t>
            </w:r>
          </w:p>
        </w:tc>
        <w:tc>
          <w:tcPr>
            <w:tcW w:type="dxa" w:w="2835"/>
          </w:tcPr>
          <w:p>
            <w:pPr>
              <w:spacing w:before="20" w:after="20"/>
            </w:pPr>
            <w:r/>
            <w:r>
              <w:rPr>
                <w:rFonts w:ascii="Calibri" w:hAnsi="Calibri"/>
                <w:b w:val="0"/>
                <w:i w:val="0"/>
                <w:sz w:val="18"/>
              </w:rPr>
              <w:t>2.05</w:t>
            </w:r>
          </w:p>
        </w:tc>
      </w:tr>
      <w:tr>
        <w:tc>
          <w:tcPr>
            <w:tcW w:type="dxa" w:w="680"/>
          </w:tcPr>
          <w:p>
            <w:pPr>
              <w:spacing w:before="20" w:after="20"/>
            </w:pPr>
            <w:r/>
            <w:r>
              <w:rPr>
                <w:rFonts w:ascii="Calibri" w:hAnsi="Calibri"/>
                <w:b w:val="0"/>
                <w:i w:val="0"/>
                <w:sz w:val="18"/>
              </w:rPr>
              <w:t>8</w:t>
            </w:r>
          </w:p>
        </w:tc>
        <w:tc>
          <w:tcPr>
            <w:tcW w:type="dxa" w:w="6123"/>
          </w:tcPr>
          <w:p>
            <w:pPr>
              <w:spacing w:before="20" w:after="20"/>
            </w:pPr>
            <w:r/>
            <w:r>
              <w:rPr>
                <w:rFonts w:ascii="Calibri" w:hAnsi="Calibri"/>
                <w:b w:val="0"/>
                <w:i w:val="0"/>
                <w:sz w:val="18"/>
              </w:rPr>
              <w:t>Drug/Alcohol Test Log</w:t>
            </w:r>
          </w:p>
        </w:tc>
        <w:tc>
          <w:tcPr>
            <w:tcW w:type="dxa" w:w="2835"/>
          </w:tcPr>
          <w:p>
            <w:pPr>
              <w:spacing w:before="20" w:after="20"/>
            </w:pPr>
            <w:r/>
            <w:r>
              <w:rPr>
                <w:rFonts w:ascii="Calibri" w:hAnsi="Calibri"/>
                <w:b w:val="0"/>
                <w:i w:val="0"/>
                <w:sz w:val="18"/>
              </w:rPr>
              <w:t>4.02</w:t>
            </w:r>
          </w:p>
        </w:tc>
      </w:tr>
      <w:tr>
        <w:tc>
          <w:tcPr>
            <w:tcW w:type="dxa" w:w="680"/>
          </w:tcPr>
          <w:p>
            <w:pPr>
              <w:spacing w:before="20" w:after="20"/>
            </w:pPr>
            <w:r/>
            <w:r>
              <w:rPr>
                <w:rFonts w:ascii="Calibri" w:hAnsi="Calibri"/>
                <w:b w:val="0"/>
                <w:i w:val="0"/>
                <w:sz w:val="18"/>
              </w:rPr>
              <w:t>9</w:t>
            </w:r>
          </w:p>
        </w:tc>
        <w:tc>
          <w:tcPr>
            <w:tcW w:type="dxa" w:w="6123"/>
          </w:tcPr>
          <w:p>
            <w:pPr>
              <w:spacing w:before="20" w:after="20"/>
            </w:pPr>
            <w:r/>
            <w:r>
              <w:rPr>
                <w:rFonts w:ascii="Calibri" w:hAnsi="Calibri"/>
                <w:b w:val="0"/>
                <w:i w:val="0"/>
                <w:sz w:val="18"/>
              </w:rPr>
              <w:t>Incident &amp; Critical-Incident Report</w:t>
            </w:r>
          </w:p>
        </w:tc>
        <w:tc>
          <w:tcPr>
            <w:tcW w:type="dxa" w:w="2835"/>
          </w:tcPr>
          <w:p>
            <w:pPr>
              <w:spacing w:before="20" w:after="20"/>
            </w:pPr>
            <w:r/>
            <w:r>
              <w:rPr>
                <w:rFonts w:ascii="Calibri" w:hAnsi="Calibri"/>
                <w:b w:val="0"/>
                <w:i w:val="0"/>
                <w:sz w:val="18"/>
              </w:rPr>
              <w:t>6.05, 6.06</w:t>
            </w:r>
          </w:p>
        </w:tc>
      </w:tr>
      <w:tr>
        <w:tc>
          <w:tcPr>
            <w:tcW w:type="dxa" w:w="680"/>
          </w:tcPr>
          <w:p>
            <w:pPr>
              <w:spacing w:before="20" w:after="20"/>
            </w:pPr>
            <w:r/>
            <w:r>
              <w:rPr>
                <w:rFonts w:ascii="Calibri" w:hAnsi="Calibri"/>
                <w:b w:val="0"/>
                <w:i w:val="0"/>
                <w:sz w:val="18"/>
              </w:rPr>
              <w:t>10</w:t>
            </w:r>
          </w:p>
        </w:tc>
        <w:tc>
          <w:tcPr>
            <w:tcW w:type="dxa" w:w="6123"/>
          </w:tcPr>
          <w:p>
            <w:pPr>
              <w:spacing w:before="20" w:after="20"/>
            </w:pPr>
            <w:r/>
            <w:r>
              <w:rPr>
                <w:rFonts w:ascii="Calibri" w:hAnsi="Calibri"/>
                <w:b w:val="0"/>
                <w:i w:val="0"/>
                <w:sz w:val="18"/>
              </w:rPr>
              <w:t>Overdose-Response / Naloxone Log</w:t>
            </w:r>
          </w:p>
        </w:tc>
        <w:tc>
          <w:tcPr>
            <w:tcW w:type="dxa" w:w="2835"/>
          </w:tcPr>
          <w:p>
            <w:pPr>
              <w:spacing w:before="20" w:after="20"/>
            </w:pPr>
            <w:r/>
            <w:r>
              <w:rPr>
                <w:rFonts w:ascii="Calibri" w:hAnsi="Calibri"/>
                <w:b w:val="0"/>
                <w:i w:val="0"/>
                <w:sz w:val="18"/>
              </w:rPr>
              <w:t>6.03</w:t>
            </w:r>
          </w:p>
        </w:tc>
      </w:tr>
      <w:tr>
        <w:tc>
          <w:tcPr>
            <w:tcW w:type="dxa" w:w="680"/>
          </w:tcPr>
          <w:p>
            <w:pPr>
              <w:spacing w:before="20" w:after="20"/>
            </w:pPr>
            <w:r/>
            <w:r>
              <w:rPr>
                <w:rFonts w:ascii="Calibri" w:hAnsi="Calibri"/>
                <w:b w:val="0"/>
                <w:i w:val="0"/>
                <w:sz w:val="18"/>
              </w:rPr>
              <w:t>11</w:t>
            </w:r>
          </w:p>
        </w:tc>
        <w:tc>
          <w:tcPr>
            <w:tcW w:type="dxa" w:w="6123"/>
          </w:tcPr>
          <w:p>
            <w:pPr>
              <w:spacing w:before="20" w:after="20"/>
            </w:pPr>
            <w:r/>
            <w:r>
              <w:rPr>
                <w:rFonts w:ascii="Calibri" w:hAnsi="Calibri"/>
                <w:b w:val="0"/>
                <w:i w:val="0"/>
                <w:sz w:val="18"/>
              </w:rPr>
              <w:t>Recurrence-Response &amp; Safety Plan</w:t>
            </w:r>
          </w:p>
        </w:tc>
        <w:tc>
          <w:tcPr>
            <w:tcW w:type="dxa" w:w="2835"/>
          </w:tcPr>
          <w:p>
            <w:pPr>
              <w:spacing w:before="20" w:after="20"/>
            </w:pPr>
            <w:r/>
            <w:r>
              <w:rPr>
                <w:rFonts w:ascii="Calibri" w:hAnsi="Calibri"/>
                <w:b w:val="0"/>
                <w:i w:val="0"/>
                <w:sz w:val="18"/>
              </w:rPr>
              <w:t>6.07</w:t>
            </w:r>
          </w:p>
        </w:tc>
      </w:tr>
      <w:tr>
        <w:tc>
          <w:tcPr>
            <w:tcW w:type="dxa" w:w="680"/>
          </w:tcPr>
          <w:p>
            <w:pPr>
              <w:spacing w:before="20" w:after="20"/>
            </w:pPr>
            <w:r/>
            <w:r>
              <w:rPr>
                <w:rFonts w:ascii="Calibri" w:hAnsi="Calibri"/>
                <w:b w:val="0"/>
                <w:i w:val="0"/>
                <w:sz w:val="18"/>
              </w:rPr>
              <w:t>12</w:t>
            </w:r>
          </w:p>
        </w:tc>
        <w:tc>
          <w:tcPr>
            <w:tcW w:type="dxa" w:w="6123"/>
          </w:tcPr>
          <w:p>
            <w:pPr>
              <w:spacing w:before="20" w:after="20"/>
            </w:pPr>
            <w:r/>
            <w:r>
              <w:rPr>
                <w:rFonts w:ascii="Calibri" w:hAnsi="Calibri"/>
                <w:b w:val="0"/>
                <w:i w:val="0"/>
                <w:sz w:val="18"/>
              </w:rPr>
              <w:t>Discharge &amp; Transition Plan</w:t>
            </w:r>
          </w:p>
        </w:tc>
        <w:tc>
          <w:tcPr>
            <w:tcW w:type="dxa" w:w="2835"/>
          </w:tcPr>
          <w:p>
            <w:pPr>
              <w:spacing w:before="20" w:after="20"/>
            </w:pPr>
            <w:r/>
            <w:r>
              <w:rPr>
                <w:rFonts w:ascii="Calibri" w:hAnsi="Calibri"/>
                <w:b w:val="0"/>
                <w:i w:val="0"/>
                <w:sz w:val="18"/>
              </w:rPr>
              <w:t>6.08, 6.09</w:t>
            </w:r>
          </w:p>
        </w:tc>
      </w:tr>
      <w:tr>
        <w:tc>
          <w:tcPr>
            <w:tcW w:type="dxa" w:w="680"/>
          </w:tcPr>
          <w:p>
            <w:pPr>
              <w:spacing w:before="20" w:after="20"/>
            </w:pPr>
            <w:r/>
            <w:r>
              <w:rPr>
                <w:rFonts w:ascii="Calibri" w:hAnsi="Calibri"/>
                <w:b w:val="0"/>
                <w:i w:val="0"/>
                <w:sz w:val="18"/>
              </w:rPr>
              <w:t>13</w:t>
            </w:r>
          </w:p>
        </w:tc>
        <w:tc>
          <w:tcPr>
            <w:tcW w:type="dxa" w:w="6123"/>
          </w:tcPr>
          <w:p>
            <w:pPr>
              <w:spacing w:before="20" w:after="20"/>
            </w:pPr>
            <w:r/>
            <w:r>
              <w:rPr>
                <w:rFonts w:ascii="Calibri" w:hAnsi="Calibri"/>
                <w:b w:val="0"/>
                <w:i w:val="0"/>
                <w:sz w:val="18"/>
              </w:rPr>
              <w:t>Resident Rights Statement (posted)</w:t>
            </w:r>
          </w:p>
        </w:tc>
        <w:tc>
          <w:tcPr>
            <w:tcW w:type="dxa" w:w="2835"/>
          </w:tcPr>
          <w:p>
            <w:pPr>
              <w:spacing w:before="20" w:after="20"/>
            </w:pPr>
            <w:r/>
            <w:r>
              <w:rPr>
                <w:rFonts w:ascii="Calibri" w:hAnsi="Calibri"/>
                <w:b w:val="0"/>
                <w:i w:val="0"/>
                <w:sz w:val="18"/>
              </w:rPr>
              <w:t>2.01</w:t>
            </w:r>
          </w:p>
        </w:tc>
      </w:tr>
      <w:tr>
        <w:tc>
          <w:tcPr>
            <w:tcW w:type="dxa" w:w="680"/>
          </w:tcPr>
          <w:p>
            <w:pPr>
              <w:spacing w:before="20" w:after="20"/>
            </w:pPr>
            <w:r/>
            <w:r>
              <w:rPr>
                <w:rFonts w:ascii="Calibri" w:hAnsi="Calibri"/>
                <w:b w:val="0"/>
                <w:i w:val="0"/>
                <w:sz w:val="18"/>
              </w:rPr>
              <w:t>14</w:t>
            </w:r>
          </w:p>
        </w:tc>
        <w:tc>
          <w:tcPr>
            <w:tcW w:type="dxa" w:w="6123"/>
          </w:tcPr>
          <w:p>
            <w:pPr>
              <w:spacing w:before="20" w:after="20"/>
            </w:pPr>
            <w:r/>
            <w:r>
              <w:rPr>
                <w:rFonts w:ascii="Calibri" w:hAnsi="Calibri"/>
                <w:b w:val="0"/>
                <w:i w:val="0"/>
                <w:sz w:val="18"/>
              </w:rPr>
              <w:t>Good-Neighbor Contact &amp; Policy</w:t>
            </w:r>
          </w:p>
        </w:tc>
        <w:tc>
          <w:tcPr>
            <w:tcW w:type="dxa" w:w="2835"/>
          </w:tcPr>
          <w:p>
            <w:pPr>
              <w:spacing w:before="20" w:after="20"/>
            </w:pPr>
            <w:r/>
            <w:r>
              <w:rPr>
                <w:rFonts w:ascii="Calibri" w:hAnsi="Calibri"/>
                <w:b w:val="0"/>
                <w:i w:val="0"/>
                <w:sz w:val="18"/>
              </w:rPr>
              <w:t>8.05</w:t>
            </w:r>
          </w:p>
        </w:tc>
      </w:tr>
      <w:tr>
        <w:tc>
          <w:tcPr>
            <w:tcW w:type="dxa" w:w="680"/>
          </w:tcPr>
          <w:p>
            <w:pPr>
              <w:spacing w:before="20" w:after="20"/>
            </w:pPr>
            <w:r/>
            <w:r>
              <w:rPr>
                <w:rFonts w:ascii="Calibri" w:hAnsi="Calibri"/>
                <w:b w:val="0"/>
                <w:i w:val="0"/>
                <w:sz w:val="18"/>
              </w:rPr>
              <w:t>15</w:t>
            </w:r>
          </w:p>
        </w:tc>
        <w:tc>
          <w:tcPr>
            <w:tcW w:type="dxa" w:w="6123"/>
          </w:tcPr>
          <w:p>
            <w:pPr>
              <w:spacing w:before="20" w:after="20"/>
            </w:pPr>
            <w:r/>
            <w:r>
              <w:rPr>
                <w:rFonts w:ascii="Calibri" w:hAnsi="Calibri"/>
                <w:b w:val="0"/>
                <w:i w:val="0"/>
                <w:sz w:val="18"/>
              </w:rPr>
              <w:t>Staff/Volunteer Screening &amp; Onboarding Checklist</w:t>
            </w:r>
          </w:p>
        </w:tc>
        <w:tc>
          <w:tcPr>
            <w:tcW w:type="dxa" w:w="2835"/>
          </w:tcPr>
          <w:p>
            <w:pPr>
              <w:spacing w:before="20" w:after="20"/>
            </w:pPr>
            <w:r/>
            <w:r>
              <w:rPr>
                <w:rFonts w:ascii="Calibri" w:hAnsi="Calibri"/>
                <w:b w:val="0"/>
                <w:i w:val="0"/>
                <w:sz w:val="18"/>
              </w:rPr>
              <w:t>5.03, 5.05</w:t>
            </w:r>
          </w:p>
        </w:tc>
      </w:tr>
      <w:tr>
        <w:tc>
          <w:tcPr>
            <w:tcW w:type="dxa" w:w="680"/>
          </w:tcPr>
          <w:p>
            <w:pPr>
              <w:spacing w:before="20" w:after="20"/>
            </w:pPr>
            <w:r/>
            <w:r>
              <w:rPr>
                <w:rFonts w:ascii="Calibri" w:hAnsi="Calibri"/>
                <w:b w:val="0"/>
                <w:i w:val="0"/>
                <w:sz w:val="18"/>
              </w:rPr>
              <w:t>16</w:t>
            </w:r>
          </w:p>
        </w:tc>
        <w:tc>
          <w:tcPr>
            <w:tcW w:type="dxa" w:w="6123"/>
          </w:tcPr>
          <w:p>
            <w:pPr>
              <w:spacing w:before="20" w:after="20"/>
            </w:pPr>
            <w:r/>
            <w:r>
              <w:rPr>
                <w:rFonts w:ascii="Calibri" w:hAnsi="Calibri"/>
                <w:b w:val="0"/>
                <w:i w:val="0"/>
                <w:sz w:val="18"/>
              </w:rPr>
              <w:t>Training &amp; CPR/Naloxone Certification Log</w:t>
            </w:r>
          </w:p>
        </w:tc>
        <w:tc>
          <w:tcPr>
            <w:tcW w:type="dxa" w:w="2835"/>
          </w:tcPr>
          <w:p>
            <w:pPr>
              <w:spacing w:before="20" w:after="20"/>
            </w:pPr>
            <w:r/>
            <w:r>
              <w:rPr>
                <w:rFonts w:ascii="Calibri" w:hAnsi="Calibri"/>
                <w:b w:val="0"/>
                <w:i w:val="0"/>
                <w:sz w:val="18"/>
              </w:rPr>
              <w:t>5.05, 5.06, 6.15</w:t>
            </w:r>
          </w:p>
        </w:tc>
      </w:tr>
      <w:tr>
        <w:tc>
          <w:tcPr>
            <w:tcW w:type="dxa" w:w="680"/>
          </w:tcPr>
          <w:p>
            <w:pPr>
              <w:spacing w:before="20" w:after="20"/>
            </w:pPr>
            <w:r/>
            <w:r>
              <w:rPr>
                <w:rFonts w:ascii="Calibri" w:hAnsi="Calibri"/>
                <w:b w:val="0"/>
                <w:i w:val="0"/>
                <w:sz w:val="18"/>
              </w:rPr>
              <w:t>17</w:t>
            </w:r>
          </w:p>
        </w:tc>
        <w:tc>
          <w:tcPr>
            <w:tcW w:type="dxa" w:w="6123"/>
          </w:tcPr>
          <w:p>
            <w:pPr>
              <w:spacing w:before="20" w:after="20"/>
            </w:pPr>
            <w:r/>
            <w:r>
              <w:rPr>
                <w:rFonts w:ascii="Calibri" w:hAnsi="Calibri"/>
                <w:b w:val="0"/>
                <w:i w:val="0"/>
                <w:sz w:val="18"/>
              </w:rPr>
              <w:t>Compliance Calendar &amp; Self-Audit Worksheet</w:t>
            </w:r>
          </w:p>
        </w:tc>
        <w:tc>
          <w:tcPr>
            <w:tcW w:type="dxa" w:w="2835"/>
          </w:tcPr>
          <w:p>
            <w:pPr>
              <w:spacing w:before="20" w:after="20"/>
            </w:pPr>
            <w:r/>
            <w:r>
              <w:rPr>
                <w:rFonts w:ascii="Calibri" w:hAnsi="Calibri"/>
                <w:b w:val="0"/>
                <w:i w:val="0"/>
                <w:sz w:val="18"/>
              </w:rPr>
              <w:t>7.10, Appendix C</w:t>
            </w:r>
          </w:p>
        </w:tc>
      </w:tr>
      <w:tr>
        <w:tc>
          <w:tcPr>
            <w:tcW w:type="dxa" w:w="680"/>
          </w:tcPr>
          <w:p>
            <w:pPr>
              <w:spacing w:before="20" w:after="20"/>
            </w:pPr>
            <w:r/>
            <w:r>
              <w:rPr>
                <w:rFonts w:ascii="Calibri" w:hAnsi="Calibri"/>
                <w:b w:val="0"/>
                <w:i w:val="0"/>
                <w:sz w:val="18"/>
              </w:rPr>
              <w:t>18</w:t>
            </w:r>
          </w:p>
        </w:tc>
        <w:tc>
          <w:tcPr>
            <w:tcW w:type="dxa" w:w="6123"/>
          </w:tcPr>
          <w:p>
            <w:pPr>
              <w:spacing w:before="20" w:after="20"/>
            </w:pPr>
            <w:r/>
            <w:r>
              <w:rPr>
                <w:rFonts w:ascii="Calibri" w:hAnsi="Calibri"/>
                <w:b w:val="0"/>
                <w:i w:val="0"/>
                <w:sz w:val="18"/>
              </w:rPr>
              <w:t>Records Retention &amp; Destruction Log</w:t>
            </w:r>
          </w:p>
        </w:tc>
        <w:tc>
          <w:tcPr>
            <w:tcW w:type="dxa" w:w="2835"/>
          </w:tcPr>
          <w:p>
            <w:pPr>
              <w:spacing w:before="20" w:after="20"/>
            </w:pPr>
            <w:r/>
            <w:r>
              <w:rPr>
                <w:rFonts w:ascii="Calibri" w:hAnsi="Calibri"/>
                <w:b w:val="0"/>
                <w:i w:val="0"/>
                <w:sz w:val="18"/>
              </w:rPr>
              <w:t>7.14, Appendix B</w:t>
            </w:r>
          </w:p>
        </w:tc>
      </w:tr>
    </w:tbl>
    <w:p/>
    <w:p>
      <w:r>
        <w:br w:type="page"/>
      </w:r>
    </w:p>
    <w:p>
      <w:pPr>
        <w:spacing w:before="0" w:after="80"/>
      </w:pPr>
      <w:r>
        <w:rPr>
          <w:rFonts w:ascii="Calibri" w:hAnsi="Calibri"/>
          <w:b/>
          <w:i w:val="0"/>
          <w:sz w:val="26"/>
        </w:rPr>
        <w:t>Appendix E — NARR Support Levels at a Glance</w:t>
      </w:r>
    </w:p>
    <w:p>
      <w:pPr>
        <w:spacing w:before="0" w:after="160"/>
      </w:pPr>
      <w:r>
        <w:rPr>
          <w:rFonts w:ascii="Calibri" w:hAnsi="Calibri"/>
          <w:b w:val="0"/>
          <w:i/>
          <w:sz w:val="20"/>
        </w:rPr>
        <w:t>The four NARR support levels — certified in Florida by FARR — describe increasing structure and staffing, not better or worse homes. Choose and declare the level that matches the home's actual operation (1.07). In Florida, a Level IV home that integrates clinical services also requires DCF licensure under Chapter 397.</w:t>
      </w:r>
    </w:p>
    <w:tbl>
      <w:tblPr>
        <w:tblStyle w:val="TableGrid"/>
        <w:tblW w:type="auto" w:w="0"/>
        <w:tblLayout w:type="fixed"/>
        <w:tblLook w:firstColumn="1" w:firstRow="1" w:lastColumn="0" w:lastRow="0" w:noHBand="0" w:noVBand="1" w:val="04A0"/>
      </w:tblPr>
      <w:tblGrid>
        <w:gridCol w:w="2256"/>
        <w:gridCol w:w="2256"/>
        <w:gridCol w:w="2256"/>
        <w:gridCol w:w="2256"/>
      </w:tblGrid>
      <w:tr>
        <w:tc>
          <w:tcPr>
            <w:tcW w:type="dxa" w:w="1701"/>
            <w:shd w:val="clear" w:color="auto" w:fill="E7ECF2"/>
          </w:tcPr>
          <w:p>
            <w:pPr>
              <w:spacing w:before="20" w:after="20"/>
            </w:pPr>
            <w:r/>
            <w:r>
              <w:rPr>
                <w:rFonts w:ascii="Calibri" w:hAnsi="Calibri"/>
                <w:b/>
                <w:i w:val="0"/>
                <w:sz w:val="18"/>
              </w:rPr>
              <w:t>Level</w:t>
            </w:r>
          </w:p>
        </w:tc>
        <w:tc>
          <w:tcPr>
            <w:tcW w:type="dxa" w:w="2948"/>
            <w:shd w:val="clear" w:color="auto" w:fill="E7ECF2"/>
          </w:tcPr>
          <w:p>
            <w:pPr>
              <w:spacing w:before="20" w:after="20"/>
            </w:pPr>
            <w:r/>
            <w:r>
              <w:rPr>
                <w:rFonts w:ascii="Calibri" w:hAnsi="Calibri"/>
                <w:b/>
                <w:i w:val="0"/>
                <w:sz w:val="18"/>
              </w:rPr>
              <w:t>Governance &amp; staffing</w:t>
            </w:r>
          </w:p>
        </w:tc>
        <w:tc>
          <w:tcPr>
            <w:tcW w:type="dxa" w:w="2721"/>
            <w:shd w:val="clear" w:color="auto" w:fill="E7ECF2"/>
          </w:tcPr>
          <w:p>
            <w:pPr>
              <w:spacing w:before="20" w:after="20"/>
            </w:pPr>
            <w:r/>
            <w:r>
              <w:rPr>
                <w:rFonts w:ascii="Calibri" w:hAnsi="Calibri"/>
                <w:b/>
                <w:i w:val="0"/>
                <w:sz w:val="18"/>
              </w:rPr>
              <w:t>Structure</w:t>
            </w:r>
          </w:p>
        </w:tc>
        <w:tc>
          <w:tcPr>
            <w:tcW w:type="dxa" w:w="2268"/>
            <w:shd w:val="clear" w:color="auto" w:fill="E7ECF2"/>
          </w:tcPr>
          <w:p>
            <w:pPr>
              <w:spacing w:before="20" w:after="20"/>
            </w:pPr>
            <w:r/>
            <w:r>
              <w:rPr>
                <w:rFonts w:ascii="Calibri" w:hAnsi="Calibri"/>
                <w:b/>
                <w:i w:val="0"/>
                <w:sz w:val="18"/>
              </w:rPr>
              <w:t>Typical fit</w:t>
            </w:r>
          </w:p>
        </w:tc>
      </w:tr>
      <w:tr>
        <w:tc>
          <w:tcPr>
            <w:tcW w:type="dxa" w:w="1701"/>
          </w:tcPr>
          <w:p>
            <w:pPr>
              <w:spacing w:before="20" w:after="20"/>
            </w:pPr>
            <w:r/>
            <w:r>
              <w:rPr>
                <w:rFonts w:ascii="Calibri" w:hAnsi="Calibri"/>
                <w:b w:val="0"/>
                <w:i w:val="0"/>
                <w:sz w:val="18"/>
              </w:rPr>
              <w:t>I — Peer-Run</w:t>
            </w:r>
          </w:p>
        </w:tc>
        <w:tc>
          <w:tcPr>
            <w:tcW w:type="dxa" w:w="2948"/>
          </w:tcPr>
          <w:p>
            <w:pPr>
              <w:spacing w:before="20" w:after="20"/>
            </w:pPr>
            <w:r/>
            <w:r>
              <w:rPr>
                <w:rFonts w:ascii="Calibri" w:hAnsi="Calibri"/>
                <w:b w:val="0"/>
                <w:i w:val="0"/>
                <w:sz w:val="18"/>
              </w:rPr>
              <w:t>Democratically run by residents; no paid staff</w:t>
            </w:r>
          </w:p>
        </w:tc>
        <w:tc>
          <w:tcPr>
            <w:tcW w:type="dxa" w:w="2721"/>
          </w:tcPr>
          <w:p>
            <w:pPr>
              <w:spacing w:before="20" w:after="20"/>
            </w:pPr>
            <w:r/>
            <w:r>
              <w:rPr>
                <w:rFonts w:ascii="Calibri" w:hAnsi="Calibri"/>
                <w:b w:val="0"/>
                <w:i w:val="0"/>
                <w:sz w:val="18"/>
              </w:rPr>
              <w:t>House rules by consensus; peer accountability</w:t>
            </w:r>
          </w:p>
        </w:tc>
        <w:tc>
          <w:tcPr>
            <w:tcW w:type="dxa" w:w="2268"/>
          </w:tcPr>
          <w:p>
            <w:pPr>
              <w:spacing w:before="20" w:after="20"/>
            </w:pPr>
            <w:r/>
            <w:r>
              <w:rPr>
                <w:rFonts w:ascii="Calibri" w:hAnsi="Calibri"/>
                <w:b w:val="0"/>
                <w:i w:val="0"/>
                <w:sz w:val="18"/>
              </w:rPr>
              <w:t>Self-directed residents (e.g., Oxford House)</w:t>
            </w:r>
          </w:p>
        </w:tc>
      </w:tr>
      <w:tr>
        <w:tc>
          <w:tcPr>
            <w:tcW w:type="dxa" w:w="1701"/>
          </w:tcPr>
          <w:p>
            <w:pPr>
              <w:spacing w:before="20" w:after="20"/>
            </w:pPr>
            <w:r/>
            <w:r>
              <w:rPr>
                <w:rFonts w:ascii="Calibri" w:hAnsi="Calibri"/>
                <w:b w:val="0"/>
                <w:i w:val="0"/>
                <w:sz w:val="18"/>
              </w:rPr>
              <w:t>II — Monitored</w:t>
            </w:r>
          </w:p>
        </w:tc>
        <w:tc>
          <w:tcPr>
            <w:tcW w:type="dxa" w:w="2948"/>
          </w:tcPr>
          <w:p>
            <w:pPr>
              <w:spacing w:before="20" w:after="20"/>
            </w:pPr>
            <w:r/>
            <w:r>
              <w:rPr>
                <w:rFonts w:ascii="Calibri" w:hAnsi="Calibri"/>
                <w:b w:val="0"/>
                <w:i w:val="0"/>
                <w:sz w:val="18"/>
              </w:rPr>
              <w:t>At least one paid house manager</w:t>
            </w:r>
          </w:p>
        </w:tc>
        <w:tc>
          <w:tcPr>
            <w:tcW w:type="dxa" w:w="2721"/>
          </w:tcPr>
          <w:p>
            <w:pPr>
              <w:spacing w:before="20" w:after="20"/>
            </w:pPr>
            <w:r/>
            <w:r>
              <w:rPr>
                <w:rFonts w:ascii="Calibri" w:hAnsi="Calibri"/>
                <w:b w:val="0"/>
                <w:i w:val="0"/>
                <w:sz w:val="18"/>
              </w:rPr>
              <w:t>House rules, drug testing, house meetings</w:t>
            </w:r>
          </w:p>
        </w:tc>
        <w:tc>
          <w:tcPr>
            <w:tcW w:type="dxa" w:w="2268"/>
          </w:tcPr>
          <w:p>
            <w:pPr>
              <w:spacing w:before="20" w:after="20"/>
            </w:pPr>
            <w:r/>
            <w:r>
              <w:rPr>
                <w:rFonts w:ascii="Calibri" w:hAnsi="Calibri"/>
                <w:b w:val="0"/>
                <w:i w:val="0"/>
                <w:sz w:val="18"/>
              </w:rPr>
              <w:t>Early-to-mid recovery</w:t>
            </w:r>
          </w:p>
        </w:tc>
      </w:tr>
      <w:tr>
        <w:tc>
          <w:tcPr>
            <w:tcW w:type="dxa" w:w="1701"/>
          </w:tcPr>
          <w:p>
            <w:pPr>
              <w:spacing w:before="20" w:after="20"/>
            </w:pPr>
            <w:r/>
            <w:r>
              <w:rPr>
                <w:rFonts w:ascii="Calibri" w:hAnsi="Calibri"/>
                <w:b w:val="0"/>
                <w:i w:val="0"/>
                <w:sz w:val="18"/>
              </w:rPr>
              <w:t>III — Supervised</w:t>
            </w:r>
          </w:p>
        </w:tc>
        <w:tc>
          <w:tcPr>
            <w:tcW w:type="dxa" w:w="2948"/>
          </w:tcPr>
          <w:p>
            <w:pPr>
              <w:spacing w:before="20" w:after="20"/>
            </w:pPr>
            <w:r/>
            <w:r>
              <w:rPr>
                <w:rFonts w:ascii="Calibri" w:hAnsi="Calibri"/>
                <w:b w:val="0"/>
                <w:i w:val="0"/>
                <w:sz w:val="18"/>
              </w:rPr>
              <w:t>Organizational staff, policies, oversight body</w:t>
            </w:r>
          </w:p>
        </w:tc>
        <w:tc>
          <w:tcPr>
            <w:tcW w:type="dxa" w:w="2721"/>
          </w:tcPr>
          <w:p>
            <w:pPr>
              <w:spacing w:before="20" w:after="20"/>
            </w:pPr>
            <w:r/>
            <w:r>
              <w:rPr>
                <w:rFonts w:ascii="Calibri" w:hAnsi="Calibri"/>
                <w:b w:val="0"/>
                <w:i w:val="0"/>
                <w:sz w:val="18"/>
              </w:rPr>
              <w:t>Structured schedules, life skills, case management</w:t>
            </w:r>
          </w:p>
        </w:tc>
        <w:tc>
          <w:tcPr>
            <w:tcW w:type="dxa" w:w="2268"/>
          </w:tcPr>
          <w:p>
            <w:pPr>
              <w:spacing w:before="20" w:after="20"/>
            </w:pPr>
            <w:r/>
            <w:r>
              <w:rPr>
                <w:rFonts w:ascii="Calibri" w:hAnsi="Calibri"/>
                <w:b w:val="0"/>
                <w:i w:val="0"/>
                <w:sz w:val="18"/>
              </w:rPr>
              <w:t>Residents needing more structure</w:t>
            </w:r>
          </w:p>
        </w:tc>
      </w:tr>
      <w:tr>
        <w:tc>
          <w:tcPr>
            <w:tcW w:type="dxa" w:w="1701"/>
          </w:tcPr>
          <w:p>
            <w:pPr>
              <w:spacing w:before="20" w:after="20"/>
            </w:pPr>
            <w:r/>
            <w:r>
              <w:rPr>
                <w:rFonts w:ascii="Calibri" w:hAnsi="Calibri"/>
                <w:b w:val="0"/>
                <w:i w:val="0"/>
                <w:sz w:val="18"/>
              </w:rPr>
              <w:t>IV — Service Provider</w:t>
            </w:r>
          </w:p>
        </w:tc>
        <w:tc>
          <w:tcPr>
            <w:tcW w:type="dxa" w:w="2948"/>
          </w:tcPr>
          <w:p>
            <w:pPr>
              <w:spacing w:before="20" w:after="20"/>
            </w:pPr>
            <w:r/>
            <w:r>
              <w:rPr>
                <w:rFonts w:ascii="Calibri" w:hAnsi="Calibri"/>
                <w:b w:val="0"/>
                <w:i w:val="0"/>
                <w:sz w:val="18"/>
              </w:rPr>
              <w:t>Credentialed clinical staff; DCF Ch. 397 licensure</w:t>
            </w:r>
          </w:p>
        </w:tc>
        <w:tc>
          <w:tcPr>
            <w:tcW w:type="dxa" w:w="2721"/>
          </w:tcPr>
          <w:p>
            <w:pPr>
              <w:spacing w:before="20" w:after="20"/>
            </w:pPr>
            <w:r/>
            <w:r>
              <w:rPr>
                <w:rFonts w:ascii="Calibri" w:hAnsi="Calibri"/>
                <w:b w:val="0"/>
                <w:i w:val="0"/>
                <w:sz w:val="18"/>
              </w:rPr>
              <w:t>Clinical programming integrated with housing</w:t>
            </w:r>
          </w:p>
        </w:tc>
        <w:tc>
          <w:tcPr>
            <w:tcW w:type="dxa" w:w="2268"/>
          </w:tcPr>
          <w:p>
            <w:pPr>
              <w:spacing w:before="20" w:after="20"/>
            </w:pPr>
            <w:r/>
            <w:r>
              <w:rPr>
                <w:rFonts w:ascii="Calibri" w:hAnsi="Calibri"/>
                <w:b w:val="0"/>
                <w:i w:val="0"/>
                <w:sz w:val="18"/>
              </w:rPr>
              <w:t>Higher-acuity / step-down from treatment</w:t>
            </w:r>
          </w:p>
        </w:tc>
      </w:tr>
    </w:tbl>
    <w:p/>
    <w:p>
      <w:r>
        <w:br w:type="page"/>
      </w:r>
    </w:p>
    <w:p>
      <w:pPr>
        <w:spacing w:before="0" w:after="80"/>
      </w:pPr>
      <w:r>
        <w:rPr>
          <w:rFonts w:ascii="Calibri" w:hAnsi="Calibri"/>
          <w:b/>
          <w:i w:val="0"/>
          <w:sz w:val="26"/>
        </w:rPr>
        <w:t>Appendix F — Florida Recovery Resource Directory</w:t>
      </w:r>
    </w:p>
    <w:p>
      <w:pPr>
        <w:spacing w:before="0" w:after="160"/>
      </w:pPr>
      <w:r>
        <w:rPr>
          <w:rFonts w:ascii="Calibri" w:hAnsi="Calibri"/>
          <w:b w:val="0"/>
          <w:i/>
          <w:sz w:val="20"/>
        </w:rPr>
        <w:t>Starting points for residents, operators, and referrals. Contacts change — verify each before relying on it, and localize this list to the home's county and managing entity.</w:t>
      </w:r>
    </w:p>
    <w:tbl>
      <w:tblPr>
        <w:tblStyle w:val="TableGrid"/>
        <w:tblW w:type="auto" w:w="0"/>
        <w:tblLayout w:type="fixed"/>
        <w:tblLook w:firstColumn="1" w:firstRow="1" w:lastColumn="0" w:lastRow="0" w:noHBand="0" w:noVBand="1" w:val="04A0"/>
      </w:tblPr>
      <w:tblGrid>
        <w:gridCol w:w="4513"/>
        <w:gridCol w:w="4513"/>
      </w:tblGrid>
      <w:tr>
        <w:tc>
          <w:tcPr>
            <w:tcW w:type="dxa" w:w="3969"/>
            <w:shd w:val="clear" w:color="auto" w:fill="E7ECF2"/>
          </w:tcPr>
          <w:p>
            <w:pPr>
              <w:spacing w:before="20" w:after="20"/>
            </w:pPr>
            <w:r/>
            <w:r>
              <w:rPr>
                <w:rFonts w:ascii="Calibri" w:hAnsi="Calibri"/>
                <w:b/>
                <w:i w:val="0"/>
                <w:sz w:val="18"/>
              </w:rPr>
              <w:t>Resource</w:t>
            </w:r>
          </w:p>
        </w:tc>
        <w:tc>
          <w:tcPr>
            <w:tcW w:type="dxa" w:w="5669"/>
            <w:shd w:val="clear" w:color="auto" w:fill="E7ECF2"/>
          </w:tcPr>
          <w:p>
            <w:pPr>
              <w:spacing w:before="20" w:after="20"/>
            </w:pPr>
            <w:r/>
            <w:r>
              <w:rPr>
                <w:rFonts w:ascii="Calibri" w:hAnsi="Calibri"/>
                <w:b/>
                <w:i w:val="0"/>
                <w:sz w:val="18"/>
              </w:rPr>
              <w:t>Contact / where</w:t>
            </w:r>
          </w:p>
        </w:tc>
      </w:tr>
      <w:tr>
        <w:tc>
          <w:tcPr>
            <w:tcW w:type="dxa" w:w="3969"/>
          </w:tcPr>
          <w:p>
            <w:pPr>
              <w:spacing w:before="20" w:after="20"/>
            </w:pPr>
            <w:r/>
            <w:r>
              <w:rPr>
                <w:rFonts w:ascii="Calibri" w:hAnsi="Calibri"/>
                <w:b w:val="0"/>
                <w:i w:val="0"/>
                <w:sz w:val="18"/>
              </w:rPr>
              <w:t>988 Suicide &amp; Crisis Lifeline</w:t>
            </w:r>
          </w:p>
        </w:tc>
        <w:tc>
          <w:tcPr>
            <w:tcW w:type="dxa" w:w="5669"/>
          </w:tcPr>
          <w:p>
            <w:pPr>
              <w:spacing w:before="20" w:after="20"/>
            </w:pPr>
            <w:r/>
            <w:r>
              <w:rPr>
                <w:rFonts w:ascii="Calibri" w:hAnsi="Calibri"/>
                <w:b w:val="0"/>
                <w:i w:val="0"/>
                <w:sz w:val="18"/>
              </w:rPr>
              <w:t>Call or text 988</w:t>
            </w:r>
          </w:p>
        </w:tc>
      </w:tr>
      <w:tr>
        <w:tc>
          <w:tcPr>
            <w:tcW w:type="dxa" w:w="3969"/>
          </w:tcPr>
          <w:p>
            <w:pPr>
              <w:spacing w:before="20" w:after="20"/>
            </w:pPr>
            <w:r/>
            <w:r>
              <w:rPr>
                <w:rFonts w:ascii="Calibri" w:hAnsi="Calibri"/>
                <w:b w:val="0"/>
                <w:i w:val="0"/>
                <w:sz w:val="18"/>
              </w:rPr>
              <w:t>Florida 211 (statewide help &amp; crisis)</w:t>
            </w:r>
          </w:p>
        </w:tc>
        <w:tc>
          <w:tcPr>
            <w:tcW w:type="dxa" w:w="5669"/>
          </w:tcPr>
          <w:p>
            <w:pPr>
              <w:spacing w:before="20" w:after="20"/>
            </w:pPr>
            <w:r/>
            <w:r>
              <w:rPr>
                <w:rFonts w:ascii="Calibri" w:hAnsi="Calibri"/>
                <w:b w:val="0"/>
                <w:i w:val="0"/>
                <w:sz w:val="18"/>
              </w:rPr>
              <w:t>Call or text 211</w:t>
            </w:r>
          </w:p>
        </w:tc>
      </w:tr>
      <w:tr>
        <w:tc>
          <w:tcPr>
            <w:tcW w:type="dxa" w:w="3969"/>
          </w:tcPr>
          <w:p>
            <w:pPr>
              <w:spacing w:before="20" w:after="20"/>
            </w:pPr>
            <w:r/>
            <w:r>
              <w:rPr>
                <w:rFonts w:ascii="Calibri" w:hAnsi="Calibri"/>
                <w:b w:val="0"/>
                <w:i w:val="0"/>
                <w:sz w:val="18"/>
              </w:rPr>
              <w:t>SAMHSA National Helpline</w:t>
            </w:r>
          </w:p>
        </w:tc>
        <w:tc>
          <w:tcPr>
            <w:tcW w:type="dxa" w:w="5669"/>
          </w:tcPr>
          <w:p>
            <w:pPr>
              <w:spacing w:before="20" w:after="20"/>
            </w:pPr>
            <w:r/>
            <w:r>
              <w:rPr>
                <w:rFonts w:ascii="Calibri" w:hAnsi="Calibri"/>
                <w:b w:val="0"/>
                <w:i w:val="0"/>
                <w:sz w:val="18"/>
              </w:rPr>
              <w:t>1-800-662-4357</w:t>
            </w:r>
          </w:p>
        </w:tc>
      </w:tr>
      <w:tr>
        <w:tc>
          <w:tcPr>
            <w:tcW w:type="dxa" w:w="3969"/>
          </w:tcPr>
          <w:p>
            <w:pPr>
              <w:spacing w:before="20" w:after="20"/>
            </w:pPr>
            <w:r/>
            <w:r>
              <w:rPr>
                <w:rFonts w:ascii="Calibri" w:hAnsi="Calibri"/>
                <w:b w:val="0"/>
                <w:i w:val="0"/>
                <w:sz w:val="18"/>
              </w:rPr>
              <w:t>DCF — Substance Abuse &amp; Mental Health (SAMH)</w:t>
            </w:r>
          </w:p>
        </w:tc>
        <w:tc>
          <w:tcPr>
            <w:tcW w:type="dxa" w:w="5669"/>
          </w:tcPr>
          <w:p>
            <w:pPr>
              <w:spacing w:before="20" w:after="20"/>
            </w:pPr>
            <w:r/>
            <w:r>
              <w:rPr>
                <w:rFonts w:ascii="Calibri" w:hAnsi="Calibri"/>
                <w:b w:val="0"/>
                <w:i w:val="0"/>
                <w:sz w:val="18"/>
              </w:rPr>
              <w:t>myflfamilies.com — recovery residence oversight</w:t>
            </w:r>
          </w:p>
        </w:tc>
      </w:tr>
      <w:tr>
        <w:tc>
          <w:tcPr>
            <w:tcW w:type="dxa" w:w="3969"/>
          </w:tcPr>
          <w:p>
            <w:pPr>
              <w:spacing w:before="20" w:after="20"/>
            </w:pPr>
            <w:r/>
            <w:r>
              <w:rPr>
                <w:rFonts w:ascii="Calibri" w:hAnsi="Calibri"/>
                <w:b w:val="0"/>
                <w:i w:val="0"/>
                <w:sz w:val="18"/>
              </w:rPr>
              <w:t>FARR (credentialing entity / NARR affiliate)</w:t>
            </w:r>
          </w:p>
        </w:tc>
        <w:tc>
          <w:tcPr>
            <w:tcW w:type="dxa" w:w="5669"/>
          </w:tcPr>
          <w:p>
            <w:pPr>
              <w:spacing w:before="20" w:after="20"/>
            </w:pPr>
            <w:r/>
            <w:r>
              <w:rPr>
                <w:rFonts w:ascii="Calibri" w:hAnsi="Calibri"/>
                <w:b w:val="0"/>
                <w:i w:val="0"/>
                <w:sz w:val="18"/>
              </w:rPr>
              <w:t>farronline.org — certification &amp; complaints</w:t>
            </w:r>
          </w:p>
        </w:tc>
      </w:tr>
      <w:tr>
        <w:tc>
          <w:tcPr>
            <w:tcW w:type="dxa" w:w="3969"/>
          </w:tcPr>
          <w:p>
            <w:pPr>
              <w:spacing w:before="20" w:after="20"/>
            </w:pPr>
            <w:r/>
            <w:r>
              <w:rPr>
                <w:rFonts w:ascii="Calibri" w:hAnsi="Calibri"/>
                <w:b w:val="0"/>
                <w:i w:val="0"/>
                <w:sz w:val="18"/>
              </w:rPr>
              <w:t>Florida Certification Board (CRRA)</w:t>
            </w:r>
          </w:p>
        </w:tc>
        <w:tc>
          <w:tcPr>
            <w:tcW w:type="dxa" w:w="5669"/>
          </w:tcPr>
          <w:p>
            <w:pPr>
              <w:spacing w:before="20" w:after="20"/>
            </w:pPr>
            <w:r/>
            <w:r>
              <w:rPr>
                <w:rFonts w:ascii="Calibri" w:hAnsi="Calibri"/>
                <w:b w:val="0"/>
                <w:i w:val="0"/>
                <w:sz w:val="18"/>
              </w:rPr>
              <w:t>flcertificationboard.org — administrator credential</w:t>
            </w:r>
          </w:p>
        </w:tc>
      </w:tr>
      <w:tr>
        <w:tc>
          <w:tcPr>
            <w:tcW w:type="dxa" w:w="3969"/>
          </w:tcPr>
          <w:p>
            <w:pPr>
              <w:spacing w:before="20" w:after="20"/>
            </w:pPr>
            <w:r/>
            <w:r>
              <w:rPr>
                <w:rFonts w:ascii="Calibri" w:hAnsi="Calibri"/>
                <w:b w:val="0"/>
                <w:i w:val="0"/>
                <w:sz w:val="18"/>
              </w:rPr>
              <w:t>Oxford House (Florida)</w:t>
            </w:r>
          </w:p>
        </w:tc>
        <w:tc>
          <w:tcPr>
            <w:tcW w:type="dxa" w:w="5669"/>
          </w:tcPr>
          <w:p>
            <w:pPr>
              <w:spacing w:before="20" w:after="20"/>
            </w:pPr>
            <w:r/>
            <w:r>
              <w:rPr>
                <w:rFonts w:ascii="Calibri" w:hAnsi="Calibri"/>
                <w:b w:val="0"/>
                <w:i w:val="0"/>
                <w:sz w:val="18"/>
              </w:rPr>
              <w:t>oxfordhouse.org — Level I self-run model</w:t>
            </w:r>
          </w:p>
        </w:tc>
      </w:tr>
      <w:tr>
        <w:tc>
          <w:tcPr>
            <w:tcW w:type="dxa" w:w="3969"/>
          </w:tcPr>
          <w:p>
            <w:pPr>
              <w:spacing w:before="20" w:after="20"/>
            </w:pPr>
            <w:r/>
            <w:r>
              <w:rPr>
                <w:rFonts w:ascii="Calibri" w:hAnsi="Calibri"/>
                <w:b w:val="0"/>
                <w:i w:val="0"/>
                <w:sz w:val="18"/>
              </w:rPr>
              <w:t>Naloxone (statewide standing order)</w:t>
            </w:r>
          </w:p>
        </w:tc>
        <w:tc>
          <w:tcPr>
            <w:tcW w:type="dxa" w:w="5669"/>
          </w:tcPr>
          <w:p>
            <w:pPr>
              <w:spacing w:before="20" w:after="20"/>
            </w:pPr>
            <w:r/>
            <w:r>
              <w:rPr>
                <w:rFonts w:ascii="Calibri" w:hAnsi="Calibri"/>
                <w:b w:val="0"/>
                <w:i w:val="0"/>
                <w:sz w:val="18"/>
              </w:rPr>
              <w:t>Pharmacies statewide; IBH-Naloxone distribution</w:t>
            </w:r>
          </w:p>
        </w:tc>
      </w:tr>
      <w:tr>
        <w:tc>
          <w:tcPr>
            <w:tcW w:type="dxa" w:w="3969"/>
          </w:tcPr>
          <w:p>
            <w:pPr>
              <w:spacing w:before="20" w:after="20"/>
            </w:pPr>
            <w:r/>
            <w:r>
              <w:rPr>
                <w:rFonts w:ascii="Calibri" w:hAnsi="Calibri"/>
                <w:b w:val="0"/>
                <w:i w:val="0"/>
                <w:sz w:val="18"/>
              </w:rPr>
              <w:t>Fair-housing complaints</w:t>
            </w:r>
          </w:p>
        </w:tc>
        <w:tc>
          <w:tcPr>
            <w:tcW w:type="dxa" w:w="5669"/>
          </w:tcPr>
          <w:p>
            <w:pPr>
              <w:spacing w:before="20" w:after="20"/>
            </w:pPr>
            <w:r/>
            <w:r>
              <w:rPr>
                <w:rFonts w:ascii="Calibri" w:hAnsi="Calibri"/>
                <w:b w:val="0"/>
                <w:i w:val="0"/>
                <w:sz w:val="18"/>
              </w:rPr>
              <w:t>HUD FHEO / Florida Commission on Human Relations (verify)</w:t>
            </w:r>
          </w:p>
        </w:tc>
      </w:tr>
      <w:tr>
        <w:tc>
          <w:tcPr>
            <w:tcW w:type="dxa" w:w="3969"/>
          </w:tcPr>
          <w:p>
            <w:pPr>
              <w:spacing w:before="20" w:after="20"/>
            </w:pPr>
            <w:r/>
            <w:r>
              <w:rPr>
                <w:rFonts w:ascii="Calibri" w:hAnsi="Calibri"/>
                <w:b w:val="0"/>
                <w:i w:val="0"/>
                <w:sz w:val="18"/>
              </w:rPr>
              <w:t>Adult Protective Services (abuse hotline)</w:t>
            </w:r>
          </w:p>
        </w:tc>
        <w:tc>
          <w:tcPr>
            <w:tcW w:type="dxa" w:w="5669"/>
          </w:tcPr>
          <w:p>
            <w:pPr>
              <w:spacing w:before="20" w:after="20"/>
            </w:pPr>
            <w:r/>
            <w:r>
              <w:rPr>
                <w:rFonts w:ascii="Calibri" w:hAnsi="Calibri"/>
                <w:b w:val="0"/>
                <w:i w:val="0"/>
                <w:sz w:val="18"/>
              </w:rPr>
              <w:t>1-800-962-2873 (verify)</w:t>
            </w:r>
          </w:p>
        </w:tc>
      </w:tr>
    </w:tbl>
    <w:p/>
    <w:p>
      <w:r>
        <w:br w:type="page"/>
      </w:r>
    </w:p>
    <w:p>
      <w:pPr>
        <w:spacing w:before="0" w:after="80"/>
      </w:pPr>
      <w:r>
        <w:rPr>
          <w:rFonts w:ascii="Calibri" w:hAnsi="Calibri"/>
          <w:b/>
          <w:i w:val="0"/>
          <w:sz w:val="26"/>
        </w:rPr>
        <w:t>Appendix G — Resident Bill of Rights (Postable)</w:t>
      </w:r>
    </w:p>
    <w:p>
      <w:pPr>
        <w:spacing w:before="0" w:after="160"/>
      </w:pPr>
      <w:r>
        <w:rPr>
          <w:rFonts w:ascii="Calibri" w:hAnsi="Calibri"/>
          <w:b w:val="0"/>
          <w:i/>
          <w:sz w:val="20"/>
        </w:rPr>
        <w:t>A plain-language summary suitable for printing and posting in a common area (see 2.01). Customize the home name and contacts, and translate as needed for meaningful access.</w:t>
      </w:r>
    </w:p>
    <w:p>
      <w:pPr>
        <w:spacing w:before="0" w:after="80"/>
        <w:ind w:left="340"/>
      </w:pPr>
      <w:r>
        <w:rPr>
          <w:rFonts w:ascii="Calibri" w:hAnsi="Calibri"/>
          <w:b w:val="0"/>
          <w:i w:val="0"/>
          <w:sz w:val="20"/>
        </w:rPr>
        <w:t>•  To be treated with dignity and respect at all times.</w:t>
      </w:r>
    </w:p>
    <w:p>
      <w:pPr>
        <w:spacing w:before="0" w:after="80"/>
        <w:ind w:left="340"/>
      </w:pPr>
      <w:r>
        <w:rPr>
          <w:rFonts w:ascii="Calibri" w:hAnsi="Calibri"/>
          <w:b w:val="0"/>
          <w:i w:val="0"/>
          <w:sz w:val="20"/>
        </w:rPr>
        <w:t>•  To a safe, healthy, and substance-free living environment.</w:t>
      </w:r>
    </w:p>
    <w:p>
      <w:pPr>
        <w:spacing w:before="0" w:after="80"/>
        <w:ind w:left="340"/>
      </w:pPr>
      <w:r>
        <w:rPr>
          <w:rFonts w:ascii="Calibri" w:hAnsi="Calibri"/>
          <w:b w:val="0"/>
          <w:i w:val="0"/>
          <w:sz w:val="20"/>
        </w:rPr>
        <w:t>•  To freedom from discrimination on the basis of race, color, national origin, religion, sex, familial status, disability, age, sexual orientation, or gender identity.</w:t>
      </w:r>
    </w:p>
    <w:p>
      <w:pPr>
        <w:spacing w:before="0" w:after="80"/>
        <w:ind w:left="340"/>
      </w:pPr>
      <w:r>
        <w:rPr>
          <w:rFonts w:ascii="Calibri" w:hAnsi="Calibri"/>
          <w:b w:val="0"/>
          <w:i w:val="0"/>
          <w:sz w:val="20"/>
        </w:rPr>
        <w:t>•  To keep and take prescribed medication, including medication for addiction treatment (MAT/MOUD), without penalty.</w:t>
      </w:r>
    </w:p>
    <w:p>
      <w:pPr>
        <w:spacing w:before="0" w:after="80"/>
        <w:ind w:left="340"/>
      </w:pPr>
      <w:r>
        <w:rPr>
          <w:rFonts w:ascii="Calibri" w:hAnsi="Calibri"/>
          <w:b w:val="0"/>
          <w:i w:val="0"/>
          <w:sz w:val="20"/>
        </w:rPr>
        <w:t>•  To request a reasonable accommodation for a disability.</w:t>
      </w:r>
    </w:p>
    <w:p>
      <w:pPr>
        <w:spacing w:before="0" w:after="80"/>
        <w:ind w:left="340"/>
      </w:pPr>
      <w:r>
        <w:rPr>
          <w:rFonts w:ascii="Calibri" w:hAnsi="Calibri"/>
          <w:b w:val="0"/>
          <w:i w:val="0"/>
          <w:sz w:val="20"/>
        </w:rPr>
        <w:t>•  To reasonable privacy and confidentiality of your information.</w:t>
      </w:r>
    </w:p>
    <w:p>
      <w:pPr>
        <w:spacing w:before="0" w:after="80"/>
        <w:ind w:left="340"/>
      </w:pPr>
      <w:r>
        <w:rPr>
          <w:rFonts w:ascii="Calibri" w:hAnsi="Calibri"/>
          <w:b w:val="0"/>
          <w:i w:val="0"/>
          <w:sz w:val="20"/>
        </w:rPr>
        <w:t>•  To know the house rules, fees, and the grounds and process for discharge before you agree to them.</w:t>
      </w:r>
    </w:p>
    <w:p>
      <w:pPr>
        <w:spacing w:before="0" w:after="80"/>
        <w:ind w:left="340"/>
      </w:pPr>
      <w:r>
        <w:rPr>
          <w:rFonts w:ascii="Calibri" w:hAnsi="Calibri"/>
          <w:b w:val="0"/>
          <w:i w:val="0"/>
          <w:sz w:val="20"/>
        </w:rPr>
        <w:t>•  To fair, consistent enforcement of the rules and a recovery-focused response to setbacks.</w:t>
      </w:r>
    </w:p>
    <w:p>
      <w:pPr>
        <w:spacing w:before="0" w:after="80"/>
        <w:ind w:left="340"/>
      </w:pPr>
      <w:r>
        <w:rPr>
          <w:rFonts w:ascii="Calibri" w:hAnsi="Calibri"/>
          <w:b w:val="0"/>
          <w:i w:val="0"/>
          <w:sz w:val="20"/>
        </w:rPr>
        <w:t>•  To file a grievance or appeal a decision without fear of retaliation.</w:t>
      </w:r>
    </w:p>
    <w:p>
      <w:pPr>
        <w:spacing w:before="0" w:after="80"/>
        <w:ind w:left="340"/>
      </w:pPr>
      <w:r>
        <w:rPr>
          <w:rFonts w:ascii="Calibri" w:hAnsi="Calibri"/>
          <w:b w:val="0"/>
          <w:i w:val="0"/>
          <w:sz w:val="20"/>
        </w:rPr>
        <w:t>•  To raise concerns to the certifying body or, for fair-housing issues, to HUD or the state.</w:t>
      </w:r>
    </w:p>
    <w:p>
      <w:pPr>
        <w:spacing w:before="0" w:after="80"/>
        <w:ind w:left="340"/>
      </w:pPr>
      <w:r>
        <w:rPr>
          <w:rFonts w:ascii="Calibri" w:hAnsi="Calibri"/>
          <w:b w:val="0"/>
          <w:i w:val="0"/>
          <w:sz w:val="20"/>
        </w:rPr>
        <w:t>•  To overdose-prevention education and access to naloxone.</w:t>
      </w:r>
    </w:p>
    <w:p>
      <w:pPr>
        <w:spacing w:before="0" w:after="80"/>
        <w:ind w:left="340"/>
      </w:pPr>
      <w:r>
        <w:rPr>
          <w:rFonts w:ascii="Calibri" w:hAnsi="Calibri"/>
          <w:b w:val="0"/>
          <w:i w:val="0"/>
          <w:sz w:val="20"/>
        </w:rPr>
        <w:t>•  To be connected to recovery supports, treatment, and community resources.</w:t>
      </w:r>
    </w:p>
    <w:p>
      <w:pPr>
        <w:spacing w:before="0" w:after="80"/>
        <w:ind w:left="340"/>
      </w:pPr>
      <w:r>
        <w:rPr>
          <w:rFonts w:ascii="Calibri" w:hAnsi="Calibri"/>
          <w:b w:val="0"/>
          <w:i w:val="0"/>
          <w:sz w:val="20"/>
        </w:rPr>
        <w:t>•  To a voice in the life of the home and to be heard.</w:t>
      </w:r>
    </w:p>
    <w:p>
      <w:pPr>
        <w:spacing w:before="160" w:after="0"/>
      </w:pPr>
      <w:r>
        <w:rPr>
          <w:rFonts w:ascii="Calibri" w:hAnsi="Calibri"/>
          <w:b w:val="0"/>
          <w:i/>
          <w:color w:val="555555"/>
          <w:sz w:val="19"/>
        </w:rPr>
        <w:t>Questions or concerns? Contact: __________________________     Certifying body / HUD: __________________________</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i w:val="0"/>
        <w:color w:val="555555"/>
        <w:sz w:val="17"/>
      </w:rPr>
      <w:t xml:space="preserve">PolicyReady · Customizable framework, not legal advice · Page </w:t>
    </w:r>
    <w:r>
      <w:rPr>
        <w:rFonts w:ascii="Calibri" w:hAnsi="Calibri"/>
        <w:color w:val="55555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color w:val="555555"/>
        <w:sz w:val="17"/>
      </w:rPr>
      <w:t>Recovery Residence Operations Manual · Florida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