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9360" w:type="dxa"/>
        <w:jc w:val="start"/>
        <w:tblInd w:w="0" w:type="dxa"/>
        <w:tblLayout w:type="fixed"/>
        <w:tblCellMar>
          <w:top w:w="300" w:type="dxa"/>
          <w:start w:w="200" w:type="dxa"/>
          <w:bottom w:w="300" w:type="dxa"/>
          <w:end w:w="200" w:type="dxa"/>
        </w:tblCellMar>
      </w:tblPr>
      <w:tblGrid>
        <w:gridCol w:w="9360"/>
      </w:tblGrid>
      <w:tr>
        <w:trPr/>
        <w:tc>
          <w:tcPr>
            <w:tcW w:w="9360" w:type="dxa"/>
            <w:tcBorders/>
            <w:shd w:color="auto" w:fill="1F3A5F" w:val="clear"/>
          </w:tcPr>
          <w:p>
            <w:pPr>
              <w:pStyle w:val="Normal"/>
              <w:spacing w:before="0" w:after="40"/>
              <w:jc w:val="center"/>
              <w:rPr/>
            </w:pPr>
            <w:r>
              <w:rPr>
                <w:rFonts w:eastAsia="Calibri" w:cs="Calibri"/>
                <w:b/>
                <w:bCs/>
                <w:i w:val="false"/>
                <w:iCs w:val="false"/>
                <w:color w:val="FFFFFF"/>
                <w:sz w:val="34"/>
                <w:szCs w:val="34"/>
              </w:rPr>
              <w:t>THE REFERRAL SYSTEM</w:t>
            </w:r>
          </w:p>
          <w:p>
            <w:pPr>
              <w:pStyle w:val="Normal"/>
              <w:spacing w:before="0" w:after="40"/>
              <w:jc w:val="center"/>
              <w:rPr/>
            </w:pPr>
            <w:r>
              <w:rPr>
                <w:rFonts w:eastAsia="Calibri" w:cs="Calibri"/>
                <w:b/>
                <w:bCs/>
                <w:i w:val="false"/>
                <w:iCs w:val="false"/>
                <w:color w:val="FFFFFF"/>
                <w:sz w:val="34"/>
                <w:szCs w:val="34"/>
              </w:rPr>
              <w:t>Playbook · Directory · Toolkit</w:t>
            </w:r>
          </w:p>
          <w:p>
            <w:pPr>
              <w:pStyle w:val="Normal"/>
              <w:spacing w:before="0" w:after="0"/>
              <w:jc w:val="center"/>
              <w:rPr/>
            </w:pPr>
            <w:r>
              <w:rPr>
                <w:rFonts w:eastAsia="Calibri" w:cs="Calibri"/>
                <w:b/>
                <w:bCs/>
                <w:i w:val="false"/>
                <w:iCs w:val="false"/>
                <w:color w:val="FFFFFF"/>
                <w:sz w:val="34"/>
                <w:szCs w:val="34"/>
              </w:rPr>
              <w:t>Colorado Edition</w:t>
            </w:r>
          </w:p>
        </w:tc>
      </w:tr>
    </w:tbl>
    <w:p>
      <w:pPr>
        <w:pStyle w:val="Normal"/>
        <w:spacing w:lineRule="exact" w:line="268" w:before="0" w:after="120"/>
        <w:jc w:val="center"/>
        <w:rPr/>
      </w:pPr>
      <w:r>
        <w:rPr>
          <w:rFonts w:eastAsia="Calibri" w:cs="Calibri"/>
          <w:b w:val="false"/>
          <w:bCs w:val="false"/>
          <w:i/>
          <w:iCs/>
          <w:color w:val="3E5871"/>
          <w:sz w:val="21"/>
          <w:szCs w:val="21"/>
        </w:rPr>
        <w:t>Everything a Colorado home care agency needs to build a steady stream of referrals — the strategy, a verified local resource directory, and the worksheets to run it week to week.</w:t>
      </w:r>
    </w:p>
    <w:p>
      <w:pPr>
        <w:pStyle w:val="Normal"/>
        <w:pBdr>
          <w:bottom w:val="single" w:sz="8" w:space="1" w:color="9DB1C7"/>
        </w:pBdr>
        <w:spacing w:before="80" w:after="120"/>
        <w:rPr/>
      </w:pPr>
      <w:r>
        <w:rPr/>
      </w:r>
    </w:p>
    <w:p>
      <w:pPr>
        <w:pStyle w:val="Normal"/>
        <w:spacing w:lineRule="exact" w:line="268" w:before="0" w:after="110"/>
        <w:jc w:val="start"/>
        <w:rPr/>
      </w:pPr>
      <w:r>
        <w:rPr>
          <w:rFonts w:eastAsia="Calibri" w:cs="Calibri"/>
          <w:b/>
          <w:bCs/>
          <w:i w:val="false"/>
          <w:iCs w:val="false"/>
          <w:color w:val="3E5871"/>
          <w:sz w:val="20"/>
          <w:szCs w:val="20"/>
        </w:rPr>
        <w:t xml:space="preserve">Three parts, one resource: </w:t>
      </w:r>
      <w:r>
        <w:rPr>
          <w:rFonts w:eastAsia="Calibri" w:cs="Calibri"/>
          <w:b w:val="false"/>
          <w:bCs w:val="false"/>
          <w:i w:val="false"/>
          <w:iCs w:val="false"/>
          <w:color w:val="1A1A1A"/>
          <w:sz w:val="20"/>
          <w:szCs w:val="20"/>
        </w:rPr>
        <w:t>Part One — the Playbook (how to earn referrals, an eleven-part system). Part Two — the Colorado Referral Directory (verified statewide contacts plus named-partner target lists for Denver, Colorado Springs, Aurora, and Fort Collins). Part Three — the Worksheets &amp; Tracker (run it weekly). General business guidance, not legal advice; follow all applicable anti-kickback and referral laws.</w:t>
      </w:r>
    </w:p>
    <w:p>
      <w:pPr>
        <w:pStyle w:val="Normal"/>
        <w:rPr/>
      </w:pPr>
      <w:r>
        <w:rPr/>
      </w:r>
      <w:r>
        <w:br w:type="page"/>
      </w:r>
    </w:p>
    <w:p>
      <w:pPr>
        <w:pStyle w:val="Normal"/>
        <w:keepNext w:val="true"/>
        <w:spacing w:before="0" w:after="90"/>
        <w:rPr/>
      </w:pPr>
      <w:r>
        <w:rPr>
          <w:rFonts w:eastAsia="Calibri" w:cs="Calibri"/>
          <w:b/>
          <w:bCs/>
          <w:i w:val="false"/>
          <w:iCs w:val="false"/>
          <w:color w:val="1F3A5F"/>
          <w:sz w:val="26"/>
          <w:szCs w:val="26"/>
        </w:rPr>
        <w:t>Part One — The Playbook: How to Earn Referrals</w:t>
      </w:r>
    </w:p>
    <w:p>
      <w:pPr>
        <w:pStyle w:val="Normal"/>
        <w:keepNext w:val="true"/>
        <w:spacing w:before="140" w:after="60"/>
        <w:rPr/>
      </w:pPr>
      <w:r>
        <w:rPr>
          <w:rFonts w:eastAsia="Calibri" w:cs="Calibri"/>
          <w:b/>
          <w:bCs/>
          <w:i w:val="false"/>
          <w:iCs w:val="false"/>
          <w:color w:val="3E5871"/>
          <w:sz w:val="21"/>
          <w:szCs w:val="21"/>
        </w:rPr>
        <w:t>How to Use This Playbook</w:t>
      </w:r>
    </w:p>
    <w:p>
      <w:pPr>
        <w:pStyle w:val="Normal"/>
        <w:spacing w:lineRule="exact" w:line="268" w:before="0" w:after="110"/>
        <w:jc w:val="start"/>
        <w:rPr/>
      </w:pPr>
      <w:r>
        <w:rPr>
          <w:rFonts w:eastAsia="Calibri" w:cs="Calibri"/>
          <w:b w:val="false"/>
          <w:bCs w:val="false"/>
          <w:i w:val="false"/>
          <w:iCs w:val="false"/>
          <w:color w:val="1A1A1A"/>
          <w:sz w:val="20"/>
          <w:szCs w:val="20"/>
        </w:rPr>
        <w:t>This playbook teaches you how to get clients the way successful care providers actually get them: through relationships with the people and organizations that already have your future clients in front of them. It works whether you run a home care agency, a residential care home, a brain-injury or behavioral-health program, or any other care business — the sources differ a little, but the system is the same.</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D8B37A"/>
              <w:start w:val="single" w:sz="6" w:space="0" w:color="D8B37A"/>
              <w:bottom w:val="single" w:sz="6" w:space="0" w:color="D8B37A"/>
              <w:end w:val="single" w:sz="6" w:space="0" w:color="D8B37A"/>
            </w:tcBorders>
            <w:shd w:color="auto" w:fill="FBF3E7" w:val="clear"/>
          </w:tcPr>
          <w:p>
            <w:pPr>
              <w:pStyle w:val="Normal"/>
              <w:spacing w:before="0" w:after="40"/>
              <w:rPr/>
            </w:pPr>
            <w:r>
              <w:rPr>
                <w:rFonts w:eastAsia="Calibri" w:cs="Calibri"/>
                <w:b/>
                <w:bCs/>
                <w:i w:val="false"/>
                <w:iCs w:val="false"/>
                <w:color w:val="8A5A1A"/>
                <w:sz w:val="19"/>
                <w:szCs w:val="19"/>
              </w:rPr>
              <w:t>The one idea to hold onto</w:t>
            </w:r>
          </w:p>
          <w:p>
            <w:pPr>
              <w:pStyle w:val="Normal"/>
              <w:spacing w:lineRule="exact" w:line="264" w:before="0" w:after="0"/>
              <w:rPr/>
            </w:pPr>
            <w:r>
              <w:rPr>
                <w:rFonts w:eastAsia="Calibri" w:cs="Calibri"/>
                <w:b w:val="false"/>
                <w:bCs w:val="false"/>
                <w:i w:val="false"/>
                <w:iCs w:val="false"/>
                <w:color w:val="1A1A1A"/>
                <w:sz w:val="19"/>
                <w:szCs w:val="19"/>
              </w:rPr>
              <w:t>People don’t choose a care provider from an ad — they choose the one a trusted professional recommends at the moment of need. Your job is to become that trusted, recommended provider for the handful of people who send clients your way. Do that, and referrals become steady and mostly free.</w:t>
            </w:r>
          </w:p>
        </w:tc>
      </w:tr>
    </w:tbl>
    <w:p>
      <w:pPr>
        <w:pStyle w:val="Normal"/>
        <w:keepNext w:val="true"/>
        <w:spacing w:before="140" w:after="60"/>
        <w:rPr/>
      </w:pPr>
      <w:r>
        <w:rPr>
          <w:rFonts w:eastAsia="Calibri" w:cs="Calibri"/>
          <w:b/>
          <w:bCs/>
          <w:i w:val="false"/>
          <w:iCs w:val="false"/>
          <w:color w:val="3E5871"/>
          <w:sz w:val="21"/>
          <w:szCs w:val="21"/>
        </w:rPr>
        <w:t>The whole system in one paragraph</w:t>
      </w:r>
    </w:p>
    <w:p>
      <w:pPr>
        <w:pStyle w:val="Normal"/>
        <w:spacing w:lineRule="exact" w:line="268" w:before="0" w:after="110"/>
        <w:jc w:val="start"/>
        <w:rPr/>
      </w:pPr>
      <w:r>
        <w:rPr>
          <w:rFonts w:eastAsia="Calibri" w:cs="Calibri"/>
          <w:b w:val="false"/>
          <w:bCs w:val="false"/>
          <w:i w:val="false"/>
          <w:iCs w:val="false"/>
          <w:color w:val="1A1A1A"/>
          <w:sz w:val="20"/>
          <w:szCs w:val="20"/>
        </w:rPr>
        <w:t>Here is the entire playbook in miniature. You identify the people who already serve your future clients (Part 2). You get into their official referral pipeline — discharge lists, payer contracts, and waiver enrollment — while staying on the right side of the law (Part 3). You understand what each of them actually needs from a provider (Part 4). You reach out and build real relationships with a small, focused list of them (Parts 5 and 6). You become the provider they trust and prefer by being reliable and easy to work with (Part 7). You show up online so you’re easy to find and check out (Part 8). And you run it as a weekly habit and track what works, so it compounds (Parts 9 and 10). Identify, get in, understand, reach out, deliver, track.</w:t>
      </w:r>
    </w:p>
    <w:p>
      <w:pPr>
        <w:pStyle w:val="Normal"/>
        <w:keepNext w:val="true"/>
        <w:spacing w:before="140" w:after="60"/>
        <w:rPr/>
      </w:pPr>
      <w:r>
        <w:rPr>
          <w:rFonts w:eastAsia="Calibri" w:cs="Calibri"/>
          <w:b/>
          <w:bCs/>
          <w:i w:val="false"/>
          <w:iCs w:val="false"/>
          <w:color w:val="3E5871"/>
          <w:sz w:val="21"/>
          <w:szCs w:val="21"/>
        </w:rPr>
        <w:t>The path at a glance</w:t>
      </w:r>
    </w:p>
    <w:p>
      <w:pPr>
        <w:pStyle w:val="Normal"/>
        <w:spacing w:lineRule="exact" w:line="268" w:before="0" w:after="70"/>
        <w:ind w:hanging="300" w:start="360"/>
        <w:rPr/>
      </w:pPr>
      <w:r>
        <w:rPr>
          <w:rFonts w:eastAsia="Calibri" w:cs="Calibri"/>
          <w:b/>
          <w:bCs/>
          <w:i w:val="false"/>
          <w:iCs w:val="false"/>
          <w:color w:val="3E5871"/>
          <w:sz w:val="20"/>
          <w:szCs w:val="20"/>
        </w:rPr>
        <w:t xml:space="preserve">1.  </w:t>
      </w:r>
      <w:r>
        <w:rPr>
          <w:rFonts w:eastAsia="Calibri" w:cs="Calibri"/>
          <w:b w:val="false"/>
          <w:bCs w:val="false"/>
          <w:i w:val="false"/>
          <w:iCs w:val="false"/>
          <w:color w:val="1A1A1A"/>
          <w:sz w:val="20"/>
          <w:szCs w:val="20"/>
        </w:rPr>
        <w:t>Build your referral-source list — who, near you, has your clients in front of them (Part 2 + the Tracker).</w:t>
      </w:r>
    </w:p>
    <w:p>
      <w:pPr>
        <w:pStyle w:val="Normal"/>
        <w:spacing w:lineRule="exact" w:line="268" w:before="0" w:after="70"/>
        <w:ind w:hanging="300" w:start="360"/>
        <w:rPr/>
      </w:pPr>
      <w:r>
        <w:rPr>
          <w:rFonts w:eastAsia="Calibri" w:cs="Calibri"/>
          <w:b/>
          <w:bCs/>
          <w:i w:val="false"/>
          <w:iCs w:val="false"/>
          <w:color w:val="3E5871"/>
          <w:sz w:val="20"/>
          <w:szCs w:val="20"/>
        </w:rPr>
        <w:t xml:space="preserve">2.  </w:t>
      </w:r>
      <w:r>
        <w:rPr>
          <w:rFonts w:eastAsia="Calibri" w:cs="Calibri"/>
          <w:b w:val="false"/>
          <w:bCs w:val="false"/>
          <w:i w:val="false"/>
          <w:iCs w:val="false"/>
          <w:color w:val="1A1A1A"/>
          <w:sz w:val="20"/>
          <w:szCs w:val="20"/>
        </w:rPr>
        <w:t>Pick your “Target 25” — the highest-value sources to focus on first.</w:t>
      </w:r>
    </w:p>
    <w:p>
      <w:pPr>
        <w:pStyle w:val="Normal"/>
        <w:spacing w:lineRule="exact" w:line="268" w:before="0" w:after="70"/>
        <w:ind w:hanging="300" w:start="360"/>
        <w:rPr/>
      </w:pPr>
      <w:r>
        <w:rPr>
          <w:rFonts w:eastAsia="Calibri" w:cs="Calibri"/>
          <w:b/>
          <w:bCs/>
          <w:i w:val="false"/>
          <w:iCs w:val="false"/>
          <w:color w:val="3E5871"/>
          <w:sz w:val="20"/>
          <w:szCs w:val="20"/>
        </w:rPr>
        <w:t xml:space="preserve">3.  </w:t>
      </w:r>
      <w:r>
        <w:rPr>
          <w:rFonts w:eastAsia="Calibri" w:cs="Calibri"/>
          <w:b w:val="false"/>
          <w:bCs w:val="false"/>
          <w:i w:val="false"/>
          <w:iCs w:val="false"/>
          <w:color w:val="1A1A1A"/>
          <w:sz w:val="20"/>
          <w:szCs w:val="20"/>
        </w:rPr>
        <w:t>Get into the official referral pipeline — discharge lists, payer contracts, and waiver enrollment — and know the legal line (Part 3).</w:t>
      </w:r>
    </w:p>
    <w:p>
      <w:pPr>
        <w:pStyle w:val="Normal"/>
        <w:spacing w:lineRule="exact" w:line="268" w:before="0" w:after="70"/>
        <w:ind w:hanging="300" w:start="360"/>
        <w:rPr/>
      </w:pPr>
      <w:r>
        <w:rPr>
          <w:rFonts w:eastAsia="Calibri" w:cs="Calibri"/>
          <w:b/>
          <w:bCs/>
          <w:i w:val="false"/>
          <w:iCs w:val="false"/>
          <w:color w:val="3E5871"/>
          <w:sz w:val="20"/>
          <w:szCs w:val="20"/>
        </w:rPr>
        <w:t xml:space="preserve">4.  </w:t>
      </w:r>
      <w:r>
        <w:rPr>
          <w:rFonts w:eastAsia="Calibri" w:cs="Calibri"/>
          <w:b w:val="false"/>
          <w:bCs w:val="false"/>
          <w:i w:val="false"/>
          <w:iCs w:val="false"/>
          <w:color w:val="1A1A1A"/>
          <w:sz w:val="20"/>
          <w:szCs w:val="20"/>
        </w:rPr>
        <w:t>Learn what each one wants, so your outreach speaks to their needs (Part 4).</w:t>
      </w:r>
    </w:p>
    <w:p>
      <w:pPr>
        <w:pStyle w:val="Normal"/>
        <w:spacing w:lineRule="exact" w:line="268" w:before="0" w:after="70"/>
        <w:ind w:hanging="300" w:start="360"/>
        <w:rPr/>
      </w:pPr>
      <w:r>
        <w:rPr>
          <w:rFonts w:eastAsia="Calibri" w:cs="Calibri"/>
          <w:b/>
          <w:bCs/>
          <w:i w:val="false"/>
          <w:iCs w:val="false"/>
          <w:color w:val="3E5871"/>
          <w:sz w:val="20"/>
          <w:szCs w:val="20"/>
        </w:rPr>
        <w:t xml:space="preserve">5.  </w:t>
      </w:r>
      <w:r>
        <w:rPr>
          <w:rFonts w:eastAsia="Calibri" w:cs="Calibri"/>
          <w:b w:val="false"/>
          <w:bCs w:val="false"/>
          <w:i w:val="false"/>
          <w:iCs w:val="false"/>
          <w:color w:val="1A1A1A"/>
          <w:sz w:val="20"/>
          <w:szCs w:val="20"/>
        </w:rPr>
        <w:t>Reach out and meet them — with a clear, short message about how you help (Parts 5–6).</w:t>
      </w:r>
    </w:p>
    <w:p>
      <w:pPr>
        <w:pStyle w:val="Normal"/>
        <w:spacing w:lineRule="exact" w:line="268" w:before="0" w:after="70"/>
        <w:ind w:hanging="300" w:start="360"/>
        <w:rPr/>
      </w:pPr>
      <w:r>
        <w:rPr>
          <w:rFonts w:eastAsia="Calibri" w:cs="Calibri"/>
          <w:b/>
          <w:bCs/>
          <w:i w:val="false"/>
          <w:iCs w:val="false"/>
          <w:color w:val="3E5871"/>
          <w:sz w:val="20"/>
          <w:szCs w:val="20"/>
        </w:rPr>
        <w:t xml:space="preserve">6.  </w:t>
      </w:r>
      <w:r>
        <w:rPr>
          <w:rFonts w:eastAsia="Calibri" w:cs="Calibri"/>
          <w:b w:val="false"/>
          <w:bCs w:val="false"/>
          <w:i w:val="false"/>
          <w:iCs w:val="false"/>
          <w:color w:val="1A1A1A"/>
          <w:sz w:val="20"/>
          <w:szCs w:val="20"/>
        </w:rPr>
        <w:t>Deliver so well that they refer again — reliability and communication (Part 7).</w:t>
      </w:r>
    </w:p>
    <w:p>
      <w:pPr>
        <w:pStyle w:val="Normal"/>
        <w:spacing w:lineRule="exact" w:line="268" w:before="0" w:after="70"/>
        <w:ind w:hanging="300" w:start="360"/>
        <w:rPr/>
      </w:pPr>
      <w:r>
        <w:rPr>
          <w:rFonts w:eastAsia="Calibri" w:cs="Calibri"/>
          <w:b/>
          <w:bCs/>
          <w:i w:val="false"/>
          <w:iCs w:val="false"/>
          <w:color w:val="3E5871"/>
          <w:sz w:val="20"/>
          <w:szCs w:val="20"/>
        </w:rPr>
        <w:t xml:space="preserve">7.  </w:t>
      </w:r>
      <w:r>
        <w:rPr>
          <w:rFonts w:eastAsia="Calibri" w:cs="Calibri"/>
          <w:b w:val="false"/>
          <w:bCs w:val="false"/>
          <w:i w:val="false"/>
          <w:iCs w:val="false"/>
          <w:color w:val="1A1A1A"/>
          <w:sz w:val="20"/>
          <w:szCs w:val="20"/>
        </w:rPr>
        <w:t>Get found online — Google Business Profile, reviews, website (Part 8).</w:t>
      </w:r>
    </w:p>
    <w:p>
      <w:pPr>
        <w:pStyle w:val="Normal"/>
        <w:spacing w:lineRule="exact" w:line="268" w:before="0" w:after="70"/>
        <w:ind w:hanging="300" w:start="360"/>
        <w:rPr/>
      </w:pPr>
      <w:r>
        <w:rPr>
          <w:rFonts w:eastAsia="Calibri" w:cs="Calibri"/>
          <w:b/>
          <w:bCs/>
          <w:i w:val="false"/>
          <w:iCs w:val="false"/>
          <w:color w:val="3E5871"/>
          <w:sz w:val="20"/>
          <w:szCs w:val="20"/>
        </w:rPr>
        <w:t xml:space="preserve">8.  </w:t>
      </w:r>
      <w:r>
        <w:rPr>
          <w:rFonts w:eastAsia="Calibri" w:cs="Calibri"/>
          <w:b w:val="false"/>
          <w:bCs w:val="false"/>
          <w:i w:val="false"/>
          <w:iCs w:val="false"/>
          <w:color w:val="1A1A1A"/>
          <w:sz w:val="20"/>
          <w:szCs w:val="20"/>
        </w:rPr>
        <w:t>Run the weekly rhythm and track results — double down on what produces (Parts 9–10).</w:t>
      </w:r>
    </w:p>
    <w:p>
      <w:pPr>
        <w:pStyle w:val="Normal"/>
        <w:rPr/>
      </w:pPr>
      <w:r>
        <w:rPr/>
      </w:r>
      <w:r>
        <w:br w:type="page"/>
      </w:r>
    </w:p>
    <w:p>
      <w:pPr>
        <w:pStyle w:val="Normal"/>
        <w:keepNext w:val="true"/>
        <w:spacing w:before="0" w:after="90"/>
        <w:rPr/>
      </w:pPr>
      <w:r>
        <w:rPr>
          <w:rFonts w:eastAsia="Calibri" w:cs="Calibri"/>
          <w:b/>
          <w:bCs/>
          <w:i w:val="false"/>
          <w:iCs w:val="false"/>
          <w:color w:val="1F3A5F"/>
          <w:sz w:val="26"/>
          <w:szCs w:val="26"/>
        </w:rPr>
        <w:t>Part 1 — Why Referrals Are Your #1 Growth Engine</w:t>
      </w:r>
    </w:p>
    <w:p>
      <w:pPr>
        <w:pStyle w:val="Normal"/>
        <w:spacing w:lineRule="exact" w:line="268" w:before="0" w:after="110"/>
        <w:jc w:val="start"/>
        <w:rPr/>
      </w:pPr>
      <w:r>
        <w:rPr>
          <w:rFonts w:eastAsia="Calibri" w:cs="Calibri"/>
          <w:b w:val="false"/>
          <w:bCs w:val="false"/>
          <w:i w:val="false"/>
          <w:iCs w:val="false"/>
          <w:color w:val="1A1A1A"/>
          <w:sz w:val="20"/>
          <w:szCs w:val="20"/>
        </w:rPr>
        <w:t>Most new care providers make the same mistake: they spend their limited money on ads and wait for the phone to ring. But care is a trust purchase made at a stressful moment — a hospital discharge, a fall, a diagnosis, a caregiver burning out — and at that moment people ask someone they trust: the discharge planner, the doctor, the care manager, the friend whose mother had a good experience. The provider that professional names is the one that gets the client.</w:t>
      </w:r>
    </w:p>
    <w:p>
      <w:pPr>
        <w:pStyle w:val="Normal"/>
        <w:spacing w:lineRule="exact" w:line="268" w:before="0" w:after="110"/>
        <w:jc w:val="start"/>
        <w:rPr/>
      </w:pPr>
      <w:r>
        <w:rPr>
          <w:rFonts w:eastAsia="Calibri" w:cs="Calibri"/>
          <w:b w:val="false"/>
          <w:bCs w:val="false"/>
          <w:i w:val="false"/>
          <w:iCs w:val="false"/>
          <w:color w:val="1A1A1A"/>
          <w:sz w:val="20"/>
          <w:szCs w:val="20"/>
        </w:rPr>
        <w:t>That’s why referrals beat advertising for care businesses on almost every measure: they cost little, they arrive pre-trusted (so they convert far better than a cold lead), and they compound — a discharge planner who trusts you sends you clients month after month, and a happy family tells other families. A single strong referral relationship can be worth more than an entire year’s ad budget. Your growth job, especially early, is not ‘marketing’ in the abstract — it is building and keeping a small number of referral relationships.</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D8B37A"/>
              <w:start w:val="single" w:sz="6" w:space="0" w:color="D8B37A"/>
              <w:bottom w:val="single" w:sz="6" w:space="0" w:color="D8B37A"/>
              <w:end w:val="single" w:sz="6" w:space="0" w:color="D8B37A"/>
            </w:tcBorders>
            <w:shd w:color="auto" w:fill="FBF3E7" w:val="clear"/>
          </w:tcPr>
          <w:p>
            <w:pPr>
              <w:pStyle w:val="Normal"/>
              <w:spacing w:before="0" w:after="40"/>
              <w:rPr/>
            </w:pPr>
            <w:r>
              <w:rPr>
                <w:rFonts w:eastAsia="Calibri" w:cs="Calibri"/>
                <w:b/>
                <w:bCs/>
                <w:i w:val="false"/>
                <w:iCs w:val="false"/>
                <w:color w:val="8A5A1A"/>
                <w:sz w:val="19"/>
                <w:szCs w:val="19"/>
              </w:rPr>
              <w:t>The math that should change how you spend your time</w:t>
            </w:r>
          </w:p>
          <w:p>
            <w:pPr>
              <w:pStyle w:val="Normal"/>
              <w:spacing w:lineRule="exact" w:line="264" w:before="0" w:after="0"/>
              <w:rPr/>
            </w:pPr>
            <w:r>
              <w:rPr>
                <w:rFonts w:eastAsia="Calibri" w:cs="Calibri"/>
                <w:b w:val="false"/>
                <w:bCs w:val="false"/>
                <w:i w:val="false"/>
                <w:iCs w:val="false"/>
                <w:color w:val="1A1A1A"/>
                <w:sz w:val="19"/>
                <w:szCs w:val="19"/>
              </w:rPr>
              <w:t>One hospital discharge planner or one senior-community director who trusts you might send several clients a month, for years. Winning that one relationship is worth more than thousands of ad impressions — and it costs you time and reliability, not dollars. Spend your time where the clients actually come from.</w:t>
            </w:r>
          </w:p>
        </w:tc>
      </w:tr>
    </w:tbl>
    <w:p>
      <w:pPr>
        <w:pStyle w:val="Normal"/>
        <w:spacing w:lineRule="exact" w:line="268" w:before="0" w:after="110"/>
        <w:jc w:val="start"/>
        <w:rPr/>
      </w:pPr>
      <w:r>
        <w:rPr>
          <w:rFonts w:eastAsia="Calibri" w:cs="Calibri"/>
          <w:b w:val="false"/>
          <w:bCs w:val="false"/>
          <w:i w:val="false"/>
          <w:iCs w:val="false"/>
          <w:color w:val="1A1A1A"/>
          <w:sz w:val="20"/>
          <w:szCs w:val="20"/>
        </w:rPr>
        <w:t>There is a second reason referrals matter so much in care: the people who refer you are betting their own credibility on you. When a discharge planner sends a patient home with your agency, or a care manager recommends your program to a family, they are staking their professional reputation on your performance. That is why a referral converts so well — the client arrives already trusting you because someone they trust vouched for you — and it is also why referral relationships, once earned, are so durable and so worth protecting. You are not just getting a client; you are being trusted, and every good outcome deepens that trust into a stream of future clients.</w:t>
      </w:r>
    </w:p>
    <w:p>
      <w:pPr>
        <w:pStyle w:val="Normal"/>
        <w:rPr/>
      </w:pPr>
      <w:r>
        <w:rPr/>
      </w:r>
      <w:r>
        <w:br w:type="page"/>
      </w:r>
    </w:p>
    <w:p>
      <w:pPr>
        <w:pStyle w:val="Normal"/>
        <w:keepNext w:val="true"/>
        <w:spacing w:before="0" w:after="90"/>
        <w:rPr/>
      </w:pPr>
      <w:r>
        <w:rPr>
          <w:rFonts w:eastAsia="Calibri" w:cs="Calibri"/>
          <w:b/>
          <w:bCs/>
          <w:i w:val="false"/>
          <w:iCs w:val="false"/>
          <w:color w:val="1F3A5F"/>
          <w:sz w:val="26"/>
          <w:szCs w:val="26"/>
        </w:rPr>
        <w:t>Part 2 — The Referral Source Map: Who Refers</w:t>
      </w:r>
    </w:p>
    <w:p>
      <w:pPr>
        <w:pStyle w:val="Normal"/>
        <w:spacing w:lineRule="exact" w:line="268" w:before="0" w:after="110"/>
        <w:jc w:val="start"/>
        <w:rPr/>
      </w:pPr>
      <w:r>
        <w:rPr>
          <w:rFonts w:eastAsia="Calibri" w:cs="Calibri"/>
          <w:b w:val="false"/>
          <w:bCs w:val="false"/>
          <w:i w:val="false"/>
          <w:iCs w:val="false"/>
          <w:color w:val="1A1A1A"/>
          <w:sz w:val="20"/>
          <w:szCs w:val="20"/>
        </w:rPr>
        <w:t>Here is the landscape of who sends clients to care providers. Not all of these fit every business — pick the ones whose clients match yours — but this is the full menu to choose from. (The companion Tracker gives you a worksheet to build your own local list from this map.)</w:t>
      </w:r>
    </w:p>
    <w:p>
      <w:pPr>
        <w:pStyle w:val="Normal"/>
        <w:spacing w:lineRule="exact" w:line="268" w:before="0" w:after="110"/>
        <w:jc w:val="start"/>
        <w:rPr/>
      </w:pPr>
      <w:r>
        <w:rPr>
          <w:rFonts w:eastAsia="Calibri" w:cs="Calibri"/>
          <w:b w:val="false"/>
          <w:bCs w:val="false"/>
          <w:i w:val="false"/>
          <w:iCs w:val="false"/>
          <w:color w:val="1A1A1A"/>
          <w:sz w:val="20"/>
          <w:szCs w:val="20"/>
        </w:rPr>
        <w:t>Which of these matter most depends on your business. A home care agency lives on hospital and skilled-nursing discharge planners, geriatric care managers, and senior communities. A residential care or assisted-living home leans on discharge planners, care managers, hospitals, and families touring for a placement. A brain-injury program depends on rehabilitation hospitals, trauma-center case managers, neurologists and physiatrists, and case managers. A behavioral-health provider works with hospitals, crisis teams, courts and probation, schools, and health-plan care coordinators. Read the whole map, then choose the six or eight source types where your future clients actually are, and build your list there.</w:t>
      </w:r>
    </w:p>
    <w:p>
      <w:pPr>
        <w:pStyle w:val="Normal"/>
        <w:keepNext w:val="true"/>
        <w:spacing w:before="140" w:after="60"/>
        <w:rPr/>
      </w:pPr>
      <w:r>
        <w:rPr>
          <w:rFonts w:eastAsia="Calibri" w:cs="Calibri"/>
          <w:b/>
          <w:bCs/>
          <w:i w:val="false"/>
          <w:iCs w:val="false"/>
          <w:color w:val="3E5871"/>
          <w:sz w:val="21"/>
          <w:szCs w:val="21"/>
        </w:rPr>
        <w:t>1. Healthcare discharge sources — usually the biggest</w:t>
      </w:r>
    </w:p>
    <w:tbl>
      <w:tblPr>
        <w:tblW w:w="9360" w:type="dxa"/>
        <w:jc w:val="start"/>
        <w:tblInd w:w="0" w:type="dxa"/>
        <w:tblLayout w:type="fixed"/>
        <w:tblCellMar>
          <w:top w:w="55" w:type="dxa"/>
          <w:start w:w="100" w:type="dxa"/>
          <w:bottom w:w="55" w:type="dxa"/>
          <w:end w:w="100" w:type="dxa"/>
        </w:tblCellMar>
      </w:tblPr>
      <w:tblGrid>
        <w:gridCol w:w="2600"/>
        <w:gridCol w:w="6759"/>
      </w:tblGrid>
      <w:tr>
        <w:trPr>
          <w:tblHeader w:val="true"/>
        </w:trPr>
        <w:tc>
          <w:tcPr>
            <w:tcW w:w="260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Source</w:t>
            </w:r>
          </w:p>
        </w:tc>
        <w:tc>
          <w:tcPr>
            <w:tcW w:w="675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Why they refer · how to reach them</w:t>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0" w:type="dxa"/>
              <w:bottom w:w="50" w:type="dxa"/>
            </w:tcMar>
          </w:tcPr>
          <w:p>
            <w:pPr>
              <w:pStyle w:val="Normal"/>
              <w:spacing w:lineRule="exact" w:line="268" w:before="0" w:after="0"/>
              <w:jc w:val="start"/>
              <w:rPr/>
            </w:pPr>
            <w:r>
              <w:rPr>
                <w:rFonts w:eastAsia="Calibri" w:cs="Calibri"/>
                <w:b/>
                <w:bCs/>
                <w:i w:val="false"/>
                <w:iCs w:val="false"/>
                <w:color w:val="3E5871"/>
                <w:sz w:val="15"/>
                <w:szCs w:val="15"/>
              </w:rPr>
              <w:t>Hospital discharge planners / case managers</w:t>
            </w:r>
          </w:p>
        </w:tc>
        <w:tc>
          <w:tcPr>
            <w:tcW w:w="6759" w:type="dxa"/>
            <w:tcBorders>
              <w:top w:val="single" w:sz="4" w:space="0" w:color="9DB1C7"/>
              <w:start w:val="single" w:sz="4" w:space="0" w:color="9DB1C7"/>
              <w:bottom w:val="single" w:sz="4" w:space="0" w:color="9DB1C7"/>
              <w:end w:val="single" w:sz="4" w:space="0" w:color="9DB1C7"/>
            </w:tcBorders>
            <w:tcMar>
              <w:top w:w="50" w:type="dxa"/>
              <w:bottom w:w="50" w:type="dxa"/>
            </w:tcMar>
          </w:tcPr>
          <w:p>
            <w:pPr>
              <w:pStyle w:val="Normal"/>
              <w:spacing w:lineRule="exact" w:line="268" w:before="0" w:after="0"/>
              <w:jc w:val="start"/>
              <w:rPr/>
            </w:pPr>
            <w:r>
              <w:rPr>
                <w:rFonts w:eastAsia="Calibri" w:cs="Calibri"/>
                <w:b w:val="false"/>
                <w:bCs w:val="false"/>
                <w:i w:val="false"/>
                <w:iCs w:val="false"/>
                <w:color w:val="1A1A1A"/>
                <w:sz w:val="15"/>
                <w:szCs w:val="15"/>
              </w:rPr>
              <w:t>They arrange where a patient goes next and need reliable providers who respond fast and prevent readmissions. Often your single highest-volume source. Reach them through the case management / social work department.</w:t>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0" w:type="dxa"/>
              <w:bottom w:w="50" w:type="dxa"/>
            </w:tcMar>
          </w:tcPr>
          <w:p>
            <w:pPr>
              <w:pStyle w:val="Normal"/>
              <w:spacing w:lineRule="exact" w:line="268" w:before="0" w:after="0"/>
              <w:jc w:val="start"/>
              <w:rPr/>
            </w:pPr>
            <w:r>
              <w:rPr>
                <w:rFonts w:eastAsia="Calibri" w:cs="Calibri"/>
                <w:b/>
                <w:bCs/>
                <w:i w:val="false"/>
                <w:iCs w:val="false"/>
                <w:color w:val="3E5871"/>
                <w:sz w:val="15"/>
                <w:szCs w:val="15"/>
              </w:rPr>
              <w:t>Skilled nursing &amp; rehab facility discharge planners</w:t>
            </w:r>
          </w:p>
        </w:tc>
        <w:tc>
          <w:tcPr>
            <w:tcW w:w="6759" w:type="dxa"/>
            <w:tcBorders>
              <w:top w:val="single" w:sz="4" w:space="0" w:color="9DB1C7"/>
              <w:start w:val="single" w:sz="4" w:space="0" w:color="9DB1C7"/>
              <w:bottom w:val="single" w:sz="4" w:space="0" w:color="9DB1C7"/>
              <w:end w:val="single" w:sz="4" w:space="0" w:color="9DB1C7"/>
            </w:tcBorders>
            <w:tcMar>
              <w:top w:w="50" w:type="dxa"/>
              <w:bottom w:w="50" w:type="dxa"/>
            </w:tcMar>
          </w:tcPr>
          <w:p>
            <w:pPr>
              <w:pStyle w:val="Normal"/>
              <w:spacing w:lineRule="exact" w:line="268" w:before="0" w:after="0"/>
              <w:jc w:val="start"/>
              <w:rPr/>
            </w:pPr>
            <w:r>
              <w:rPr>
                <w:rFonts w:eastAsia="Calibri" w:cs="Calibri"/>
                <w:b w:val="false"/>
                <w:bCs w:val="false"/>
                <w:i w:val="false"/>
                <w:iCs w:val="false"/>
                <w:color w:val="1A1A1A"/>
                <w:sz w:val="15"/>
                <w:szCs w:val="15"/>
              </w:rPr>
              <w:t>They discharge people who still need support at home or a lower level of care. Build relationships with their social workers and admissions/discharge staff.</w:t>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0" w:type="dxa"/>
              <w:bottom w:w="50" w:type="dxa"/>
            </w:tcMar>
          </w:tcPr>
          <w:p>
            <w:pPr>
              <w:pStyle w:val="Normal"/>
              <w:spacing w:lineRule="exact" w:line="268" w:before="0" w:after="0"/>
              <w:jc w:val="start"/>
              <w:rPr/>
            </w:pPr>
            <w:r>
              <w:rPr>
                <w:rFonts w:eastAsia="Calibri" w:cs="Calibri"/>
                <w:b/>
                <w:bCs/>
                <w:i w:val="false"/>
                <w:iCs w:val="false"/>
                <w:color w:val="3E5871"/>
                <w:sz w:val="15"/>
                <w:szCs w:val="15"/>
              </w:rPr>
              <w:t>Emergency department &amp; hospital social workers</w:t>
            </w:r>
          </w:p>
        </w:tc>
        <w:tc>
          <w:tcPr>
            <w:tcW w:w="6759" w:type="dxa"/>
            <w:tcBorders>
              <w:top w:val="single" w:sz="4" w:space="0" w:color="9DB1C7"/>
              <w:start w:val="single" w:sz="4" w:space="0" w:color="9DB1C7"/>
              <w:bottom w:val="single" w:sz="4" w:space="0" w:color="9DB1C7"/>
              <w:end w:val="single" w:sz="4" w:space="0" w:color="9DB1C7"/>
            </w:tcBorders>
            <w:tcMar>
              <w:top w:w="50" w:type="dxa"/>
              <w:bottom w:w="50" w:type="dxa"/>
            </w:tcMar>
          </w:tcPr>
          <w:p>
            <w:pPr>
              <w:pStyle w:val="Normal"/>
              <w:spacing w:lineRule="exact" w:line="268" w:before="0" w:after="0"/>
              <w:jc w:val="start"/>
              <w:rPr/>
            </w:pPr>
            <w:r>
              <w:rPr>
                <w:rFonts w:eastAsia="Calibri" w:cs="Calibri"/>
                <w:b w:val="false"/>
                <w:bCs w:val="false"/>
                <w:i w:val="false"/>
                <w:iCs w:val="false"/>
                <w:color w:val="1A1A1A"/>
                <w:sz w:val="15"/>
                <w:szCs w:val="15"/>
              </w:rPr>
              <w:t>They handle crisis discharges that need care set up quickly. Being responsive and available is what earns their trust.</w:t>
            </w:r>
          </w:p>
        </w:tc>
      </w:tr>
    </w:tbl>
    <w:p>
      <w:pPr>
        <w:pStyle w:val="Normal"/>
        <w:keepNext w:val="true"/>
        <w:spacing w:before="140" w:after="60"/>
        <w:rPr/>
      </w:pPr>
      <w:r>
        <w:rPr>
          <w:rFonts w:eastAsia="Calibri" w:cs="Calibri"/>
          <w:b/>
          <w:bCs/>
          <w:i w:val="false"/>
          <w:iCs w:val="false"/>
          <w:color w:val="3E5871"/>
          <w:sz w:val="21"/>
          <w:szCs w:val="21"/>
        </w:rPr>
        <w:t>2. Physicians and clinical offices</w:t>
      </w:r>
    </w:p>
    <w:tbl>
      <w:tblPr>
        <w:tblW w:w="9360" w:type="dxa"/>
        <w:jc w:val="start"/>
        <w:tblInd w:w="0" w:type="dxa"/>
        <w:tblLayout w:type="fixed"/>
        <w:tblCellMar>
          <w:top w:w="55" w:type="dxa"/>
          <w:start w:w="100" w:type="dxa"/>
          <w:bottom w:w="55" w:type="dxa"/>
          <w:end w:w="100" w:type="dxa"/>
        </w:tblCellMar>
      </w:tblPr>
      <w:tblGrid>
        <w:gridCol w:w="2600"/>
        <w:gridCol w:w="6759"/>
      </w:tblGrid>
      <w:tr>
        <w:trPr>
          <w:tblHeader w:val="true"/>
        </w:trPr>
        <w:tc>
          <w:tcPr>
            <w:tcW w:w="260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Source</w:t>
            </w:r>
          </w:p>
        </w:tc>
        <w:tc>
          <w:tcPr>
            <w:tcW w:w="675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Why they refer · how to reach them</w:t>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0" w:type="dxa"/>
              <w:bottom w:w="50" w:type="dxa"/>
            </w:tcMar>
          </w:tcPr>
          <w:p>
            <w:pPr>
              <w:pStyle w:val="Normal"/>
              <w:spacing w:lineRule="exact" w:line="268" w:before="0" w:after="0"/>
              <w:jc w:val="start"/>
              <w:rPr/>
            </w:pPr>
            <w:r>
              <w:rPr>
                <w:rFonts w:eastAsia="Calibri" w:cs="Calibri"/>
                <w:b/>
                <w:bCs/>
                <w:i w:val="false"/>
                <w:iCs w:val="false"/>
                <w:color w:val="3E5871"/>
                <w:sz w:val="15"/>
                <w:szCs w:val="15"/>
              </w:rPr>
              <w:t>Primary care physicians &amp; geriatricians</w:t>
            </w:r>
          </w:p>
        </w:tc>
        <w:tc>
          <w:tcPr>
            <w:tcW w:w="6759" w:type="dxa"/>
            <w:tcBorders>
              <w:top w:val="single" w:sz="4" w:space="0" w:color="9DB1C7"/>
              <w:start w:val="single" w:sz="4" w:space="0" w:color="9DB1C7"/>
              <w:bottom w:val="single" w:sz="4" w:space="0" w:color="9DB1C7"/>
              <w:end w:val="single" w:sz="4" w:space="0" w:color="9DB1C7"/>
            </w:tcBorders>
            <w:tcMar>
              <w:top w:w="50" w:type="dxa"/>
              <w:bottom w:w="50" w:type="dxa"/>
            </w:tcMar>
          </w:tcPr>
          <w:p>
            <w:pPr>
              <w:pStyle w:val="Normal"/>
              <w:spacing w:lineRule="exact" w:line="268" w:before="0" w:after="0"/>
              <w:jc w:val="start"/>
              <w:rPr/>
            </w:pPr>
            <w:r>
              <w:rPr>
                <w:rFonts w:eastAsia="Calibri" w:cs="Calibri"/>
                <w:b w:val="false"/>
                <w:bCs w:val="false"/>
                <w:i w:val="false"/>
                <w:iCs w:val="false"/>
                <w:color w:val="1A1A1A"/>
                <w:sz w:val="15"/>
                <w:szCs w:val="15"/>
              </w:rPr>
              <w:t>They know which patients are declining or unsafe at home. Reach the office manager and nurses, not just the doctor.</w:t>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0" w:type="dxa"/>
              <w:bottom w:w="50" w:type="dxa"/>
            </w:tcMar>
          </w:tcPr>
          <w:p>
            <w:pPr>
              <w:pStyle w:val="Normal"/>
              <w:spacing w:lineRule="exact" w:line="268" w:before="0" w:after="0"/>
              <w:jc w:val="start"/>
              <w:rPr/>
            </w:pPr>
            <w:r>
              <w:rPr>
                <w:rFonts w:eastAsia="Calibri" w:cs="Calibri"/>
                <w:b/>
                <w:bCs/>
                <w:i w:val="false"/>
                <w:iCs w:val="false"/>
                <w:color w:val="3E5871"/>
                <w:sz w:val="15"/>
                <w:szCs w:val="15"/>
              </w:rPr>
              <w:t>Specialists (neurology, cardiology, oncology, physiatry)</w:t>
            </w:r>
          </w:p>
        </w:tc>
        <w:tc>
          <w:tcPr>
            <w:tcW w:w="6759" w:type="dxa"/>
            <w:tcBorders>
              <w:top w:val="single" w:sz="4" w:space="0" w:color="9DB1C7"/>
              <w:start w:val="single" w:sz="4" w:space="0" w:color="9DB1C7"/>
              <w:bottom w:val="single" w:sz="4" w:space="0" w:color="9DB1C7"/>
              <w:end w:val="single" w:sz="4" w:space="0" w:color="9DB1C7"/>
            </w:tcBorders>
            <w:tcMar>
              <w:top w:w="50" w:type="dxa"/>
              <w:bottom w:w="50" w:type="dxa"/>
            </w:tcMar>
          </w:tcPr>
          <w:p>
            <w:pPr>
              <w:pStyle w:val="Normal"/>
              <w:spacing w:lineRule="exact" w:line="268" w:before="0" w:after="0"/>
              <w:jc w:val="start"/>
              <w:rPr/>
            </w:pPr>
            <w:r>
              <w:rPr>
                <w:rFonts w:eastAsia="Calibri" w:cs="Calibri"/>
                <w:b w:val="false"/>
                <w:bCs w:val="false"/>
                <w:i w:val="false"/>
                <w:iCs w:val="false"/>
                <w:color w:val="1A1A1A"/>
                <w:sz w:val="15"/>
                <w:szCs w:val="15"/>
              </w:rPr>
              <w:t>Relevant to specific niches — e.g., neurology for brain injury. Their care coordinators are the door.</w:t>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0" w:type="dxa"/>
              <w:bottom w:w="50" w:type="dxa"/>
            </w:tcMar>
          </w:tcPr>
          <w:p>
            <w:pPr>
              <w:pStyle w:val="Normal"/>
              <w:spacing w:lineRule="exact" w:line="268" w:before="0" w:after="0"/>
              <w:jc w:val="start"/>
              <w:rPr/>
            </w:pPr>
            <w:r>
              <w:rPr>
                <w:rFonts w:eastAsia="Calibri" w:cs="Calibri"/>
                <w:b/>
                <w:bCs/>
                <w:i w:val="false"/>
                <w:iCs w:val="false"/>
                <w:color w:val="3E5871"/>
                <w:sz w:val="15"/>
                <w:szCs w:val="15"/>
              </w:rPr>
              <w:t>Clinic &amp; FQHC social workers / care coordinators</w:t>
            </w:r>
          </w:p>
        </w:tc>
        <w:tc>
          <w:tcPr>
            <w:tcW w:w="6759" w:type="dxa"/>
            <w:tcBorders>
              <w:top w:val="single" w:sz="4" w:space="0" w:color="9DB1C7"/>
              <w:start w:val="single" w:sz="4" w:space="0" w:color="9DB1C7"/>
              <w:bottom w:val="single" w:sz="4" w:space="0" w:color="9DB1C7"/>
              <w:end w:val="single" w:sz="4" w:space="0" w:color="9DB1C7"/>
            </w:tcBorders>
            <w:tcMar>
              <w:top w:w="50" w:type="dxa"/>
              <w:bottom w:w="50" w:type="dxa"/>
            </w:tcMar>
          </w:tcPr>
          <w:p>
            <w:pPr>
              <w:pStyle w:val="Normal"/>
              <w:spacing w:lineRule="exact" w:line="268" w:before="0" w:after="0"/>
              <w:jc w:val="start"/>
              <w:rPr/>
            </w:pPr>
            <w:r>
              <w:rPr>
                <w:rFonts w:eastAsia="Calibri" w:cs="Calibri"/>
                <w:b w:val="false"/>
                <w:bCs w:val="false"/>
                <w:i w:val="false"/>
                <w:iCs w:val="false"/>
                <w:color w:val="1A1A1A"/>
                <w:sz w:val="15"/>
                <w:szCs w:val="15"/>
              </w:rPr>
              <w:t>They connect patients to community services and appreciate providers who make their job easier.</w:t>
            </w:r>
          </w:p>
        </w:tc>
      </w:tr>
    </w:tbl>
    <w:p>
      <w:pPr>
        <w:pStyle w:val="Normal"/>
        <w:keepNext w:val="true"/>
        <w:spacing w:before="140" w:after="60"/>
        <w:rPr/>
      </w:pPr>
      <w:r>
        <w:rPr>
          <w:rFonts w:eastAsia="Calibri" w:cs="Calibri"/>
          <w:b/>
          <w:bCs/>
          <w:i w:val="false"/>
          <w:iCs w:val="false"/>
          <w:color w:val="3E5871"/>
          <w:sz w:val="21"/>
          <w:szCs w:val="21"/>
        </w:rPr>
        <w:t>3. The aging &amp; disability network</w:t>
      </w:r>
    </w:p>
    <w:tbl>
      <w:tblPr>
        <w:tblW w:w="9360" w:type="dxa"/>
        <w:jc w:val="start"/>
        <w:tblInd w:w="0" w:type="dxa"/>
        <w:tblLayout w:type="fixed"/>
        <w:tblCellMar>
          <w:top w:w="55" w:type="dxa"/>
          <w:start w:w="100" w:type="dxa"/>
          <w:bottom w:w="55" w:type="dxa"/>
          <w:end w:w="100" w:type="dxa"/>
        </w:tblCellMar>
      </w:tblPr>
      <w:tblGrid>
        <w:gridCol w:w="2600"/>
        <w:gridCol w:w="6759"/>
      </w:tblGrid>
      <w:tr>
        <w:trPr>
          <w:tblHeader w:val="true"/>
        </w:trPr>
        <w:tc>
          <w:tcPr>
            <w:tcW w:w="260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Source</w:t>
            </w:r>
          </w:p>
        </w:tc>
        <w:tc>
          <w:tcPr>
            <w:tcW w:w="675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Why they refer · how to reach them</w:t>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0" w:type="dxa"/>
              <w:bottom w:w="50" w:type="dxa"/>
            </w:tcMar>
          </w:tcPr>
          <w:p>
            <w:pPr>
              <w:pStyle w:val="Normal"/>
              <w:spacing w:lineRule="exact" w:line="268" w:before="0" w:after="0"/>
              <w:jc w:val="start"/>
              <w:rPr/>
            </w:pPr>
            <w:r>
              <w:rPr>
                <w:rFonts w:eastAsia="Calibri" w:cs="Calibri"/>
                <w:b/>
                <w:bCs/>
                <w:i w:val="false"/>
                <w:iCs w:val="false"/>
                <w:color w:val="3E5871"/>
                <w:sz w:val="15"/>
                <w:szCs w:val="15"/>
              </w:rPr>
              <w:t>Geriatric care managers / aging life care professionals</w:t>
            </w:r>
          </w:p>
        </w:tc>
        <w:tc>
          <w:tcPr>
            <w:tcW w:w="6759" w:type="dxa"/>
            <w:tcBorders>
              <w:top w:val="single" w:sz="4" w:space="0" w:color="9DB1C7"/>
              <w:start w:val="single" w:sz="4" w:space="0" w:color="9DB1C7"/>
              <w:bottom w:val="single" w:sz="4" w:space="0" w:color="9DB1C7"/>
              <w:end w:val="single" w:sz="4" w:space="0" w:color="9DB1C7"/>
            </w:tcBorders>
            <w:tcMar>
              <w:top w:w="50" w:type="dxa"/>
              <w:bottom w:w="50" w:type="dxa"/>
            </w:tcMar>
          </w:tcPr>
          <w:p>
            <w:pPr>
              <w:pStyle w:val="Normal"/>
              <w:spacing w:lineRule="exact" w:line="268" w:before="0" w:after="0"/>
              <w:jc w:val="start"/>
              <w:rPr/>
            </w:pPr>
            <w:r>
              <w:rPr>
                <w:rFonts w:eastAsia="Calibri" w:cs="Calibri"/>
                <w:b w:val="false"/>
                <w:bCs w:val="false"/>
                <w:i w:val="false"/>
                <w:iCs w:val="false"/>
                <w:color w:val="1A1A1A"/>
                <w:sz w:val="15"/>
                <w:szCs w:val="15"/>
              </w:rPr>
              <w:t>Private care managers who advise families and recommend providers — high-trust, high-value referrers.</w:t>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0" w:type="dxa"/>
              <w:bottom w:w="50" w:type="dxa"/>
            </w:tcMar>
          </w:tcPr>
          <w:p>
            <w:pPr>
              <w:pStyle w:val="Normal"/>
              <w:spacing w:lineRule="exact" w:line="268" w:before="0" w:after="0"/>
              <w:jc w:val="start"/>
              <w:rPr/>
            </w:pPr>
            <w:r>
              <w:rPr>
                <w:rFonts w:eastAsia="Calibri" w:cs="Calibri"/>
                <w:b/>
                <w:bCs/>
                <w:i w:val="false"/>
                <w:iCs w:val="false"/>
                <w:color w:val="3E5871"/>
                <w:sz w:val="15"/>
                <w:szCs w:val="15"/>
              </w:rPr>
              <w:t>Area Agencies on Aging &amp; senior information lines</w:t>
            </w:r>
          </w:p>
        </w:tc>
        <w:tc>
          <w:tcPr>
            <w:tcW w:w="6759" w:type="dxa"/>
            <w:tcBorders>
              <w:top w:val="single" w:sz="4" w:space="0" w:color="9DB1C7"/>
              <w:start w:val="single" w:sz="4" w:space="0" w:color="9DB1C7"/>
              <w:bottom w:val="single" w:sz="4" w:space="0" w:color="9DB1C7"/>
              <w:end w:val="single" w:sz="4" w:space="0" w:color="9DB1C7"/>
            </w:tcBorders>
            <w:tcMar>
              <w:top w:w="50" w:type="dxa"/>
              <w:bottom w:w="50" w:type="dxa"/>
            </w:tcMar>
          </w:tcPr>
          <w:p>
            <w:pPr>
              <w:pStyle w:val="Normal"/>
              <w:spacing w:lineRule="exact" w:line="268" w:before="0" w:after="0"/>
              <w:jc w:val="start"/>
              <w:rPr/>
            </w:pPr>
            <w:r>
              <w:rPr>
                <w:rFonts w:eastAsia="Calibri" w:cs="Calibri"/>
                <w:b w:val="false"/>
                <w:bCs w:val="false"/>
                <w:i w:val="false"/>
                <w:iCs w:val="false"/>
                <w:color w:val="1A1A1A"/>
                <w:sz w:val="15"/>
                <w:szCs w:val="15"/>
              </w:rPr>
              <w:t>Local hubs that field “I need help for my parent” calls and maintain provider lists.</w:t>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0" w:type="dxa"/>
              <w:bottom w:w="50" w:type="dxa"/>
            </w:tcMar>
          </w:tcPr>
          <w:p>
            <w:pPr>
              <w:pStyle w:val="Normal"/>
              <w:spacing w:lineRule="exact" w:line="268" w:before="0" w:after="0"/>
              <w:jc w:val="start"/>
              <w:rPr/>
            </w:pPr>
            <w:r>
              <w:rPr>
                <w:rFonts w:eastAsia="Calibri" w:cs="Calibri"/>
                <w:b/>
                <w:bCs/>
                <w:i w:val="false"/>
                <w:iCs w:val="false"/>
                <w:color w:val="3E5871"/>
                <w:sz w:val="15"/>
                <w:szCs w:val="15"/>
              </w:rPr>
              <w:t>County / Medicaid case managers &amp; waiver coordinators</w:t>
            </w:r>
          </w:p>
        </w:tc>
        <w:tc>
          <w:tcPr>
            <w:tcW w:w="6759" w:type="dxa"/>
            <w:tcBorders>
              <w:top w:val="single" w:sz="4" w:space="0" w:color="9DB1C7"/>
              <w:start w:val="single" w:sz="4" w:space="0" w:color="9DB1C7"/>
              <w:bottom w:val="single" w:sz="4" w:space="0" w:color="9DB1C7"/>
              <w:end w:val="single" w:sz="4" w:space="0" w:color="9DB1C7"/>
            </w:tcBorders>
            <w:tcMar>
              <w:top w:w="50" w:type="dxa"/>
              <w:bottom w:w="50" w:type="dxa"/>
            </w:tcMar>
          </w:tcPr>
          <w:p>
            <w:pPr>
              <w:pStyle w:val="Normal"/>
              <w:spacing w:lineRule="exact" w:line="268" w:before="0" w:after="0"/>
              <w:jc w:val="start"/>
              <w:rPr/>
            </w:pPr>
            <w:r>
              <w:rPr>
                <w:rFonts w:eastAsia="Calibri" w:cs="Calibri"/>
                <w:b w:val="false"/>
                <w:bCs w:val="false"/>
                <w:i w:val="false"/>
                <w:iCs w:val="false"/>
                <w:color w:val="1A1A1A"/>
                <w:sz w:val="15"/>
                <w:szCs w:val="15"/>
              </w:rPr>
              <w:t>They authorize and coordinate publicly funded services and place clients with providers.</w:t>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0" w:type="dxa"/>
              <w:bottom w:w="50" w:type="dxa"/>
            </w:tcMar>
          </w:tcPr>
          <w:p>
            <w:pPr>
              <w:pStyle w:val="Normal"/>
              <w:spacing w:lineRule="exact" w:line="268" w:before="0" w:after="0"/>
              <w:jc w:val="start"/>
              <w:rPr/>
            </w:pPr>
            <w:r>
              <w:rPr>
                <w:rFonts w:eastAsia="Calibri" w:cs="Calibri"/>
                <w:b/>
                <w:bCs/>
                <w:i w:val="false"/>
                <w:iCs w:val="false"/>
                <w:color w:val="3E5871"/>
                <w:sz w:val="15"/>
                <w:szCs w:val="15"/>
              </w:rPr>
              <w:t>Managed-care &amp; MLTSS care coordinators</w:t>
            </w:r>
          </w:p>
        </w:tc>
        <w:tc>
          <w:tcPr>
            <w:tcW w:w="6759" w:type="dxa"/>
            <w:tcBorders>
              <w:top w:val="single" w:sz="4" w:space="0" w:color="9DB1C7"/>
              <w:start w:val="single" w:sz="4" w:space="0" w:color="9DB1C7"/>
              <w:bottom w:val="single" w:sz="4" w:space="0" w:color="9DB1C7"/>
              <w:end w:val="single" w:sz="4" w:space="0" w:color="9DB1C7"/>
            </w:tcBorders>
            <w:tcMar>
              <w:top w:w="50" w:type="dxa"/>
              <w:bottom w:w="50" w:type="dxa"/>
            </w:tcMar>
          </w:tcPr>
          <w:p>
            <w:pPr>
              <w:pStyle w:val="Normal"/>
              <w:spacing w:lineRule="exact" w:line="268" w:before="0" w:after="0"/>
              <w:jc w:val="start"/>
              <w:rPr/>
            </w:pPr>
            <w:r>
              <w:rPr>
                <w:rFonts w:eastAsia="Calibri" w:cs="Calibri"/>
                <w:b w:val="false"/>
                <w:bCs w:val="false"/>
                <w:i w:val="false"/>
                <w:iCs w:val="false"/>
                <w:color w:val="1A1A1A"/>
                <w:sz w:val="15"/>
                <w:szCs w:val="15"/>
              </w:rPr>
              <w:t>Health-plan staff who arrange long-term services and supports for members.</w:t>
            </w:r>
          </w:p>
        </w:tc>
      </w:tr>
    </w:tbl>
    <w:p>
      <w:pPr>
        <w:pStyle w:val="Normal"/>
        <w:keepNext w:val="true"/>
        <w:spacing w:before="140" w:after="60"/>
        <w:rPr/>
      </w:pPr>
      <w:r>
        <w:rPr>
          <w:rFonts w:eastAsia="Calibri" w:cs="Calibri"/>
          <w:b/>
          <w:bCs/>
          <w:i w:val="false"/>
          <w:iCs w:val="false"/>
          <w:color w:val="3E5871"/>
          <w:sz w:val="21"/>
          <w:szCs w:val="21"/>
        </w:rPr>
        <w:t>4. Senior living, housing &amp; other providers</w:t>
      </w:r>
    </w:p>
    <w:tbl>
      <w:tblPr>
        <w:tblW w:w="9360" w:type="dxa"/>
        <w:jc w:val="start"/>
        <w:tblInd w:w="0" w:type="dxa"/>
        <w:tblLayout w:type="fixed"/>
        <w:tblCellMar>
          <w:top w:w="55" w:type="dxa"/>
          <w:start w:w="100" w:type="dxa"/>
          <w:bottom w:w="55" w:type="dxa"/>
          <w:end w:w="100" w:type="dxa"/>
        </w:tblCellMar>
      </w:tblPr>
      <w:tblGrid>
        <w:gridCol w:w="2600"/>
        <w:gridCol w:w="6759"/>
      </w:tblGrid>
      <w:tr>
        <w:trPr>
          <w:tblHeader w:val="true"/>
        </w:trPr>
        <w:tc>
          <w:tcPr>
            <w:tcW w:w="260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Source</w:t>
            </w:r>
          </w:p>
        </w:tc>
        <w:tc>
          <w:tcPr>
            <w:tcW w:w="675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Why they refer · how to reach them</w:t>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0" w:type="dxa"/>
              <w:bottom w:w="50" w:type="dxa"/>
            </w:tcMar>
          </w:tcPr>
          <w:p>
            <w:pPr>
              <w:pStyle w:val="Normal"/>
              <w:spacing w:lineRule="exact" w:line="268" w:before="0" w:after="0"/>
              <w:jc w:val="start"/>
              <w:rPr/>
            </w:pPr>
            <w:r>
              <w:rPr>
                <w:rFonts w:eastAsia="Calibri" w:cs="Calibri"/>
                <w:b/>
                <w:bCs/>
                <w:i w:val="false"/>
                <w:iCs w:val="false"/>
                <w:color w:val="3E5871"/>
                <w:sz w:val="15"/>
                <w:szCs w:val="15"/>
              </w:rPr>
              <w:t>Assisted living, independent living, memory care &amp; CCRCs</w:t>
            </w:r>
          </w:p>
        </w:tc>
        <w:tc>
          <w:tcPr>
            <w:tcW w:w="6759" w:type="dxa"/>
            <w:tcBorders>
              <w:top w:val="single" w:sz="4" w:space="0" w:color="9DB1C7"/>
              <w:start w:val="single" w:sz="4" w:space="0" w:color="9DB1C7"/>
              <w:bottom w:val="single" w:sz="4" w:space="0" w:color="9DB1C7"/>
              <w:end w:val="single" w:sz="4" w:space="0" w:color="9DB1C7"/>
            </w:tcBorders>
            <w:tcMar>
              <w:top w:w="50" w:type="dxa"/>
              <w:bottom w:w="50" w:type="dxa"/>
            </w:tcMar>
          </w:tcPr>
          <w:p>
            <w:pPr>
              <w:pStyle w:val="Normal"/>
              <w:spacing w:lineRule="exact" w:line="268" w:before="0" w:after="0"/>
              <w:jc w:val="start"/>
              <w:rPr/>
            </w:pPr>
            <w:r>
              <w:rPr>
                <w:rFonts w:eastAsia="Calibri" w:cs="Calibri"/>
                <w:b w:val="false"/>
                <w:bCs w:val="false"/>
                <w:i w:val="false"/>
                <w:iCs w:val="false"/>
                <w:color w:val="1A1A1A"/>
                <w:sz w:val="15"/>
                <w:szCs w:val="15"/>
              </w:rPr>
              <w:t>Residents often need added in-home help, or a different level of care; directors refer both ways.</w:t>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0" w:type="dxa"/>
              <w:bottom w:w="50" w:type="dxa"/>
            </w:tcMar>
          </w:tcPr>
          <w:p>
            <w:pPr>
              <w:pStyle w:val="Normal"/>
              <w:spacing w:lineRule="exact" w:line="268" w:before="0" w:after="0"/>
              <w:jc w:val="start"/>
              <w:rPr/>
            </w:pPr>
            <w:r>
              <w:rPr>
                <w:rFonts w:eastAsia="Calibri" w:cs="Calibri"/>
                <w:b/>
                <w:bCs/>
                <w:i w:val="false"/>
                <w:iCs w:val="false"/>
                <w:color w:val="3E5871"/>
                <w:sz w:val="15"/>
                <w:szCs w:val="15"/>
              </w:rPr>
              <w:t>Board-and-care / residential care homes</w:t>
            </w:r>
          </w:p>
        </w:tc>
        <w:tc>
          <w:tcPr>
            <w:tcW w:w="6759" w:type="dxa"/>
            <w:tcBorders>
              <w:top w:val="single" w:sz="4" w:space="0" w:color="9DB1C7"/>
              <w:start w:val="single" w:sz="4" w:space="0" w:color="9DB1C7"/>
              <w:bottom w:val="single" w:sz="4" w:space="0" w:color="9DB1C7"/>
              <w:end w:val="single" w:sz="4" w:space="0" w:color="9DB1C7"/>
            </w:tcBorders>
            <w:tcMar>
              <w:top w:w="50" w:type="dxa"/>
              <w:bottom w:w="50" w:type="dxa"/>
            </w:tcMar>
          </w:tcPr>
          <w:p>
            <w:pPr>
              <w:pStyle w:val="Normal"/>
              <w:spacing w:lineRule="exact" w:line="268" w:before="0" w:after="0"/>
              <w:jc w:val="start"/>
              <w:rPr/>
            </w:pPr>
            <w:r>
              <w:rPr>
                <w:rFonts w:eastAsia="Calibri" w:cs="Calibri"/>
                <w:b w:val="false"/>
                <w:bCs w:val="false"/>
                <w:i w:val="false"/>
                <w:iCs w:val="false"/>
                <w:color w:val="1A1A1A"/>
                <w:sz w:val="15"/>
                <w:szCs w:val="15"/>
              </w:rPr>
              <w:t>They refer residents who need more or different care, and take your referrals in return.</w:t>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0" w:type="dxa"/>
              <w:bottom w:w="50" w:type="dxa"/>
            </w:tcMar>
          </w:tcPr>
          <w:p>
            <w:pPr>
              <w:pStyle w:val="Normal"/>
              <w:spacing w:lineRule="exact" w:line="268" w:before="0" w:after="0"/>
              <w:jc w:val="start"/>
              <w:rPr/>
            </w:pPr>
            <w:r>
              <w:rPr>
                <w:rFonts w:eastAsia="Calibri" w:cs="Calibri"/>
                <w:b/>
                <w:bCs/>
                <w:i w:val="false"/>
                <w:iCs w:val="false"/>
                <w:color w:val="3E5871"/>
                <w:sz w:val="15"/>
                <w:szCs w:val="15"/>
              </w:rPr>
              <w:t>Hospice &amp; palliative care</w:t>
            </w:r>
          </w:p>
        </w:tc>
        <w:tc>
          <w:tcPr>
            <w:tcW w:w="6759" w:type="dxa"/>
            <w:tcBorders>
              <w:top w:val="single" w:sz="4" w:space="0" w:color="9DB1C7"/>
              <w:start w:val="single" w:sz="4" w:space="0" w:color="9DB1C7"/>
              <w:bottom w:val="single" w:sz="4" w:space="0" w:color="9DB1C7"/>
              <w:end w:val="single" w:sz="4" w:space="0" w:color="9DB1C7"/>
            </w:tcBorders>
            <w:tcMar>
              <w:top w:w="50" w:type="dxa"/>
              <w:bottom w:w="50" w:type="dxa"/>
            </w:tcMar>
          </w:tcPr>
          <w:p>
            <w:pPr>
              <w:pStyle w:val="Normal"/>
              <w:spacing w:lineRule="exact" w:line="268" w:before="0" w:after="0"/>
              <w:jc w:val="start"/>
              <w:rPr/>
            </w:pPr>
            <w:r>
              <w:rPr>
                <w:rFonts w:eastAsia="Calibri" w:cs="Calibri"/>
                <w:b w:val="false"/>
                <w:bCs w:val="false"/>
                <w:i w:val="false"/>
                <w:iCs w:val="false"/>
                <w:color w:val="1A1A1A"/>
                <w:sz w:val="15"/>
                <w:szCs w:val="15"/>
              </w:rPr>
              <w:t>They partner with care providers for extra support hours; a strong reciprocal relationship.</w:t>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0" w:type="dxa"/>
              <w:bottom w:w="50" w:type="dxa"/>
            </w:tcMar>
          </w:tcPr>
          <w:p>
            <w:pPr>
              <w:pStyle w:val="Normal"/>
              <w:spacing w:lineRule="exact" w:line="268" w:before="0" w:after="0"/>
              <w:jc w:val="start"/>
              <w:rPr/>
            </w:pPr>
            <w:r>
              <w:rPr>
                <w:rFonts w:eastAsia="Calibri" w:cs="Calibri"/>
                <w:b/>
                <w:bCs/>
                <w:i w:val="false"/>
                <w:iCs w:val="false"/>
                <w:color w:val="3E5871"/>
                <w:sz w:val="15"/>
                <w:szCs w:val="15"/>
              </w:rPr>
              <w:t>Pharmacies, home medical equipment &amp; home health</w:t>
            </w:r>
          </w:p>
        </w:tc>
        <w:tc>
          <w:tcPr>
            <w:tcW w:w="6759" w:type="dxa"/>
            <w:tcBorders>
              <w:top w:val="single" w:sz="4" w:space="0" w:color="9DB1C7"/>
              <w:start w:val="single" w:sz="4" w:space="0" w:color="9DB1C7"/>
              <w:bottom w:val="single" w:sz="4" w:space="0" w:color="9DB1C7"/>
              <w:end w:val="single" w:sz="4" w:space="0" w:color="9DB1C7"/>
            </w:tcBorders>
            <w:tcMar>
              <w:top w:w="50" w:type="dxa"/>
              <w:bottom w:w="50" w:type="dxa"/>
            </w:tcMar>
          </w:tcPr>
          <w:p>
            <w:pPr>
              <w:pStyle w:val="Normal"/>
              <w:spacing w:lineRule="exact" w:line="268" w:before="0" w:after="0"/>
              <w:jc w:val="start"/>
              <w:rPr/>
            </w:pPr>
            <w:r>
              <w:rPr>
                <w:rFonts w:eastAsia="Calibri" w:cs="Calibri"/>
                <w:b w:val="false"/>
                <w:bCs w:val="false"/>
                <w:i w:val="false"/>
                <w:iCs w:val="false"/>
                <w:color w:val="1A1A1A"/>
                <w:sz w:val="15"/>
                <w:szCs w:val="15"/>
              </w:rPr>
              <w:t>They see people managing illness at home and are natural referral partners (and partners you refer to).</w:t>
            </w:r>
          </w:p>
        </w:tc>
      </w:tr>
    </w:tbl>
    <w:p>
      <w:pPr>
        <w:pStyle w:val="Normal"/>
        <w:keepNext w:val="true"/>
        <w:spacing w:before="140" w:after="60"/>
        <w:rPr/>
      </w:pPr>
      <w:r>
        <w:rPr>
          <w:rFonts w:eastAsia="Calibri" w:cs="Calibri"/>
          <w:b/>
          <w:bCs/>
          <w:i w:val="false"/>
          <w:iCs w:val="false"/>
          <w:color w:val="3E5871"/>
          <w:sz w:val="21"/>
          <w:szCs w:val="21"/>
        </w:rPr>
        <w:t>5. Payers and benefit sources</w:t>
      </w:r>
    </w:p>
    <w:tbl>
      <w:tblPr>
        <w:tblW w:w="9360" w:type="dxa"/>
        <w:jc w:val="start"/>
        <w:tblInd w:w="0" w:type="dxa"/>
        <w:tblLayout w:type="fixed"/>
        <w:tblCellMar>
          <w:top w:w="55" w:type="dxa"/>
          <w:start w:w="100" w:type="dxa"/>
          <w:bottom w:w="55" w:type="dxa"/>
          <w:end w:w="100" w:type="dxa"/>
        </w:tblCellMar>
      </w:tblPr>
      <w:tblGrid>
        <w:gridCol w:w="2600"/>
        <w:gridCol w:w="6759"/>
      </w:tblGrid>
      <w:tr>
        <w:trPr>
          <w:tblHeader w:val="true"/>
        </w:trPr>
        <w:tc>
          <w:tcPr>
            <w:tcW w:w="260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Source</w:t>
            </w:r>
          </w:p>
        </w:tc>
        <w:tc>
          <w:tcPr>
            <w:tcW w:w="675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Why they refer · how to reach them</w:t>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0" w:type="dxa"/>
              <w:bottom w:w="50" w:type="dxa"/>
            </w:tcMar>
          </w:tcPr>
          <w:p>
            <w:pPr>
              <w:pStyle w:val="Normal"/>
              <w:spacing w:lineRule="exact" w:line="268" w:before="0" w:after="0"/>
              <w:jc w:val="start"/>
              <w:rPr/>
            </w:pPr>
            <w:r>
              <w:rPr>
                <w:rFonts w:eastAsia="Calibri" w:cs="Calibri"/>
                <w:b/>
                <w:bCs/>
                <w:i w:val="false"/>
                <w:iCs w:val="false"/>
                <w:color w:val="3E5871"/>
                <w:sz w:val="15"/>
                <w:szCs w:val="15"/>
              </w:rPr>
              <w:t>VA &amp; veteran service organizations</w:t>
            </w:r>
          </w:p>
        </w:tc>
        <w:tc>
          <w:tcPr>
            <w:tcW w:w="6759" w:type="dxa"/>
            <w:tcBorders>
              <w:top w:val="single" w:sz="4" w:space="0" w:color="9DB1C7"/>
              <w:start w:val="single" w:sz="4" w:space="0" w:color="9DB1C7"/>
              <w:bottom w:val="single" w:sz="4" w:space="0" w:color="9DB1C7"/>
              <w:end w:val="single" w:sz="4" w:space="0" w:color="9DB1C7"/>
            </w:tcBorders>
            <w:tcMar>
              <w:top w:w="50" w:type="dxa"/>
              <w:bottom w:w="50" w:type="dxa"/>
            </w:tcMar>
          </w:tcPr>
          <w:p>
            <w:pPr>
              <w:pStyle w:val="Normal"/>
              <w:spacing w:lineRule="exact" w:line="268" w:before="0" w:after="0"/>
              <w:jc w:val="start"/>
              <w:rPr/>
            </w:pPr>
            <w:r>
              <w:rPr>
                <w:rFonts w:eastAsia="Calibri" w:cs="Calibri"/>
                <w:b w:val="false"/>
                <w:bCs w:val="false"/>
                <w:i w:val="false"/>
                <w:iCs w:val="false"/>
                <w:color w:val="1A1A1A"/>
                <w:sz w:val="15"/>
                <w:szCs w:val="15"/>
              </w:rPr>
              <w:t>Route eligible veterans to care; many families don’t know these benefits exist.</w:t>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0" w:type="dxa"/>
              <w:bottom w:w="50" w:type="dxa"/>
            </w:tcMar>
          </w:tcPr>
          <w:p>
            <w:pPr>
              <w:pStyle w:val="Normal"/>
              <w:spacing w:lineRule="exact" w:line="268" w:before="0" w:after="0"/>
              <w:jc w:val="start"/>
              <w:rPr/>
            </w:pPr>
            <w:r>
              <w:rPr>
                <w:rFonts w:eastAsia="Calibri" w:cs="Calibri"/>
                <w:b/>
                <w:bCs/>
                <w:i w:val="false"/>
                <w:iCs w:val="false"/>
                <w:color w:val="3E5871"/>
                <w:sz w:val="15"/>
                <w:szCs w:val="15"/>
              </w:rPr>
              <w:t>Long-term-care insurance case managers</w:t>
            </w:r>
          </w:p>
        </w:tc>
        <w:tc>
          <w:tcPr>
            <w:tcW w:w="6759" w:type="dxa"/>
            <w:tcBorders>
              <w:top w:val="single" w:sz="4" w:space="0" w:color="9DB1C7"/>
              <w:start w:val="single" w:sz="4" w:space="0" w:color="9DB1C7"/>
              <w:bottom w:val="single" w:sz="4" w:space="0" w:color="9DB1C7"/>
              <w:end w:val="single" w:sz="4" w:space="0" w:color="9DB1C7"/>
            </w:tcBorders>
            <w:tcMar>
              <w:top w:w="50" w:type="dxa"/>
              <w:bottom w:w="50" w:type="dxa"/>
            </w:tcMar>
          </w:tcPr>
          <w:p>
            <w:pPr>
              <w:pStyle w:val="Normal"/>
              <w:spacing w:lineRule="exact" w:line="268" w:before="0" w:after="0"/>
              <w:jc w:val="start"/>
              <w:rPr/>
            </w:pPr>
            <w:r>
              <w:rPr>
                <w:rFonts w:eastAsia="Calibri" w:cs="Calibri"/>
                <w:b w:val="false"/>
                <w:bCs w:val="false"/>
                <w:i w:val="false"/>
                <w:iCs w:val="false"/>
                <w:color w:val="1A1A1A"/>
                <w:sz w:val="15"/>
                <w:szCs w:val="15"/>
              </w:rPr>
              <w:t>They coordinate benefits for policyholders and can steer to responsive providers.</w:t>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0" w:type="dxa"/>
              <w:bottom w:w="50" w:type="dxa"/>
            </w:tcMar>
          </w:tcPr>
          <w:p>
            <w:pPr>
              <w:pStyle w:val="Normal"/>
              <w:spacing w:lineRule="exact" w:line="268" w:before="0" w:after="0"/>
              <w:jc w:val="start"/>
              <w:rPr/>
            </w:pPr>
            <w:r>
              <w:rPr>
                <w:rFonts w:eastAsia="Calibri" w:cs="Calibri"/>
                <w:b/>
                <w:bCs/>
                <w:i w:val="false"/>
                <w:iCs w:val="false"/>
                <w:color w:val="3E5871"/>
                <w:sz w:val="15"/>
                <w:szCs w:val="15"/>
              </w:rPr>
              <w:t>Workers’ comp &amp; auto/injury case managers</w:t>
            </w:r>
          </w:p>
        </w:tc>
        <w:tc>
          <w:tcPr>
            <w:tcW w:w="6759" w:type="dxa"/>
            <w:tcBorders>
              <w:top w:val="single" w:sz="4" w:space="0" w:color="9DB1C7"/>
              <w:start w:val="single" w:sz="4" w:space="0" w:color="9DB1C7"/>
              <w:bottom w:val="single" w:sz="4" w:space="0" w:color="9DB1C7"/>
              <w:end w:val="single" w:sz="4" w:space="0" w:color="9DB1C7"/>
            </w:tcBorders>
            <w:tcMar>
              <w:top w:w="50" w:type="dxa"/>
              <w:bottom w:w="50" w:type="dxa"/>
            </w:tcMar>
          </w:tcPr>
          <w:p>
            <w:pPr>
              <w:pStyle w:val="Normal"/>
              <w:spacing w:lineRule="exact" w:line="268" w:before="0" w:after="0"/>
              <w:jc w:val="start"/>
              <w:rPr/>
            </w:pPr>
            <w:r>
              <w:rPr>
                <w:rFonts w:eastAsia="Calibri" w:cs="Calibri"/>
                <w:b w:val="false"/>
                <w:bCs w:val="false"/>
                <w:i w:val="false"/>
                <w:iCs w:val="false"/>
                <w:color w:val="1A1A1A"/>
                <w:sz w:val="15"/>
                <w:szCs w:val="15"/>
              </w:rPr>
              <w:t>Relevant for injury-related care, including brain injury.</w:t>
            </w:r>
          </w:p>
        </w:tc>
      </w:tr>
    </w:tbl>
    <w:p>
      <w:pPr>
        <w:pStyle w:val="Normal"/>
        <w:keepNext w:val="true"/>
        <w:spacing w:before="140" w:after="60"/>
        <w:rPr/>
      </w:pPr>
      <w:r>
        <w:rPr>
          <w:rFonts w:eastAsia="Calibri" w:cs="Calibri"/>
          <w:b/>
          <w:bCs/>
          <w:i w:val="false"/>
          <w:iCs w:val="false"/>
          <w:color w:val="3E5871"/>
          <w:sz w:val="21"/>
          <w:szCs w:val="21"/>
        </w:rPr>
        <w:t>6. Community &amp; professional influencers</w:t>
      </w:r>
    </w:p>
    <w:tbl>
      <w:tblPr>
        <w:tblW w:w="9360" w:type="dxa"/>
        <w:jc w:val="start"/>
        <w:tblInd w:w="0" w:type="dxa"/>
        <w:tblLayout w:type="fixed"/>
        <w:tblCellMar>
          <w:top w:w="55" w:type="dxa"/>
          <w:start w:w="100" w:type="dxa"/>
          <w:bottom w:w="55" w:type="dxa"/>
          <w:end w:w="100" w:type="dxa"/>
        </w:tblCellMar>
      </w:tblPr>
      <w:tblGrid>
        <w:gridCol w:w="2600"/>
        <w:gridCol w:w="6759"/>
      </w:tblGrid>
      <w:tr>
        <w:trPr>
          <w:tblHeader w:val="true"/>
        </w:trPr>
        <w:tc>
          <w:tcPr>
            <w:tcW w:w="260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Source</w:t>
            </w:r>
          </w:p>
        </w:tc>
        <w:tc>
          <w:tcPr>
            <w:tcW w:w="675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Why they refer · how to reach them</w:t>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0" w:type="dxa"/>
              <w:bottom w:w="50" w:type="dxa"/>
            </w:tcMar>
          </w:tcPr>
          <w:p>
            <w:pPr>
              <w:pStyle w:val="Normal"/>
              <w:spacing w:lineRule="exact" w:line="268" w:before="0" w:after="0"/>
              <w:jc w:val="start"/>
              <w:rPr/>
            </w:pPr>
            <w:r>
              <w:rPr>
                <w:rFonts w:eastAsia="Calibri" w:cs="Calibri"/>
                <w:b/>
                <w:bCs/>
                <w:i w:val="false"/>
                <w:iCs w:val="false"/>
                <w:color w:val="3E5871"/>
                <w:sz w:val="15"/>
                <w:szCs w:val="15"/>
              </w:rPr>
              <w:t>Elder-law &amp; estate attorneys, fiduciaries</w:t>
            </w:r>
          </w:p>
        </w:tc>
        <w:tc>
          <w:tcPr>
            <w:tcW w:w="6759" w:type="dxa"/>
            <w:tcBorders>
              <w:top w:val="single" w:sz="4" w:space="0" w:color="9DB1C7"/>
              <w:start w:val="single" w:sz="4" w:space="0" w:color="9DB1C7"/>
              <w:bottom w:val="single" w:sz="4" w:space="0" w:color="9DB1C7"/>
              <w:end w:val="single" w:sz="4" w:space="0" w:color="9DB1C7"/>
            </w:tcBorders>
            <w:tcMar>
              <w:top w:w="50" w:type="dxa"/>
              <w:bottom w:w="50" w:type="dxa"/>
            </w:tcMar>
          </w:tcPr>
          <w:p>
            <w:pPr>
              <w:pStyle w:val="Normal"/>
              <w:spacing w:lineRule="exact" w:line="268" w:before="0" w:after="0"/>
              <w:jc w:val="start"/>
              <w:rPr/>
            </w:pPr>
            <w:r>
              <w:rPr>
                <w:rFonts w:eastAsia="Calibri" w:cs="Calibri"/>
                <w:b w:val="false"/>
                <w:bCs w:val="false"/>
                <w:i w:val="false"/>
                <w:iCs w:val="false"/>
                <w:color w:val="1A1A1A"/>
                <w:sz w:val="15"/>
                <w:szCs w:val="15"/>
              </w:rPr>
              <w:t>They advise families in exactly the moments care is needed — excellent, underused referrers.</w:t>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0" w:type="dxa"/>
              <w:bottom w:w="50" w:type="dxa"/>
            </w:tcMar>
          </w:tcPr>
          <w:p>
            <w:pPr>
              <w:pStyle w:val="Normal"/>
              <w:spacing w:lineRule="exact" w:line="268" w:before="0" w:after="0"/>
              <w:jc w:val="start"/>
              <w:rPr/>
            </w:pPr>
            <w:r>
              <w:rPr>
                <w:rFonts w:eastAsia="Calibri" w:cs="Calibri"/>
                <w:b/>
                <w:bCs/>
                <w:i w:val="false"/>
                <w:iCs w:val="false"/>
                <w:color w:val="3E5871"/>
                <w:sz w:val="15"/>
                <w:szCs w:val="15"/>
              </w:rPr>
              <w:t>Financial planners &amp; trust officers</w:t>
            </w:r>
          </w:p>
        </w:tc>
        <w:tc>
          <w:tcPr>
            <w:tcW w:w="6759" w:type="dxa"/>
            <w:tcBorders>
              <w:top w:val="single" w:sz="4" w:space="0" w:color="9DB1C7"/>
              <w:start w:val="single" w:sz="4" w:space="0" w:color="9DB1C7"/>
              <w:bottom w:val="single" w:sz="4" w:space="0" w:color="9DB1C7"/>
              <w:end w:val="single" w:sz="4" w:space="0" w:color="9DB1C7"/>
            </w:tcBorders>
            <w:tcMar>
              <w:top w:w="50" w:type="dxa"/>
              <w:bottom w:w="50" w:type="dxa"/>
            </w:tcMar>
          </w:tcPr>
          <w:p>
            <w:pPr>
              <w:pStyle w:val="Normal"/>
              <w:spacing w:lineRule="exact" w:line="268" w:before="0" w:after="0"/>
              <w:jc w:val="start"/>
              <w:rPr/>
            </w:pPr>
            <w:r>
              <w:rPr>
                <w:rFonts w:eastAsia="Calibri" w:cs="Calibri"/>
                <w:b w:val="false"/>
                <w:bCs w:val="false"/>
                <w:i w:val="false"/>
                <w:iCs w:val="false"/>
                <w:color w:val="1A1A1A"/>
                <w:sz w:val="15"/>
                <w:szCs w:val="15"/>
              </w:rPr>
              <w:t>They help families plan for care costs and are asked “who do you recommend?”</w:t>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0" w:type="dxa"/>
              <w:bottom w:w="50" w:type="dxa"/>
            </w:tcMar>
          </w:tcPr>
          <w:p>
            <w:pPr>
              <w:pStyle w:val="Normal"/>
              <w:spacing w:lineRule="exact" w:line="268" w:before="0" w:after="0"/>
              <w:jc w:val="start"/>
              <w:rPr/>
            </w:pPr>
            <w:r>
              <w:rPr>
                <w:rFonts w:eastAsia="Calibri" w:cs="Calibri"/>
                <w:b/>
                <w:bCs/>
                <w:i w:val="false"/>
                <w:iCs w:val="false"/>
                <w:color w:val="3E5871"/>
                <w:sz w:val="15"/>
                <w:szCs w:val="15"/>
              </w:rPr>
              <w:t>Faith communities, senior centers &amp; support groups</w:t>
            </w:r>
          </w:p>
        </w:tc>
        <w:tc>
          <w:tcPr>
            <w:tcW w:w="6759" w:type="dxa"/>
            <w:tcBorders>
              <w:top w:val="single" w:sz="4" w:space="0" w:color="9DB1C7"/>
              <w:start w:val="single" w:sz="4" w:space="0" w:color="9DB1C7"/>
              <w:bottom w:val="single" w:sz="4" w:space="0" w:color="9DB1C7"/>
              <w:end w:val="single" w:sz="4" w:space="0" w:color="9DB1C7"/>
            </w:tcBorders>
            <w:tcMar>
              <w:top w:w="50" w:type="dxa"/>
              <w:bottom w:w="50" w:type="dxa"/>
            </w:tcMar>
          </w:tcPr>
          <w:p>
            <w:pPr>
              <w:pStyle w:val="Normal"/>
              <w:spacing w:lineRule="exact" w:line="268" w:before="0" w:after="0"/>
              <w:jc w:val="start"/>
              <w:rPr/>
            </w:pPr>
            <w:r>
              <w:rPr>
                <w:rFonts w:eastAsia="Calibri" w:cs="Calibri"/>
                <w:b w:val="false"/>
                <w:bCs w:val="false"/>
                <w:i w:val="false"/>
                <w:iCs w:val="false"/>
                <w:color w:val="1A1A1A"/>
                <w:sz w:val="15"/>
                <w:szCs w:val="15"/>
              </w:rPr>
              <w:t>Clergy, senior-center staff, and group leaders (e.g., Alzheimer’s support) are trusted local voices.</w:t>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0" w:type="dxa"/>
              <w:bottom w:w="50" w:type="dxa"/>
            </w:tcMar>
          </w:tcPr>
          <w:p>
            <w:pPr>
              <w:pStyle w:val="Normal"/>
              <w:spacing w:lineRule="exact" w:line="268" w:before="0" w:after="0"/>
              <w:jc w:val="start"/>
              <w:rPr/>
            </w:pPr>
            <w:r>
              <w:rPr>
                <w:rFonts w:eastAsia="Calibri" w:cs="Calibri"/>
                <w:b/>
                <w:bCs/>
                <w:i w:val="false"/>
                <w:iCs w:val="false"/>
                <w:color w:val="3E5871"/>
                <w:sz w:val="15"/>
                <w:szCs w:val="15"/>
              </w:rPr>
              <w:t>Funeral homes, senior real-estate specialists, move managers</w:t>
            </w:r>
          </w:p>
        </w:tc>
        <w:tc>
          <w:tcPr>
            <w:tcW w:w="6759" w:type="dxa"/>
            <w:tcBorders>
              <w:top w:val="single" w:sz="4" w:space="0" w:color="9DB1C7"/>
              <w:start w:val="single" w:sz="4" w:space="0" w:color="9DB1C7"/>
              <w:bottom w:val="single" w:sz="4" w:space="0" w:color="9DB1C7"/>
              <w:end w:val="single" w:sz="4" w:space="0" w:color="9DB1C7"/>
            </w:tcBorders>
            <w:tcMar>
              <w:top w:w="50" w:type="dxa"/>
              <w:bottom w:w="50" w:type="dxa"/>
            </w:tcMar>
          </w:tcPr>
          <w:p>
            <w:pPr>
              <w:pStyle w:val="Normal"/>
              <w:spacing w:lineRule="exact" w:line="268" w:before="0" w:after="0"/>
              <w:jc w:val="start"/>
              <w:rPr/>
            </w:pPr>
            <w:r>
              <w:rPr>
                <w:rFonts w:eastAsia="Calibri" w:cs="Calibri"/>
                <w:b w:val="false"/>
                <w:bCs w:val="false"/>
                <w:i w:val="false"/>
                <w:iCs w:val="false"/>
                <w:color w:val="1A1A1A"/>
                <w:sz w:val="15"/>
                <w:szCs w:val="15"/>
              </w:rPr>
              <w:t>They work with aging families and hear about care needs early.</w:t>
            </w:r>
          </w:p>
        </w:tc>
      </w:tr>
    </w:tbl>
    <w:p>
      <w:pPr>
        <w:pStyle w:val="Normal"/>
        <w:keepNext w:val="true"/>
        <w:spacing w:before="140" w:after="60"/>
        <w:rPr/>
      </w:pPr>
      <w:r>
        <w:rPr>
          <w:rFonts w:eastAsia="Calibri" w:cs="Calibri"/>
          <w:b/>
          <w:bCs/>
          <w:i w:val="false"/>
          <w:iCs w:val="false"/>
          <w:color w:val="3E5871"/>
          <w:sz w:val="21"/>
          <w:szCs w:val="21"/>
        </w:rPr>
        <w:t>7. Families, past clients, and your own team</w:t>
      </w:r>
    </w:p>
    <w:p>
      <w:pPr>
        <w:pStyle w:val="Normal"/>
        <w:spacing w:lineRule="exact" w:line="268" w:before="0" w:after="110"/>
        <w:jc w:val="start"/>
        <w:rPr/>
      </w:pPr>
      <w:r>
        <w:rPr>
          <w:rFonts w:eastAsia="Calibri" w:cs="Calibri"/>
          <w:b w:val="false"/>
          <w:bCs w:val="false"/>
          <w:i w:val="false"/>
          <w:iCs w:val="false"/>
          <w:color w:val="1A1A1A"/>
          <w:sz w:val="20"/>
          <w:szCs w:val="20"/>
        </w:rPr>
        <w:t>Never overlook the warmest source of all: the families you’ve served, your past and current clients, and your own caregivers and staff (who know others in the field). A happy client and a well-treated caregiver are walking advertisements. Ask — politely and at the right moment — for reviews and referrals, and make it easy for people to send others your way.</w:t>
      </w:r>
    </w:p>
    <w:p>
      <w:pPr>
        <w:pStyle w:val="Normal"/>
        <w:rPr/>
      </w:pPr>
      <w:r>
        <w:rPr/>
      </w:r>
      <w:r>
        <w:br w:type="page"/>
      </w:r>
    </w:p>
    <w:p>
      <w:pPr>
        <w:pStyle w:val="Normal"/>
        <w:keepNext w:val="true"/>
        <w:spacing w:before="0" w:after="90"/>
        <w:rPr/>
      </w:pPr>
      <w:r>
        <w:rPr>
          <w:rFonts w:eastAsia="Calibri" w:cs="Calibri"/>
          <w:b/>
          <w:bCs/>
          <w:i w:val="false"/>
          <w:iCs w:val="false"/>
          <w:color w:val="1F3A5F"/>
          <w:sz w:val="26"/>
          <w:szCs w:val="26"/>
        </w:rPr>
        <w:t>Part 3 — Official Referral Pathways: Getting Into the Pipeline (and the Legal Line)</w:t>
      </w:r>
    </w:p>
    <w:p>
      <w:pPr>
        <w:pStyle w:val="Normal"/>
        <w:spacing w:lineRule="exact" w:line="268" w:before="0" w:after="110"/>
        <w:jc w:val="start"/>
        <w:rPr/>
      </w:pPr>
      <w:r>
        <w:rPr>
          <w:rFonts w:eastAsia="Calibri" w:cs="Calibri"/>
          <w:b w:val="false"/>
          <w:bCs w:val="false"/>
          <w:i w:val="false"/>
          <w:iCs w:val="false"/>
          <w:color w:val="1A1A1A"/>
          <w:sz w:val="20"/>
          <w:szCs w:val="20"/>
        </w:rPr>
        <w:t>Everything else in this playbook is about earning referrals through relationships. This part is about the formal, official routes into institutional referral pipelines — how you actually get onto a hospital’s discharge list, into a health plan’s network, and onto a case manager’s roster — and about a bright legal line you must never cross while doing it. Get this right and you unlock steady, high-quality referrals; get it wrong and you can face serious penalties. Read this part carefully.</w:t>
      </w:r>
    </w:p>
    <w:p>
      <w:pPr>
        <w:pStyle w:val="Normal"/>
        <w:keepNext w:val="true"/>
        <w:spacing w:before="140" w:after="60"/>
        <w:rPr/>
      </w:pPr>
      <w:r>
        <w:rPr>
          <w:rFonts w:eastAsia="Calibri" w:cs="Calibri"/>
          <w:b/>
          <w:bCs/>
          <w:i w:val="false"/>
          <w:iCs w:val="false"/>
          <w:color w:val="3E5871"/>
          <w:sz w:val="21"/>
          <w:szCs w:val="21"/>
        </w:rPr>
        <w:t>The official pathways — how to get into the pipeline</w:t>
      </w:r>
    </w:p>
    <w:p>
      <w:pPr>
        <w:pStyle w:val="Normal"/>
        <w:spacing w:lineRule="exact" w:line="268" w:before="0" w:after="70"/>
        <w:ind w:hanging="300" w:start="360"/>
        <w:rPr/>
      </w:pPr>
      <w:r>
        <w:rPr>
          <w:rFonts w:eastAsia="Calibri" w:cs="Calibri"/>
          <w:b/>
          <w:bCs/>
          <w:i w:val="false"/>
          <w:iCs w:val="false"/>
          <w:color w:val="3E5871"/>
          <w:sz w:val="20"/>
          <w:szCs w:val="20"/>
        </w:rPr>
        <w:t xml:space="preserve">1.  </w:t>
      </w:r>
      <w:r>
        <w:rPr>
          <w:rFonts w:eastAsia="Calibri" w:cs="Calibri"/>
          <w:b w:val="false"/>
          <w:bCs w:val="false"/>
          <w:i w:val="false"/>
          <w:iCs w:val="false"/>
          <w:color w:val="1A1A1A"/>
          <w:sz w:val="20"/>
          <w:szCs w:val="20"/>
        </w:rPr>
        <w:t>Get onto the discharge and community-provider list. Hospitals and skilled-nursing facilities give discharging patients a list of providers and let the patient choose. You cannot pay to be steered to — but you can get onto the list by being licensed, introducing yourself to the case-management and social-work department, and being known as reliable. This is free, and it is the front door.</w:t>
      </w:r>
    </w:p>
    <w:p>
      <w:pPr>
        <w:pStyle w:val="Normal"/>
        <w:spacing w:lineRule="exact" w:line="268" w:before="0" w:after="70"/>
        <w:ind w:hanging="300" w:start="360"/>
        <w:rPr/>
      </w:pPr>
      <w:r>
        <w:rPr>
          <w:rFonts w:eastAsia="Calibri" w:cs="Calibri"/>
          <w:b/>
          <w:bCs/>
          <w:i w:val="false"/>
          <w:iCs w:val="false"/>
          <w:color w:val="3E5871"/>
          <w:sz w:val="20"/>
          <w:szCs w:val="20"/>
        </w:rPr>
        <w:t xml:space="preserve">2.  </w:t>
      </w:r>
      <w:r>
        <w:rPr>
          <w:rFonts w:eastAsia="Calibri" w:cs="Calibri"/>
          <w:b w:val="false"/>
          <w:bCs w:val="false"/>
          <w:i w:val="false"/>
          <w:iCs w:val="false"/>
          <w:color w:val="1A1A1A"/>
          <w:sz w:val="20"/>
          <w:szCs w:val="20"/>
        </w:rPr>
        <w:t>Become a contracted, in-network provider with payers. Credential and contract with Health First Colorado and its Regional Accountable Entities, the VA, and long-term-care insurers. Once you are in-network, their care coordinators refer within the network as a matter of routine — an official, ongoing pipeline.</w:t>
      </w:r>
    </w:p>
    <w:p>
      <w:pPr>
        <w:pStyle w:val="Normal"/>
        <w:spacing w:lineRule="exact" w:line="268" w:before="0" w:after="70"/>
        <w:ind w:hanging="300" w:start="360"/>
        <w:rPr/>
      </w:pPr>
      <w:r>
        <w:rPr>
          <w:rFonts w:eastAsia="Calibri" w:cs="Calibri"/>
          <w:b/>
          <w:bCs/>
          <w:i w:val="false"/>
          <w:iCs w:val="false"/>
          <w:color w:val="3E5871"/>
          <w:sz w:val="20"/>
          <w:szCs w:val="20"/>
        </w:rPr>
        <w:t xml:space="preserve">3.  </w:t>
      </w:r>
      <w:r>
        <w:rPr>
          <w:rFonts w:eastAsia="Calibri" w:cs="Calibri"/>
          <w:b w:val="false"/>
          <w:bCs w:val="false"/>
          <w:i w:val="false"/>
          <w:iCs w:val="false"/>
          <w:color w:val="1A1A1A"/>
          <w:sz w:val="20"/>
          <w:szCs w:val="20"/>
        </w:rPr>
        <w:t>Enroll as a Health First Colorado (Colorado Medicaid) and waiver provider. Enroll with the state and the relevant home-and-community-based waivers (such as the Elderly, Blind and Disabled (EBD) waiver). Waiver and plan case managers place clients with enrolled providers — so enrollment itself becomes a referral channel.</w:t>
      </w:r>
    </w:p>
    <w:p>
      <w:pPr>
        <w:pStyle w:val="Normal"/>
        <w:spacing w:lineRule="exact" w:line="268" w:before="0" w:after="70"/>
        <w:ind w:hanging="300" w:start="360"/>
        <w:rPr/>
      </w:pPr>
      <w:r>
        <w:rPr>
          <w:rFonts w:eastAsia="Calibri" w:cs="Calibri"/>
          <w:b/>
          <w:bCs/>
          <w:i w:val="false"/>
          <w:iCs w:val="false"/>
          <w:color w:val="3E5871"/>
          <w:sz w:val="20"/>
          <w:szCs w:val="20"/>
        </w:rPr>
        <w:t xml:space="preserve">4.  </w:t>
      </w:r>
      <w:r>
        <w:rPr>
          <w:rFonts w:eastAsia="Calibri" w:cs="Calibri"/>
          <w:b w:val="false"/>
          <w:bCs w:val="false"/>
          <w:i w:val="false"/>
          <w:iCs w:val="false"/>
          <w:color w:val="1A1A1A"/>
          <w:sz w:val="20"/>
          <w:szCs w:val="20"/>
        </w:rPr>
        <w:t>Build preferred-provider or partnership agreements — carefully. Hospitals, health systems, ACOs, and senior communities sometimes set up preferred-provider relationships. These can be legitimate, but only if they are structured correctly (see the legal line below), which is the one place you should have a healthcare attorney paper the arrangement before you sign.</w:t>
      </w:r>
    </w:p>
    <w:p>
      <w:pPr>
        <w:pStyle w:val="Normal"/>
        <w:spacing w:lineRule="exact" w:line="268" w:before="0" w:after="70"/>
        <w:ind w:hanging="300" w:start="360"/>
        <w:rPr/>
      </w:pPr>
      <w:r>
        <w:rPr>
          <w:rFonts w:eastAsia="Calibri" w:cs="Calibri"/>
          <w:b/>
          <w:bCs/>
          <w:i w:val="false"/>
          <w:iCs w:val="false"/>
          <w:color w:val="3E5871"/>
          <w:sz w:val="20"/>
          <w:szCs w:val="20"/>
        </w:rPr>
        <w:t xml:space="preserve">5.  </w:t>
      </w:r>
      <w:r>
        <w:rPr>
          <w:rFonts w:eastAsia="Calibri" w:cs="Calibri"/>
          <w:b w:val="false"/>
          <w:bCs w:val="false"/>
          <w:i w:val="false"/>
          <w:iCs w:val="false"/>
          <w:color w:val="1A1A1A"/>
          <w:sz w:val="20"/>
          <w:szCs w:val="20"/>
        </w:rPr>
        <w:t>Then work the relationships. Once you are on the lists and in the networks, the rest of this playbook — building trust with the discharge planners, case managers, and physicians who actually pick the provider — is what turns being eligible into being chosen.</w:t>
      </w:r>
    </w:p>
    <w:p>
      <w:pPr>
        <w:pStyle w:val="Normal"/>
        <w:keepNext w:val="true"/>
        <w:spacing w:before="140" w:after="60"/>
        <w:rPr/>
      </w:pPr>
      <w:r>
        <w:rPr>
          <w:rFonts w:eastAsia="Calibri" w:cs="Calibri"/>
          <w:b/>
          <w:bCs/>
          <w:i w:val="false"/>
          <w:iCs w:val="false"/>
          <w:color w:val="3E5871"/>
          <w:sz w:val="21"/>
          <w:szCs w:val="21"/>
        </w:rPr>
        <w:t>The legal line — you can earn referrals, but you cannot buy them</w:t>
      </w:r>
    </w:p>
    <w:p>
      <w:pPr>
        <w:pStyle w:val="Normal"/>
        <w:spacing w:lineRule="exact" w:line="268" w:before="0" w:after="110"/>
        <w:jc w:val="start"/>
        <w:rPr/>
      </w:pPr>
      <w:r>
        <w:rPr>
          <w:rFonts w:eastAsia="Calibri" w:cs="Calibri"/>
          <w:b w:val="false"/>
          <w:bCs w:val="false"/>
          <w:i w:val="false"/>
          <w:iCs w:val="false"/>
          <w:color w:val="1A1A1A"/>
          <w:sz w:val="20"/>
          <w:szCs w:val="20"/>
        </w:rPr>
        <w:t>One rule sits above all the rest, and it is where new agencies get into the most serious trouble: you may not pay for referrals of clients whose care is paid, even partly, by a federal health care program (Medicare, Health First Colorado (Colorado Medicaid)/Medicaid, TRICARE, or the VA). The federal Anti-Kickback Statute makes it a crime to knowingly offer or pay — or to solicit or receive — anything of value to induce those referrals. “Anything of value” is broad: cash, gift cards, free rent, free services, meals, or a per-client fee all count, and both the payer and the receiver are liable. Because your home care, residential, and brain-injury clients are often funded through Health First Colorado (Colorado Medicaid), waivers, or the VA, this applies squarely to you.</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D8B37A"/>
              <w:start w:val="single" w:sz="6" w:space="0" w:color="D8B37A"/>
              <w:bottom w:val="single" w:sz="6" w:space="0" w:color="D8B37A"/>
              <w:end w:val="single" w:sz="6" w:space="0" w:color="D8B37A"/>
            </w:tcBorders>
            <w:shd w:color="auto" w:fill="FBF3E7" w:val="clear"/>
          </w:tcPr>
          <w:p>
            <w:pPr>
              <w:pStyle w:val="Normal"/>
              <w:spacing w:before="0" w:after="40"/>
              <w:rPr/>
            </w:pPr>
            <w:r>
              <w:rPr>
                <w:rFonts w:eastAsia="Calibri" w:cs="Calibri"/>
                <w:b/>
                <w:bCs/>
                <w:i w:val="false"/>
                <w:iCs w:val="false"/>
                <w:color w:val="8A5A1A"/>
                <w:sz w:val="19"/>
                <w:szCs w:val="19"/>
              </w:rPr>
              <w:t>The bright-line test</w:t>
            </w:r>
          </w:p>
          <w:p>
            <w:pPr>
              <w:pStyle w:val="Normal"/>
              <w:spacing w:lineRule="exact" w:line="264" w:before="0" w:after="0"/>
              <w:rPr/>
            </w:pPr>
            <w:r>
              <w:rPr>
                <w:rFonts w:eastAsia="Calibri" w:cs="Calibri"/>
                <w:b w:val="false"/>
                <w:bCs w:val="false"/>
                <w:i w:val="false"/>
                <w:iCs w:val="false"/>
                <w:color w:val="1A1A1A"/>
                <w:sz w:val="19"/>
                <w:szCs w:val="19"/>
              </w:rPr>
              <w:t>If a payment is tied to the number of clients someone sends you — a fee per referral, per admission, or per lead — and any of those clients are federally funded, assume it is illegal. “Send me clients and I’ll pay you $X each” is the arrangement that gets agencies prosecuted.</w:t>
            </w:r>
          </w:p>
        </w:tc>
      </w:tr>
    </w:tbl>
    <w:p>
      <w:pPr>
        <w:pStyle w:val="Normal"/>
        <w:keepNext w:val="true"/>
        <w:spacing w:before="140" w:after="60"/>
        <w:rPr/>
      </w:pPr>
      <w:r>
        <w:rPr>
          <w:rFonts w:eastAsia="Calibri" w:cs="Calibri"/>
          <w:b/>
          <w:bCs/>
          <w:i w:val="false"/>
          <w:iCs w:val="false"/>
          <w:color w:val="3E5871"/>
          <w:sz w:val="21"/>
          <w:szCs w:val="21"/>
        </w:rPr>
        <w:t>Be careful with “referral services” and lead-sellers</w:t>
      </w:r>
    </w:p>
    <w:p>
      <w:pPr>
        <w:pStyle w:val="Normal"/>
        <w:spacing w:lineRule="exact" w:line="268" w:before="0" w:after="110"/>
        <w:jc w:val="start"/>
        <w:rPr/>
      </w:pPr>
      <w:r>
        <w:rPr>
          <w:rFonts w:eastAsia="Calibri" w:cs="Calibri"/>
          <w:b w:val="false"/>
          <w:bCs w:val="false"/>
          <w:i w:val="false"/>
          <w:iCs w:val="false"/>
          <w:color w:val="1A1A1A"/>
          <w:sz w:val="20"/>
          <w:szCs w:val="20"/>
        </w:rPr>
        <w:t>This is why online and social-media offers to ‘give you referrals’ deserve real caution. Some lead-generation and referral services are lawful, but many are not — and regulators have specifically flagged paying a platform for preferential access to hospital discharge referrals as a likely violation. If someone is charging you per client, per admission, or for a ‘pipeline’ of federally funded patients, treat it as a red flag until a healthcare attorney tells you otherwise. And know that some states go further than federal law and prohibit paying for any patient referral at all — even private-pay — so ‘but they’re private-pay’ is not a safe assumption.</w:t>
      </w:r>
    </w:p>
    <w:p>
      <w:pPr>
        <w:pStyle w:val="Normal"/>
        <w:keepNext w:val="true"/>
        <w:spacing w:before="140" w:after="60"/>
        <w:rPr/>
      </w:pPr>
      <w:r>
        <w:rPr>
          <w:rFonts w:eastAsia="Calibri" w:cs="Calibri"/>
          <w:b/>
          <w:bCs/>
          <w:i w:val="false"/>
          <w:iCs w:val="false"/>
          <w:color w:val="3E5871"/>
          <w:sz w:val="21"/>
          <w:szCs w:val="21"/>
        </w:rPr>
        <w:t>What you can do</w:t>
      </w:r>
    </w:p>
    <w:p>
      <w:pPr>
        <w:pStyle w:val="ListParagraph"/>
        <w:numPr>
          <w:ilvl w:val="0"/>
          <w:numId w:val="0"/>
        </w:numPr>
        <w:spacing w:lineRule="exact" w:line="268" w:before="0" w:after="60"/>
        <w:ind w:hanging="0" w:start="0"/>
        <w:rPr/>
      </w:pPr>
      <w:r>
        <w:rPr>
          <w:rFonts w:eastAsia="Calibri" w:cs="Calibri"/>
          <w:b w:val="false"/>
          <w:bCs w:val="false"/>
          <w:i w:val="false"/>
          <w:iCs w:val="false"/>
          <w:color w:val="1A1A1A"/>
          <w:sz w:val="20"/>
          <w:szCs w:val="20"/>
        </w:rPr>
        <w:t>Market legitimately: a website, online listings, Google ads, brochures, and events are all fine.</w:t>
      </w:r>
    </w:p>
    <w:p>
      <w:pPr>
        <w:pStyle w:val="ListParagraph"/>
        <w:numPr>
          <w:ilvl w:val="0"/>
          <w:numId w:val="0"/>
        </w:numPr>
        <w:spacing w:lineRule="exact" w:line="268" w:before="0" w:after="60"/>
        <w:ind w:hanging="0" w:start="0"/>
        <w:rPr/>
      </w:pPr>
      <w:r>
        <w:rPr>
          <w:rFonts w:eastAsia="Calibri" w:cs="Calibri"/>
          <w:b w:val="false"/>
          <w:bCs w:val="false"/>
          <w:i w:val="false"/>
          <w:iCs w:val="false"/>
          <w:color w:val="1A1A1A"/>
          <w:sz w:val="20"/>
          <w:szCs w:val="20"/>
        </w:rPr>
        <w:t>Employ a marketer or business-development person on a real salary: a genuine employee doing genuine work is generally fine — just don’t tie their pay to the volume of federally funded referrals in a way that looks like a per-head bounty.</w:t>
      </w:r>
    </w:p>
    <w:p>
      <w:pPr>
        <w:pStyle w:val="ListParagraph"/>
        <w:numPr>
          <w:ilvl w:val="0"/>
          <w:numId w:val="0"/>
        </w:numPr>
        <w:spacing w:lineRule="exact" w:line="268" w:before="0" w:after="60"/>
        <w:ind w:hanging="0" w:start="0"/>
        <w:rPr/>
      </w:pPr>
      <w:r>
        <w:rPr>
          <w:rFonts w:eastAsia="Calibri" w:cs="Calibri"/>
          <w:b w:val="false"/>
          <w:bCs w:val="false"/>
          <w:i w:val="false"/>
          <w:iCs w:val="false"/>
          <w:color w:val="1A1A1A"/>
          <w:sz w:val="20"/>
          <w:szCs w:val="20"/>
        </w:rPr>
        <w:t>Educate and build relationships: lunch-and-learns, being a genuine resource, and sharing outcomes — value delivered through service and information, not payments to the source.</w:t>
      </w:r>
    </w:p>
    <w:p>
      <w:pPr>
        <w:pStyle w:val="ListParagraph"/>
        <w:numPr>
          <w:ilvl w:val="0"/>
          <w:numId w:val="0"/>
        </w:numPr>
        <w:spacing w:lineRule="exact" w:line="268" w:before="0" w:after="60"/>
        <w:ind w:hanging="0" w:start="0"/>
        <w:rPr/>
      </w:pPr>
      <w:r>
        <w:rPr>
          <w:rFonts w:eastAsia="Calibri" w:cs="Calibri"/>
          <w:b w:val="false"/>
          <w:bCs w:val="false"/>
          <w:i w:val="false"/>
          <w:iCs w:val="false"/>
          <w:color w:val="1A1A1A"/>
          <w:sz w:val="20"/>
          <w:szCs w:val="20"/>
        </w:rPr>
        <w:t>Pay fair-market value for actual, documented services (not referrals): under a written agreement — and have an attorney confirm it fits a recognized safe harbor.</w:t>
      </w:r>
    </w:p>
    <w:p>
      <w:pPr>
        <w:pStyle w:val="ListParagraph"/>
        <w:numPr>
          <w:ilvl w:val="0"/>
          <w:numId w:val="0"/>
        </w:numPr>
        <w:spacing w:lineRule="exact" w:line="268" w:before="0" w:after="60"/>
        <w:ind w:hanging="0" w:start="0"/>
        <w:rPr/>
      </w:pPr>
      <w:r>
        <w:rPr>
          <w:rFonts w:eastAsia="Calibri" w:cs="Calibri"/>
          <w:b w:val="false"/>
          <w:bCs w:val="false"/>
          <w:i w:val="false"/>
          <w:iCs w:val="false"/>
          <w:color w:val="1A1A1A"/>
          <w:sz w:val="20"/>
          <w:szCs w:val="20"/>
        </w:rPr>
        <w:t>Thank referrers appropriately: a phone call or a handwritten note — gratitude, not a fee.</w:t>
      </w:r>
    </w:p>
    <w:p>
      <w:pPr>
        <w:pStyle w:val="Normal"/>
        <w:spacing w:lineRule="exact" w:line="268" w:before="0" w:after="110"/>
        <w:jc w:val="start"/>
        <w:rPr/>
      </w:pPr>
      <w:r>
        <w:rPr>
          <w:rFonts w:eastAsia="Calibri" w:cs="Calibri"/>
          <w:b w:val="false"/>
          <w:bCs w:val="false"/>
          <w:i w:val="false"/>
          <w:iCs w:val="false"/>
          <w:color w:val="1A1A1A"/>
          <w:sz w:val="20"/>
          <w:szCs w:val="20"/>
        </w:rPr>
        <w:t>Take this seriously: home care and personal-care agencies are named high-risk service lines in current federal fraud enforcement, and penalties for kickbacks include criminal charges, heavy fines, and being barred from Medicare and Health First Colorado (Colorado Medicaid) — which would end the business. None of this is legal advice, and the safe harbors are technical, so before you sign any arrangement that involves paying anyone in connection with getting clients, have a healthcare attorney review it. The good news: the official pathways above — discharge lists, payer contracts, waiver enrollment, and earned relationships — are exactly how the best agencies grow, and they are completely legal.</w:t>
      </w:r>
    </w:p>
    <w:p>
      <w:pPr>
        <w:pStyle w:val="Normal"/>
        <w:rPr/>
      </w:pPr>
      <w:r>
        <w:rPr/>
      </w:r>
      <w:r>
        <w:br w:type="page"/>
      </w:r>
    </w:p>
    <w:p>
      <w:pPr>
        <w:pStyle w:val="Normal"/>
        <w:keepNext w:val="true"/>
        <w:spacing w:before="0" w:after="90"/>
        <w:rPr/>
      </w:pPr>
      <w:r>
        <w:rPr>
          <w:rFonts w:eastAsia="Calibri" w:cs="Calibri"/>
          <w:b/>
          <w:bCs/>
          <w:i w:val="false"/>
          <w:iCs w:val="false"/>
          <w:color w:val="1F3A5F"/>
          <w:sz w:val="26"/>
          <w:szCs w:val="26"/>
        </w:rPr>
        <w:t>Part 4 — What Each Source Actually Wants</w:t>
      </w:r>
    </w:p>
    <w:p>
      <w:pPr>
        <w:pStyle w:val="Normal"/>
        <w:spacing w:lineRule="exact" w:line="268" w:before="0" w:after="110"/>
        <w:jc w:val="start"/>
        <w:rPr/>
      </w:pPr>
      <w:r>
        <w:rPr>
          <w:rFonts w:eastAsia="Calibri" w:cs="Calibri"/>
          <w:b w:val="false"/>
          <w:bCs w:val="false"/>
          <w:i w:val="false"/>
          <w:iCs w:val="false"/>
          <w:color w:val="1A1A1A"/>
          <w:sz w:val="20"/>
          <w:szCs w:val="20"/>
        </w:rPr>
        <w:t>You won’t win referrals by talking about yourself — you win them by solving the referrer’s problem. Each source has a different worry. Speak to it:</w:t>
      </w:r>
    </w:p>
    <w:p>
      <w:pPr>
        <w:pStyle w:val="ListParagraph"/>
        <w:numPr>
          <w:ilvl w:val="0"/>
          <w:numId w:val="0"/>
        </w:numPr>
        <w:spacing w:lineRule="exact" w:line="268" w:before="0" w:after="60"/>
        <w:ind w:hanging="0" w:start="0"/>
        <w:rPr/>
      </w:pPr>
      <w:r>
        <w:rPr>
          <w:rFonts w:eastAsia="Calibri" w:cs="Calibri"/>
          <w:b w:val="false"/>
          <w:bCs w:val="false"/>
          <w:i w:val="false"/>
          <w:iCs w:val="false"/>
          <w:color w:val="1A1A1A"/>
          <w:sz w:val="20"/>
          <w:szCs w:val="20"/>
        </w:rPr>
        <w:t>Discharge planners want: speed and reliability. They need a provider who answers the phone, accepts the referral quickly, starts on time, and doesn’t send the patient back to the hospital. Make their discharge easy and safe and you’ll be their go-to.</w:t>
      </w:r>
    </w:p>
    <w:p>
      <w:pPr>
        <w:pStyle w:val="ListParagraph"/>
        <w:numPr>
          <w:ilvl w:val="0"/>
          <w:numId w:val="0"/>
        </w:numPr>
        <w:spacing w:lineRule="exact" w:line="268" w:before="0" w:after="60"/>
        <w:ind w:hanging="0" w:start="0"/>
        <w:rPr/>
      </w:pPr>
      <w:r>
        <w:rPr>
          <w:rFonts w:eastAsia="Calibri" w:cs="Calibri"/>
          <w:b w:val="false"/>
          <w:bCs w:val="false"/>
          <w:i w:val="false"/>
          <w:iCs w:val="false"/>
          <w:color w:val="1A1A1A"/>
          <w:sz w:val="20"/>
          <w:szCs w:val="20"/>
        </w:rPr>
        <w:t>Care managers want: communication and partnership. They’ve staked their reputation on you; they want updates, quick responses, and no surprises.</w:t>
      </w:r>
    </w:p>
    <w:p>
      <w:pPr>
        <w:pStyle w:val="ListParagraph"/>
        <w:numPr>
          <w:ilvl w:val="0"/>
          <w:numId w:val="0"/>
        </w:numPr>
        <w:spacing w:lineRule="exact" w:line="268" w:before="0" w:after="60"/>
        <w:ind w:hanging="0" w:start="0"/>
        <w:rPr/>
      </w:pPr>
      <w:r>
        <w:rPr>
          <w:rFonts w:eastAsia="Calibri" w:cs="Calibri"/>
          <w:b w:val="false"/>
          <w:bCs w:val="false"/>
          <w:i w:val="false"/>
          <w:iCs w:val="false"/>
          <w:color w:val="1A1A1A"/>
          <w:sz w:val="20"/>
          <w:szCs w:val="20"/>
        </w:rPr>
        <w:t>Physicians’ offices want: to know their patient is safe and that you’ll flag problems. Low-hassle, trustworthy, and communicative wins.</w:t>
      </w:r>
    </w:p>
    <w:p>
      <w:pPr>
        <w:pStyle w:val="ListParagraph"/>
        <w:numPr>
          <w:ilvl w:val="0"/>
          <w:numId w:val="0"/>
        </w:numPr>
        <w:spacing w:lineRule="exact" w:line="268" w:before="0" w:after="60"/>
        <w:ind w:hanging="0" w:start="0"/>
        <w:rPr/>
      </w:pPr>
      <w:r>
        <w:rPr>
          <w:rFonts w:eastAsia="Calibri" w:cs="Calibri"/>
          <w:b w:val="false"/>
          <w:bCs w:val="false"/>
          <w:i w:val="false"/>
          <w:iCs w:val="false"/>
          <w:color w:val="1A1A1A"/>
          <w:sz w:val="20"/>
          <w:szCs w:val="20"/>
        </w:rPr>
        <w:t>Senior-living &amp; facility directors want: a partner who makes them look good to their residents and refers back appropriately.</w:t>
      </w:r>
    </w:p>
    <w:p>
      <w:pPr>
        <w:pStyle w:val="ListParagraph"/>
        <w:numPr>
          <w:ilvl w:val="0"/>
          <w:numId w:val="0"/>
        </w:numPr>
        <w:spacing w:lineRule="exact" w:line="268" w:before="0" w:after="60"/>
        <w:ind w:hanging="0" w:start="0"/>
        <w:rPr/>
      </w:pPr>
      <w:r>
        <w:rPr>
          <w:rFonts w:eastAsia="Calibri" w:cs="Calibri"/>
          <w:b w:val="false"/>
          <w:bCs w:val="false"/>
          <w:i w:val="false"/>
          <w:iCs w:val="false"/>
          <w:color w:val="1A1A1A"/>
          <w:sz w:val="20"/>
          <w:szCs w:val="20"/>
        </w:rPr>
        <w:t>Attorneys &amp; financial advisors want: a provider they can recommend without risk to their own reputation — professional, ethical, and dependable.</w:t>
      </w:r>
    </w:p>
    <w:p>
      <w:pPr>
        <w:pStyle w:val="ListParagraph"/>
        <w:numPr>
          <w:ilvl w:val="0"/>
          <w:numId w:val="0"/>
        </w:numPr>
        <w:spacing w:lineRule="exact" w:line="268" w:before="0" w:after="60"/>
        <w:ind w:hanging="0" w:start="0"/>
        <w:rPr/>
      </w:pPr>
      <w:r>
        <w:rPr>
          <w:rFonts w:eastAsia="Calibri" w:cs="Calibri"/>
          <w:b w:val="false"/>
          <w:bCs w:val="false"/>
          <w:i w:val="false"/>
          <w:iCs w:val="false"/>
          <w:color w:val="1A1A1A"/>
          <w:sz w:val="20"/>
          <w:szCs w:val="20"/>
        </w:rPr>
        <w:t>Families want: trust, warmth, and competence — the feeling that their loved one is safe and cared for.</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D8B37A"/>
              <w:start w:val="single" w:sz="6" w:space="0" w:color="D8B37A"/>
              <w:bottom w:val="single" w:sz="6" w:space="0" w:color="D8B37A"/>
              <w:end w:val="single" w:sz="6" w:space="0" w:color="D8B37A"/>
            </w:tcBorders>
            <w:shd w:color="auto" w:fill="FBF3E7" w:val="clear"/>
          </w:tcPr>
          <w:p>
            <w:pPr>
              <w:pStyle w:val="Normal"/>
              <w:spacing w:before="0" w:after="40"/>
              <w:rPr/>
            </w:pPr>
            <w:r>
              <w:rPr>
                <w:rFonts w:eastAsia="Calibri" w:cs="Calibri"/>
                <w:b/>
                <w:bCs/>
                <w:i w:val="false"/>
                <w:iCs w:val="false"/>
                <w:color w:val="8A5A1A"/>
                <w:sz w:val="19"/>
                <w:szCs w:val="19"/>
              </w:rPr>
              <w:t>The reframe that wins referrals</w:t>
            </w:r>
          </w:p>
          <w:p>
            <w:pPr>
              <w:pStyle w:val="Normal"/>
              <w:spacing w:lineRule="exact" w:line="264" w:before="0" w:after="0"/>
              <w:rPr/>
            </w:pPr>
            <w:r>
              <w:rPr>
                <w:rFonts w:eastAsia="Calibri" w:cs="Calibri"/>
                <w:b w:val="false"/>
                <w:bCs w:val="false"/>
                <w:i w:val="false"/>
                <w:iCs w:val="false"/>
                <w:color w:val="1A1A1A"/>
                <w:sz w:val="19"/>
                <w:szCs w:val="19"/>
              </w:rPr>
              <w:t>Every referrer is really asking one silent question: “Will this provider make me look good or make me look bad?” Everything you do — responsiveness, communication, reliability — answers that question. Be the provider who always makes the referrer look good, and the referrals never stop.</w:t>
            </w:r>
          </w:p>
        </w:tc>
      </w:tr>
    </w:tbl>
    <w:p>
      <w:pPr>
        <w:pStyle w:val="Normal"/>
        <w:spacing w:lineRule="exact" w:line="268" w:before="0" w:after="110"/>
        <w:jc w:val="start"/>
        <w:rPr/>
      </w:pPr>
      <w:r>
        <w:rPr>
          <w:rFonts w:eastAsia="Calibri" w:cs="Calibri"/>
          <w:b w:val="false"/>
          <w:bCs w:val="false"/>
          <w:i w:val="false"/>
          <w:iCs w:val="false"/>
          <w:color w:val="1A1A1A"/>
          <w:sz w:val="20"/>
          <w:szCs w:val="20"/>
        </w:rPr>
        <w:t>It helps to understand the pressures your referrers are under. Hospital discharge planners are measured on how fast they discharge and on whether patients come back — a readmission is a black mark, so a provider who keeps clients safe and out of the hospital is gold to them. Care managers juggle heavy caseloads and can’t chase providers for updates, so one who communicates proactively saves them time and worry. Facility directors answer to families and owners and can’t afford a partner who embarrasses them. When you show a referrer that you understand their pressure and take it off their shoulders, you stop being a vendor and become an ally — and allies get the referrals.</w:t>
      </w:r>
    </w:p>
    <w:p>
      <w:pPr>
        <w:pStyle w:val="Normal"/>
        <w:rPr/>
      </w:pPr>
      <w:r>
        <w:rPr/>
      </w:r>
      <w:r>
        <w:br w:type="page"/>
      </w:r>
    </w:p>
    <w:p>
      <w:pPr>
        <w:pStyle w:val="Normal"/>
        <w:keepNext w:val="true"/>
        <w:spacing w:before="0" w:after="90"/>
        <w:rPr/>
      </w:pPr>
      <w:r>
        <w:rPr>
          <w:rFonts w:eastAsia="Calibri" w:cs="Calibri"/>
          <w:b/>
          <w:bCs/>
          <w:i w:val="false"/>
          <w:iCs w:val="false"/>
          <w:color w:val="1F3A5F"/>
          <w:sz w:val="26"/>
          <w:szCs w:val="26"/>
        </w:rPr>
        <w:t>Part 5 — How to Approach Them</w:t>
      </w:r>
    </w:p>
    <w:p>
      <w:pPr>
        <w:pStyle w:val="Normal"/>
        <w:spacing w:lineRule="exact" w:line="268" w:before="0" w:after="110"/>
        <w:jc w:val="start"/>
        <w:rPr/>
      </w:pPr>
      <w:r>
        <w:rPr>
          <w:rFonts w:eastAsia="Calibri" w:cs="Calibri"/>
          <w:b w:val="false"/>
          <w:bCs w:val="false"/>
          <w:i w:val="false"/>
          <w:iCs w:val="false"/>
          <w:color w:val="1A1A1A"/>
          <w:sz w:val="20"/>
          <w:szCs w:val="20"/>
        </w:rPr>
        <w:t>Referral relationships are built like any professional relationship: with research, a genuine first contact, a real conversation, and consistent follow-up. Here is the approach that works.</w:t>
      </w:r>
    </w:p>
    <w:p>
      <w:pPr>
        <w:pStyle w:val="Normal"/>
        <w:spacing w:lineRule="exact" w:line="268" w:before="0" w:after="70"/>
        <w:ind w:hanging="300" w:start="360"/>
        <w:rPr/>
      </w:pPr>
      <w:r>
        <w:rPr>
          <w:rFonts w:eastAsia="Calibri" w:cs="Calibri"/>
          <w:b/>
          <w:bCs/>
          <w:i w:val="false"/>
          <w:iCs w:val="false"/>
          <w:color w:val="3E5871"/>
          <w:sz w:val="20"/>
          <w:szCs w:val="20"/>
        </w:rPr>
        <w:t xml:space="preserve">1.  </w:t>
      </w:r>
      <w:r>
        <w:rPr>
          <w:rFonts w:eastAsia="Calibri" w:cs="Calibri"/>
          <w:b w:val="false"/>
          <w:bCs w:val="false"/>
          <w:i w:val="false"/>
          <w:iCs w:val="false"/>
          <w:color w:val="1A1A1A"/>
          <w:sz w:val="20"/>
          <w:szCs w:val="20"/>
        </w:rPr>
        <w:t>Research first. Know the organization, what clients they serve, and the name of the right person (the case manager, the director, the office manager) before you reach out.</w:t>
      </w:r>
    </w:p>
    <w:p>
      <w:pPr>
        <w:pStyle w:val="Normal"/>
        <w:spacing w:lineRule="exact" w:line="268" w:before="0" w:after="70"/>
        <w:ind w:hanging="300" w:start="360"/>
        <w:rPr/>
      </w:pPr>
      <w:r>
        <w:rPr>
          <w:rFonts w:eastAsia="Calibri" w:cs="Calibri"/>
          <w:b/>
          <w:bCs/>
          <w:i w:val="false"/>
          <w:iCs w:val="false"/>
          <w:color w:val="3E5871"/>
          <w:sz w:val="20"/>
          <w:szCs w:val="20"/>
        </w:rPr>
        <w:t xml:space="preserve">2.  </w:t>
      </w:r>
      <w:r>
        <w:rPr>
          <w:rFonts w:eastAsia="Calibri" w:cs="Calibri"/>
          <w:b w:val="false"/>
          <w:bCs w:val="false"/>
          <w:i w:val="false"/>
          <w:iCs w:val="false"/>
          <w:color w:val="1A1A1A"/>
          <w:sz w:val="20"/>
          <w:szCs w:val="20"/>
        </w:rPr>
        <w:t>Make a warm, specific first contact. Introduce yourself and your business in one or two sentences focused on how you help their clients — not a sales pitch. Ask for a brief meeting or a chance to drop off information.</w:t>
      </w:r>
    </w:p>
    <w:p>
      <w:pPr>
        <w:pStyle w:val="Normal"/>
        <w:spacing w:lineRule="exact" w:line="268" w:before="0" w:after="70"/>
        <w:ind w:hanging="300" w:start="360"/>
        <w:rPr/>
      </w:pPr>
      <w:r>
        <w:rPr>
          <w:rFonts w:eastAsia="Calibri" w:cs="Calibri"/>
          <w:b/>
          <w:bCs/>
          <w:i w:val="false"/>
          <w:iCs w:val="false"/>
          <w:color w:val="3E5871"/>
          <w:sz w:val="20"/>
          <w:szCs w:val="20"/>
        </w:rPr>
        <w:t xml:space="preserve">3.  </w:t>
      </w:r>
      <w:r>
        <w:rPr>
          <w:rFonts w:eastAsia="Calibri" w:cs="Calibri"/>
          <w:b w:val="false"/>
          <w:bCs w:val="false"/>
          <w:i w:val="false"/>
          <w:iCs w:val="false"/>
          <w:color w:val="1A1A1A"/>
          <w:sz w:val="20"/>
          <w:szCs w:val="20"/>
        </w:rPr>
        <w:t>Show up prepared. Bring a simple one-page leave-behind (who you are, who you serve, what makes you reliable, how to refer, your contact info). Be brief and respectful of their time.</w:t>
      </w:r>
    </w:p>
    <w:p>
      <w:pPr>
        <w:pStyle w:val="Normal"/>
        <w:spacing w:lineRule="exact" w:line="268" w:before="0" w:after="70"/>
        <w:ind w:hanging="300" w:start="360"/>
        <w:rPr/>
      </w:pPr>
      <w:r>
        <w:rPr>
          <w:rFonts w:eastAsia="Calibri" w:cs="Calibri"/>
          <w:b/>
          <w:bCs/>
          <w:i w:val="false"/>
          <w:iCs w:val="false"/>
          <w:color w:val="3E5871"/>
          <w:sz w:val="20"/>
          <w:szCs w:val="20"/>
        </w:rPr>
        <w:t xml:space="preserve">4.  </w:t>
      </w:r>
      <w:r>
        <w:rPr>
          <w:rFonts w:eastAsia="Calibri" w:cs="Calibri"/>
          <w:b w:val="false"/>
          <w:bCs w:val="false"/>
          <w:i w:val="false"/>
          <w:iCs w:val="false"/>
          <w:color w:val="1A1A1A"/>
          <w:sz w:val="20"/>
          <w:szCs w:val="20"/>
        </w:rPr>
        <w:t>Listen more than you talk. Ask what they need from a provider and what frustrates them about the ones they use. Their answer is your playbook.</w:t>
      </w:r>
    </w:p>
    <w:p>
      <w:pPr>
        <w:pStyle w:val="Normal"/>
        <w:spacing w:lineRule="exact" w:line="268" w:before="0" w:after="70"/>
        <w:ind w:hanging="300" w:start="360"/>
        <w:rPr/>
      </w:pPr>
      <w:r>
        <w:rPr>
          <w:rFonts w:eastAsia="Calibri" w:cs="Calibri"/>
          <w:b/>
          <w:bCs/>
          <w:i w:val="false"/>
          <w:iCs w:val="false"/>
          <w:color w:val="3E5871"/>
          <w:sz w:val="20"/>
          <w:szCs w:val="20"/>
        </w:rPr>
        <w:t xml:space="preserve">5.  </w:t>
      </w:r>
      <w:r>
        <w:rPr>
          <w:rFonts w:eastAsia="Calibri" w:cs="Calibri"/>
          <w:b w:val="false"/>
          <w:bCs w:val="false"/>
          <w:i w:val="false"/>
          <w:iCs w:val="false"/>
          <w:color w:val="1A1A1A"/>
          <w:sz w:val="20"/>
          <w:szCs w:val="20"/>
        </w:rPr>
        <w:t>Make referring easy. Give them a simple way to send a client — a direct phone number, a referral form, an email — and tell them exactly what happens when they do.</w:t>
      </w:r>
    </w:p>
    <w:p>
      <w:pPr>
        <w:pStyle w:val="Normal"/>
        <w:spacing w:lineRule="exact" w:line="268" w:before="0" w:after="70"/>
        <w:ind w:hanging="300" w:start="360"/>
        <w:rPr/>
      </w:pPr>
      <w:r>
        <w:rPr>
          <w:rFonts w:eastAsia="Calibri" w:cs="Calibri"/>
          <w:b/>
          <w:bCs/>
          <w:i w:val="false"/>
          <w:iCs w:val="false"/>
          <w:color w:val="3E5871"/>
          <w:sz w:val="20"/>
          <w:szCs w:val="20"/>
        </w:rPr>
        <w:t xml:space="preserve">6.  </w:t>
      </w:r>
      <w:r>
        <w:rPr>
          <w:rFonts w:eastAsia="Calibri" w:cs="Calibri"/>
          <w:b w:val="false"/>
          <w:bCs w:val="false"/>
          <w:i w:val="false"/>
          <w:iCs w:val="false"/>
          <w:color w:val="1A1A1A"/>
          <w:sz w:val="20"/>
          <w:szCs w:val="20"/>
        </w:rPr>
        <w:t>Follow up consistently. One visit rarely creates a referral relationship. Check in on a regular cadence (Part 9), share a success (respecting privacy), and stay top of mind without being a pest.</w:t>
      </w:r>
    </w:p>
    <w:p>
      <w:pPr>
        <w:pStyle w:val="Normal"/>
        <w:keepNext w:val="true"/>
        <w:spacing w:before="140" w:after="60"/>
        <w:rPr/>
      </w:pPr>
      <w:r>
        <w:rPr>
          <w:rFonts w:eastAsia="Calibri" w:cs="Calibri"/>
          <w:b/>
          <w:bCs/>
          <w:i w:val="false"/>
          <w:iCs w:val="false"/>
          <w:color w:val="3E5871"/>
          <w:sz w:val="21"/>
          <w:szCs w:val="21"/>
        </w:rPr>
        <w:t>The first-meeting mindset</w:t>
      </w:r>
    </w:p>
    <w:p>
      <w:pPr>
        <w:pStyle w:val="Normal"/>
        <w:spacing w:lineRule="exact" w:line="268" w:before="0" w:after="110"/>
        <w:jc w:val="start"/>
        <w:rPr/>
      </w:pPr>
      <w:r>
        <w:rPr>
          <w:rFonts w:eastAsia="Calibri" w:cs="Calibri"/>
          <w:b w:val="false"/>
          <w:bCs w:val="false"/>
          <w:i w:val="false"/>
          <w:iCs w:val="false"/>
          <w:color w:val="1A1A1A"/>
          <w:sz w:val="20"/>
          <w:szCs w:val="20"/>
        </w:rPr>
        <w:t>Go in to help, not to sell. The professionals you’re meeting are protective of their clients and their own reputation, and they can smell a pushy salesperson instantly. Be warm, brief, knowledgeable, and genuinely useful — even offer to be a resource before you’ve gotten a single referral. Relationships, not transactions, are what you’re building.</w:t>
      </w:r>
    </w:p>
    <w:p>
      <w:pPr>
        <w:pStyle w:val="Normal"/>
        <w:keepNext w:val="true"/>
        <w:spacing w:before="140" w:after="60"/>
        <w:rPr/>
      </w:pPr>
      <w:r>
        <w:rPr>
          <w:rFonts w:eastAsia="Calibri" w:cs="Calibri"/>
          <w:b/>
          <w:bCs/>
          <w:i w:val="false"/>
          <w:iCs w:val="false"/>
          <w:color w:val="3E5871"/>
          <w:sz w:val="21"/>
          <w:szCs w:val="21"/>
        </w:rPr>
        <w:t>Getting past the gatekeeper</w:t>
      </w:r>
    </w:p>
    <w:p>
      <w:pPr>
        <w:pStyle w:val="Normal"/>
        <w:spacing w:lineRule="exact" w:line="268" w:before="0" w:after="110"/>
        <w:jc w:val="start"/>
        <w:rPr/>
      </w:pPr>
      <w:r>
        <w:rPr>
          <w:rFonts w:eastAsia="Calibri" w:cs="Calibri"/>
          <w:b w:val="false"/>
          <w:bCs w:val="false"/>
          <w:i w:val="false"/>
          <w:iCs w:val="false"/>
          <w:color w:val="1A1A1A"/>
          <w:sz w:val="20"/>
          <w:szCs w:val="20"/>
        </w:rPr>
        <w:t>You often can’t reach the decision-maker directly, and that’s fine — the gatekeeper (the front desk, the office manager, the admissions coordinator) is often the real relationship. Treat them with genuine respect and warmth, learn their name, make their day a little easier, and they will open doors for you. Ask them who handles referrals or discharges, the best way to get information to that person, and how they prefer providers to reach out. A gatekeeper who likes you is worth more than a dozen cold calls to someone who doesn’t know you.</w:t>
      </w:r>
    </w:p>
    <w:p>
      <w:pPr>
        <w:pStyle w:val="Normal"/>
        <w:rPr/>
      </w:pPr>
      <w:r>
        <w:rPr/>
      </w:r>
      <w:r>
        <w:br w:type="page"/>
      </w:r>
    </w:p>
    <w:p>
      <w:pPr>
        <w:pStyle w:val="Normal"/>
        <w:keepNext w:val="true"/>
        <w:spacing w:before="0" w:after="90"/>
        <w:rPr/>
      </w:pPr>
      <w:r>
        <w:rPr>
          <w:rFonts w:eastAsia="Calibri" w:cs="Calibri"/>
          <w:b/>
          <w:bCs/>
          <w:i w:val="false"/>
          <w:iCs w:val="false"/>
          <w:color w:val="1F3A5F"/>
          <w:sz w:val="26"/>
          <w:szCs w:val="26"/>
        </w:rPr>
        <w:t>Part 6 — What to Say: Scripts &amp; Messages</w:t>
      </w:r>
    </w:p>
    <w:p>
      <w:pPr>
        <w:pStyle w:val="Normal"/>
        <w:spacing w:lineRule="exact" w:line="268" w:before="0" w:after="110"/>
        <w:jc w:val="start"/>
        <w:rPr/>
      </w:pPr>
      <w:r>
        <w:rPr>
          <w:rFonts w:eastAsia="Calibri" w:cs="Calibri"/>
          <w:b w:val="false"/>
          <w:bCs w:val="false"/>
          <w:i w:val="false"/>
          <w:iCs w:val="false"/>
          <w:color w:val="1A1A1A"/>
          <w:sz w:val="20"/>
          <w:szCs w:val="20"/>
        </w:rPr>
        <w:t>You don’t need to be slick — you need to be clear, warm, and brief. Adapt these to your business and your voice.</w:t>
      </w:r>
    </w:p>
    <w:p>
      <w:pPr>
        <w:pStyle w:val="Normal"/>
        <w:keepNext w:val="true"/>
        <w:spacing w:before="140" w:after="60"/>
        <w:rPr/>
      </w:pPr>
      <w:r>
        <w:rPr>
          <w:rFonts w:eastAsia="Calibri" w:cs="Calibri"/>
          <w:b/>
          <w:bCs/>
          <w:i w:val="false"/>
          <w:iCs w:val="false"/>
          <w:color w:val="3E5871"/>
          <w:sz w:val="21"/>
          <w:szCs w:val="21"/>
        </w:rPr>
        <w:t>Your 20-second introduction</w:t>
      </w:r>
    </w:p>
    <w:p>
      <w:pPr>
        <w:pStyle w:val="Normal"/>
        <w:spacing w:lineRule="exact" w:line="268" w:before="0" w:after="110"/>
        <w:jc w:val="start"/>
        <w:rPr/>
      </w:pPr>
      <w:r>
        <w:rPr>
          <w:rFonts w:eastAsia="Calibri" w:cs="Calibri"/>
          <w:b w:val="false"/>
          <w:bCs w:val="false"/>
          <w:i w:val="false"/>
          <w:iCs w:val="false"/>
          <w:color w:val="1A1A1A"/>
          <w:sz w:val="20"/>
          <w:szCs w:val="20"/>
        </w:rPr>
        <w:t>“</w:t>
      </w:r>
      <w:r>
        <w:rPr>
          <w:rFonts w:eastAsia="Calibri" w:cs="Calibri"/>
          <w:b w:val="false"/>
          <w:bCs w:val="false"/>
          <w:i w:val="false"/>
          <w:iCs w:val="false"/>
          <w:color w:val="1A1A1A"/>
          <w:sz w:val="20"/>
          <w:szCs w:val="20"/>
        </w:rPr>
        <w:t>Hi, I’m [name] with [agency]. We provide [what you do] for [who you serve] in [area]. I work with discharge planners and care managers to make sure their clients get [the outcome you deliver — safe, reliable care at home / a smooth transition]. I’d love to learn what you look for in a provider so we can be a good resource for you.”</w:t>
      </w:r>
    </w:p>
    <w:p>
      <w:pPr>
        <w:pStyle w:val="Normal"/>
        <w:keepNext w:val="true"/>
        <w:spacing w:before="140" w:after="60"/>
        <w:rPr/>
      </w:pPr>
      <w:r>
        <w:rPr>
          <w:rFonts w:eastAsia="Calibri" w:cs="Calibri"/>
          <w:b/>
          <w:bCs/>
          <w:i w:val="false"/>
          <w:iCs w:val="false"/>
          <w:color w:val="3E5871"/>
          <w:sz w:val="21"/>
          <w:szCs w:val="21"/>
        </w:rPr>
        <w:t>Voicemail</w:t>
      </w:r>
    </w:p>
    <w:p>
      <w:pPr>
        <w:pStyle w:val="Normal"/>
        <w:spacing w:lineRule="exact" w:line="268" w:before="0" w:after="110"/>
        <w:jc w:val="start"/>
        <w:rPr/>
      </w:pPr>
      <w:r>
        <w:rPr>
          <w:rFonts w:eastAsia="Calibri" w:cs="Calibri"/>
          <w:b w:val="false"/>
          <w:bCs w:val="false"/>
          <w:i w:val="false"/>
          <w:iCs w:val="false"/>
          <w:color w:val="1A1A1A"/>
          <w:sz w:val="20"/>
          <w:szCs w:val="20"/>
        </w:rPr>
        <w:t>“</w:t>
      </w:r>
      <w:r>
        <w:rPr>
          <w:rFonts w:eastAsia="Calibri" w:cs="Calibri"/>
          <w:b w:val="false"/>
          <w:bCs w:val="false"/>
          <w:i w:val="false"/>
          <w:iCs w:val="false"/>
          <w:color w:val="1A1A1A"/>
          <w:sz w:val="20"/>
          <w:szCs w:val="20"/>
        </w:rPr>
        <w:t>Hi [name], this is [name] with [agency] — we provide [service] for [population] in [area]. I’m reaching out to introduce us as a resource for your clients. My direct line is [number]; I’d welcome a quick conversation whenever it’s convenient. Thank you.”</w:t>
      </w:r>
    </w:p>
    <w:p>
      <w:pPr>
        <w:pStyle w:val="Normal"/>
        <w:keepNext w:val="true"/>
        <w:spacing w:before="140" w:after="60"/>
        <w:rPr/>
      </w:pPr>
      <w:r>
        <w:rPr>
          <w:rFonts w:eastAsia="Calibri" w:cs="Calibri"/>
          <w:b/>
          <w:bCs/>
          <w:i w:val="false"/>
          <w:iCs w:val="false"/>
          <w:color w:val="3E5871"/>
          <w:sz w:val="21"/>
          <w:szCs w:val="21"/>
        </w:rPr>
        <w:t>Introductory email</w:t>
      </w:r>
    </w:p>
    <w:p>
      <w:pPr>
        <w:pStyle w:val="Normal"/>
        <w:spacing w:lineRule="exact" w:line="268" w:before="0" w:after="110"/>
        <w:jc w:val="start"/>
        <w:rPr/>
      </w:pPr>
      <w:r>
        <w:rPr>
          <w:rFonts w:eastAsia="Calibri" w:cs="Calibri"/>
          <w:b w:val="false"/>
          <w:bCs w:val="false"/>
          <w:i w:val="false"/>
          <w:iCs w:val="false"/>
          <w:color w:val="1A1A1A"/>
          <w:sz w:val="20"/>
          <w:szCs w:val="20"/>
        </w:rPr>
        <w:t>Subject: A reliable [service] resource for your clients in [area]</w:t>
      </w:r>
    </w:p>
    <w:p>
      <w:pPr>
        <w:pStyle w:val="Normal"/>
        <w:spacing w:lineRule="exact" w:line="268" w:before="0" w:after="110"/>
        <w:jc w:val="start"/>
        <w:rPr/>
      </w:pPr>
      <w:r>
        <w:rPr>
          <w:rFonts w:eastAsia="Calibri" w:cs="Calibri"/>
          <w:b w:val="false"/>
          <w:bCs w:val="false"/>
          <w:i w:val="false"/>
          <w:iCs w:val="false"/>
          <w:color w:val="1A1A1A"/>
          <w:sz w:val="20"/>
          <w:szCs w:val="20"/>
        </w:rPr>
        <w:t>“</w:t>
      </w:r>
      <w:r>
        <w:rPr>
          <w:rFonts w:eastAsia="Calibri" w:cs="Calibri"/>
          <w:b w:val="false"/>
          <w:bCs w:val="false"/>
          <w:i w:val="false"/>
          <w:iCs w:val="false"/>
          <w:color w:val="1A1A1A"/>
          <w:sz w:val="20"/>
          <w:szCs w:val="20"/>
        </w:rPr>
        <w:t>Hi [name], I’m [name] with [agency]. We help [population] with [service], and we work closely with [discharge planners / care managers / physicians] to make sure clients get [outcome]. I’d love a few minutes to introduce us and learn what you look for in a provider. Could I stop by or set up a brief call? A one-page overview is attached. Thank you — [name], [phone], [email].”</w:t>
      </w:r>
    </w:p>
    <w:p>
      <w:pPr>
        <w:pStyle w:val="Normal"/>
        <w:keepNext w:val="true"/>
        <w:spacing w:before="140" w:after="60"/>
        <w:rPr/>
      </w:pPr>
      <w:r>
        <w:rPr>
          <w:rFonts w:eastAsia="Calibri" w:cs="Calibri"/>
          <w:b/>
          <w:bCs/>
          <w:i w:val="false"/>
          <w:iCs w:val="false"/>
          <w:color w:val="3E5871"/>
          <w:sz w:val="21"/>
          <w:szCs w:val="21"/>
        </w:rPr>
        <w:t>What makes you different (have this ready)</w:t>
      </w:r>
    </w:p>
    <w:p>
      <w:pPr>
        <w:pStyle w:val="Normal"/>
        <w:spacing w:lineRule="exact" w:line="268" w:before="0" w:after="110"/>
        <w:jc w:val="start"/>
        <w:rPr/>
      </w:pPr>
      <w:r>
        <w:rPr>
          <w:rFonts w:eastAsia="Calibri" w:cs="Calibri"/>
          <w:b w:val="false"/>
          <w:bCs w:val="false"/>
          <w:i w:val="false"/>
          <w:iCs w:val="false"/>
          <w:color w:val="1A1A1A"/>
          <w:sz w:val="20"/>
          <w:szCs w:val="20"/>
        </w:rPr>
        <w:t>Referrers will ask, directly or silently, ‘why you?’ Have a specific, honest answer — not ‘we care about our clients’ (everyone says that). Better: ‘We answer every referral within [X] hours and start within [Y].’ ‘Our caregivers are trained in [specialty].’ ‘We send you an update after every start.’ Specific, reliable, and about them.</w:t>
      </w:r>
    </w:p>
    <w:p>
      <w:pPr>
        <w:pStyle w:val="Normal"/>
        <w:keepNext w:val="true"/>
        <w:spacing w:before="140" w:after="60"/>
        <w:rPr/>
      </w:pPr>
      <w:r>
        <w:rPr>
          <w:rFonts w:eastAsia="Calibri" w:cs="Calibri"/>
          <w:b/>
          <w:bCs/>
          <w:i w:val="false"/>
          <w:iCs w:val="false"/>
          <w:color w:val="3E5871"/>
          <w:sz w:val="21"/>
          <w:szCs w:val="21"/>
        </w:rPr>
        <w:t>Your one-page leave-behind</w:t>
      </w:r>
    </w:p>
    <w:p>
      <w:pPr>
        <w:pStyle w:val="Normal"/>
        <w:spacing w:lineRule="exact" w:line="268" w:before="0" w:after="110"/>
        <w:jc w:val="start"/>
        <w:rPr/>
      </w:pPr>
      <w:r>
        <w:rPr>
          <w:rFonts w:eastAsia="Calibri" w:cs="Calibri"/>
          <w:b w:val="false"/>
          <w:bCs w:val="false"/>
          <w:i w:val="false"/>
          <w:iCs w:val="false"/>
          <w:color w:val="1A1A1A"/>
          <w:sz w:val="20"/>
          <w:szCs w:val="20"/>
        </w:rPr>
        <w:t>Give every source something simple to keep and to hand to a client. One page, uncluttered, with: who you are and who you serve; your service area; three specific things that make you reliable (not fluffy claims); exactly how to refer (a direct phone number and a simple form or email); and what happens after they refer (‘we respond within [X] hours and keep you informed’). Put a real person’s name and direct line on it. Skip the stock photos and marketing speak — professionals want clarity and a name they can call, not a brochure. This one page, left in the right hands, does quiet work long after your visit.</w:t>
      </w:r>
    </w:p>
    <w:p>
      <w:pPr>
        <w:pStyle w:val="Normal"/>
        <w:keepNext w:val="true"/>
        <w:spacing w:before="140" w:after="60"/>
        <w:rPr/>
      </w:pPr>
      <w:r>
        <w:rPr>
          <w:rFonts w:eastAsia="Calibri" w:cs="Calibri"/>
          <w:b/>
          <w:bCs/>
          <w:i w:val="false"/>
          <w:iCs w:val="false"/>
          <w:color w:val="3E5871"/>
          <w:sz w:val="21"/>
          <w:szCs w:val="21"/>
        </w:rPr>
        <w:t>Asking a happy family for a referral or review</w:t>
      </w:r>
    </w:p>
    <w:p>
      <w:pPr>
        <w:pStyle w:val="Normal"/>
        <w:spacing w:lineRule="exact" w:line="268" w:before="0" w:after="110"/>
        <w:jc w:val="start"/>
        <w:rPr/>
      </w:pPr>
      <w:r>
        <w:rPr>
          <w:rFonts w:eastAsia="Calibri" w:cs="Calibri"/>
          <w:b w:val="false"/>
          <w:bCs w:val="false"/>
          <w:i w:val="false"/>
          <w:iCs w:val="false"/>
          <w:color w:val="1A1A1A"/>
          <w:sz w:val="20"/>
          <w:szCs w:val="20"/>
        </w:rPr>
        <w:t>“</w:t>
      </w:r>
      <w:r>
        <w:rPr>
          <w:rFonts w:eastAsia="Calibri" w:cs="Calibri"/>
          <w:b w:val="false"/>
          <w:bCs w:val="false"/>
          <w:i w:val="false"/>
          <w:iCs w:val="false"/>
          <w:color w:val="1A1A1A"/>
          <w:sz w:val="20"/>
          <w:szCs w:val="20"/>
        </w:rPr>
        <w:t>It’s meant so much to care for [name]. If you know another family who could use support like this, we’d be honored to help — and if you have a moment, a short review online helps other families find us.”</w:t>
      </w:r>
    </w:p>
    <w:p>
      <w:pPr>
        <w:pStyle w:val="Normal"/>
        <w:rPr/>
      </w:pPr>
      <w:r>
        <w:rPr/>
      </w:r>
      <w:r>
        <w:br w:type="page"/>
      </w:r>
    </w:p>
    <w:p>
      <w:pPr>
        <w:pStyle w:val="Normal"/>
        <w:keepNext w:val="true"/>
        <w:spacing w:before="0" w:after="90"/>
        <w:rPr/>
      </w:pPr>
      <w:r>
        <w:rPr>
          <w:rFonts w:eastAsia="Calibri" w:cs="Calibri"/>
          <w:b/>
          <w:bCs/>
          <w:i w:val="false"/>
          <w:iCs w:val="false"/>
          <w:color w:val="1F3A5F"/>
          <w:sz w:val="26"/>
          <w:szCs w:val="26"/>
        </w:rPr>
        <w:t>Part 7 — Becoming a Preferred Provider</w:t>
      </w:r>
    </w:p>
    <w:p>
      <w:pPr>
        <w:pStyle w:val="Normal"/>
        <w:spacing w:lineRule="exact" w:line="268" w:before="0" w:after="110"/>
        <w:jc w:val="start"/>
        <w:rPr/>
      </w:pPr>
      <w:r>
        <w:rPr>
          <w:rFonts w:eastAsia="Calibri" w:cs="Calibri"/>
          <w:b w:val="false"/>
          <w:bCs w:val="false"/>
          <w:i w:val="false"/>
          <w:iCs w:val="false"/>
          <w:color w:val="1A1A1A"/>
          <w:sz w:val="20"/>
          <w:szCs w:val="20"/>
        </w:rPr>
        <w:t>Getting a first referral is the beginning. The goal is to become the provider a source refers to by default — their ‘preferred’ provider. That is earned by how you perform after the referral, not by how good your pitch was. What earns it:</w:t>
      </w:r>
    </w:p>
    <w:p>
      <w:pPr>
        <w:pStyle w:val="ListParagraph"/>
        <w:numPr>
          <w:ilvl w:val="0"/>
          <w:numId w:val="0"/>
        </w:numPr>
        <w:spacing w:lineRule="exact" w:line="268" w:before="0" w:after="60"/>
        <w:ind w:hanging="0" w:start="0"/>
        <w:rPr/>
      </w:pPr>
      <w:r>
        <w:rPr>
          <w:rFonts w:eastAsia="Calibri" w:cs="Calibri"/>
          <w:b w:val="false"/>
          <w:bCs w:val="false"/>
          <w:i w:val="false"/>
          <w:iCs w:val="false"/>
          <w:color w:val="1A1A1A"/>
          <w:sz w:val="20"/>
          <w:szCs w:val="20"/>
        </w:rPr>
        <w:t>Responsiveness: answer referrals fast — same day, ideally within hours. Slow response is the number-one reason sources stop referring.</w:t>
      </w:r>
    </w:p>
    <w:p>
      <w:pPr>
        <w:pStyle w:val="ListParagraph"/>
        <w:numPr>
          <w:ilvl w:val="0"/>
          <w:numId w:val="0"/>
        </w:numPr>
        <w:spacing w:lineRule="exact" w:line="268" w:before="0" w:after="60"/>
        <w:ind w:hanging="0" w:start="0"/>
        <w:rPr/>
      </w:pPr>
      <w:r>
        <w:rPr>
          <w:rFonts w:eastAsia="Calibri" w:cs="Calibri"/>
          <w:b w:val="false"/>
          <w:bCs w:val="false"/>
          <w:i w:val="false"/>
          <w:iCs w:val="false"/>
          <w:color w:val="1A1A1A"/>
          <w:sz w:val="20"/>
          <w:szCs w:val="20"/>
        </w:rPr>
        <w:t>Reliability: do what you said, when you said. Start on time, show up, and don’t drop the ball. One dropped ball can cost a relationship.</w:t>
      </w:r>
    </w:p>
    <w:p>
      <w:pPr>
        <w:pStyle w:val="ListParagraph"/>
        <w:numPr>
          <w:ilvl w:val="0"/>
          <w:numId w:val="0"/>
        </w:numPr>
        <w:spacing w:lineRule="exact" w:line="268" w:before="0" w:after="60"/>
        <w:ind w:hanging="0" w:start="0"/>
        <w:rPr/>
      </w:pPr>
      <w:r>
        <w:rPr>
          <w:rFonts w:eastAsia="Calibri" w:cs="Calibri"/>
          <w:b w:val="false"/>
          <w:bCs w:val="false"/>
          <w:i w:val="false"/>
          <w:iCs w:val="false"/>
          <w:color w:val="1A1A1A"/>
          <w:sz w:val="20"/>
          <w:szCs w:val="20"/>
        </w:rPr>
        <w:t>Communication loop: close the loop — tell the referrer you accepted, that you started, and how it’s going (within privacy rules). Referrers love providers who keep them informed.</w:t>
      </w:r>
    </w:p>
    <w:p>
      <w:pPr>
        <w:pStyle w:val="ListParagraph"/>
        <w:numPr>
          <w:ilvl w:val="0"/>
          <w:numId w:val="0"/>
        </w:numPr>
        <w:spacing w:lineRule="exact" w:line="268" w:before="0" w:after="60"/>
        <w:ind w:hanging="0" w:start="0"/>
        <w:rPr/>
      </w:pPr>
      <w:r>
        <w:rPr>
          <w:rFonts w:eastAsia="Calibri" w:cs="Calibri"/>
          <w:b w:val="false"/>
          <w:bCs w:val="false"/>
          <w:i w:val="false"/>
          <w:iCs w:val="false"/>
          <w:color w:val="1A1A1A"/>
          <w:sz w:val="20"/>
          <w:szCs w:val="20"/>
        </w:rPr>
        <w:t>Good outcomes: keep clients safe and satisfied, prevent hospital readmissions, and make the referrer look good.</w:t>
      </w:r>
    </w:p>
    <w:p>
      <w:pPr>
        <w:pStyle w:val="ListParagraph"/>
        <w:numPr>
          <w:ilvl w:val="0"/>
          <w:numId w:val="0"/>
        </w:numPr>
        <w:spacing w:lineRule="exact" w:line="268" w:before="0" w:after="60"/>
        <w:ind w:hanging="0" w:start="0"/>
        <w:rPr/>
      </w:pPr>
      <w:r>
        <w:rPr>
          <w:rFonts w:eastAsia="Calibri" w:cs="Calibri"/>
          <w:b w:val="false"/>
          <w:bCs w:val="false"/>
          <w:i w:val="false"/>
          <w:iCs w:val="false"/>
          <w:color w:val="1A1A1A"/>
          <w:sz w:val="20"/>
          <w:szCs w:val="20"/>
        </w:rPr>
        <w:t>Being easy to work with: simple referral process, no drama, gracious even when you can’t take a case (and refer it on when you can’t).</w:t>
      </w:r>
    </w:p>
    <w:p>
      <w:pPr>
        <w:pStyle w:val="ListParagraph"/>
        <w:numPr>
          <w:ilvl w:val="0"/>
          <w:numId w:val="0"/>
        </w:numPr>
        <w:spacing w:lineRule="exact" w:line="268" w:before="0" w:after="60"/>
        <w:ind w:hanging="0" w:start="0"/>
        <w:rPr/>
      </w:pPr>
      <w:r>
        <w:rPr>
          <w:rFonts w:eastAsia="Calibri" w:cs="Calibri"/>
          <w:b w:val="false"/>
          <w:bCs w:val="false"/>
          <w:i w:val="false"/>
          <w:iCs w:val="false"/>
          <w:color w:val="1A1A1A"/>
          <w:sz w:val="20"/>
          <w:szCs w:val="20"/>
        </w:rPr>
        <w:t>Gratitude: thank referrers sincerely — a call, a note. (Keep it appropriate and lawful; see Part 11 — never pay for referrals of federally funded clients.)</w:t>
      </w:r>
    </w:p>
    <w:p>
      <w:pPr>
        <w:pStyle w:val="Normal"/>
        <w:keepNext w:val="true"/>
        <w:spacing w:before="140" w:after="60"/>
        <w:rPr/>
      </w:pPr>
      <w:r>
        <w:rPr>
          <w:rFonts w:eastAsia="Calibri" w:cs="Calibri"/>
          <w:b/>
          <w:bCs/>
          <w:i w:val="false"/>
          <w:iCs w:val="false"/>
          <w:color w:val="3E5871"/>
          <w:sz w:val="21"/>
          <w:szCs w:val="21"/>
        </w:rPr>
        <w:t>The communication loop that sets you apart</w:t>
      </w:r>
    </w:p>
    <w:p>
      <w:pPr>
        <w:pStyle w:val="Normal"/>
        <w:spacing w:lineRule="exact" w:line="268" w:before="0" w:after="110"/>
        <w:jc w:val="start"/>
        <w:rPr/>
      </w:pPr>
      <w:r>
        <w:rPr>
          <w:rFonts w:eastAsia="Calibri" w:cs="Calibri"/>
          <w:b w:val="false"/>
          <w:bCs w:val="false"/>
          <w:i w:val="false"/>
          <w:iCs w:val="false"/>
          <w:color w:val="1A1A1A"/>
          <w:sz w:val="20"/>
          <w:szCs w:val="20"/>
        </w:rPr>
        <w:t>Most providers go silent after they get a referral, which leaves the referrer wondering what happened to their client and their reputation. Do the opposite. Close the loop at three moments: when you receive the referral (‘Got it, thank you — we’re on it’), when you start (‘We started today; here’s who’s on the case’), and periodically after (‘Just so you know, things are going well’ — within privacy rules). This simple habit costs you minutes and makes you unforgettable, because it answers the referrer’s silent worry before they have to ask. Providers who close the loop become the preferred provider; providers who go silent get replaced.</w:t>
      </w:r>
    </w:p>
    <w:p>
      <w:pPr>
        <w:pStyle w:val="Normal"/>
        <w:spacing w:lineRule="exact" w:line="268" w:before="0" w:after="110"/>
        <w:jc w:val="start"/>
        <w:rPr/>
      </w:pPr>
      <w:r>
        <w:rPr>
          <w:rFonts w:eastAsia="Calibri" w:cs="Calibri"/>
          <w:b w:val="false"/>
          <w:bCs w:val="false"/>
          <w:i w:val="false"/>
          <w:iCs w:val="false"/>
          <w:color w:val="1A1A1A"/>
          <w:sz w:val="20"/>
          <w:szCs w:val="20"/>
        </w:rPr>
        <w:t>Preferred-provider status compounds in a way that’s worth understanding. The first referral is a test. If you pass — responsive, reliable, communicative — the second comes faster, and the third faster still, until the source stops thinking about who to refer to and simply thinks of you. At that point you’ve moved from ‘a provider they’ve used’ to ‘their provider,’ and a single such relationship can anchor your census. That is the whole game: turn a first referral into a default choice by never giving them a reason to look elsewhere.</w:t>
      </w:r>
    </w:p>
    <w:p>
      <w:pPr>
        <w:pStyle w:val="Normal"/>
        <w:rPr/>
      </w:pPr>
      <w:r>
        <w:rPr/>
      </w:r>
      <w:r>
        <w:br w:type="page"/>
      </w:r>
    </w:p>
    <w:p>
      <w:pPr>
        <w:pStyle w:val="Normal"/>
        <w:keepNext w:val="true"/>
        <w:spacing w:before="0" w:after="90"/>
        <w:rPr/>
      </w:pPr>
      <w:r>
        <w:rPr>
          <w:rFonts w:eastAsia="Calibri" w:cs="Calibri"/>
          <w:b/>
          <w:bCs/>
          <w:i w:val="false"/>
          <w:iCs w:val="false"/>
          <w:color w:val="1F3A5F"/>
          <w:sz w:val="26"/>
          <w:szCs w:val="26"/>
        </w:rPr>
        <w:t>Part 8 — Get Found: Your Online Presence</w:t>
      </w:r>
    </w:p>
    <w:p>
      <w:pPr>
        <w:pStyle w:val="Normal"/>
        <w:spacing w:lineRule="exact" w:line="268" w:before="0" w:after="110"/>
        <w:jc w:val="start"/>
        <w:rPr/>
      </w:pPr>
      <w:r>
        <w:rPr>
          <w:rFonts w:eastAsia="Calibri" w:cs="Calibri"/>
          <w:b w:val="false"/>
          <w:bCs w:val="false"/>
          <w:i w:val="false"/>
          <w:iCs w:val="false"/>
          <w:color w:val="1A1A1A"/>
          <w:sz w:val="20"/>
          <w:szCs w:val="20"/>
        </w:rPr>
        <w:t>Even referred clients check you out online before they call, and some clients find you there directly. You don’t need a big marketing budget — you need to be findable and credible.</w:t>
      </w:r>
    </w:p>
    <w:p>
      <w:pPr>
        <w:pStyle w:val="ListParagraph"/>
        <w:numPr>
          <w:ilvl w:val="0"/>
          <w:numId w:val="0"/>
        </w:numPr>
        <w:spacing w:lineRule="exact" w:line="268" w:before="0" w:after="60"/>
        <w:ind w:hanging="0" w:start="0"/>
        <w:rPr/>
      </w:pPr>
      <w:r>
        <w:rPr>
          <w:rFonts w:eastAsia="Calibri" w:cs="Calibri"/>
          <w:b w:val="false"/>
          <w:bCs w:val="false"/>
          <w:i w:val="false"/>
          <w:iCs w:val="false"/>
          <w:color w:val="1A1A1A"/>
          <w:sz w:val="20"/>
          <w:szCs w:val="20"/>
        </w:rPr>
        <w:t>Google Business Profile: claim and complete it — this is how you show up in local ‘[service] near me’ searches and on the map. Keep hours, phone, and service area current.</w:t>
      </w:r>
    </w:p>
    <w:p>
      <w:pPr>
        <w:pStyle w:val="ListParagraph"/>
        <w:numPr>
          <w:ilvl w:val="0"/>
          <w:numId w:val="0"/>
        </w:numPr>
        <w:spacing w:lineRule="exact" w:line="268" w:before="0" w:after="60"/>
        <w:ind w:hanging="0" w:start="0"/>
        <w:rPr/>
      </w:pPr>
      <w:r>
        <w:rPr>
          <w:rFonts w:eastAsia="Calibri" w:cs="Calibri"/>
          <w:b w:val="false"/>
          <w:bCs w:val="false"/>
          <w:i w:val="false"/>
          <w:iCs w:val="false"/>
          <w:color w:val="1A1A1A"/>
          <w:sz w:val="20"/>
          <w:szCs w:val="20"/>
        </w:rPr>
        <w:t>Reviews: ask satisfied families for Google reviews — they’re the modern word of mouth, and referrers check them too. Respond to every review graciously.</w:t>
      </w:r>
    </w:p>
    <w:p>
      <w:pPr>
        <w:pStyle w:val="ListParagraph"/>
        <w:numPr>
          <w:ilvl w:val="0"/>
          <w:numId w:val="0"/>
        </w:numPr>
        <w:spacing w:lineRule="exact" w:line="268" w:before="0" w:after="60"/>
        <w:ind w:hanging="0" w:start="0"/>
        <w:rPr/>
      </w:pPr>
      <w:r>
        <w:rPr>
          <w:rFonts w:eastAsia="Calibri" w:cs="Calibri"/>
          <w:b w:val="false"/>
          <w:bCs w:val="false"/>
          <w:i w:val="false"/>
          <w:iCs w:val="false"/>
          <w:color w:val="1A1A1A"/>
          <w:sz w:val="20"/>
          <w:szCs w:val="20"/>
        </w:rPr>
        <w:t>A clear, honest website: who you serve, what you do, your service area, and how to reach you — with a phone number that’s answered. It doesn’t need to be fancy; it needs to be clear and trustworthy.</w:t>
      </w:r>
    </w:p>
    <w:p>
      <w:pPr>
        <w:pStyle w:val="ListParagraph"/>
        <w:numPr>
          <w:ilvl w:val="0"/>
          <w:numId w:val="0"/>
        </w:numPr>
        <w:spacing w:lineRule="exact" w:line="268" w:before="0" w:after="60"/>
        <w:ind w:hanging="0" w:start="0"/>
        <w:rPr/>
      </w:pPr>
      <w:r>
        <w:rPr>
          <w:rFonts w:eastAsia="Calibri" w:cs="Calibri"/>
          <w:b w:val="false"/>
          <w:bCs w:val="false"/>
          <w:i w:val="false"/>
          <w:iCs w:val="false"/>
          <w:color w:val="1A1A1A"/>
          <w:sz w:val="20"/>
          <w:szCs w:val="20"/>
        </w:rPr>
        <w:t>Directories &amp; listings: list on the aging-network and referral directories your sources use (Area Agency on Aging lists, senior-referral sites, payer provider directories).</w:t>
      </w:r>
    </w:p>
    <w:p>
      <w:pPr>
        <w:pStyle w:val="Normal"/>
        <w:spacing w:lineRule="exact" w:line="268" w:before="0" w:after="110"/>
        <w:jc w:val="start"/>
        <w:rPr/>
      </w:pPr>
      <w:r>
        <w:rPr>
          <w:rFonts w:eastAsia="Calibri" w:cs="Calibri"/>
          <w:b w:val="false"/>
          <w:bCs w:val="false"/>
          <w:i w:val="false"/>
          <w:iCs w:val="false"/>
          <w:color w:val="1A1A1A"/>
          <w:sz w:val="20"/>
          <w:szCs w:val="20"/>
        </w:rPr>
        <w:t>Reviews deserve special attention, because they now do what word of mouth used to do — at scale. Families read them before they call, and referrers quietly check them too, because recommending a provider with poor reviews reflects on them. Build a gentle, consistent habit of asking satisfied families for a review at a natural moment (after a milestone, when they express gratitude), make it easy with a direct link, and respond to every review — grateful for the good ones, calm and constructive with the rare hard one. A steady trickle of genuine, recent reviews is one of the highest-return, lowest-cost things you can do, and it reinforces every referral relationship you build.</w:t>
      </w:r>
    </w:p>
    <w:p>
      <w:pPr>
        <w:pStyle w:val="Normal"/>
        <w:rPr/>
      </w:pPr>
      <w:r>
        <w:rPr/>
      </w:r>
      <w:r>
        <w:br w:type="page"/>
      </w:r>
    </w:p>
    <w:p>
      <w:pPr>
        <w:pStyle w:val="Normal"/>
        <w:keepNext w:val="true"/>
        <w:spacing w:before="0" w:after="90"/>
        <w:rPr/>
      </w:pPr>
      <w:r>
        <w:rPr>
          <w:rFonts w:eastAsia="Calibri" w:cs="Calibri"/>
          <w:b/>
          <w:bCs/>
          <w:i w:val="false"/>
          <w:iCs w:val="false"/>
          <w:color w:val="1F3A5F"/>
          <w:sz w:val="26"/>
          <w:szCs w:val="26"/>
        </w:rPr>
        <w:t>Part 9 — The Referral System: Your Weekly Rhythm</w:t>
      </w:r>
    </w:p>
    <w:p>
      <w:pPr>
        <w:pStyle w:val="Normal"/>
        <w:spacing w:lineRule="exact" w:line="268" w:before="0" w:after="110"/>
        <w:jc w:val="start"/>
        <w:rPr/>
      </w:pPr>
      <w:r>
        <w:rPr>
          <w:rFonts w:eastAsia="Calibri" w:cs="Calibri"/>
          <w:b w:val="false"/>
          <w:bCs w:val="false"/>
          <w:i w:val="false"/>
          <w:iCs w:val="false"/>
          <w:color w:val="1A1A1A"/>
          <w:sz w:val="20"/>
          <w:szCs w:val="20"/>
        </w:rPr>
        <w:t>Referral development fails when it’s a burst of activity that fizzles. It works when it’s a habit. Build a simple weekly rhythm and use the companion Tracker to run it.</w:t>
      </w:r>
    </w:p>
    <w:p>
      <w:pPr>
        <w:pStyle w:val="ListParagraph"/>
        <w:numPr>
          <w:ilvl w:val="0"/>
          <w:numId w:val="0"/>
        </w:numPr>
        <w:spacing w:lineRule="exact" w:line="268" w:before="0" w:after="60"/>
        <w:ind w:hanging="0" w:start="0"/>
        <w:rPr/>
      </w:pPr>
      <w:r>
        <w:rPr>
          <w:rFonts w:eastAsia="Calibri" w:cs="Calibri"/>
          <w:b w:val="false"/>
          <w:bCs w:val="false"/>
          <w:i w:val="false"/>
          <w:iCs w:val="false"/>
          <w:color w:val="1A1A1A"/>
          <w:sz w:val="20"/>
          <w:szCs w:val="20"/>
        </w:rPr>
        <w:t>Pick your Target 25. From your source list, choose the 25 highest-value sources to focus on. Depth beats breadth — 25 real relationships outperform 200 business cards.</w:t>
      </w:r>
    </w:p>
    <w:p>
      <w:pPr>
        <w:pStyle w:val="ListParagraph"/>
        <w:numPr>
          <w:ilvl w:val="0"/>
          <w:numId w:val="0"/>
        </w:numPr>
        <w:spacing w:lineRule="exact" w:line="268" w:before="0" w:after="60"/>
        <w:ind w:hanging="0" w:start="0"/>
        <w:rPr/>
      </w:pPr>
      <w:r>
        <w:rPr>
          <w:rFonts w:eastAsia="Calibri" w:cs="Calibri"/>
          <w:b w:val="false"/>
          <w:bCs w:val="false"/>
          <w:i w:val="false"/>
          <w:iCs w:val="false"/>
          <w:color w:val="1A1A1A"/>
          <w:sz w:val="20"/>
          <w:szCs w:val="20"/>
        </w:rPr>
        <w:t>Set a weekly outreach goal. For example: 5 new contacts and 5 follow-ups a week. Small and consistent wins.</w:t>
      </w:r>
    </w:p>
    <w:p>
      <w:pPr>
        <w:pStyle w:val="ListParagraph"/>
        <w:numPr>
          <w:ilvl w:val="0"/>
          <w:numId w:val="0"/>
        </w:numPr>
        <w:spacing w:lineRule="exact" w:line="268" w:before="0" w:after="60"/>
        <w:ind w:hanging="0" w:start="0"/>
        <w:rPr/>
      </w:pPr>
      <w:r>
        <w:rPr>
          <w:rFonts w:eastAsia="Calibri" w:cs="Calibri"/>
          <w:b w:val="false"/>
          <w:bCs w:val="false"/>
          <w:i w:val="false"/>
          <w:iCs w:val="false"/>
          <w:color w:val="1A1A1A"/>
          <w:sz w:val="20"/>
          <w:szCs w:val="20"/>
        </w:rPr>
        <w:t>Log every touch. Who you contacted, when, what happened, and the next step — in the Tracker. A relationship with no next step goes cold.</w:t>
      </w:r>
    </w:p>
    <w:p>
      <w:pPr>
        <w:pStyle w:val="ListParagraph"/>
        <w:numPr>
          <w:ilvl w:val="0"/>
          <w:numId w:val="0"/>
        </w:numPr>
        <w:spacing w:lineRule="exact" w:line="268" w:before="0" w:after="60"/>
        <w:ind w:hanging="0" w:start="0"/>
        <w:rPr/>
      </w:pPr>
      <w:r>
        <w:rPr>
          <w:rFonts w:eastAsia="Calibri" w:cs="Calibri"/>
          <w:b w:val="false"/>
          <w:bCs w:val="false"/>
          <w:i w:val="false"/>
          <w:iCs w:val="false"/>
          <w:color w:val="1A1A1A"/>
          <w:sz w:val="20"/>
          <w:szCs w:val="20"/>
        </w:rPr>
        <w:t>Nurture on a cadence. Stay in front of your top sources regularly — a check-in, a helpful resource, a thank-you — without being a nuisance.</w:t>
      </w:r>
    </w:p>
    <w:p>
      <w:pPr>
        <w:pStyle w:val="ListParagraph"/>
        <w:numPr>
          <w:ilvl w:val="0"/>
          <w:numId w:val="0"/>
        </w:numPr>
        <w:spacing w:lineRule="exact" w:line="268" w:before="0" w:after="60"/>
        <w:ind w:hanging="0" w:start="0"/>
        <w:rPr/>
      </w:pPr>
      <w:r>
        <w:rPr>
          <w:rFonts w:eastAsia="Calibri" w:cs="Calibri"/>
          <w:b w:val="false"/>
          <w:bCs w:val="false"/>
          <w:i w:val="false"/>
          <w:iCs w:val="false"/>
          <w:color w:val="1A1A1A"/>
          <w:sz w:val="20"/>
          <w:szCs w:val="20"/>
        </w:rPr>
        <w:t>Block the time. Put referral outreach on your calendar like a client shift. If it’s not scheduled, it won’t happen when you get busy.</w:t>
      </w:r>
    </w:p>
    <w:p>
      <w:pPr>
        <w:pStyle w:val="Normal"/>
        <w:spacing w:lineRule="exact" w:line="268" w:before="0" w:after="110"/>
        <w:jc w:val="start"/>
        <w:rPr/>
      </w:pPr>
      <w:r>
        <w:rPr>
          <w:rFonts w:eastAsia="Calibri" w:cs="Calibri"/>
          <w:b w:val="false"/>
          <w:bCs w:val="false"/>
          <w:i w:val="false"/>
          <w:iCs w:val="false"/>
          <w:color w:val="1A1A1A"/>
          <w:sz w:val="20"/>
          <w:szCs w:val="20"/>
        </w:rPr>
        <w:t>One multiplier is worth building into every step: make it effortless to refer to you. A source will send a client to the provider who is easiest to use — the one whose number they have, whose intake takes two minutes, who answers on the first call, and who never makes them fill out a maze of forms. Audit your own referral process by pretending to be a busy discharge planner at 4:45 on a Friday: can they reach you, hand off the client, and move on in five minutes? If not, fix it. Being the easiest provider to refer to is a quiet, powerful advantage that compounds every single week.</w:t>
      </w:r>
    </w:p>
    <w:p>
      <w:pPr>
        <w:pStyle w:val="Normal"/>
        <w:rPr/>
      </w:pPr>
      <w:r>
        <w:rPr/>
      </w:r>
      <w:r>
        <w:br w:type="page"/>
      </w:r>
    </w:p>
    <w:p>
      <w:pPr>
        <w:pStyle w:val="Normal"/>
        <w:keepNext w:val="true"/>
        <w:spacing w:before="0" w:after="90"/>
        <w:rPr/>
      </w:pPr>
      <w:r>
        <w:rPr>
          <w:rFonts w:eastAsia="Calibri" w:cs="Calibri"/>
          <w:b/>
          <w:bCs/>
          <w:i w:val="false"/>
          <w:iCs w:val="false"/>
          <w:color w:val="1F3A5F"/>
          <w:sz w:val="26"/>
          <w:szCs w:val="26"/>
        </w:rPr>
        <w:t>Part 10 — Measure What Works and Grow</w:t>
      </w:r>
    </w:p>
    <w:p>
      <w:pPr>
        <w:pStyle w:val="Normal"/>
        <w:spacing w:lineRule="exact" w:line="268" w:before="0" w:after="110"/>
        <w:jc w:val="start"/>
        <w:rPr/>
      </w:pPr>
      <w:r>
        <w:rPr>
          <w:rFonts w:eastAsia="Calibri" w:cs="Calibri"/>
          <w:b w:val="false"/>
          <w:bCs w:val="false"/>
          <w:i w:val="false"/>
          <w:iCs w:val="false"/>
          <w:color w:val="1A1A1A"/>
          <w:sz w:val="20"/>
          <w:szCs w:val="20"/>
        </w:rPr>
        <w:t>If you’re just starting, here is a concrete first-30-days plan: Week 1 — build your source list in the Tracker and pick your Target 25. Week 2 — prepare your one-page leave-behind and your scripts, and make your first five contacts. Week 3 — hold your first meetings, listen hard, and log every touch and next step. Week 4 — follow up with everyone, thank anyone who’s helped, and add five new sources to the top of your list. Then repeat, every week. In ninety days of this, you will have real relationships forming; in six months, a referral engine.</w:t>
      </w:r>
    </w:p>
    <w:p>
      <w:pPr>
        <w:pStyle w:val="Normal"/>
        <w:spacing w:lineRule="exact" w:line="268" w:before="0" w:after="110"/>
        <w:jc w:val="start"/>
        <w:rPr/>
      </w:pPr>
      <w:r>
        <w:rPr>
          <w:rFonts w:eastAsia="Calibri" w:cs="Calibri"/>
          <w:b w:val="false"/>
          <w:bCs w:val="false"/>
          <w:i w:val="false"/>
          <w:iCs w:val="false"/>
          <w:color w:val="1A1A1A"/>
          <w:sz w:val="20"/>
          <w:szCs w:val="20"/>
        </w:rPr>
        <w:t>Track where your clients actually come from, and let the data steer you. Ask every new client (and referrer) how they found you, and record it in the Tracker.</w:t>
      </w:r>
    </w:p>
    <w:p>
      <w:pPr>
        <w:pStyle w:val="ListParagraph"/>
        <w:numPr>
          <w:ilvl w:val="0"/>
          <w:numId w:val="0"/>
        </w:numPr>
        <w:spacing w:lineRule="exact" w:line="268" w:before="0" w:after="60"/>
        <w:ind w:hanging="0" w:start="0"/>
        <w:rPr/>
      </w:pPr>
      <w:r>
        <w:rPr>
          <w:rFonts w:eastAsia="Calibri" w:cs="Calibri"/>
          <w:b w:val="false"/>
          <w:bCs w:val="false"/>
          <w:i w:val="false"/>
          <w:iCs w:val="false"/>
          <w:color w:val="1A1A1A"/>
          <w:sz w:val="20"/>
          <w:szCs w:val="20"/>
        </w:rPr>
        <w:t>Track referrals by source. Which sources send clients, how many, and how often — so you know where your business really comes from.</w:t>
      </w:r>
    </w:p>
    <w:p>
      <w:pPr>
        <w:pStyle w:val="ListParagraph"/>
        <w:numPr>
          <w:ilvl w:val="0"/>
          <w:numId w:val="0"/>
        </w:numPr>
        <w:spacing w:lineRule="exact" w:line="268" w:before="0" w:after="60"/>
        <w:ind w:hanging="0" w:start="0"/>
        <w:rPr/>
      </w:pPr>
      <w:r>
        <w:rPr>
          <w:rFonts w:eastAsia="Calibri" w:cs="Calibri"/>
          <w:b w:val="false"/>
          <w:bCs w:val="false"/>
          <w:i w:val="false"/>
          <w:iCs w:val="false"/>
          <w:color w:val="1A1A1A"/>
          <w:sz w:val="20"/>
          <w:szCs w:val="20"/>
        </w:rPr>
        <w:t>Watch conversion. Referrals that turn into clients — a source that sends many that don’t fit is different from one that sends a few perfect ones.</w:t>
      </w:r>
    </w:p>
    <w:p>
      <w:pPr>
        <w:pStyle w:val="ListParagraph"/>
        <w:numPr>
          <w:ilvl w:val="0"/>
          <w:numId w:val="0"/>
        </w:numPr>
        <w:spacing w:lineRule="exact" w:line="268" w:before="0" w:after="60"/>
        <w:ind w:hanging="0" w:start="0"/>
        <w:rPr/>
      </w:pPr>
      <w:r>
        <w:rPr>
          <w:rFonts w:eastAsia="Calibri" w:cs="Calibri"/>
          <w:b w:val="false"/>
          <w:bCs w:val="false"/>
          <w:i w:val="false"/>
          <w:iCs w:val="false"/>
          <w:color w:val="1A1A1A"/>
          <w:sz w:val="20"/>
          <w:szCs w:val="20"/>
        </w:rPr>
        <w:t>Double down on producers. Give your best sources more time and gratitude; they’re your growth engine.</w:t>
      </w:r>
    </w:p>
    <w:p>
      <w:pPr>
        <w:pStyle w:val="ListParagraph"/>
        <w:numPr>
          <w:ilvl w:val="0"/>
          <w:numId w:val="0"/>
        </w:numPr>
        <w:spacing w:lineRule="exact" w:line="268" w:before="0" w:after="60"/>
        <w:ind w:hanging="0" w:start="0"/>
        <w:rPr/>
      </w:pPr>
      <w:r>
        <w:rPr>
          <w:rFonts w:eastAsia="Calibri" w:cs="Calibri"/>
          <w:b w:val="false"/>
          <w:bCs w:val="false"/>
          <w:i w:val="false"/>
          <w:iCs w:val="false"/>
          <w:color w:val="1A1A1A"/>
          <w:sz w:val="20"/>
          <w:szCs w:val="20"/>
        </w:rPr>
        <w:t>Diagnose the quiet ones. A source that stopped referring is a signal — reconnect and find out why.</w:t>
      </w:r>
    </w:p>
    <w:p>
      <w:pPr>
        <w:pStyle w:val="ListParagraph"/>
        <w:numPr>
          <w:ilvl w:val="0"/>
          <w:numId w:val="0"/>
        </w:numPr>
        <w:spacing w:lineRule="exact" w:line="268" w:before="0" w:after="60"/>
        <w:ind w:hanging="0" w:start="0"/>
        <w:rPr/>
      </w:pPr>
      <w:r>
        <w:rPr>
          <w:rFonts w:eastAsia="Calibri" w:cs="Calibri"/>
          <w:b w:val="false"/>
          <w:bCs w:val="false"/>
          <w:i w:val="false"/>
          <w:iCs w:val="false"/>
          <w:color w:val="1A1A1A"/>
          <w:sz w:val="20"/>
          <w:szCs w:val="20"/>
        </w:rPr>
        <w:t>Replace and expand. Keep adding new sources to the top of your list as relationships mature, so growth never stalls.</w:t>
      </w:r>
    </w:p>
    <w:p>
      <w:pPr>
        <w:pStyle w:val="Normal"/>
        <w:rPr/>
      </w:pPr>
      <w:r>
        <w:rPr/>
      </w:r>
      <w:r>
        <w:br w:type="page"/>
      </w:r>
    </w:p>
    <w:p>
      <w:pPr>
        <w:pStyle w:val="Normal"/>
        <w:keepNext w:val="true"/>
        <w:spacing w:before="0" w:after="90"/>
        <w:rPr/>
      </w:pPr>
      <w:r>
        <w:rPr>
          <w:rFonts w:eastAsia="Calibri" w:cs="Calibri"/>
          <w:b/>
          <w:bCs/>
          <w:i w:val="false"/>
          <w:iCs w:val="false"/>
          <w:color w:val="1F3A5F"/>
          <w:sz w:val="26"/>
          <w:szCs w:val="26"/>
        </w:rPr>
        <w:t>Part 11 — Common Mistakes (and the Legal Line)</w:t>
      </w:r>
    </w:p>
    <w:p>
      <w:pPr>
        <w:pStyle w:val="ListParagraph"/>
        <w:numPr>
          <w:ilvl w:val="0"/>
          <w:numId w:val="0"/>
        </w:numPr>
        <w:spacing w:lineRule="exact" w:line="268" w:before="0" w:after="60"/>
        <w:ind w:hanging="0" w:start="0"/>
        <w:rPr/>
      </w:pPr>
      <w:r>
        <w:rPr>
          <w:rFonts w:eastAsia="Calibri" w:cs="Calibri"/>
          <w:b w:val="false"/>
          <w:bCs w:val="false"/>
          <w:i w:val="false"/>
          <w:iCs w:val="false"/>
          <w:color w:val="1A1A1A"/>
          <w:sz w:val="20"/>
          <w:szCs w:val="20"/>
        </w:rPr>
        <w:t>Spending on ads before building relationships. Referrals convert better and cost less — start there.</w:t>
      </w:r>
    </w:p>
    <w:p>
      <w:pPr>
        <w:pStyle w:val="ListParagraph"/>
        <w:numPr>
          <w:ilvl w:val="0"/>
          <w:numId w:val="0"/>
        </w:numPr>
        <w:spacing w:lineRule="exact" w:line="268" w:before="0" w:after="60"/>
        <w:ind w:hanging="0" w:start="0"/>
        <w:rPr/>
      </w:pPr>
      <w:r>
        <w:rPr>
          <w:rFonts w:eastAsia="Calibri" w:cs="Calibri"/>
          <w:b w:val="false"/>
          <w:bCs w:val="false"/>
          <w:i w:val="false"/>
          <w:iCs w:val="false"/>
          <w:color w:val="1A1A1A"/>
          <w:sz w:val="20"/>
          <w:szCs w:val="20"/>
        </w:rPr>
        <w:t>Chasing breadth over depth. A stack of business cards isn’t relationships. Focus on your Target 25.</w:t>
      </w:r>
    </w:p>
    <w:p>
      <w:pPr>
        <w:pStyle w:val="ListParagraph"/>
        <w:numPr>
          <w:ilvl w:val="0"/>
          <w:numId w:val="0"/>
        </w:numPr>
        <w:spacing w:lineRule="exact" w:line="268" w:before="0" w:after="60"/>
        <w:ind w:hanging="0" w:start="0"/>
        <w:rPr/>
      </w:pPr>
      <w:r>
        <w:rPr>
          <w:rFonts w:eastAsia="Calibri" w:cs="Calibri"/>
          <w:b w:val="false"/>
          <w:bCs w:val="false"/>
          <w:i w:val="false"/>
          <w:iCs w:val="false"/>
          <w:color w:val="1A1A1A"/>
          <w:sz w:val="20"/>
          <w:szCs w:val="20"/>
        </w:rPr>
        <w:t>Pitching instead of listening. Ask what they need; don’t monologue about yourself.</w:t>
      </w:r>
    </w:p>
    <w:p>
      <w:pPr>
        <w:pStyle w:val="ListParagraph"/>
        <w:numPr>
          <w:ilvl w:val="0"/>
          <w:numId w:val="0"/>
        </w:numPr>
        <w:spacing w:lineRule="exact" w:line="268" w:before="0" w:after="60"/>
        <w:ind w:hanging="0" w:start="0"/>
        <w:rPr/>
      </w:pPr>
      <w:r>
        <w:rPr>
          <w:rFonts w:eastAsia="Calibri" w:cs="Calibri"/>
          <w:b w:val="false"/>
          <w:bCs w:val="false"/>
          <w:i w:val="false"/>
          <w:iCs w:val="false"/>
          <w:color w:val="1A1A1A"/>
          <w:sz w:val="20"/>
          <w:szCs w:val="20"/>
        </w:rPr>
        <w:t>Being slow or unreliable after the referral. Performance, not pitch, keeps referrals coming. One dropped ball can end a relationship.</w:t>
      </w:r>
    </w:p>
    <w:p>
      <w:pPr>
        <w:pStyle w:val="ListParagraph"/>
        <w:numPr>
          <w:ilvl w:val="0"/>
          <w:numId w:val="0"/>
        </w:numPr>
        <w:spacing w:lineRule="exact" w:line="268" w:before="0" w:after="60"/>
        <w:ind w:hanging="0" w:start="0"/>
        <w:rPr/>
      </w:pPr>
      <w:r>
        <w:rPr>
          <w:rFonts w:eastAsia="Calibri" w:cs="Calibri"/>
          <w:b w:val="false"/>
          <w:bCs w:val="false"/>
          <w:i w:val="false"/>
          <w:iCs w:val="false"/>
          <w:color w:val="1A1A1A"/>
          <w:sz w:val="20"/>
          <w:szCs w:val="20"/>
        </w:rPr>
        <w:t>Not tracking anything. If you don’t know where clients come from, you can’t grow it.</w:t>
      </w:r>
    </w:p>
    <w:p>
      <w:pPr>
        <w:pStyle w:val="ListParagraph"/>
        <w:numPr>
          <w:ilvl w:val="0"/>
          <w:numId w:val="0"/>
        </w:numPr>
        <w:spacing w:lineRule="exact" w:line="268" w:before="0" w:after="60"/>
        <w:ind w:hanging="0" w:start="0"/>
        <w:rPr/>
      </w:pPr>
      <w:r>
        <w:rPr>
          <w:rFonts w:eastAsia="Calibri" w:cs="Calibri"/>
          <w:b w:val="false"/>
          <w:bCs w:val="false"/>
          <w:i w:val="false"/>
          <w:iCs w:val="false"/>
          <w:color w:val="1A1A1A"/>
          <w:sz w:val="20"/>
          <w:szCs w:val="20"/>
        </w:rPr>
        <w:t>Giving up too soon. Referral relationships take months to mature — consistency wins.</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D8B37A"/>
              <w:start w:val="single" w:sz="6" w:space="0" w:color="D8B37A"/>
              <w:bottom w:val="single" w:sz="6" w:space="0" w:color="D8B37A"/>
              <w:end w:val="single" w:sz="6" w:space="0" w:color="D8B37A"/>
            </w:tcBorders>
            <w:shd w:color="auto" w:fill="FBF3E7" w:val="clear"/>
          </w:tcPr>
          <w:p>
            <w:pPr>
              <w:pStyle w:val="Normal"/>
              <w:spacing w:before="0" w:after="40"/>
              <w:rPr/>
            </w:pPr>
            <w:r>
              <w:rPr>
                <w:rFonts w:eastAsia="Calibri" w:cs="Calibri"/>
                <w:b/>
                <w:bCs/>
                <w:i w:val="false"/>
                <w:iCs w:val="false"/>
                <w:color w:val="8A5A1A"/>
                <w:sz w:val="19"/>
                <w:szCs w:val="19"/>
              </w:rPr>
              <w:t>Stay on the right side of the law</w:t>
            </w:r>
          </w:p>
          <w:p>
            <w:pPr>
              <w:pStyle w:val="Normal"/>
              <w:spacing w:lineRule="exact" w:line="264" w:before="0" w:after="0"/>
              <w:rPr/>
            </w:pPr>
            <w:r>
              <w:rPr>
                <w:rFonts w:eastAsia="Calibri" w:cs="Calibri"/>
                <w:b w:val="false"/>
                <w:bCs w:val="false"/>
                <w:i w:val="false"/>
                <w:iCs w:val="false"/>
                <w:color w:val="1A1A1A"/>
                <w:sz w:val="19"/>
                <w:szCs w:val="19"/>
              </w:rPr>
              <w:t>Referral relationships must be built on trust and service — never on payment for referrals of clients covered by Medicare, Medicaid, or other federal programs. The federal Anti-Kickback Statute and related laws (and many state laws) prohibit paying or receiving anything of value for such referrals. Keep gratitude appropriate (a thank-you, not a fee), and when in doubt, consult a healthcare attorney. Ethical referral-building is also better business — it’s built to last.</w:t>
            </w:r>
          </w:p>
        </w:tc>
      </w:tr>
    </w:tbl>
    <w:p>
      <w:pPr>
        <w:pStyle w:val="Normal"/>
        <w:keepNext w:val="true"/>
        <w:spacing w:before="140" w:after="60"/>
        <w:rPr/>
      </w:pPr>
      <w:r>
        <w:rPr>
          <w:rFonts w:eastAsia="Calibri" w:cs="Calibri"/>
          <w:b/>
          <w:bCs/>
          <w:i w:val="false"/>
          <w:iCs w:val="false"/>
          <w:color w:val="3E5871"/>
          <w:sz w:val="21"/>
          <w:szCs w:val="21"/>
        </w:rPr>
        <w:t>The Referral Source Directory at a Glance</w:t>
      </w:r>
    </w:p>
    <w:p>
      <w:pPr>
        <w:pStyle w:val="Normal"/>
        <w:spacing w:lineRule="exact" w:line="268" w:before="0" w:after="110"/>
        <w:jc w:val="start"/>
        <w:rPr/>
      </w:pPr>
      <w:r>
        <w:rPr>
          <w:rFonts w:eastAsia="Calibri" w:cs="Calibri"/>
          <w:b w:val="false"/>
          <w:bCs w:val="false"/>
          <w:i w:val="false"/>
          <w:iCs w:val="false"/>
          <w:color w:val="1A1A1A"/>
          <w:sz w:val="20"/>
          <w:szCs w:val="20"/>
        </w:rPr>
        <w:t>A quick-scan checklist of sources to consider for your list (build your local version in the Tracker):</w:t>
      </w:r>
    </w:p>
    <w:p>
      <w:pPr>
        <w:pStyle w:val="ListParagraph"/>
        <w:numPr>
          <w:ilvl w:val="0"/>
          <w:numId w:val="0"/>
        </w:numPr>
        <w:spacing w:lineRule="exact" w:line="268" w:before="0" w:after="60"/>
        <w:ind w:hanging="0" w:start="0"/>
        <w:rPr/>
      </w:pPr>
      <w:r>
        <w:rPr>
          <w:rFonts w:eastAsia="Calibri" w:cs="Calibri"/>
          <w:b w:val="false"/>
          <w:bCs w:val="false"/>
          <w:i w:val="false"/>
          <w:iCs w:val="false"/>
          <w:color w:val="1A1A1A"/>
          <w:sz w:val="20"/>
          <w:szCs w:val="20"/>
        </w:rPr>
        <w:t>Hospital discharge planners / case managers · ED &amp; hospital social workers</w:t>
      </w:r>
    </w:p>
    <w:p>
      <w:pPr>
        <w:pStyle w:val="ListParagraph"/>
        <w:numPr>
          <w:ilvl w:val="0"/>
          <w:numId w:val="0"/>
        </w:numPr>
        <w:spacing w:lineRule="exact" w:line="268" w:before="0" w:after="60"/>
        <w:ind w:hanging="0" w:start="0"/>
        <w:rPr/>
      </w:pPr>
      <w:r>
        <w:rPr>
          <w:rFonts w:eastAsia="Calibri" w:cs="Calibri"/>
          <w:b w:val="false"/>
          <w:bCs w:val="false"/>
          <w:i w:val="false"/>
          <w:iCs w:val="false"/>
          <w:color w:val="1A1A1A"/>
          <w:sz w:val="20"/>
          <w:szCs w:val="20"/>
        </w:rPr>
        <w:t>Skilled nursing &amp; rehab facility discharge planners</w:t>
      </w:r>
    </w:p>
    <w:p>
      <w:pPr>
        <w:pStyle w:val="ListParagraph"/>
        <w:numPr>
          <w:ilvl w:val="0"/>
          <w:numId w:val="0"/>
        </w:numPr>
        <w:spacing w:lineRule="exact" w:line="268" w:before="0" w:after="60"/>
        <w:ind w:hanging="0" w:start="0"/>
        <w:rPr/>
      </w:pPr>
      <w:r>
        <w:rPr>
          <w:rFonts w:eastAsia="Calibri" w:cs="Calibri"/>
          <w:b w:val="false"/>
          <w:bCs w:val="false"/>
          <w:i w:val="false"/>
          <w:iCs w:val="false"/>
          <w:color w:val="1A1A1A"/>
          <w:sz w:val="20"/>
          <w:szCs w:val="20"/>
        </w:rPr>
        <w:t>Primary care physicians, geriatricians &amp; relevant specialists (+ their care coordinators)</w:t>
      </w:r>
    </w:p>
    <w:p>
      <w:pPr>
        <w:pStyle w:val="ListParagraph"/>
        <w:numPr>
          <w:ilvl w:val="0"/>
          <w:numId w:val="0"/>
        </w:numPr>
        <w:spacing w:lineRule="exact" w:line="268" w:before="0" w:after="60"/>
        <w:ind w:hanging="0" w:start="0"/>
        <w:rPr/>
      </w:pPr>
      <w:r>
        <w:rPr>
          <w:rFonts w:eastAsia="Calibri" w:cs="Calibri"/>
          <w:b w:val="false"/>
          <w:bCs w:val="false"/>
          <w:i w:val="false"/>
          <w:iCs w:val="false"/>
          <w:color w:val="1A1A1A"/>
          <w:sz w:val="20"/>
          <w:szCs w:val="20"/>
        </w:rPr>
        <w:t>Geriatric care managers / aging life care professionals</w:t>
      </w:r>
    </w:p>
    <w:p>
      <w:pPr>
        <w:pStyle w:val="ListParagraph"/>
        <w:numPr>
          <w:ilvl w:val="0"/>
          <w:numId w:val="0"/>
        </w:numPr>
        <w:spacing w:lineRule="exact" w:line="268" w:before="0" w:after="60"/>
        <w:ind w:hanging="0" w:start="0"/>
        <w:rPr/>
      </w:pPr>
      <w:r>
        <w:rPr>
          <w:rFonts w:eastAsia="Calibri" w:cs="Calibri"/>
          <w:b w:val="false"/>
          <w:bCs w:val="false"/>
          <w:i w:val="false"/>
          <w:iCs w:val="false"/>
          <w:color w:val="1A1A1A"/>
          <w:sz w:val="20"/>
          <w:szCs w:val="20"/>
        </w:rPr>
        <w:t>Area Agencies on Aging &amp; senior information/referral lines</w:t>
      </w:r>
    </w:p>
    <w:p>
      <w:pPr>
        <w:pStyle w:val="ListParagraph"/>
        <w:numPr>
          <w:ilvl w:val="0"/>
          <w:numId w:val="0"/>
        </w:numPr>
        <w:spacing w:lineRule="exact" w:line="268" w:before="0" w:after="60"/>
        <w:ind w:hanging="0" w:start="0"/>
        <w:rPr/>
      </w:pPr>
      <w:r>
        <w:rPr>
          <w:rFonts w:eastAsia="Calibri" w:cs="Calibri"/>
          <w:b w:val="false"/>
          <w:bCs w:val="false"/>
          <w:i w:val="false"/>
          <w:iCs w:val="false"/>
          <w:color w:val="1A1A1A"/>
          <w:sz w:val="20"/>
          <w:szCs w:val="20"/>
        </w:rPr>
        <w:t>County / Medicaid / waiver case managers; managed-care coordinators</w:t>
      </w:r>
    </w:p>
    <w:p>
      <w:pPr>
        <w:pStyle w:val="ListParagraph"/>
        <w:numPr>
          <w:ilvl w:val="0"/>
          <w:numId w:val="0"/>
        </w:numPr>
        <w:spacing w:lineRule="exact" w:line="268" w:before="0" w:after="60"/>
        <w:ind w:hanging="0" w:start="0"/>
        <w:rPr/>
      </w:pPr>
      <w:r>
        <w:rPr>
          <w:rFonts w:eastAsia="Calibri" w:cs="Calibri"/>
          <w:b w:val="false"/>
          <w:bCs w:val="false"/>
          <w:i w:val="false"/>
          <w:iCs w:val="false"/>
          <w:color w:val="1A1A1A"/>
          <w:sz w:val="20"/>
          <w:szCs w:val="20"/>
        </w:rPr>
        <w:t>Assisted living, independent living, memory care, CCRCs &amp; board-and-care homes</w:t>
      </w:r>
    </w:p>
    <w:p>
      <w:pPr>
        <w:pStyle w:val="ListParagraph"/>
        <w:numPr>
          <w:ilvl w:val="0"/>
          <w:numId w:val="0"/>
        </w:numPr>
        <w:spacing w:lineRule="exact" w:line="268" w:before="0" w:after="60"/>
        <w:ind w:hanging="0" w:start="0"/>
        <w:rPr/>
      </w:pPr>
      <w:r>
        <w:rPr>
          <w:rFonts w:eastAsia="Calibri" w:cs="Calibri"/>
          <w:b w:val="false"/>
          <w:bCs w:val="false"/>
          <w:i w:val="false"/>
          <w:iCs w:val="false"/>
          <w:color w:val="1A1A1A"/>
          <w:sz w:val="20"/>
          <w:szCs w:val="20"/>
        </w:rPr>
        <w:t>Hospice &amp; palliative care; home health; pharmacies; home medical equipment</w:t>
      </w:r>
    </w:p>
    <w:p>
      <w:pPr>
        <w:pStyle w:val="ListParagraph"/>
        <w:numPr>
          <w:ilvl w:val="0"/>
          <w:numId w:val="0"/>
        </w:numPr>
        <w:spacing w:lineRule="exact" w:line="268" w:before="0" w:after="60"/>
        <w:ind w:hanging="0" w:start="0"/>
        <w:rPr/>
      </w:pPr>
      <w:r>
        <w:rPr>
          <w:rFonts w:eastAsia="Calibri" w:cs="Calibri"/>
          <w:b w:val="false"/>
          <w:bCs w:val="false"/>
          <w:i w:val="false"/>
          <w:iCs w:val="false"/>
          <w:color w:val="1A1A1A"/>
          <w:sz w:val="20"/>
          <w:szCs w:val="20"/>
        </w:rPr>
        <w:t>VA &amp; veteran service organizations; long-term-care insurance &amp; injury case managers</w:t>
      </w:r>
    </w:p>
    <w:p>
      <w:pPr>
        <w:pStyle w:val="ListParagraph"/>
        <w:numPr>
          <w:ilvl w:val="0"/>
          <w:numId w:val="0"/>
        </w:numPr>
        <w:spacing w:lineRule="exact" w:line="268" w:before="0" w:after="60"/>
        <w:ind w:hanging="0" w:start="0"/>
        <w:rPr/>
      </w:pPr>
      <w:r>
        <w:rPr>
          <w:rFonts w:eastAsia="Calibri" w:cs="Calibri"/>
          <w:b w:val="false"/>
          <w:bCs w:val="false"/>
          <w:i w:val="false"/>
          <w:iCs w:val="false"/>
          <w:color w:val="1A1A1A"/>
          <w:sz w:val="20"/>
          <w:szCs w:val="20"/>
        </w:rPr>
        <w:t>Elder-law attorneys, fiduciaries, financial planners &amp; trust officers</w:t>
      </w:r>
    </w:p>
    <w:p>
      <w:pPr>
        <w:pStyle w:val="ListParagraph"/>
        <w:numPr>
          <w:ilvl w:val="0"/>
          <w:numId w:val="0"/>
        </w:numPr>
        <w:spacing w:lineRule="exact" w:line="268" w:before="0" w:after="60"/>
        <w:ind w:hanging="0" w:start="0"/>
        <w:rPr/>
      </w:pPr>
      <w:r>
        <w:rPr>
          <w:rFonts w:eastAsia="Calibri" w:cs="Calibri"/>
          <w:b w:val="false"/>
          <w:bCs w:val="false"/>
          <w:i w:val="false"/>
          <w:iCs w:val="false"/>
          <w:color w:val="1A1A1A"/>
          <w:sz w:val="20"/>
          <w:szCs w:val="20"/>
        </w:rPr>
        <w:t>Faith communities, senior centers, support groups; funeral homes, senior realtors, move managers</w:t>
      </w:r>
    </w:p>
    <w:p>
      <w:pPr>
        <w:pStyle w:val="ListParagraph"/>
        <w:numPr>
          <w:ilvl w:val="0"/>
          <w:numId w:val="0"/>
        </w:numPr>
        <w:spacing w:lineRule="exact" w:line="268" w:before="0" w:after="60"/>
        <w:ind w:hanging="0" w:start="0"/>
        <w:rPr/>
      </w:pPr>
      <w:r>
        <w:rPr>
          <w:rFonts w:eastAsia="Calibri" w:cs="Calibri"/>
          <w:b w:val="false"/>
          <w:bCs w:val="false"/>
          <w:i w:val="false"/>
          <w:iCs w:val="false"/>
          <w:color w:val="1A1A1A"/>
          <w:sz w:val="20"/>
          <w:szCs w:val="20"/>
        </w:rPr>
        <w:t>Past &amp; current clients and families; your own caregivers and staff</w:t>
      </w:r>
    </w:p>
    <w:p>
      <w:pPr>
        <w:pStyle w:val="Normal"/>
        <w:keepNext w:val="true"/>
        <w:spacing w:before="140" w:after="60"/>
        <w:rPr/>
      </w:pPr>
      <w:r>
        <w:rPr>
          <w:rFonts w:eastAsia="Calibri" w:cs="Calibri"/>
          <w:b/>
          <w:bCs/>
          <w:i w:val="false"/>
          <w:iCs w:val="false"/>
          <w:color w:val="3E5871"/>
          <w:sz w:val="21"/>
          <w:szCs w:val="21"/>
        </w:rPr>
        <w:t>Putting It to Work</w:t>
      </w:r>
    </w:p>
    <w:p>
      <w:pPr>
        <w:pStyle w:val="Normal"/>
        <w:spacing w:lineRule="exact" w:line="268" w:before="0" w:after="110"/>
        <w:jc w:val="start"/>
        <w:rPr/>
      </w:pPr>
      <w:r>
        <w:rPr>
          <w:rFonts w:eastAsia="Calibri" w:cs="Calibri"/>
          <w:b w:val="false"/>
          <w:bCs w:val="false"/>
          <w:i w:val="false"/>
          <w:iCs w:val="false"/>
          <w:color w:val="1A1A1A"/>
          <w:sz w:val="20"/>
          <w:szCs w:val="20"/>
        </w:rPr>
        <w:t>Referrals aren’t luck — they’re a system. Build your source list, focus on your Target 25, learn what each one needs, reach out consistently, deliver so well they refer again, and track what works. Do it as a weekly habit and it compounds into a steady stream of pre-trusted clients. Open the companion worksheets in Part Three and start building your list today.</w:t>
      </w:r>
    </w:p>
    <w:tbl>
      <w:tblPr>
        <w:tblW w:w="9360" w:type="dxa"/>
        <w:jc w:val="start"/>
        <w:tblInd w:w="0" w:type="dxa"/>
        <w:tblLayout w:type="fixed"/>
        <w:tblCellMar>
          <w:top w:w="120" w:type="dxa"/>
          <w:start w:w="160" w:type="dxa"/>
          <w:bottom w:w="120" w:type="dxa"/>
          <w:end w:w="160" w:type="dxa"/>
        </w:tblCellMar>
      </w:tblPr>
      <w:tblGrid>
        <w:gridCol w:w="9360"/>
      </w:tblGrid>
      <w:tr>
        <w:trPr/>
        <w:tc>
          <w:tcPr>
            <w:tcW w:w="9360" w:type="dxa"/>
            <w:tcBorders>
              <w:top w:val="single" w:sz="6" w:space="0" w:color="D8B37A"/>
              <w:start w:val="single" w:sz="6" w:space="0" w:color="D8B37A"/>
              <w:bottom w:val="single" w:sz="6" w:space="0" w:color="D8B37A"/>
              <w:end w:val="single" w:sz="6" w:space="0" w:color="D8B37A"/>
            </w:tcBorders>
            <w:shd w:color="auto" w:fill="FBF3E7" w:val="clear"/>
          </w:tcPr>
          <w:p>
            <w:pPr>
              <w:pStyle w:val="Normal"/>
              <w:spacing w:before="0" w:after="40"/>
              <w:rPr/>
            </w:pPr>
            <w:r>
              <w:rPr>
                <w:rFonts w:eastAsia="Calibri" w:cs="Calibri"/>
                <w:b/>
                <w:bCs/>
                <w:i w:val="false"/>
                <w:iCs w:val="false"/>
                <w:color w:val="8A5A1A"/>
                <w:sz w:val="19"/>
                <w:szCs w:val="19"/>
              </w:rPr>
              <w:t>Your next step</w:t>
            </w:r>
          </w:p>
          <w:p>
            <w:pPr>
              <w:pStyle w:val="Normal"/>
              <w:spacing w:lineRule="exact" w:line="264" w:before="0" w:after="0"/>
              <w:rPr/>
            </w:pPr>
            <w:r>
              <w:rPr>
                <w:rFonts w:eastAsia="Calibri" w:cs="Calibri"/>
                <w:b w:val="false"/>
                <w:bCs w:val="false"/>
                <w:i w:val="false"/>
                <w:iCs w:val="false"/>
                <w:color w:val="1A1A1A"/>
                <w:sz w:val="19"/>
                <w:szCs w:val="19"/>
              </w:rPr>
              <w:t>Turn to the worksheets in Part Three, list every referral source you can think of near you, star your Target 25, and schedule your first five outreach contacts this week. Momentum starts with one conversation.</w:t>
            </w:r>
          </w:p>
        </w:tc>
      </w:tr>
    </w:tbl>
    <w:p>
      <w:pPr>
        <w:pStyle w:val="Normal"/>
        <w:rPr/>
      </w:pPr>
      <w:r>
        <w:rPr/>
      </w:r>
      <w:r>
        <w:br w:type="page"/>
      </w:r>
    </w:p>
    <w:p>
      <w:pPr>
        <w:pStyle w:val="Normal"/>
        <w:keepNext w:val="true"/>
        <w:spacing w:before="0" w:after="90"/>
        <w:rPr/>
      </w:pPr>
      <w:r>
        <w:rPr>
          <w:rFonts w:eastAsia="Calibri" w:cs="Calibri"/>
          <w:b/>
          <w:bCs/>
          <w:i w:val="false"/>
          <w:iCs w:val="false"/>
          <w:color w:val="1F3A5F"/>
          <w:sz w:val="26"/>
          <w:szCs w:val="26"/>
        </w:rPr>
        <w:t>Part Two — The Colorado Referral Directory</w:t>
      </w:r>
    </w:p>
    <w:p>
      <w:pPr>
        <w:pStyle w:val="Normal"/>
        <w:spacing w:lineRule="exact" w:line="268" w:before="0" w:after="110"/>
        <w:jc w:val="start"/>
        <w:rPr/>
      </w:pPr>
      <w:r>
        <w:rPr>
          <w:rFonts w:eastAsia="Calibri" w:cs="Calibri"/>
          <w:b w:val="false"/>
          <w:bCs w:val="false"/>
          <w:i w:val="false"/>
          <w:iCs w:val="false"/>
          <w:color w:val="1A1A1A"/>
          <w:sz w:val="20"/>
          <w:szCs w:val="20"/>
        </w:rPr>
        <w:t>Start with the statewide agencies and payers every Colorado home care agency works with, then use the metro target lists that follow to build your local referral network. Verify each contact before you rely on it.</w:t>
      </w:r>
    </w:p>
    <w:p>
      <w:pPr>
        <w:pStyle w:val="Normal"/>
        <w:shd w:val="clear" w:color="auto" w:fill="1F3A5F"/>
        <w:spacing w:before="240" w:after="170"/>
        <w:rPr/>
      </w:pPr>
      <w:r>
        <w:rPr>
          <w:rFonts w:eastAsia="Calibri" w:cs="Calibri"/>
          <w:b/>
          <w:bCs/>
          <w:i w:val="false"/>
          <w:iCs w:val="false"/>
          <w:color w:val="FFFFFF"/>
          <w:sz w:val="30"/>
          <w:szCs w:val="30"/>
        </w:rPr>
        <w:t xml:space="preserve">  </w:t>
      </w:r>
      <w:r>
        <w:rPr>
          <w:rFonts w:eastAsia="Calibri" w:cs="Calibri"/>
          <w:b/>
          <w:bCs/>
          <w:i w:val="false"/>
          <w:iCs w:val="false"/>
          <w:color w:val="FFFFFF"/>
          <w:sz w:val="30"/>
          <w:szCs w:val="30"/>
        </w:rPr>
        <w:t xml:space="preserve">Statewide Agencies, Payers &amp; Reporting  </w:t>
      </w:r>
    </w:p>
    <w:tbl>
      <w:tblPr>
        <w:tblW w:w="9360" w:type="dxa"/>
        <w:jc w:val="start"/>
        <w:tblInd w:w="0" w:type="dxa"/>
        <w:tblLayout w:type="fixed"/>
        <w:tblCellMar>
          <w:top w:w="55" w:type="dxa"/>
          <w:start w:w="100" w:type="dxa"/>
          <w:bottom w:w="55" w:type="dxa"/>
          <w:end w:w="100" w:type="dxa"/>
        </w:tblCellMar>
      </w:tblPr>
      <w:tblGrid>
        <w:gridCol w:w="2600"/>
        <w:gridCol w:w="6759"/>
      </w:tblGrid>
      <w:tr>
        <w:trPr>
          <w:tblHeader w:val="true"/>
        </w:trPr>
        <w:tc>
          <w:tcPr>
            <w:tcW w:w="260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Source</w:t>
            </w:r>
          </w:p>
        </w:tc>
        <w:tc>
          <w:tcPr>
            <w:tcW w:w="675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Why they refer · how to reach them</w:t>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0" w:type="dxa"/>
              <w:bottom w:w="50" w:type="dxa"/>
            </w:tcMar>
          </w:tcPr>
          <w:p>
            <w:pPr>
              <w:pStyle w:val="Normal"/>
              <w:spacing w:lineRule="exact" w:line="268" w:before="0" w:after="0"/>
              <w:jc w:val="start"/>
              <w:rPr/>
            </w:pPr>
            <w:r>
              <w:rPr>
                <w:rFonts w:eastAsia="Calibri" w:cs="Calibri"/>
                <w:b/>
                <w:bCs/>
                <w:i w:val="false"/>
                <w:iCs w:val="false"/>
                <w:color w:val="3E5871"/>
                <w:sz w:val="15"/>
                <w:szCs w:val="15"/>
              </w:rPr>
              <w:t>CDPHE — Health Facilities Division (licensing)</w:t>
            </w:r>
          </w:p>
        </w:tc>
        <w:tc>
          <w:tcPr>
            <w:tcW w:w="6759" w:type="dxa"/>
            <w:tcBorders>
              <w:top w:val="single" w:sz="4" w:space="0" w:color="9DB1C7"/>
              <w:start w:val="single" w:sz="4" w:space="0" w:color="9DB1C7"/>
              <w:bottom w:val="single" w:sz="4" w:space="0" w:color="9DB1C7"/>
              <w:end w:val="single" w:sz="4" w:space="0" w:color="9DB1C7"/>
            </w:tcBorders>
            <w:tcMar>
              <w:top w:w="50" w:type="dxa"/>
              <w:bottom w:w="50" w:type="dxa"/>
            </w:tcMar>
          </w:tcPr>
          <w:p>
            <w:pPr>
              <w:pStyle w:val="Normal"/>
              <w:spacing w:lineRule="exact" w:line="268" w:before="0" w:after="0"/>
              <w:jc w:val="start"/>
              <w:rPr/>
            </w:pPr>
            <w:r>
              <w:rPr>
                <w:rFonts w:eastAsia="Calibri" w:cs="Calibri"/>
                <w:b w:val="false"/>
                <w:bCs w:val="false"/>
                <w:i w:val="false"/>
                <w:iCs w:val="false"/>
                <w:color w:val="1A1A1A"/>
                <w:sz w:val="15"/>
                <w:szCs w:val="15"/>
              </w:rPr>
              <w:t>Apply/renew via the COHFI portal · cdphe.colorado.gov</w:t>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0" w:type="dxa"/>
              <w:bottom w:w="50" w:type="dxa"/>
            </w:tcMar>
          </w:tcPr>
          <w:p>
            <w:pPr>
              <w:pStyle w:val="Normal"/>
              <w:spacing w:lineRule="exact" w:line="268" w:before="0" w:after="0"/>
              <w:jc w:val="start"/>
              <w:rPr/>
            </w:pPr>
            <w:r>
              <w:rPr>
                <w:rFonts w:eastAsia="Calibri" w:cs="Calibri"/>
                <w:b/>
                <w:bCs/>
                <w:i w:val="false"/>
                <w:iCs w:val="false"/>
                <w:color w:val="3E5871"/>
                <w:sz w:val="15"/>
                <w:szCs w:val="15"/>
              </w:rPr>
              <w:t>Colorado Medicaid — HCPF Provider Services</w:t>
            </w:r>
          </w:p>
        </w:tc>
        <w:tc>
          <w:tcPr>
            <w:tcW w:w="6759" w:type="dxa"/>
            <w:tcBorders>
              <w:top w:val="single" w:sz="4" w:space="0" w:color="9DB1C7"/>
              <w:start w:val="single" w:sz="4" w:space="0" w:color="9DB1C7"/>
              <w:bottom w:val="single" w:sz="4" w:space="0" w:color="9DB1C7"/>
              <w:end w:val="single" w:sz="4" w:space="0" w:color="9DB1C7"/>
            </w:tcBorders>
            <w:tcMar>
              <w:top w:w="50" w:type="dxa"/>
              <w:bottom w:w="50" w:type="dxa"/>
            </w:tcMar>
          </w:tcPr>
          <w:p>
            <w:pPr>
              <w:pStyle w:val="Normal"/>
              <w:spacing w:lineRule="exact" w:line="268" w:before="0" w:after="0"/>
              <w:jc w:val="start"/>
              <w:rPr/>
            </w:pPr>
            <w:r>
              <w:rPr>
                <w:rFonts w:eastAsia="Calibri" w:cs="Calibri"/>
                <w:b w:val="false"/>
                <w:bCs w:val="false"/>
                <w:i w:val="false"/>
                <w:iCs w:val="false"/>
                <w:color w:val="1A1A1A"/>
                <w:sz w:val="15"/>
                <w:szCs w:val="15"/>
              </w:rPr>
              <w:t>1-844-235-2755 · hcpf.colorado.gov</w:t>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0" w:type="dxa"/>
              <w:bottom w:w="50" w:type="dxa"/>
            </w:tcMar>
          </w:tcPr>
          <w:p>
            <w:pPr>
              <w:pStyle w:val="Normal"/>
              <w:spacing w:lineRule="exact" w:line="268" w:before="0" w:after="0"/>
              <w:jc w:val="start"/>
              <w:rPr/>
            </w:pPr>
            <w:r>
              <w:rPr>
                <w:rFonts w:eastAsia="Calibri" w:cs="Calibri"/>
                <w:b/>
                <w:bCs/>
                <w:i w:val="false"/>
                <w:iCs w:val="false"/>
                <w:color w:val="3E5871"/>
                <w:sz w:val="15"/>
                <w:szCs w:val="15"/>
              </w:rPr>
              <w:t>Sandata — Colorado EVV support</w:t>
            </w:r>
          </w:p>
        </w:tc>
        <w:tc>
          <w:tcPr>
            <w:tcW w:w="6759" w:type="dxa"/>
            <w:tcBorders>
              <w:top w:val="single" w:sz="4" w:space="0" w:color="9DB1C7"/>
              <w:start w:val="single" w:sz="4" w:space="0" w:color="9DB1C7"/>
              <w:bottom w:val="single" w:sz="4" w:space="0" w:color="9DB1C7"/>
              <w:end w:val="single" w:sz="4" w:space="0" w:color="9DB1C7"/>
            </w:tcBorders>
            <w:tcMar>
              <w:top w:w="50" w:type="dxa"/>
              <w:bottom w:w="50" w:type="dxa"/>
            </w:tcMar>
          </w:tcPr>
          <w:p>
            <w:pPr>
              <w:pStyle w:val="Normal"/>
              <w:spacing w:lineRule="exact" w:line="268" w:before="0" w:after="0"/>
              <w:jc w:val="start"/>
              <w:rPr/>
            </w:pPr>
            <w:r>
              <w:rPr>
                <w:rFonts w:eastAsia="Calibri" w:cs="Calibri"/>
                <w:b w:val="false"/>
                <w:bCs w:val="false"/>
                <w:i w:val="false"/>
                <w:iCs w:val="false"/>
                <w:color w:val="1A1A1A"/>
                <w:sz w:val="15"/>
                <w:szCs w:val="15"/>
              </w:rPr>
              <w:t>1-855-871-8780 · CoCustomerCare@sandata.com</w:t>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0" w:type="dxa"/>
              <w:bottom w:w="50" w:type="dxa"/>
            </w:tcMar>
          </w:tcPr>
          <w:p>
            <w:pPr>
              <w:pStyle w:val="Normal"/>
              <w:spacing w:lineRule="exact" w:line="268" w:before="0" w:after="0"/>
              <w:jc w:val="start"/>
              <w:rPr/>
            </w:pPr>
            <w:r>
              <w:rPr>
                <w:rFonts w:eastAsia="Calibri" w:cs="Calibri"/>
                <w:b/>
                <w:bCs/>
                <w:i w:val="false"/>
                <w:iCs w:val="false"/>
                <w:color w:val="3E5871"/>
                <w:sz w:val="15"/>
                <w:szCs w:val="15"/>
              </w:rPr>
              <w:t>CDLE — Division of Labor Standards &amp; Statistics</w:t>
            </w:r>
          </w:p>
        </w:tc>
        <w:tc>
          <w:tcPr>
            <w:tcW w:w="6759" w:type="dxa"/>
            <w:tcBorders>
              <w:top w:val="single" w:sz="4" w:space="0" w:color="9DB1C7"/>
              <w:start w:val="single" w:sz="4" w:space="0" w:color="9DB1C7"/>
              <w:bottom w:val="single" w:sz="4" w:space="0" w:color="9DB1C7"/>
              <w:end w:val="single" w:sz="4" w:space="0" w:color="9DB1C7"/>
            </w:tcBorders>
            <w:tcMar>
              <w:top w:w="50" w:type="dxa"/>
              <w:bottom w:w="50" w:type="dxa"/>
            </w:tcMar>
          </w:tcPr>
          <w:p>
            <w:pPr>
              <w:pStyle w:val="Normal"/>
              <w:spacing w:lineRule="exact" w:line="268" w:before="0" w:after="0"/>
              <w:jc w:val="start"/>
              <w:rPr/>
            </w:pPr>
            <w:r>
              <w:rPr>
                <w:rFonts w:eastAsia="Calibri" w:cs="Calibri"/>
                <w:b w:val="false"/>
                <w:bCs w:val="false"/>
                <w:i w:val="false"/>
                <w:iCs w:val="false"/>
                <w:color w:val="1A1A1A"/>
                <w:sz w:val="15"/>
                <w:szCs w:val="15"/>
              </w:rPr>
              <w:t>303-318-8441 · cdle.colorado.gov/dlss</w:t>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0" w:type="dxa"/>
              <w:bottom w:w="50" w:type="dxa"/>
            </w:tcMar>
          </w:tcPr>
          <w:p>
            <w:pPr>
              <w:pStyle w:val="Normal"/>
              <w:spacing w:lineRule="exact" w:line="268" w:before="0" w:after="0"/>
              <w:jc w:val="start"/>
              <w:rPr/>
            </w:pPr>
            <w:r>
              <w:rPr>
                <w:rFonts w:eastAsia="Calibri" w:cs="Calibri"/>
                <w:b/>
                <w:bCs/>
                <w:i w:val="false"/>
                <w:iCs w:val="false"/>
                <w:color w:val="3E5871"/>
                <w:sz w:val="15"/>
                <w:szCs w:val="15"/>
              </w:rPr>
              <w:t>Colorado Secretary of State (business / DBA)</w:t>
            </w:r>
          </w:p>
        </w:tc>
        <w:tc>
          <w:tcPr>
            <w:tcW w:w="6759" w:type="dxa"/>
            <w:tcBorders>
              <w:top w:val="single" w:sz="4" w:space="0" w:color="9DB1C7"/>
              <w:start w:val="single" w:sz="4" w:space="0" w:color="9DB1C7"/>
              <w:bottom w:val="single" w:sz="4" w:space="0" w:color="9DB1C7"/>
              <w:end w:val="single" w:sz="4" w:space="0" w:color="9DB1C7"/>
            </w:tcBorders>
            <w:tcMar>
              <w:top w:w="50" w:type="dxa"/>
              <w:bottom w:w="50" w:type="dxa"/>
            </w:tcMar>
          </w:tcPr>
          <w:p>
            <w:pPr>
              <w:pStyle w:val="Normal"/>
              <w:spacing w:lineRule="exact" w:line="268" w:before="0" w:after="0"/>
              <w:jc w:val="start"/>
              <w:rPr/>
            </w:pPr>
            <w:r>
              <w:rPr>
                <w:rFonts w:eastAsia="Calibri" w:cs="Calibri"/>
                <w:b w:val="false"/>
                <w:bCs w:val="false"/>
                <w:i w:val="false"/>
                <w:iCs w:val="false"/>
                <w:color w:val="1A1A1A"/>
                <w:sz w:val="15"/>
                <w:szCs w:val="15"/>
              </w:rPr>
              <w:t>303-894-2200 · sos.state.co.us</w:t>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0" w:type="dxa"/>
              <w:bottom w:w="50" w:type="dxa"/>
            </w:tcMar>
          </w:tcPr>
          <w:p>
            <w:pPr>
              <w:pStyle w:val="Normal"/>
              <w:spacing w:lineRule="exact" w:line="268" w:before="0" w:after="0"/>
              <w:jc w:val="start"/>
              <w:rPr/>
            </w:pPr>
            <w:r>
              <w:rPr>
                <w:rFonts w:eastAsia="Calibri" w:cs="Calibri"/>
                <w:b/>
                <w:bCs/>
                <w:i w:val="false"/>
                <w:iCs w:val="false"/>
                <w:color w:val="3E5871"/>
                <w:sz w:val="15"/>
                <w:szCs w:val="15"/>
              </w:rPr>
              <w:t>DORA (license verification)</w:t>
            </w:r>
          </w:p>
        </w:tc>
        <w:tc>
          <w:tcPr>
            <w:tcW w:w="6759" w:type="dxa"/>
            <w:tcBorders>
              <w:top w:val="single" w:sz="4" w:space="0" w:color="9DB1C7"/>
              <w:start w:val="single" w:sz="4" w:space="0" w:color="9DB1C7"/>
              <w:bottom w:val="single" w:sz="4" w:space="0" w:color="9DB1C7"/>
              <w:end w:val="single" w:sz="4" w:space="0" w:color="9DB1C7"/>
            </w:tcBorders>
            <w:tcMar>
              <w:top w:w="50" w:type="dxa"/>
              <w:bottom w:w="50" w:type="dxa"/>
            </w:tcMar>
          </w:tcPr>
          <w:p>
            <w:pPr>
              <w:pStyle w:val="Normal"/>
              <w:spacing w:lineRule="exact" w:line="268" w:before="0" w:after="0"/>
              <w:jc w:val="start"/>
              <w:rPr/>
            </w:pPr>
            <w:r>
              <w:rPr>
                <w:rFonts w:eastAsia="Calibri" w:cs="Calibri"/>
                <w:b w:val="false"/>
                <w:bCs w:val="false"/>
                <w:i w:val="false"/>
                <w:iCs w:val="false"/>
                <w:color w:val="1A1A1A"/>
                <w:sz w:val="15"/>
                <w:szCs w:val="15"/>
              </w:rPr>
              <w:t>303-894-7855 · dora.colorado.gov</w:t>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0" w:type="dxa"/>
              <w:bottom w:w="50" w:type="dxa"/>
            </w:tcMar>
          </w:tcPr>
          <w:p>
            <w:pPr>
              <w:pStyle w:val="Normal"/>
              <w:spacing w:lineRule="exact" w:line="268" w:before="0" w:after="0"/>
              <w:jc w:val="start"/>
              <w:rPr/>
            </w:pPr>
            <w:r>
              <w:rPr>
                <w:rFonts w:eastAsia="Calibri" w:cs="Calibri"/>
                <w:b/>
                <w:bCs/>
                <w:i w:val="false"/>
                <w:iCs w:val="false"/>
                <w:color w:val="3E5871"/>
                <w:sz w:val="15"/>
                <w:szCs w:val="15"/>
              </w:rPr>
              <w:t>DRCOG Area Agency on Aging (Denver region)</w:t>
            </w:r>
          </w:p>
        </w:tc>
        <w:tc>
          <w:tcPr>
            <w:tcW w:w="6759" w:type="dxa"/>
            <w:tcBorders>
              <w:top w:val="single" w:sz="4" w:space="0" w:color="9DB1C7"/>
              <w:start w:val="single" w:sz="4" w:space="0" w:color="9DB1C7"/>
              <w:bottom w:val="single" w:sz="4" w:space="0" w:color="9DB1C7"/>
              <w:end w:val="single" w:sz="4" w:space="0" w:color="9DB1C7"/>
            </w:tcBorders>
            <w:tcMar>
              <w:top w:w="50" w:type="dxa"/>
              <w:bottom w:w="50" w:type="dxa"/>
            </w:tcMar>
          </w:tcPr>
          <w:p>
            <w:pPr>
              <w:pStyle w:val="Normal"/>
              <w:spacing w:lineRule="exact" w:line="268" w:before="0" w:after="0"/>
              <w:jc w:val="start"/>
              <w:rPr/>
            </w:pPr>
            <w:r>
              <w:rPr>
                <w:rFonts w:eastAsia="Calibri" w:cs="Calibri"/>
                <w:b w:val="false"/>
                <w:bCs w:val="false"/>
                <w:i w:val="false"/>
                <w:iCs w:val="false"/>
                <w:color w:val="1A1A1A"/>
                <w:sz w:val="15"/>
                <w:szCs w:val="15"/>
              </w:rPr>
              <w:t>303-480-6700 · drcog.org</w:t>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0" w:type="dxa"/>
              <w:bottom w:w="50" w:type="dxa"/>
            </w:tcMar>
          </w:tcPr>
          <w:p>
            <w:pPr>
              <w:pStyle w:val="Normal"/>
              <w:spacing w:lineRule="exact" w:line="268" w:before="0" w:after="0"/>
              <w:jc w:val="start"/>
              <w:rPr/>
            </w:pPr>
            <w:r>
              <w:rPr>
                <w:rFonts w:eastAsia="Calibri" w:cs="Calibri"/>
                <w:b/>
                <w:bCs/>
                <w:i w:val="false"/>
                <w:iCs w:val="false"/>
                <w:color w:val="3E5871"/>
                <w:sz w:val="15"/>
                <w:szCs w:val="15"/>
              </w:rPr>
              <w:t>Pikes Peak Area Agency on Aging (Colorado Springs)</w:t>
            </w:r>
          </w:p>
        </w:tc>
        <w:tc>
          <w:tcPr>
            <w:tcW w:w="6759" w:type="dxa"/>
            <w:tcBorders>
              <w:top w:val="single" w:sz="4" w:space="0" w:color="9DB1C7"/>
              <w:start w:val="single" w:sz="4" w:space="0" w:color="9DB1C7"/>
              <w:bottom w:val="single" w:sz="4" w:space="0" w:color="9DB1C7"/>
              <w:end w:val="single" w:sz="4" w:space="0" w:color="9DB1C7"/>
            </w:tcBorders>
            <w:tcMar>
              <w:top w:w="50" w:type="dxa"/>
              <w:bottom w:w="50" w:type="dxa"/>
            </w:tcMar>
          </w:tcPr>
          <w:p>
            <w:pPr>
              <w:pStyle w:val="Normal"/>
              <w:spacing w:lineRule="exact" w:line="268" w:before="0" w:after="0"/>
              <w:jc w:val="start"/>
              <w:rPr/>
            </w:pPr>
            <w:r>
              <w:rPr>
                <w:rFonts w:eastAsia="Calibri" w:cs="Calibri"/>
                <w:b w:val="false"/>
                <w:bCs w:val="false"/>
                <w:i w:val="false"/>
                <w:iCs w:val="false"/>
                <w:color w:val="1A1A1A"/>
                <w:sz w:val="15"/>
                <w:szCs w:val="15"/>
              </w:rPr>
              <w:t>719-471-7080 · ppacg.org</w:t>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0" w:type="dxa"/>
              <w:bottom w:w="50" w:type="dxa"/>
            </w:tcMar>
          </w:tcPr>
          <w:p>
            <w:pPr>
              <w:pStyle w:val="Normal"/>
              <w:spacing w:lineRule="exact" w:line="268" w:before="0" w:after="0"/>
              <w:jc w:val="start"/>
              <w:rPr/>
            </w:pPr>
            <w:r>
              <w:rPr>
                <w:rFonts w:eastAsia="Calibri" w:cs="Calibri"/>
                <w:b/>
                <w:bCs/>
                <w:i w:val="false"/>
                <w:iCs w:val="false"/>
                <w:color w:val="3E5871"/>
                <w:sz w:val="15"/>
                <w:szCs w:val="15"/>
              </w:rPr>
              <w:t>Larimer County Office on Aging (Fort Collins region)</w:t>
            </w:r>
          </w:p>
        </w:tc>
        <w:tc>
          <w:tcPr>
            <w:tcW w:w="6759" w:type="dxa"/>
            <w:tcBorders>
              <w:top w:val="single" w:sz="4" w:space="0" w:color="9DB1C7"/>
              <w:start w:val="single" w:sz="4" w:space="0" w:color="9DB1C7"/>
              <w:bottom w:val="single" w:sz="4" w:space="0" w:color="9DB1C7"/>
              <w:end w:val="single" w:sz="4" w:space="0" w:color="9DB1C7"/>
            </w:tcBorders>
            <w:tcMar>
              <w:top w:w="50" w:type="dxa"/>
              <w:bottom w:w="50" w:type="dxa"/>
            </w:tcMar>
          </w:tcPr>
          <w:p>
            <w:pPr>
              <w:pStyle w:val="Normal"/>
              <w:spacing w:lineRule="exact" w:line="268" w:before="0" w:after="0"/>
              <w:jc w:val="start"/>
              <w:rPr/>
            </w:pPr>
            <w:r>
              <w:rPr>
                <w:rFonts w:eastAsia="Calibri" w:cs="Calibri"/>
                <w:b w:val="false"/>
                <w:bCs w:val="false"/>
                <w:i w:val="false"/>
                <w:iCs w:val="false"/>
                <w:color w:val="1A1A1A"/>
                <w:sz w:val="15"/>
                <w:szCs w:val="15"/>
              </w:rPr>
              <w:t>970-498-7758 · larimer.gov</w:t>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0" w:type="dxa"/>
              <w:bottom w:w="50" w:type="dxa"/>
            </w:tcMar>
          </w:tcPr>
          <w:p>
            <w:pPr>
              <w:pStyle w:val="Normal"/>
              <w:spacing w:lineRule="exact" w:line="268" w:before="0" w:after="0"/>
              <w:jc w:val="start"/>
              <w:rPr/>
            </w:pPr>
            <w:r>
              <w:rPr>
                <w:rFonts w:eastAsia="Calibri" w:cs="Calibri"/>
                <w:b/>
                <w:bCs/>
                <w:i w:val="false"/>
                <w:iCs w:val="false"/>
                <w:color w:val="3E5871"/>
                <w:sz w:val="15"/>
                <w:szCs w:val="15"/>
              </w:rPr>
              <w:t>Adult Protective Services</w:t>
            </w:r>
          </w:p>
        </w:tc>
        <w:tc>
          <w:tcPr>
            <w:tcW w:w="6759" w:type="dxa"/>
            <w:tcBorders>
              <w:top w:val="single" w:sz="4" w:space="0" w:color="9DB1C7"/>
              <w:start w:val="single" w:sz="4" w:space="0" w:color="9DB1C7"/>
              <w:bottom w:val="single" w:sz="4" w:space="0" w:color="9DB1C7"/>
              <w:end w:val="single" w:sz="4" w:space="0" w:color="9DB1C7"/>
            </w:tcBorders>
            <w:tcMar>
              <w:top w:w="50" w:type="dxa"/>
              <w:bottom w:w="50" w:type="dxa"/>
            </w:tcMar>
          </w:tcPr>
          <w:p>
            <w:pPr>
              <w:pStyle w:val="Normal"/>
              <w:spacing w:lineRule="exact" w:line="268" w:before="0" w:after="0"/>
              <w:jc w:val="start"/>
              <w:rPr/>
            </w:pPr>
            <w:r>
              <w:rPr>
                <w:rFonts w:eastAsia="Calibri" w:cs="Calibri"/>
                <w:b w:val="false"/>
                <w:bCs w:val="false"/>
                <w:i w:val="false"/>
                <w:iCs w:val="false"/>
                <w:color w:val="1A1A1A"/>
                <w:sz w:val="15"/>
                <w:szCs w:val="15"/>
              </w:rPr>
              <w:t>Report to your county Dept. of Human/Social Services</w:t>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0" w:type="dxa"/>
              <w:bottom w:w="50" w:type="dxa"/>
            </w:tcMar>
          </w:tcPr>
          <w:p>
            <w:pPr>
              <w:pStyle w:val="Normal"/>
              <w:spacing w:lineRule="exact" w:line="268" w:before="0" w:after="0"/>
              <w:jc w:val="start"/>
              <w:rPr/>
            </w:pPr>
            <w:r>
              <w:rPr>
                <w:rFonts w:eastAsia="Calibri" w:cs="Calibri"/>
                <w:b/>
                <w:bCs/>
                <w:i w:val="false"/>
                <w:iCs w:val="false"/>
                <w:color w:val="3E5871"/>
                <w:sz w:val="15"/>
                <w:szCs w:val="15"/>
              </w:rPr>
              <w:t>Mandatory report — at-risk-adult mistreatment</w:t>
            </w:r>
          </w:p>
        </w:tc>
        <w:tc>
          <w:tcPr>
            <w:tcW w:w="6759" w:type="dxa"/>
            <w:tcBorders>
              <w:top w:val="single" w:sz="4" w:space="0" w:color="9DB1C7"/>
              <w:start w:val="single" w:sz="4" w:space="0" w:color="9DB1C7"/>
              <w:bottom w:val="single" w:sz="4" w:space="0" w:color="9DB1C7"/>
              <w:end w:val="single" w:sz="4" w:space="0" w:color="9DB1C7"/>
            </w:tcBorders>
            <w:tcMar>
              <w:top w:w="50" w:type="dxa"/>
              <w:bottom w:w="50" w:type="dxa"/>
            </w:tcMar>
          </w:tcPr>
          <w:p>
            <w:pPr>
              <w:pStyle w:val="Normal"/>
              <w:spacing w:lineRule="exact" w:line="268" w:before="0" w:after="0"/>
              <w:jc w:val="start"/>
              <w:rPr/>
            </w:pPr>
            <w:r>
              <w:rPr>
                <w:rFonts w:eastAsia="Calibri" w:cs="Calibri"/>
                <w:b w:val="false"/>
                <w:bCs w:val="false"/>
                <w:i w:val="false"/>
                <w:iCs w:val="false"/>
                <w:color w:val="1A1A1A"/>
                <w:sz w:val="15"/>
                <w:szCs w:val="15"/>
              </w:rPr>
              <w:t>Call local law enforcement within 24 hours; 911 if in immediate danger</w:t>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0" w:type="dxa"/>
              <w:bottom w:w="50" w:type="dxa"/>
            </w:tcMar>
          </w:tcPr>
          <w:p>
            <w:pPr>
              <w:pStyle w:val="Normal"/>
              <w:spacing w:lineRule="exact" w:line="268" w:before="0" w:after="0"/>
              <w:jc w:val="start"/>
              <w:rPr/>
            </w:pPr>
            <w:r>
              <w:rPr>
                <w:rFonts w:eastAsia="Calibri" w:cs="Calibri"/>
                <w:b/>
                <w:bCs/>
                <w:i w:val="false"/>
                <w:iCs w:val="false"/>
                <w:color w:val="3E5871"/>
                <w:sz w:val="15"/>
                <w:szCs w:val="15"/>
              </w:rPr>
              <w:t>Eldercare Locator (find local aging services)</w:t>
            </w:r>
          </w:p>
        </w:tc>
        <w:tc>
          <w:tcPr>
            <w:tcW w:w="6759" w:type="dxa"/>
            <w:tcBorders>
              <w:top w:val="single" w:sz="4" w:space="0" w:color="9DB1C7"/>
              <w:start w:val="single" w:sz="4" w:space="0" w:color="9DB1C7"/>
              <w:bottom w:val="single" w:sz="4" w:space="0" w:color="9DB1C7"/>
              <w:end w:val="single" w:sz="4" w:space="0" w:color="9DB1C7"/>
            </w:tcBorders>
            <w:tcMar>
              <w:top w:w="50" w:type="dxa"/>
              <w:bottom w:w="50" w:type="dxa"/>
            </w:tcMar>
          </w:tcPr>
          <w:p>
            <w:pPr>
              <w:pStyle w:val="Normal"/>
              <w:spacing w:lineRule="exact" w:line="268" w:before="0" w:after="0"/>
              <w:jc w:val="start"/>
              <w:rPr/>
            </w:pPr>
            <w:r>
              <w:rPr>
                <w:rFonts w:eastAsia="Calibri" w:cs="Calibri"/>
                <w:b w:val="false"/>
                <w:bCs w:val="false"/>
                <w:i w:val="false"/>
                <w:iCs w:val="false"/>
                <w:color w:val="1A1A1A"/>
                <w:sz w:val="15"/>
                <w:szCs w:val="15"/>
              </w:rPr>
              <w:t>1-800-677-1116 · eldercare.acl.gov</w:t>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0" w:type="dxa"/>
              <w:bottom w:w="50" w:type="dxa"/>
            </w:tcMar>
          </w:tcPr>
          <w:p>
            <w:pPr>
              <w:pStyle w:val="Normal"/>
              <w:spacing w:lineRule="exact" w:line="268" w:before="0" w:after="0"/>
              <w:jc w:val="start"/>
              <w:rPr/>
            </w:pPr>
            <w:r>
              <w:rPr>
                <w:rFonts w:eastAsia="Calibri" w:cs="Calibri"/>
                <w:b/>
                <w:bCs/>
                <w:i w:val="false"/>
                <w:iCs w:val="false"/>
                <w:color w:val="3E5871"/>
                <w:sz w:val="15"/>
                <w:szCs w:val="15"/>
              </w:rPr>
              <w:t>Colorado 2-1-1 (health &amp; human services)</w:t>
            </w:r>
          </w:p>
        </w:tc>
        <w:tc>
          <w:tcPr>
            <w:tcW w:w="6759" w:type="dxa"/>
            <w:tcBorders>
              <w:top w:val="single" w:sz="4" w:space="0" w:color="9DB1C7"/>
              <w:start w:val="single" w:sz="4" w:space="0" w:color="9DB1C7"/>
              <w:bottom w:val="single" w:sz="4" w:space="0" w:color="9DB1C7"/>
              <w:end w:val="single" w:sz="4" w:space="0" w:color="9DB1C7"/>
            </w:tcBorders>
            <w:tcMar>
              <w:top w:w="50" w:type="dxa"/>
              <w:bottom w:w="50" w:type="dxa"/>
            </w:tcMar>
          </w:tcPr>
          <w:p>
            <w:pPr>
              <w:pStyle w:val="Normal"/>
              <w:spacing w:lineRule="exact" w:line="268" w:before="0" w:after="0"/>
              <w:jc w:val="start"/>
              <w:rPr/>
            </w:pPr>
            <w:r>
              <w:rPr>
                <w:rFonts w:eastAsia="Calibri" w:cs="Calibri"/>
                <w:b w:val="false"/>
                <w:bCs w:val="false"/>
                <w:i w:val="false"/>
                <w:iCs w:val="false"/>
                <w:color w:val="1A1A1A"/>
                <w:sz w:val="15"/>
                <w:szCs w:val="15"/>
              </w:rPr>
              <w:t>Dial 2-1-1 · 211colorado.org</w:t>
            </w:r>
          </w:p>
        </w:tc>
      </w:tr>
      <w:tr>
        <w:trPr/>
        <w:tc>
          <w:tcPr>
            <w:tcW w:w="2600" w:type="dxa"/>
            <w:tcBorders>
              <w:top w:val="single" w:sz="4" w:space="0" w:color="9DB1C7"/>
              <w:start w:val="single" w:sz="4" w:space="0" w:color="9DB1C7"/>
              <w:bottom w:val="single" w:sz="4" w:space="0" w:color="9DB1C7"/>
              <w:end w:val="single" w:sz="4" w:space="0" w:color="9DB1C7"/>
            </w:tcBorders>
            <w:shd w:color="auto" w:fill="EAF0F6" w:val="clear"/>
            <w:tcMar>
              <w:top w:w="50" w:type="dxa"/>
              <w:bottom w:w="50" w:type="dxa"/>
            </w:tcMar>
          </w:tcPr>
          <w:p>
            <w:pPr>
              <w:pStyle w:val="Normal"/>
              <w:spacing w:lineRule="exact" w:line="268" w:before="0" w:after="0"/>
              <w:jc w:val="start"/>
              <w:rPr/>
            </w:pPr>
            <w:r>
              <w:rPr>
                <w:rFonts w:eastAsia="Calibri" w:cs="Calibri"/>
                <w:b/>
                <w:bCs/>
                <w:i w:val="false"/>
                <w:iCs w:val="false"/>
                <w:color w:val="3E5871"/>
                <w:sz w:val="15"/>
                <w:szCs w:val="15"/>
              </w:rPr>
              <w:t>VA (veteran in-home support)</w:t>
            </w:r>
          </w:p>
        </w:tc>
        <w:tc>
          <w:tcPr>
            <w:tcW w:w="6759" w:type="dxa"/>
            <w:tcBorders>
              <w:top w:val="single" w:sz="4" w:space="0" w:color="9DB1C7"/>
              <w:start w:val="single" w:sz="4" w:space="0" w:color="9DB1C7"/>
              <w:bottom w:val="single" w:sz="4" w:space="0" w:color="9DB1C7"/>
              <w:end w:val="single" w:sz="4" w:space="0" w:color="9DB1C7"/>
            </w:tcBorders>
            <w:tcMar>
              <w:top w:w="50" w:type="dxa"/>
              <w:bottom w:w="50" w:type="dxa"/>
            </w:tcMar>
          </w:tcPr>
          <w:p>
            <w:pPr>
              <w:pStyle w:val="Normal"/>
              <w:spacing w:lineRule="exact" w:line="268" w:before="0" w:after="0"/>
              <w:jc w:val="start"/>
              <w:rPr/>
            </w:pPr>
            <w:r>
              <w:rPr>
                <w:rFonts w:eastAsia="Calibri" w:cs="Calibri"/>
                <w:b w:val="false"/>
                <w:bCs w:val="false"/>
                <w:i w:val="false"/>
                <w:iCs w:val="false"/>
                <w:color w:val="1A1A1A"/>
                <w:sz w:val="15"/>
                <w:szCs w:val="15"/>
              </w:rPr>
              <w:t>1-877-222-8387 · va.gov</w:t>
            </w:r>
          </w:p>
        </w:tc>
      </w:tr>
    </w:tbl>
    <w:p>
      <w:pPr>
        <w:pStyle w:val="Normal"/>
        <w:rPr/>
      </w:pPr>
      <w:r>
        <w:rPr/>
      </w:r>
      <w:r>
        <w:br w:type="page"/>
      </w:r>
    </w:p>
    <w:p>
      <w:pPr>
        <w:pStyle w:val="Normal"/>
        <w:shd w:val="clear" w:color="auto" w:fill="1F3A5F"/>
        <w:spacing w:before="0" w:after="170"/>
        <w:rPr/>
      </w:pPr>
      <w:r>
        <w:rPr>
          <w:rFonts w:eastAsia="Calibri" w:cs="Calibri"/>
          <w:b/>
          <w:bCs/>
          <w:i w:val="false"/>
          <w:iCs w:val="false"/>
          <w:color w:val="FFFFFF"/>
          <w:sz w:val="30"/>
          <w:szCs w:val="30"/>
        </w:rPr>
        <w:t xml:space="preserve">  </w:t>
      </w:r>
      <w:r>
        <w:rPr>
          <w:rFonts w:eastAsia="Calibri" w:cs="Calibri"/>
          <w:b/>
          <w:bCs/>
          <w:i w:val="false"/>
          <w:iCs w:val="false"/>
          <w:color w:val="FFFFFF"/>
          <w:sz w:val="30"/>
          <w:szCs w:val="30"/>
        </w:rPr>
        <w:t xml:space="preserve">Referral Target List — Metro Denver (Verified Named Partners)  </w:t>
      </w:r>
    </w:p>
    <w:p>
      <w:pPr>
        <w:pStyle w:val="Normal"/>
        <w:keepNext w:val="true"/>
        <w:spacing w:before="140" w:after="60"/>
        <w:rPr/>
      </w:pPr>
      <w:r>
        <w:rPr>
          <w:rFonts w:eastAsia="Calibri" w:cs="Calibri"/>
          <w:b/>
          <w:bCs/>
          <w:i w:val="false"/>
          <w:iCs w:val="false"/>
          <w:color w:val="3E5871"/>
          <w:sz w:val="21"/>
          <w:szCs w:val="21"/>
        </w:rPr>
        <w:t>Hospitals (discharge planning / case management)</w:t>
      </w:r>
    </w:p>
    <w:tbl>
      <w:tblPr>
        <w:tblW w:w="9360" w:type="dxa"/>
        <w:jc w:val="start"/>
        <w:tblInd w:w="0" w:type="dxa"/>
        <w:tblLayout w:type="fixed"/>
        <w:tblCellMar>
          <w:top w:w="50" w:type="dxa"/>
          <w:start w:w="100" w:type="dxa"/>
          <w:bottom w:w="50" w:type="dxa"/>
          <w:end w:w="100" w:type="dxa"/>
        </w:tblCellMar>
      </w:tblPr>
      <w:tblGrid>
        <w:gridCol w:w="3650"/>
        <w:gridCol w:w="5709"/>
      </w:tblGrid>
      <w:tr>
        <w:trPr>
          <w:tblHeader w:val="true"/>
        </w:trPr>
        <w:tc>
          <w:tcPr>
            <w:tcW w:w="365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Resource</w:t>
            </w:r>
          </w:p>
        </w:tc>
        <w:tc>
          <w:tcPr>
            <w:tcW w:w="570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Phone · website · notes</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UCHealth University of Colorado Hospital</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12605 E 16th Ave, Aurora 80045 · 720-848-0000</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Denver Health</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777 Bannock St, Denver 80204 · 303-436-6000</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Intermountain Health Saint Joseph Hospital</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1375 E 19th Ave, Denver 80218 · 303-812-2000</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HCA HealthONE Rose</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4567 E 9th Ave, Denver 80220 · 303-320-2121</w:t>
            </w:r>
          </w:p>
        </w:tc>
      </w:tr>
    </w:tbl>
    <w:p>
      <w:pPr>
        <w:pStyle w:val="Normal"/>
        <w:keepNext w:val="true"/>
        <w:spacing w:before="140" w:after="60"/>
        <w:rPr/>
      </w:pPr>
      <w:r>
        <w:rPr>
          <w:rFonts w:eastAsia="Calibri" w:cs="Calibri"/>
          <w:b/>
          <w:bCs/>
          <w:i w:val="false"/>
          <w:iCs w:val="false"/>
          <w:color w:val="3E5871"/>
          <w:sz w:val="21"/>
          <w:szCs w:val="21"/>
        </w:rPr>
        <w:t>Skilled nursing &amp; rehabilitation facilities</w:t>
      </w:r>
    </w:p>
    <w:tbl>
      <w:tblPr>
        <w:tblW w:w="9360" w:type="dxa"/>
        <w:jc w:val="start"/>
        <w:tblInd w:w="0" w:type="dxa"/>
        <w:tblLayout w:type="fixed"/>
        <w:tblCellMar>
          <w:top w:w="50" w:type="dxa"/>
          <w:start w:w="100" w:type="dxa"/>
          <w:bottom w:w="50" w:type="dxa"/>
          <w:end w:w="100" w:type="dxa"/>
        </w:tblCellMar>
      </w:tblPr>
      <w:tblGrid>
        <w:gridCol w:w="3650"/>
        <w:gridCol w:w="5709"/>
      </w:tblGrid>
      <w:tr>
        <w:trPr>
          <w:tblHeader w:val="true"/>
        </w:trPr>
        <w:tc>
          <w:tcPr>
            <w:tcW w:w="365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Resource</w:t>
            </w:r>
          </w:p>
        </w:tc>
        <w:tc>
          <w:tcPr>
            <w:tcW w:w="570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Phone · website · notes</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City Park Healthcare &amp; Rehabilitation Center</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1667 St Paul St, Denver 80206 · 303-399-2040</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Briarwood Health Care Center</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1440 Vine St, Denver 80206 · 303-399-0350</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Hallmark Nursing Center</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3701 W Radcliff Ave, Denver 80236 · 303-794-6484</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Sloan’s Lake Rehabilitation Center</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1601 N Lowell Blvd, Denver 80204 · 303-534-2211</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South Valley Post Acute Rehabilitation</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4450 E Jewell Ave, Denver 80222 · 303-757-7438</w:t>
            </w:r>
          </w:p>
        </w:tc>
      </w:tr>
    </w:tbl>
    <w:p>
      <w:pPr>
        <w:pStyle w:val="Normal"/>
        <w:keepNext w:val="true"/>
        <w:spacing w:before="140" w:after="60"/>
        <w:rPr/>
      </w:pPr>
      <w:r>
        <w:rPr>
          <w:rFonts w:eastAsia="Calibri" w:cs="Calibri"/>
          <w:b/>
          <w:bCs/>
          <w:i w:val="false"/>
          <w:iCs w:val="false"/>
          <w:color w:val="3E5871"/>
          <w:sz w:val="21"/>
          <w:szCs w:val="21"/>
        </w:rPr>
        <w:t>Hospices (two-way referral partners)</w:t>
      </w:r>
    </w:p>
    <w:tbl>
      <w:tblPr>
        <w:tblW w:w="9360" w:type="dxa"/>
        <w:jc w:val="start"/>
        <w:tblInd w:w="0" w:type="dxa"/>
        <w:tblLayout w:type="fixed"/>
        <w:tblCellMar>
          <w:top w:w="50" w:type="dxa"/>
          <w:start w:w="100" w:type="dxa"/>
          <w:bottom w:w="50" w:type="dxa"/>
          <w:end w:w="100" w:type="dxa"/>
        </w:tblCellMar>
      </w:tblPr>
      <w:tblGrid>
        <w:gridCol w:w="3650"/>
        <w:gridCol w:w="5709"/>
      </w:tblGrid>
      <w:tr>
        <w:trPr>
          <w:tblHeader w:val="true"/>
        </w:trPr>
        <w:tc>
          <w:tcPr>
            <w:tcW w:w="365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Resource</w:t>
            </w:r>
          </w:p>
        </w:tc>
        <w:tc>
          <w:tcPr>
            <w:tcW w:w="570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Phone · website · notes</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The Denver Hospice</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8289 E Lowry Blvd, Denver 80230 · 303-321-2828</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Colorado Palliative &amp; Hospice Care</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6551 S Revere Pkwy Ste 130, Centennial 80111 · 303-727-5709</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Intermountain Health Hospice</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3210 N Lutheran Pkwy, Wheat Ridge 80033 · 303-425-8000</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Brighton Hospice</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8055 E Tufts Ave Ste 700, Denver 80237 · 720-536-5060</w:t>
            </w:r>
          </w:p>
        </w:tc>
      </w:tr>
    </w:tbl>
    <w:p>
      <w:pPr>
        <w:pStyle w:val="Normal"/>
        <w:keepNext w:val="true"/>
        <w:spacing w:before="140" w:after="60"/>
        <w:rPr/>
      </w:pPr>
      <w:r>
        <w:rPr>
          <w:rFonts w:eastAsia="Calibri" w:cs="Calibri"/>
          <w:b/>
          <w:bCs/>
          <w:i w:val="false"/>
          <w:iCs w:val="false"/>
          <w:color w:val="3E5871"/>
          <w:sz w:val="21"/>
          <w:szCs w:val="21"/>
        </w:rPr>
        <w:t>Assisted living &amp; senior living communities</w:t>
      </w:r>
    </w:p>
    <w:tbl>
      <w:tblPr>
        <w:tblW w:w="9360" w:type="dxa"/>
        <w:jc w:val="start"/>
        <w:tblInd w:w="0" w:type="dxa"/>
        <w:tblLayout w:type="fixed"/>
        <w:tblCellMar>
          <w:top w:w="50" w:type="dxa"/>
          <w:start w:w="100" w:type="dxa"/>
          <w:bottom w:w="50" w:type="dxa"/>
          <w:end w:w="100" w:type="dxa"/>
        </w:tblCellMar>
      </w:tblPr>
      <w:tblGrid>
        <w:gridCol w:w="3650"/>
        <w:gridCol w:w="5709"/>
      </w:tblGrid>
      <w:tr>
        <w:trPr>
          <w:tblHeader w:val="true"/>
        </w:trPr>
        <w:tc>
          <w:tcPr>
            <w:tcW w:w="365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Resource</w:t>
            </w:r>
          </w:p>
        </w:tc>
        <w:tc>
          <w:tcPr>
            <w:tcW w:w="570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Phone · website · notes</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The Courtyards at Mountain View</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8101 E Mississippi Ave, Denver 80247 · 720-764-6143</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Hilltop Reserve Senior Living</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525 S Holly St, Denver 80246 · 720-821-0898</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MorningStar at Observatory Park</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2100 S Josephine St, Denver 80210 · 720-513-2202</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Carillon at Belleview Station</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4855 Niagara St, Denver 80237 · 720-730-2072</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Springbrooke Senior Living</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6800 Leetsdale Dr, Denver 80224 · 303-331-9963</w:t>
            </w:r>
          </w:p>
        </w:tc>
      </w:tr>
    </w:tbl>
    <w:p>
      <w:pPr>
        <w:pStyle w:val="Normal"/>
        <w:keepNext w:val="true"/>
        <w:spacing w:before="140" w:after="60"/>
        <w:rPr/>
      </w:pPr>
      <w:r>
        <w:rPr>
          <w:rFonts w:eastAsia="Calibri" w:cs="Calibri"/>
          <w:b/>
          <w:bCs/>
          <w:i w:val="false"/>
          <w:iCs w:val="false"/>
          <w:color w:val="3E5871"/>
          <w:sz w:val="21"/>
          <w:szCs w:val="21"/>
        </w:rPr>
        <w:t>Funeral homes</w:t>
      </w:r>
    </w:p>
    <w:tbl>
      <w:tblPr>
        <w:tblW w:w="9360" w:type="dxa"/>
        <w:jc w:val="start"/>
        <w:tblInd w:w="0" w:type="dxa"/>
        <w:tblLayout w:type="fixed"/>
        <w:tblCellMar>
          <w:top w:w="50" w:type="dxa"/>
          <w:start w:w="100" w:type="dxa"/>
          <w:bottom w:w="50" w:type="dxa"/>
          <w:end w:w="100" w:type="dxa"/>
        </w:tblCellMar>
      </w:tblPr>
      <w:tblGrid>
        <w:gridCol w:w="3650"/>
        <w:gridCol w:w="5709"/>
      </w:tblGrid>
      <w:tr>
        <w:trPr>
          <w:tblHeader w:val="true"/>
        </w:trPr>
        <w:tc>
          <w:tcPr>
            <w:tcW w:w="365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Resource</w:t>
            </w:r>
          </w:p>
        </w:tc>
        <w:tc>
          <w:tcPr>
            <w:tcW w:w="570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Phone · website · notes</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Romero Funeral Home</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4750 Tejon St, Denver 80211 · 303-385-0085</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Horan &amp; McConaty Funeral Service</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1091 S Colorado Blvd, Denver 80246 · 303-757-1238</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Feldman Mortuary</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1673 York St, Denver 80206 · 303-322-7764</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Fairmount Funeral Home &amp; Cemetery</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430 S Quebec St, Denver 80247 · 303-399-0692</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Olinger Hampden Mortuary &amp; Cemetery</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8600 E Hampden Ave, Denver 80231 · 303-771-4636</w:t>
            </w:r>
          </w:p>
        </w:tc>
      </w:tr>
    </w:tbl>
    <w:p>
      <w:pPr>
        <w:pStyle w:val="Normal"/>
        <w:keepNext w:val="true"/>
        <w:spacing w:before="140" w:after="60"/>
        <w:rPr/>
      </w:pPr>
      <w:r>
        <w:rPr>
          <w:rFonts w:eastAsia="Calibri" w:cs="Calibri"/>
          <w:b/>
          <w:bCs/>
          <w:i w:val="false"/>
          <w:iCs w:val="false"/>
          <w:color w:val="3E5871"/>
          <w:sz w:val="21"/>
          <w:szCs w:val="21"/>
        </w:rPr>
        <w:t>Elder-law attorneys</w:t>
      </w:r>
    </w:p>
    <w:tbl>
      <w:tblPr>
        <w:tblW w:w="9360" w:type="dxa"/>
        <w:jc w:val="start"/>
        <w:tblInd w:w="0" w:type="dxa"/>
        <w:tblLayout w:type="fixed"/>
        <w:tblCellMar>
          <w:top w:w="50" w:type="dxa"/>
          <w:start w:w="100" w:type="dxa"/>
          <w:bottom w:w="50" w:type="dxa"/>
          <w:end w:w="100" w:type="dxa"/>
        </w:tblCellMar>
      </w:tblPr>
      <w:tblGrid>
        <w:gridCol w:w="3650"/>
        <w:gridCol w:w="5709"/>
      </w:tblGrid>
      <w:tr>
        <w:trPr>
          <w:tblHeader w:val="true"/>
        </w:trPr>
        <w:tc>
          <w:tcPr>
            <w:tcW w:w="365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Resource</w:t>
            </w:r>
          </w:p>
        </w:tc>
        <w:tc>
          <w:tcPr>
            <w:tcW w:w="570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Phone · website · notes</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The Law Offices of John H. Licht</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1181 S Parker Rd Ste 100, Denver 80231 · 303-306-9400</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Chayet &amp; Danzo, LLC</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650 S Cherry St Ste 710, Denver 80246 · 303-872-5980</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Law Office of Sarah L. Golombek, LLC</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3900 E Mexico Ave Ste 300, Denver 80210 · 720-305-9900</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Rocky Mountain Elder Law</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12345 W Alameda Pkwy Ste 204, Lakewood 80228 · 720-457-4573</w:t>
            </w:r>
          </w:p>
        </w:tc>
      </w:tr>
    </w:tbl>
    <w:p>
      <w:pPr>
        <w:pStyle w:val="Normal"/>
        <w:keepNext w:val="true"/>
        <w:spacing w:before="140" w:after="60"/>
        <w:rPr/>
      </w:pPr>
      <w:r>
        <w:rPr>
          <w:rFonts w:eastAsia="Calibri" w:cs="Calibri"/>
          <w:b/>
          <w:bCs/>
          <w:i w:val="false"/>
          <w:iCs w:val="false"/>
          <w:color w:val="3E5871"/>
          <w:sz w:val="21"/>
          <w:szCs w:val="21"/>
        </w:rPr>
        <w:t>Geriatric care managers &amp; senior placement</w:t>
      </w:r>
    </w:p>
    <w:tbl>
      <w:tblPr>
        <w:tblW w:w="9360" w:type="dxa"/>
        <w:jc w:val="start"/>
        <w:tblInd w:w="0" w:type="dxa"/>
        <w:tblLayout w:type="fixed"/>
        <w:tblCellMar>
          <w:top w:w="50" w:type="dxa"/>
          <w:start w:w="100" w:type="dxa"/>
          <w:bottom w:w="50" w:type="dxa"/>
          <w:end w:w="100" w:type="dxa"/>
        </w:tblCellMar>
      </w:tblPr>
      <w:tblGrid>
        <w:gridCol w:w="3650"/>
        <w:gridCol w:w="5709"/>
      </w:tblGrid>
      <w:tr>
        <w:trPr>
          <w:tblHeader w:val="true"/>
        </w:trPr>
        <w:tc>
          <w:tcPr>
            <w:tcW w:w="365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Resource</w:t>
            </w:r>
          </w:p>
        </w:tc>
        <w:tc>
          <w:tcPr>
            <w:tcW w:w="570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Phone · website · notes</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Aging at 5280 (senior living placement)</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13635 E Bates Ave, Aurora 80014 · 720-390-1383</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Elder Concierge Services</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1001 Bannock St Unit 118, Denver 80204 · 720-593-1551</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Stacy’s Helping Hand (placement)</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1040 S Gaylord St #20, Denver 80209 · 720-248-7758</w:t>
            </w:r>
          </w:p>
        </w:tc>
      </w:tr>
    </w:tbl>
    <w:p>
      <w:pPr>
        <w:pStyle w:val="Normal"/>
        <w:rPr/>
      </w:pPr>
      <w:r>
        <w:rPr/>
      </w:r>
      <w:r>
        <w:br w:type="page"/>
      </w:r>
    </w:p>
    <w:p>
      <w:pPr>
        <w:pStyle w:val="Normal"/>
        <w:shd w:val="clear" w:color="auto" w:fill="1F3A5F"/>
        <w:spacing w:before="0" w:after="170"/>
        <w:rPr/>
      </w:pPr>
      <w:r>
        <w:rPr>
          <w:rFonts w:eastAsia="Calibri" w:cs="Calibri"/>
          <w:b/>
          <w:bCs/>
          <w:i w:val="false"/>
          <w:iCs w:val="false"/>
          <w:color w:val="FFFFFF"/>
          <w:sz w:val="30"/>
          <w:szCs w:val="30"/>
        </w:rPr>
        <w:t xml:space="preserve">  </w:t>
      </w:r>
      <w:r>
        <w:rPr>
          <w:rFonts w:eastAsia="Calibri" w:cs="Calibri"/>
          <w:b/>
          <w:bCs/>
          <w:i w:val="false"/>
          <w:iCs w:val="false"/>
          <w:color w:val="FFFFFF"/>
          <w:sz w:val="30"/>
          <w:szCs w:val="30"/>
        </w:rPr>
        <w:t xml:space="preserve">Referral Target List — Colorado Springs (Pikes Peak) (Verified Named Partners)  </w:t>
      </w:r>
    </w:p>
    <w:p>
      <w:pPr>
        <w:pStyle w:val="Normal"/>
        <w:keepNext w:val="true"/>
        <w:spacing w:before="140" w:after="60"/>
        <w:rPr/>
      </w:pPr>
      <w:r>
        <w:rPr>
          <w:rFonts w:eastAsia="Calibri" w:cs="Calibri"/>
          <w:b/>
          <w:bCs/>
          <w:i w:val="false"/>
          <w:iCs w:val="false"/>
          <w:color w:val="3E5871"/>
          <w:sz w:val="21"/>
          <w:szCs w:val="21"/>
        </w:rPr>
        <w:t>Hospitals (discharge planning / case management)</w:t>
      </w:r>
    </w:p>
    <w:tbl>
      <w:tblPr>
        <w:tblW w:w="9360" w:type="dxa"/>
        <w:jc w:val="start"/>
        <w:tblInd w:w="0" w:type="dxa"/>
        <w:tblLayout w:type="fixed"/>
        <w:tblCellMar>
          <w:top w:w="50" w:type="dxa"/>
          <w:start w:w="100" w:type="dxa"/>
          <w:bottom w:w="50" w:type="dxa"/>
          <w:end w:w="100" w:type="dxa"/>
        </w:tblCellMar>
      </w:tblPr>
      <w:tblGrid>
        <w:gridCol w:w="3650"/>
        <w:gridCol w:w="5709"/>
      </w:tblGrid>
      <w:tr>
        <w:trPr>
          <w:tblHeader w:val="true"/>
        </w:trPr>
        <w:tc>
          <w:tcPr>
            <w:tcW w:w="365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Resource</w:t>
            </w:r>
          </w:p>
        </w:tc>
        <w:tc>
          <w:tcPr>
            <w:tcW w:w="570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Phone · website · notes</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UCHealth Memorial Hospital Central</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1400 E Boulder St, Colorado Springs 80909 · 719-365-5000</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CommonSpirit Penrose Hospital</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2222 N Nevada Ave, Colorado Springs 80907 · 719-776-5000</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CommonSpirit St. Francis Hospital</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6001 E Woodmen Rd, Colorado Springs 80923 · 719-571-5000</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UCHealth Grandview Hospital</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5623 Pulpit Peak Vw, Colorado Springs 80918 · 719-365-3300</w:t>
            </w:r>
          </w:p>
        </w:tc>
      </w:tr>
    </w:tbl>
    <w:p>
      <w:pPr>
        <w:pStyle w:val="Normal"/>
        <w:keepNext w:val="true"/>
        <w:spacing w:before="140" w:after="60"/>
        <w:rPr/>
      </w:pPr>
      <w:r>
        <w:rPr>
          <w:rFonts w:eastAsia="Calibri" w:cs="Calibri"/>
          <w:b/>
          <w:bCs/>
          <w:i w:val="false"/>
          <w:iCs w:val="false"/>
          <w:color w:val="3E5871"/>
          <w:sz w:val="21"/>
          <w:szCs w:val="21"/>
        </w:rPr>
        <w:t>Skilled nursing &amp; rehabilitation facilities</w:t>
      </w:r>
    </w:p>
    <w:tbl>
      <w:tblPr>
        <w:tblW w:w="9360" w:type="dxa"/>
        <w:jc w:val="start"/>
        <w:tblInd w:w="0" w:type="dxa"/>
        <w:tblLayout w:type="fixed"/>
        <w:tblCellMar>
          <w:top w:w="50" w:type="dxa"/>
          <w:start w:w="100" w:type="dxa"/>
          <w:bottom w:w="50" w:type="dxa"/>
          <w:end w:w="100" w:type="dxa"/>
        </w:tblCellMar>
      </w:tblPr>
      <w:tblGrid>
        <w:gridCol w:w="3650"/>
        <w:gridCol w:w="5709"/>
      </w:tblGrid>
      <w:tr>
        <w:trPr>
          <w:tblHeader w:val="true"/>
        </w:trPr>
        <w:tc>
          <w:tcPr>
            <w:tcW w:w="365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Resource</w:t>
            </w:r>
          </w:p>
        </w:tc>
        <w:tc>
          <w:tcPr>
            <w:tcW w:w="570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Phone · website · notes</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The Gardens Skilled Nursing &amp; Rehabilitation</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104 Lois Ln, Colorado Springs 80904 · 719-635-2569</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Fountain View Health &amp; Rehabilitation</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2438 E Fountain Blvd, Colorado Springs 80910 · 719-473-8000</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The Healthcare Resort of Colorado Springs</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2818 Grand Vista Cir, Colorado Springs 80904 · 719-632-7000</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Life Care Center of Colorado Springs</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2490 International Cir, Colorado Springs 80910 · 719-630-8888</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Advanced Health Care of Colorado Springs</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55 S Parkside Dr, Colorado Springs 80910 · 719-418-4500</w:t>
            </w:r>
          </w:p>
        </w:tc>
      </w:tr>
    </w:tbl>
    <w:p>
      <w:pPr>
        <w:pStyle w:val="Normal"/>
        <w:keepNext w:val="true"/>
        <w:spacing w:before="140" w:after="60"/>
        <w:rPr/>
      </w:pPr>
      <w:r>
        <w:rPr>
          <w:rFonts w:eastAsia="Calibri" w:cs="Calibri"/>
          <w:b/>
          <w:bCs/>
          <w:i w:val="false"/>
          <w:iCs w:val="false"/>
          <w:color w:val="3E5871"/>
          <w:sz w:val="21"/>
          <w:szCs w:val="21"/>
        </w:rPr>
        <w:t>Hospices (two-way referral partners)</w:t>
      </w:r>
    </w:p>
    <w:tbl>
      <w:tblPr>
        <w:tblW w:w="9360" w:type="dxa"/>
        <w:jc w:val="start"/>
        <w:tblInd w:w="0" w:type="dxa"/>
        <w:tblLayout w:type="fixed"/>
        <w:tblCellMar>
          <w:top w:w="50" w:type="dxa"/>
          <w:start w:w="100" w:type="dxa"/>
          <w:bottom w:w="50" w:type="dxa"/>
          <w:end w:w="100" w:type="dxa"/>
        </w:tblCellMar>
      </w:tblPr>
      <w:tblGrid>
        <w:gridCol w:w="3650"/>
        <w:gridCol w:w="5709"/>
      </w:tblGrid>
      <w:tr>
        <w:trPr>
          <w:tblHeader w:val="true"/>
        </w:trPr>
        <w:tc>
          <w:tcPr>
            <w:tcW w:w="365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Resource</w:t>
            </w:r>
          </w:p>
        </w:tc>
        <w:tc>
          <w:tcPr>
            <w:tcW w:w="570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Phone · website · notes</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Pikes Peak Hospice &amp; Palliative Care</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2550 Tenderfoot Hill St, Colorado Springs 80906 · 719-633-3400</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Bristol Hospice — Colorado Springs</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7660 Goddard St #100, Colorado Springs 80920 · 719-434-1773</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Brighton Hospice Colorado Springs</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6005 Delmonico Dr Ste 225, Colorado Springs 80919 · 719-484-8282</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Abode Hospice</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1975 Research Pkwy #300, Colorado Springs 80920 · 719-358-6428</w:t>
            </w:r>
          </w:p>
        </w:tc>
      </w:tr>
    </w:tbl>
    <w:p>
      <w:pPr>
        <w:pStyle w:val="Normal"/>
        <w:keepNext w:val="true"/>
        <w:spacing w:before="140" w:after="60"/>
        <w:rPr/>
      </w:pPr>
      <w:r>
        <w:rPr>
          <w:rFonts w:eastAsia="Calibri" w:cs="Calibri"/>
          <w:b/>
          <w:bCs/>
          <w:i w:val="false"/>
          <w:iCs w:val="false"/>
          <w:color w:val="3E5871"/>
          <w:sz w:val="21"/>
          <w:szCs w:val="21"/>
        </w:rPr>
        <w:t>Assisted living &amp; senior living communities</w:t>
      </w:r>
    </w:p>
    <w:tbl>
      <w:tblPr>
        <w:tblW w:w="9360" w:type="dxa"/>
        <w:jc w:val="start"/>
        <w:tblInd w:w="0" w:type="dxa"/>
        <w:tblLayout w:type="fixed"/>
        <w:tblCellMar>
          <w:top w:w="50" w:type="dxa"/>
          <w:start w:w="100" w:type="dxa"/>
          <w:bottom w:w="50" w:type="dxa"/>
          <w:end w:w="100" w:type="dxa"/>
        </w:tblCellMar>
      </w:tblPr>
      <w:tblGrid>
        <w:gridCol w:w="3650"/>
        <w:gridCol w:w="5709"/>
      </w:tblGrid>
      <w:tr>
        <w:trPr>
          <w:tblHeader w:val="true"/>
        </w:trPr>
        <w:tc>
          <w:tcPr>
            <w:tcW w:w="365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Resource</w:t>
            </w:r>
          </w:p>
        </w:tc>
        <w:tc>
          <w:tcPr>
            <w:tcW w:w="570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Phone · website · notes</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Summit Glen</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4825 Old Farm Dr, Colorado Springs 80917 · 719-380-1409</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MacKenzie Place — Colorado Springs</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1605 Elm Crk Vw, Colorado Springs 80907 · 719-633-8181</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Winslow Court Assisted &amp; Senior Living</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3920 E San Miguel St, Colorado Springs 80909 · 719-597-1700</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The Gardens at ViewPointe</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555 S Rockrimmon Blvd, Colorado Springs 80919 · 719-679-4716</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The Ivy Colorado Springs</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9112 Grand Cordera Pkwy, Colorado Springs 80924 · 719-628-3120</w:t>
            </w:r>
          </w:p>
        </w:tc>
      </w:tr>
    </w:tbl>
    <w:p>
      <w:pPr>
        <w:pStyle w:val="Normal"/>
        <w:keepNext w:val="true"/>
        <w:spacing w:before="140" w:after="60"/>
        <w:rPr/>
      </w:pPr>
      <w:r>
        <w:rPr>
          <w:rFonts w:eastAsia="Calibri" w:cs="Calibri"/>
          <w:b/>
          <w:bCs/>
          <w:i w:val="false"/>
          <w:iCs w:val="false"/>
          <w:color w:val="3E5871"/>
          <w:sz w:val="21"/>
          <w:szCs w:val="21"/>
        </w:rPr>
        <w:t>Funeral homes</w:t>
      </w:r>
    </w:p>
    <w:tbl>
      <w:tblPr>
        <w:tblW w:w="9360" w:type="dxa"/>
        <w:jc w:val="start"/>
        <w:tblInd w:w="0" w:type="dxa"/>
        <w:tblLayout w:type="fixed"/>
        <w:tblCellMar>
          <w:top w:w="50" w:type="dxa"/>
          <w:start w:w="100" w:type="dxa"/>
          <w:bottom w:w="50" w:type="dxa"/>
          <w:end w:w="100" w:type="dxa"/>
        </w:tblCellMar>
      </w:tblPr>
      <w:tblGrid>
        <w:gridCol w:w="3650"/>
        <w:gridCol w:w="5709"/>
      </w:tblGrid>
      <w:tr>
        <w:trPr>
          <w:tblHeader w:val="true"/>
        </w:trPr>
        <w:tc>
          <w:tcPr>
            <w:tcW w:w="365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Resource</w:t>
            </w:r>
          </w:p>
        </w:tc>
        <w:tc>
          <w:tcPr>
            <w:tcW w:w="570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Phone · website · notes</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The Springs Funeral Services — Platte</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3115 E Platte Ave, Colorado Springs 80909 · 719-207-8811</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Swan-Law Funeral Directors</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501 N Cascade Ave, Colorado Springs 80903 · 719-471-9900</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Angelus Chapel Funeral Directors</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1104 S Circle Dr, Colorado Springs 80910 · 719-391-1918</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Mountain View Funeral &amp; Cremation</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7011 Campus Dr Ste 100, Colorado Springs 80920 · 719-590-8922</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Memorial Gardens Funeral &amp; Cemetery</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3825 Airport Rd, Colorado Springs 80910 · 719-596-7990</w:t>
            </w:r>
          </w:p>
        </w:tc>
      </w:tr>
    </w:tbl>
    <w:p>
      <w:pPr>
        <w:pStyle w:val="Normal"/>
        <w:keepNext w:val="true"/>
        <w:spacing w:before="140" w:after="60"/>
        <w:rPr/>
      </w:pPr>
      <w:r>
        <w:rPr>
          <w:rFonts w:eastAsia="Calibri" w:cs="Calibri"/>
          <w:b/>
          <w:bCs/>
          <w:i w:val="false"/>
          <w:iCs w:val="false"/>
          <w:color w:val="3E5871"/>
          <w:sz w:val="21"/>
          <w:szCs w:val="21"/>
        </w:rPr>
        <w:t>Elder-law attorneys</w:t>
      </w:r>
    </w:p>
    <w:tbl>
      <w:tblPr>
        <w:tblW w:w="9360" w:type="dxa"/>
        <w:jc w:val="start"/>
        <w:tblInd w:w="0" w:type="dxa"/>
        <w:tblLayout w:type="fixed"/>
        <w:tblCellMar>
          <w:top w:w="50" w:type="dxa"/>
          <w:start w:w="100" w:type="dxa"/>
          <w:bottom w:w="50" w:type="dxa"/>
          <w:end w:w="100" w:type="dxa"/>
        </w:tblCellMar>
      </w:tblPr>
      <w:tblGrid>
        <w:gridCol w:w="3650"/>
        <w:gridCol w:w="5709"/>
      </w:tblGrid>
      <w:tr>
        <w:trPr>
          <w:tblHeader w:val="true"/>
        </w:trPr>
        <w:tc>
          <w:tcPr>
            <w:tcW w:w="365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Resource</w:t>
            </w:r>
          </w:p>
        </w:tc>
        <w:tc>
          <w:tcPr>
            <w:tcW w:w="570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Phone · website · notes</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Wiley Reynolds PLLC</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10 Boulder Cres St #101B, Colorado Springs 80903 · 719-422-9944</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Hammond Law Group PC</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2955 Professional Pl #300, Colorado Springs 80904 · 719-259-5419</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Schroer &amp; Williams Law Offices, PLLC</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7045 Campus Dr #103, Colorado Springs 80920 · 719-900-3967</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Morey Law, P.C.</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5125 Centennial Blvd Ste 200, Colorado Springs 80919 · 719-465-4324</w:t>
            </w:r>
          </w:p>
        </w:tc>
      </w:tr>
    </w:tbl>
    <w:p>
      <w:pPr>
        <w:pStyle w:val="Normal"/>
        <w:keepNext w:val="true"/>
        <w:spacing w:before="140" w:after="60"/>
        <w:rPr/>
      </w:pPr>
      <w:r>
        <w:rPr>
          <w:rFonts w:eastAsia="Calibri" w:cs="Calibri"/>
          <w:b/>
          <w:bCs/>
          <w:i w:val="false"/>
          <w:iCs w:val="false"/>
          <w:color w:val="3E5871"/>
          <w:sz w:val="21"/>
          <w:szCs w:val="21"/>
        </w:rPr>
        <w:t>Geriatric care managers &amp; senior placement</w:t>
      </w:r>
    </w:p>
    <w:tbl>
      <w:tblPr>
        <w:tblW w:w="9360" w:type="dxa"/>
        <w:jc w:val="start"/>
        <w:tblInd w:w="0" w:type="dxa"/>
        <w:tblLayout w:type="fixed"/>
        <w:tblCellMar>
          <w:top w:w="50" w:type="dxa"/>
          <w:start w:w="100" w:type="dxa"/>
          <w:bottom w:w="50" w:type="dxa"/>
          <w:end w:w="100" w:type="dxa"/>
        </w:tblCellMar>
      </w:tblPr>
      <w:tblGrid>
        <w:gridCol w:w="3650"/>
        <w:gridCol w:w="5709"/>
      </w:tblGrid>
      <w:tr>
        <w:trPr>
          <w:tblHeader w:val="true"/>
        </w:trPr>
        <w:tc>
          <w:tcPr>
            <w:tcW w:w="365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Resource</w:t>
            </w:r>
          </w:p>
        </w:tc>
        <w:tc>
          <w:tcPr>
            <w:tcW w:w="570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Phone · website · notes</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CarePatrol of Colorado Springs-Pueblo</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10 E Monument St Ste 120, Colorado Springs 80903 · 719-257-3001</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Beneficent (long-term-care planning &amp; placement)</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665 Southpointe Ct #100, Colorado Springs 80906 · 719-645-8350</w:t>
            </w:r>
          </w:p>
        </w:tc>
      </w:tr>
    </w:tbl>
    <w:p>
      <w:pPr>
        <w:pStyle w:val="Normal"/>
        <w:rPr/>
      </w:pPr>
      <w:r>
        <w:rPr/>
      </w:r>
      <w:r>
        <w:br w:type="page"/>
      </w:r>
    </w:p>
    <w:p>
      <w:pPr>
        <w:pStyle w:val="Normal"/>
        <w:shd w:val="clear" w:color="auto" w:fill="1F3A5F"/>
        <w:spacing w:before="0" w:after="170"/>
        <w:rPr/>
      </w:pPr>
      <w:r>
        <w:rPr>
          <w:rFonts w:eastAsia="Calibri" w:cs="Calibri"/>
          <w:b/>
          <w:bCs/>
          <w:i w:val="false"/>
          <w:iCs w:val="false"/>
          <w:color w:val="FFFFFF"/>
          <w:sz w:val="30"/>
          <w:szCs w:val="30"/>
        </w:rPr>
        <w:t xml:space="preserve">  </w:t>
      </w:r>
      <w:r>
        <w:rPr>
          <w:rFonts w:eastAsia="Calibri" w:cs="Calibri"/>
          <w:b/>
          <w:bCs/>
          <w:i w:val="false"/>
          <w:iCs w:val="false"/>
          <w:color w:val="FFFFFF"/>
          <w:sz w:val="30"/>
          <w:szCs w:val="30"/>
        </w:rPr>
        <w:t xml:space="preserve">Referral Target List — Aurora (Verified Named Partners)  </w:t>
      </w:r>
    </w:p>
    <w:p>
      <w:pPr>
        <w:pStyle w:val="Normal"/>
        <w:keepNext w:val="true"/>
        <w:spacing w:before="140" w:after="60"/>
        <w:rPr/>
      </w:pPr>
      <w:r>
        <w:rPr>
          <w:rFonts w:eastAsia="Calibri" w:cs="Calibri"/>
          <w:b/>
          <w:bCs/>
          <w:i w:val="false"/>
          <w:iCs w:val="false"/>
          <w:color w:val="3E5871"/>
          <w:sz w:val="21"/>
          <w:szCs w:val="21"/>
        </w:rPr>
        <w:t>Hospitals (discharge planning / case management)</w:t>
      </w:r>
    </w:p>
    <w:tbl>
      <w:tblPr>
        <w:tblW w:w="9360" w:type="dxa"/>
        <w:jc w:val="start"/>
        <w:tblInd w:w="0" w:type="dxa"/>
        <w:tblLayout w:type="fixed"/>
        <w:tblCellMar>
          <w:top w:w="50" w:type="dxa"/>
          <w:start w:w="100" w:type="dxa"/>
          <w:bottom w:w="50" w:type="dxa"/>
          <w:end w:w="100" w:type="dxa"/>
        </w:tblCellMar>
      </w:tblPr>
      <w:tblGrid>
        <w:gridCol w:w="3650"/>
        <w:gridCol w:w="5709"/>
      </w:tblGrid>
      <w:tr>
        <w:trPr>
          <w:tblHeader w:val="true"/>
        </w:trPr>
        <w:tc>
          <w:tcPr>
            <w:tcW w:w="365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Resource</w:t>
            </w:r>
          </w:p>
        </w:tc>
        <w:tc>
          <w:tcPr>
            <w:tcW w:w="570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Phone · website · notes</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UCHealth University of Colorado Hospital</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12605 E 16th Ave, Aurora 80045 · 720-848-0000</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HCA HealthONE Aurora</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1501 S Potomac St, Aurora 80012 · 303-695-2600</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Children’s Hospital Colorado — Anschutz</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13123 E 16th Ave, Aurora 80045 · 720-777-1234</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Kindred Hospital Aurora</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700 Potomac St, Aurora 80011 · 303-927-5500</w:t>
            </w:r>
          </w:p>
        </w:tc>
      </w:tr>
    </w:tbl>
    <w:p>
      <w:pPr>
        <w:pStyle w:val="Normal"/>
        <w:keepNext w:val="true"/>
        <w:spacing w:before="140" w:after="60"/>
        <w:rPr/>
      </w:pPr>
      <w:r>
        <w:rPr>
          <w:rFonts w:eastAsia="Calibri" w:cs="Calibri"/>
          <w:b/>
          <w:bCs/>
          <w:i w:val="false"/>
          <w:iCs w:val="false"/>
          <w:color w:val="3E5871"/>
          <w:sz w:val="21"/>
          <w:szCs w:val="21"/>
        </w:rPr>
        <w:t>Skilled nursing &amp; rehabilitation facilities</w:t>
      </w:r>
    </w:p>
    <w:tbl>
      <w:tblPr>
        <w:tblW w:w="9360" w:type="dxa"/>
        <w:jc w:val="start"/>
        <w:tblInd w:w="0" w:type="dxa"/>
        <w:tblLayout w:type="fixed"/>
        <w:tblCellMar>
          <w:top w:w="50" w:type="dxa"/>
          <w:start w:w="100" w:type="dxa"/>
          <w:bottom w:w="50" w:type="dxa"/>
          <w:end w:w="100" w:type="dxa"/>
        </w:tblCellMar>
      </w:tblPr>
      <w:tblGrid>
        <w:gridCol w:w="3650"/>
        <w:gridCol w:w="5709"/>
      </w:tblGrid>
      <w:tr>
        <w:trPr>
          <w:tblHeader w:val="true"/>
        </w:trPr>
        <w:tc>
          <w:tcPr>
            <w:tcW w:w="365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Resource</w:t>
            </w:r>
          </w:p>
        </w:tc>
        <w:tc>
          <w:tcPr>
            <w:tcW w:w="570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Phone · website · notes</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Advanced Health Care of Aurora</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1800 S Potomac St, Aurora 80012 · 720-213-1700</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Life Care Center of Aurora</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14101 E Evans Ave, Aurora 80014 · 303-751-2000</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Aviva at Fitzsimons</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13525 E 23rd Ave, Aurora 80045 · 303-344-8282</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Highland Park Rehabilitation &amp; Care Community</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500 Geneva St, Aurora 80010 · 303-364-9311</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Garden Terrace at Aurora (memory care)</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1600 S Potomac St, Aurora 80012 · 303-750-8418</w:t>
            </w:r>
          </w:p>
        </w:tc>
      </w:tr>
    </w:tbl>
    <w:p>
      <w:pPr>
        <w:pStyle w:val="Normal"/>
        <w:keepNext w:val="true"/>
        <w:spacing w:before="140" w:after="60"/>
        <w:rPr/>
      </w:pPr>
      <w:r>
        <w:rPr>
          <w:rFonts w:eastAsia="Calibri" w:cs="Calibri"/>
          <w:b/>
          <w:bCs/>
          <w:i w:val="false"/>
          <w:iCs w:val="false"/>
          <w:color w:val="3E5871"/>
          <w:sz w:val="21"/>
          <w:szCs w:val="21"/>
        </w:rPr>
        <w:t>Hospices (two-way referral partners)</w:t>
      </w:r>
    </w:p>
    <w:tbl>
      <w:tblPr>
        <w:tblW w:w="9360" w:type="dxa"/>
        <w:jc w:val="start"/>
        <w:tblInd w:w="0" w:type="dxa"/>
        <w:tblLayout w:type="fixed"/>
        <w:tblCellMar>
          <w:top w:w="50" w:type="dxa"/>
          <w:start w:w="100" w:type="dxa"/>
          <w:bottom w:w="50" w:type="dxa"/>
          <w:end w:w="100" w:type="dxa"/>
        </w:tblCellMar>
      </w:tblPr>
      <w:tblGrid>
        <w:gridCol w:w="3650"/>
        <w:gridCol w:w="5709"/>
      </w:tblGrid>
      <w:tr>
        <w:trPr>
          <w:tblHeader w:val="true"/>
        </w:trPr>
        <w:tc>
          <w:tcPr>
            <w:tcW w:w="365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Resource</w:t>
            </w:r>
          </w:p>
        </w:tc>
        <w:tc>
          <w:tcPr>
            <w:tcW w:w="570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Phone · website · notes</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Aspen Grove Hospice</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14001 E Iliff Ave #204, Aurora 80014 · 720-999-9854</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Berkley Palliative Care &amp; Hospice</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10697 E Dartmouth Ave, Aurora 80014 · 303-758-2000</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A Peaceful Journey Hospice</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2851 S Parker Rd #1130, Aurora 80014 · 303-755-0915</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Colorado Hospice &amp; Palliative Care</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14901 E Hampden Ave Ste 260, Aurora 80014 · 720-608-0808</w:t>
            </w:r>
          </w:p>
        </w:tc>
      </w:tr>
    </w:tbl>
    <w:p>
      <w:pPr>
        <w:pStyle w:val="Normal"/>
        <w:keepNext w:val="true"/>
        <w:spacing w:before="140" w:after="60"/>
        <w:rPr/>
      </w:pPr>
      <w:r>
        <w:rPr>
          <w:rFonts w:eastAsia="Calibri" w:cs="Calibri"/>
          <w:b/>
          <w:bCs/>
          <w:i w:val="false"/>
          <w:iCs w:val="false"/>
          <w:color w:val="3E5871"/>
          <w:sz w:val="21"/>
          <w:szCs w:val="21"/>
        </w:rPr>
        <w:t>Assisted living &amp; senior living communities</w:t>
      </w:r>
    </w:p>
    <w:tbl>
      <w:tblPr>
        <w:tblW w:w="9360" w:type="dxa"/>
        <w:jc w:val="start"/>
        <w:tblInd w:w="0" w:type="dxa"/>
        <w:tblLayout w:type="fixed"/>
        <w:tblCellMar>
          <w:top w:w="50" w:type="dxa"/>
          <w:start w:w="100" w:type="dxa"/>
          <w:bottom w:w="50" w:type="dxa"/>
          <w:end w:w="100" w:type="dxa"/>
        </w:tblCellMar>
      </w:tblPr>
      <w:tblGrid>
        <w:gridCol w:w="3650"/>
        <w:gridCol w:w="5709"/>
      </w:tblGrid>
      <w:tr>
        <w:trPr>
          <w:tblHeader w:val="true"/>
        </w:trPr>
        <w:tc>
          <w:tcPr>
            <w:tcW w:w="365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Resource</w:t>
            </w:r>
          </w:p>
        </w:tc>
        <w:tc>
          <w:tcPr>
            <w:tcW w:w="570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Phone · website · notes</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Cherry Creek Retirement Village</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14555 E Hampden Ave, Aurora 80014 · 720-961-1828</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St. Andrew’s Village</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13801 E Yale Ave, Aurora 80014 · 303-695-8100</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Garden Plaza of Aurora</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14221 E Evans Ave, Aurora 80014 · 303-750-0820</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Bella Vita Senior Living</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1470 S Havana St, Aurora 80012 · 303-536-3292</w:t>
            </w:r>
          </w:p>
        </w:tc>
      </w:tr>
    </w:tbl>
    <w:p>
      <w:pPr>
        <w:pStyle w:val="Normal"/>
        <w:keepNext w:val="true"/>
        <w:spacing w:before="140" w:after="60"/>
        <w:rPr/>
      </w:pPr>
      <w:r>
        <w:rPr>
          <w:rFonts w:eastAsia="Calibri" w:cs="Calibri"/>
          <w:b/>
          <w:bCs/>
          <w:i w:val="false"/>
          <w:iCs w:val="false"/>
          <w:color w:val="3E5871"/>
          <w:sz w:val="21"/>
          <w:szCs w:val="21"/>
        </w:rPr>
        <w:t>Funeral homes</w:t>
      </w:r>
    </w:p>
    <w:tbl>
      <w:tblPr>
        <w:tblW w:w="9360" w:type="dxa"/>
        <w:jc w:val="start"/>
        <w:tblInd w:w="0" w:type="dxa"/>
        <w:tblLayout w:type="fixed"/>
        <w:tblCellMar>
          <w:top w:w="50" w:type="dxa"/>
          <w:start w:w="100" w:type="dxa"/>
          <w:bottom w:w="50" w:type="dxa"/>
          <w:end w:w="100" w:type="dxa"/>
        </w:tblCellMar>
      </w:tblPr>
      <w:tblGrid>
        <w:gridCol w:w="3650"/>
        <w:gridCol w:w="5709"/>
      </w:tblGrid>
      <w:tr>
        <w:trPr>
          <w:tblHeader w:val="true"/>
        </w:trPr>
        <w:tc>
          <w:tcPr>
            <w:tcW w:w="365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Resource</w:t>
            </w:r>
          </w:p>
        </w:tc>
        <w:tc>
          <w:tcPr>
            <w:tcW w:w="570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Phone · website · notes</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Horan &amp; McConaty Funeral Service</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11150 E Dartmouth Ave, Aurora 80014 · 303-745-4418</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Romero Funeral Home</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15150 E Iliff Ave, Aurora 80014 · 303-558-7003</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Newcomer — East Metro Chapel</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190 Potomac St, Aurora 80011 · 720-857-0700</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Advantage Funeral &amp; Cremation Services</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1095 Havana St, Aurora 80010 · 303-366-3551</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Harris Funeral Directors</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9722 E 16th Ave, Aurora 80010 · 303-343-1220</w:t>
            </w:r>
          </w:p>
        </w:tc>
      </w:tr>
    </w:tbl>
    <w:p>
      <w:pPr>
        <w:pStyle w:val="Normal"/>
        <w:keepNext w:val="true"/>
        <w:spacing w:before="140" w:after="60"/>
        <w:rPr/>
      </w:pPr>
      <w:r>
        <w:rPr>
          <w:rFonts w:eastAsia="Calibri" w:cs="Calibri"/>
          <w:b/>
          <w:bCs/>
          <w:i w:val="false"/>
          <w:iCs w:val="false"/>
          <w:color w:val="3E5871"/>
          <w:sz w:val="21"/>
          <w:szCs w:val="21"/>
        </w:rPr>
        <w:t>Elder-law attorneys</w:t>
      </w:r>
    </w:p>
    <w:tbl>
      <w:tblPr>
        <w:tblW w:w="9360" w:type="dxa"/>
        <w:jc w:val="start"/>
        <w:tblInd w:w="0" w:type="dxa"/>
        <w:tblLayout w:type="fixed"/>
        <w:tblCellMar>
          <w:top w:w="50" w:type="dxa"/>
          <w:start w:w="100" w:type="dxa"/>
          <w:bottom w:w="50" w:type="dxa"/>
          <w:end w:w="100" w:type="dxa"/>
        </w:tblCellMar>
      </w:tblPr>
      <w:tblGrid>
        <w:gridCol w:w="3650"/>
        <w:gridCol w:w="5709"/>
      </w:tblGrid>
      <w:tr>
        <w:trPr>
          <w:tblHeader w:val="true"/>
        </w:trPr>
        <w:tc>
          <w:tcPr>
            <w:tcW w:w="365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Resource</w:t>
            </w:r>
          </w:p>
        </w:tc>
        <w:tc>
          <w:tcPr>
            <w:tcW w:w="570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Phone · website · notes</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Law Office of Anna L. Burr</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2851 S Parker Rd #230, Aurora 80014 · 720-500-2076</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Kirch Law PC</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3025 S Parker Rd #820, Aurora 80014 · 303-671-7726</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Little Law Office, LLC</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15530 E Broncos Pkwy Unit 300, Centennial 80112 · 303-520-6941</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The Limbaugh Law Firm, LLC</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6950 E Belleview Ave #202, Greenwood Village 80111 · 303-662-9922</w:t>
            </w:r>
          </w:p>
        </w:tc>
      </w:tr>
    </w:tbl>
    <w:p>
      <w:pPr>
        <w:pStyle w:val="Normal"/>
        <w:keepNext w:val="true"/>
        <w:spacing w:before="140" w:after="60"/>
        <w:rPr/>
      </w:pPr>
      <w:r>
        <w:rPr>
          <w:rFonts w:eastAsia="Calibri" w:cs="Calibri"/>
          <w:b/>
          <w:bCs/>
          <w:i w:val="false"/>
          <w:iCs w:val="false"/>
          <w:color w:val="3E5871"/>
          <w:sz w:val="21"/>
          <w:szCs w:val="21"/>
        </w:rPr>
        <w:t>Geriatric care managers &amp; senior placement</w:t>
      </w:r>
    </w:p>
    <w:tbl>
      <w:tblPr>
        <w:tblW w:w="9360" w:type="dxa"/>
        <w:jc w:val="start"/>
        <w:tblInd w:w="0" w:type="dxa"/>
        <w:tblLayout w:type="fixed"/>
        <w:tblCellMar>
          <w:top w:w="50" w:type="dxa"/>
          <w:start w:w="100" w:type="dxa"/>
          <w:bottom w:w="50" w:type="dxa"/>
          <w:end w:w="100" w:type="dxa"/>
        </w:tblCellMar>
      </w:tblPr>
      <w:tblGrid>
        <w:gridCol w:w="3650"/>
        <w:gridCol w:w="5709"/>
      </w:tblGrid>
      <w:tr>
        <w:trPr>
          <w:tblHeader w:val="true"/>
        </w:trPr>
        <w:tc>
          <w:tcPr>
            <w:tcW w:w="365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Resource</w:t>
            </w:r>
          </w:p>
        </w:tc>
        <w:tc>
          <w:tcPr>
            <w:tcW w:w="570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Phone · website · notes</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Aging at 5280 (senior living placement)</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13635 E Bates Ave, Aurora 80014 · 720-390-1383</w:t>
            </w:r>
          </w:p>
        </w:tc>
      </w:tr>
    </w:tbl>
    <w:p>
      <w:pPr>
        <w:pStyle w:val="Normal"/>
        <w:rPr/>
      </w:pPr>
      <w:r>
        <w:rPr/>
      </w:r>
      <w:r>
        <w:br w:type="page"/>
      </w:r>
    </w:p>
    <w:p>
      <w:pPr>
        <w:pStyle w:val="Normal"/>
        <w:shd w:val="clear" w:color="auto" w:fill="1F3A5F"/>
        <w:spacing w:before="0" w:after="170"/>
        <w:rPr/>
      </w:pPr>
      <w:r>
        <w:rPr>
          <w:rFonts w:eastAsia="Calibri" w:cs="Calibri"/>
          <w:b/>
          <w:bCs/>
          <w:i w:val="false"/>
          <w:iCs w:val="false"/>
          <w:color w:val="FFFFFF"/>
          <w:sz w:val="30"/>
          <w:szCs w:val="30"/>
        </w:rPr>
        <w:t xml:space="preserve">  </w:t>
      </w:r>
      <w:r>
        <w:rPr>
          <w:rFonts w:eastAsia="Calibri" w:cs="Calibri"/>
          <w:b/>
          <w:bCs/>
          <w:i w:val="false"/>
          <w:iCs w:val="false"/>
          <w:color w:val="FFFFFF"/>
          <w:sz w:val="30"/>
          <w:szCs w:val="30"/>
        </w:rPr>
        <w:t xml:space="preserve">Referral Target List — Fort Collins (Northern Colorado) (Verified Named Partners)  </w:t>
      </w:r>
    </w:p>
    <w:p>
      <w:pPr>
        <w:pStyle w:val="Normal"/>
        <w:keepNext w:val="true"/>
        <w:spacing w:before="140" w:after="60"/>
        <w:rPr/>
      </w:pPr>
      <w:r>
        <w:rPr>
          <w:rFonts w:eastAsia="Calibri" w:cs="Calibri"/>
          <w:b/>
          <w:bCs/>
          <w:i w:val="false"/>
          <w:iCs w:val="false"/>
          <w:color w:val="3E5871"/>
          <w:sz w:val="21"/>
          <w:szCs w:val="21"/>
        </w:rPr>
        <w:t>Hospitals (discharge planning / case management)</w:t>
      </w:r>
    </w:p>
    <w:tbl>
      <w:tblPr>
        <w:tblW w:w="9360" w:type="dxa"/>
        <w:jc w:val="start"/>
        <w:tblInd w:w="0" w:type="dxa"/>
        <w:tblLayout w:type="fixed"/>
        <w:tblCellMar>
          <w:top w:w="50" w:type="dxa"/>
          <w:start w:w="100" w:type="dxa"/>
          <w:bottom w:w="50" w:type="dxa"/>
          <w:end w:w="100" w:type="dxa"/>
        </w:tblCellMar>
      </w:tblPr>
      <w:tblGrid>
        <w:gridCol w:w="3650"/>
        <w:gridCol w:w="5709"/>
      </w:tblGrid>
      <w:tr>
        <w:trPr>
          <w:tblHeader w:val="true"/>
        </w:trPr>
        <w:tc>
          <w:tcPr>
            <w:tcW w:w="365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Resource</w:t>
            </w:r>
          </w:p>
        </w:tc>
        <w:tc>
          <w:tcPr>
            <w:tcW w:w="570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Phone · website · notes</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UCHealth Poudre Valley Hospital</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1024 S Lemay Ave, Fort Collins 80524 · 970-495-7000</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Banner Fort Collins Medical Center</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4700 Lady Moon Dr, Fort Collins 80528 · 970-821-4000</w:t>
            </w:r>
          </w:p>
        </w:tc>
      </w:tr>
    </w:tbl>
    <w:p>
      <w:pPr>
        <w:pStyle w:val="Normal"/>
        <w:keepNext w:val="true"/>
        <w:spacing w:before="140" w:after="60"/>
        <w:rPr/>
      </w:pPr>
      <w:r>
        <w:rPr>
          <w:rFonts w:eastAsia="Calibri" w:cs="Calibri"/>
          <w:b/>
          <w:bCs/>
          <w:i w:val="false"/>
          <w:iCs w:val="false"/>
          <w:color w:val="3E5871"/>
          <w:sz w:val="21"/>
          <w:szCs w:val="21"/>
        </w:rPr>
        <w:t>Skilled nursing &amp; rehabilitation facilities</w:t>
      </w:r>
    </w:p>
    <w:tbl>
      <w:tblPr>
        <w:tblW w:w="9360" w:type="dxa"/>
        <w:jc w:val="start"/>
        <w:tblInd w:w="0" w:type="dxa"/>
        <w:tblLayout w:type="fixed"/>
        <w:tblCellMar>
          <w:top w:w="50" w:type="dxa"/>
          <w:start w:w="100" w:type="dxa"/>
          <w:bottom w:w="50" w:type="dxa"/>
          <w:end w:w="100" w:type="dxa"/>
        </w:tblCellMar>
      </w:tblPr>
      <w:tblGrid>
        <w:gridCol w:w="3650"/>
        <w:gridCol w:w="5709"/>
      </w:tblGrid>
      <w:tr>
        <w:trPr>
          <w:tblHeader w:val="true"/>
        </w:trPr>
        <w:tc>
          <w:tcPr>
            <w:tcW w:w="365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Resource</w:t>
            </w:r>
          </w:p>
        </w:tc>
        <w:tc>
          <w:tcPr>
            <w:tcW w:w="570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Phone · website · notes</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Poudre Canyon Rehabilitation &amp; Nursing</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1000 S Lemay Ave, Fort Collins 80524 · 970-482-7925</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Rehabilitation &amp; Nursing Center of the Rockies</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1020 Patton St, Fort Collins 80524 · 970-484-7981</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Lemay Avenue Health &amp; Rehab Facility</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4824 S Lemay Ave, Fort Collins 80525 · 970-482-1584</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Columbine West Health &amp; Rehab Facility</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940 Worthington Cir, Fort Collins 80526 · 970-221-2273</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Storybrook Care &amp; Rehabilitation</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1005 E Elizabeth St, Fort Collins 80524 · 970-482-2525</w:t>
            </w:r>
          </w:p>
        </w:tc>
      </w:tr>
    </w:tbl>
    <w:p>
      <w:pPr>
        <w:pStyle w:val="Normal"/>
        <w:keepNext w:val="true"/>
        <w:spacing w:before="140" w:after="60"/>
        <w:rPr/>
      </w:pPr>
      <w:r>
        <w:rPr>
          <w:rFonts w:eastAsia="Calibri" w:cs="Calibri"/>
          <w:b/>
          <w:bCs/>
          <w:i w:val="false"/>
          <w:iCs w:val="false"/>
          <w:color w:val="3E5871"/>
          <w:sz w:val="21"/>
          <w:szCs w:val="21"/>
        </w:rPr>
        <w:t>Hospices (two-way referral partners)</w:t>
      </w:r>
    </w:p>
    <w:tbl>
      <w:tblPr>
        <w:tblW w:w="9360" w:type="dxa"/>
        <w:jc w:val="start"/>
        <w:tblInd w:w="0" w:type="dxa"/>
        <w:tblLayout w:type="fixed"/>
        <w:tblCellMar>
          <w:top w:w="50" w:type="dxa"/>
          <w:start w:w="100" w:type="dxa"/>
          <w:bottom w:w="50" w:type="dxa"/>
          <w:end w:w="100" w:type="dxa"/>
        </w:tblCellMar>
      </w:tblPr>
      <w:tblGrid>
        <w:gridCol w:w="3650"/>
        <w:gridCol w:w="5709"/>
      </w:tblGrid>
      <w:tr>
        <w:trPr>
          <w:tblHeader w:val="true"/>
        </w:trPr>
        <w:tc>
          <w:tcPr>
            <w:tcW w:w="365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Resource</w:t>
            </w:r>
          </w:p>
        </w:tc>
        <w:tc>
          <w:tcPr>
            <w:tcW w:w="570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Phone · website · notes</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Pathways of Northern Colorado</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305 Carpenter Rd, Fort Collins 80525 · 970-663-3500</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Suncrest Hospice — Northern Colorado</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1605 Foxtrail Dr Ste 200, Loveland 80538 · 970-619-8378</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Bristol Hospice — Northern Colorado</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3770 Puritan Way E, Frederick 80516 · 970-619-8378</w:t>
            </w:r>
          </w:p>
        </w:tc>
      </w:tr>
    </w:tbl>
    <w:p>
      <w:pPr>
        <w:pStyle w:val="Normal"/>
        <w:keepNext w:val="true"/>
        <w:spacing w:before="140" w:after="60"/>
        <w:rPr/>
      </w:pPr>
      <w:r>
        <w:rPr>
          <w:rFonts w:eastAsia="Calibri" w:cs="Calibri"/>
          <w:b/>
          <w:bCs/>
          <w:i w:val="false"/>
          <w:iCs w:val="false"/>
          <w:color w:val="3E5871"/>
          <w:sz w:val="21"/>
          <w:szCs w:val="21"/>
        </w:rPr>
        <w:t>Assisted living &amp; senior living communities</w:t>
      </w:r>
    </w:p>
    <w:tbl>
      <w:tblPr>
        <w:tblW w:w="9360" w:type="dxa"/>
        <w:jc w:val="start"/>
        <w:tblInd w:w="0" w:type="dxa"/>
        <w:tblLayout w:type="fixed"/>
        <w:tblCellMar>
          <w:top w:w="50" w:type="dxa"/>
          <w:start w:w="100" w:type="dxa"/>
          <w:bottom w:w="50" w:type="dxa"/>
          <w:end w:w="100" w:type="dxa"/>
        </w:tblCellMar>
      </w:tblPr>
      <w:tblGrid>
        <w:gridCol w:w="3650"/>
        <w:gridCol w:w="5709"/>
      </w:tblGrid>
      <w:tr>
        <w:trPr>
          <w:tblHeader w:val="true"/>
        </w:trPr>
        <w:tc>
          <w:tcPr>
            <w:tcW w:w="365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Resource</w:t>
            </w:r>
          </w:p>
        </w:tc>
        <w:tc>
          <w:tcPr>
            <w:tcW w:w="570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Phone · website · notes</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The Gallery at Fort Collins</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3535 Stanford Rd, Fort Collins 80525 · 970-722-8885</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MacKenzie Place — Fort Collins</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4750 Pleasant Oak Dr, Fort Collins 80525 · 970-207-1939</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MorningStar Senior Living at Old Town</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360 Tenney Ct, Fort Collins 80524 · 970-592-5980</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Turnberry Place Assisted Living</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2401 Turnberry Rd, Fort Collins 80524 · 970-482-2215</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Parkwood Estates</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2201 S Lemay Ave, Fort Collins 80525 · 970-372-6554</w:t>
            </w:r>
          </w:p>
        </w:tc>
      </w:tr>
    </w:tbl>
    <w:p>
      <w:pPr>
        <w:pStyle w:val="Normal"/>
        <w:keepNext w:val="true"/>
        <w:spacing w:before="140" w:after="60"/>
        <w:rPr/>
      </w:pPr>
      <w:r>
        <w:rPr>
          <w:rFonts w:eastAsia="Calibri" w:cs="Calibri"/>
          <w:b/>
          <w:bCs/>
          <w:i w:val="false"/>
          <w:iCs w:val="false"/>
          <w:color w:val="3E5871"/>
          <w:sz w:val="21"/>
          <w:szCs w:val="21"/>
        </w:rPr>
        <w:t>Funeral homes</w:t>
      </w:r>
    </w:p>
    <w:tbl>
      <w:tblPr>
        <w:tblW w:w="9360" w:type="dxa"/>
        <w:jc w:val="start"/>
        <w:tblInd w:w="0" w:type="dxa"/>
        <w:tblLayout w:type="fixed"/>
        <w:tblCellMar>
          <w:top w:w="50" w:type="dxa"/>
          <w:start w:w="100" w:type="dxa"/>
          <w:bottom w:w="50" w:type="dxa"/>
          <w:end w:w="100" w:type="dxa"/>
        </w:tblCellMar>
      </w:tblPr>
      <w:tblGrid>
        <w:gridCol w:w="3650"/>
        <w:gridCol w:w="5709"/>
      </w:tblGrid>
      <w:tr>
        <w:trPr>
          <w:tblHeader w:val="true"/>
        </w:trPr>
        <w:tc>
          <w:tcPr>
            <w:tcW w:w="365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Resource</w:t>
            </w:r>
          </w:p>
        </w:tc>
        <w:tc>
          <w:tcPr>
            <w:tcW w:w="570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Phone · website · notes</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Bohlender Funeral Chapel</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121 W Olive St, Fort Collins 80524 · 970-482-4244</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Allnutt Funeral Service — Drake Road Chapel</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650 W Drake Rd, Fort Collins 80526 · 970-482-3208</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Goes Funeral Care &amp; Crematory</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3665 Canal Dr Unit E, Fort Collins 80524 · 970-482-2221</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Vessey Funeral Service</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2649 E Mulberry St A1, Fort Collins 80524 · 970-236-3432</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Resthaven Memory Gardens Funeral &amp; Cremation</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8426 US-287, Fort Collins 80525 · 970-667-0202</w:t>
            </w:r>
          </w:p>
        </w:tc>
      </w:tr>
    </w:tbl>
    <w:p>
      <w:pPr>
        <w:pStyle w:val="Normal"/>
        <w:keepNext w:val="true"/>
        <w:spacing w:before="140" w:after="60"/>
        <w:rPr/>
      </w:pPr>
      <w:r>
        <w:rPr>
          <w:rFonts w:eastAsia="Calibri" w:cs="Calibri"/>
          <w:b/>
          <w:bCs/>
          <w:i w:val="false"/>
          <w:iCs w:val="false"/>
          <w:color w:val="3E5871"/>
          <w:sz w:val="21"/>
          <w:szCs w:val="21"/>
        </w:rPr>
        <w:t>Elder-law attorneys</w:t>
      </w:r>
    </w:p>
    <w:tbl>
      <w:tblPr>
        <w:tblW w:w="9360" w:type="dxa"/>
        <w:jc w:val="start"/>
        <w:tblInd w:w="0" w:type="dxa"/>
        <w:tblLayout w:type="fixed"/>
        <w:tblCellMar>
          <w:top w:w="50" w:type="dxa"/>
          <w:start w:w="100" w:type="dxa"/>
          <w:bottom w:w="50" w:type="dxa"/>
          <w:end w:w="100" w:type="dxa"/>
        </w:tblCellMar>
      </w:tblPr>
      <w:tblGrid>
        <w:gridCol w:w="3650"/>
        <w:gridCol w:w="5709"/>
      </w:tblGrid>
      <w:tr>
        <w:trPr>
          <w:tblHeader w:val="true"/>
        </w:trPr>
        <w:tc>
          <w:tcPr>
            <w:tcW w:w="365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Resource</w:t>
            </w:r>
          </w:p>
        </w:tc>
        <w:tc>
          <w:tcPr>
            <w:tcW w:w="570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Phone · website · notes</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Sutherland &amp; Connor LLC</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1315 Oakridge Dr Ste 120, Fort Collins 80525 · 970-224-9779</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Antommaria Ilevska Elder LLC</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215 W Oak St #600, Fort Collins 80521 · 970-346-8888</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W. B. Moore Law</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2809 E Harmony Rd #100, Fort Collins 80528 · 970-425-0800</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The Hill Law Firm LLC</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2627 Redwing Rd #260, Fort Collins 80526 · 970-237-3835</w:t>
            </w:r>
          </w:p>
        </w:tc>
      </w:tr>
    </w:tbl>
    <w:p>
      <w:pPr>
        <w:pStyle w:val="Normal"/>
        <w:keepNext w:val="true"/>
        <w:spacing w:before="140" w:after="60"/>
        <w:rPr/>
      </w:pPr>
      <w:r>
        <w:rPr>
          <w:rFonts w:eastAsia="Calibri" w:cs="Calibri"/>
          <w:b/>
          <w:bCs/>
          <w:i w:val="false"/>
          <w:iCs w:val="false"/>
          <w:color w:val="3E5871"/>
          <w:sz w:val="21"/>
          <w:szCs w:val="21"/>
        </w:rPr>
        <w:t>Geriatric care managers &amp; senior placement</w:t>
      </w:r>
    </w:p>
    <w:tbl>
      <w:tblPr>
        <w:tblW w:w="9360" w:type="dxa"/>
        <w:jc w:val="start"/>
        <w:tblInd w:w="0" w:type="dxa"/>
        <w:tblLayout w:type="fixed"/>
        <w:tblCellMar>
          <w:top w:w="50" w:type="dxa"/>
          <w:start w:w="100" w:type="dxa"/>
          <w:bottom w:w="50" w:type="dxa"/>
          <w:end w:w="100" w:type="dxa"/>
        </w:tblCellMar>
      </w:tblPr>
      <w:tblGrid>
        <w:gridCol w:w="3650"/>
        <w:gridCol w:w="5709"/>
      </w:tblGrid>
      <w:tr>
        <w:trPr>
          <w:tblHeader w:val="true"/>
        </w:trPr>
        <w:tc>
          <w:tcPr>
            <w:tcW w:w="3650"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Resource</w:t>
            </w:r>
          </w:p>
        </w:tc>
        <w:tc>
          <w:tcPr>
            <w:tcW w:w="5709" w:type="dxa"/>
            <w:tcBorders>
              <w:top w:val="single" w:sz="4" w:space="0" w:color="9DB1C7"/>
              <w:start w:val="single" w:sz="4" w:space="0" w:color="9DB1C7"/>
              <w:bottom w:val="single" w:sz="4" w:space="0" w:color="9DB1C7"/>
              <w:end w:val="single" w:sz="4" w:space="0" w:color="9DB1C7"/>
            </w:tcBorders>
            <w:shd w:fill="3E5871" w:val="clear"/>
          </w:tcPr>
          <w:p>
            <w:pPr>
              <w:pStyle w:val="Normal"/>
              <w:spacing w:lineRule="exact" w:line="268" w:before="0" w:after="0"/>
              <w:jc w:val="start"/>
              <w:rPr/>
            </w:pPr>
            <w:r>
              <w:rPr>
                <w:rFonts w:eastAsia="Calibri" w:cs="Calibri"/>
                <w:b/>
                <w:bCs/>
                <w:i w:val="false"/>
                <w:iCs w:val="false"/>
                <w:color w:val="FFFFFF"/>
                <w:sz w:val="16"/>
                <w:szCs w:val="16"/>
              </w:rPr>
              <w:t>Phone · website · notes</w:t>
            </w:r>
          </w:p>
        </w:tc>
      </w:tr>
      <w:tr>
        <w:trPr/>
        <w:tc>
          <w:tcPr>
            <w:tcW w:w="3650" w:type="dxa"/>
            <w:tcBorders>
              <w:top w:val="single" w:sz="4" w:space="0" w:color="9DB1C7"/>
              <w:start w:val="single" w:sz="4" w:space="0" w:color="9DB1C7"/>
              <w:bottom w:val="single" w:sz="4" w:space="0" w:color="9DB1C7"/>
              <w:end w:val="single" w:sz="4" w:space="0" w:color="9DB1C7"/>
            </w:tcBorders>
            <w:shd w:color="auto" w:fill="EAF0F6" w:val="clear"/>
            <w:tcMar>
              <w:top w:w="55" w:type="dxa"/>
              <w:bottom w:w="55" w:type="dxa"/>
            </w:tcMar>
          </w:tcPr>
          <w:p>
            <w:pPr>
              <w:pStyle w:val="Normal"/>
              <w:spacing w:lineRule="exact" w:line="268" w:before="0" w:after="0"/>
              <w:jc w:val="start"/>
              <w:rPr/>
            </w:pPr>
            <w:r>
              <w:rPr>
                <w:rFonts w:eastAsia="Calibri" w:cs="Calibri"/>
                <w:b/>
                <w:bCs/>
                <w:i w:val="false"/>
                <w:iCs w:val="false"/>
                <w:color w:val="3E5871"/>
                <w:sz w:val="15"/>
                <w:szCs w:val="15"/>
              </w:rPr>
              <w:t>Senior Life Solutions (care management &amp; placement)</w:t>
            </w:r>
          </w:p>
        </w:tc>
        <w:tc>
          <w:tcPr>
            <w:tcW w:w="5709" w:type="dxa"/>
            <w:tcBorders>
              <w:top w:val="single" w:sz="4" w:space="0" w:color="9DB1C7"/>
              <w:start w:val="single" w:sz="4" w:space="0" w:color="9DB1C7"/>
              <w:bottom w:val="single" w:sz="4" w:space="0" w:color="9DB1C7"/>
              <w:end w:val="single" w:sz="4" w:space="0" w:color="9DB1C7"/>
            </w:tcBorders>
            <w:tcMar>
              <w:top w:w="55" w:type="dxa"/>
              <w:bottom w:w="55" w:type="dxa"/>
            </w:tcMar>
          </w:tcPr>
          <w:p>
            <w:pPr>
              <w:pStyle w:val="Normal"/>
              <w:spacing w:lineRule="exact" w:line="268" w:before="0" w:after="0"/>
              <w:jc w:val="start"/>
              <w:rPr/>
            </w:pPr>
            <w:r>
              <w:rPr>
                <w:rFonts w:eastAsia="Calibri" w:cs="Calibri"/>
                <w:b w:val="false"/>
                <w:bCs w:val="false"/>
                <w:i w:val="false"/>
                <w:iCs w:val="false"/>
                <w:color w:val="1A1A1A"/>
                <w:sz w:val="15"/>
                <w:szCs w:val="15"/>
              </w:rPr>
              <w:t>343 W Drake Rd #110, Fort Collins 80526 · 970-282-7975</w:t>
            </w:r>
          </w:p>
        </w:tc>
      </w:tr>
    </w:tbl>
    <w:p>
      <w:pPr>
        <w:pStyle w:val="Normal"/>
        <w:rPr/>
      </w:pPr>
      <w:r>
        <w:rPr/>
      </w:r>
      <w:r>
        <w:br w:type="page"/>
      </w:r>
    </w:p>
    <w:p>
      <w:pPr>
        <w:pStyle w:val="Normal"/>
        <w:keepNext w:val="true"/>
        <w:spacing w:before="0" w:after="90"/>
        <w:rPr/>
      </w:pPr>
      <w:r>
        <w:rPr>
          <w:rFonts w:eastAsia="Calibri" w:cs="Calibri"/>
          <w:b/>
          <w:bCs/>
          <w:i w:val="false"/>
          <w:iCs w:val="false"/>
          <w:color w:val="1F3A5F"/>
          <w:sz w:val="26"/>
          <w:szCs w:val="26"/>
        </w:rPr>
        <w:t>Part Three — The Referral Toolkit</w:t>
      </w:r>
    </w:p>
    <w:p>
      <w:pPr>
        <w:pStyle w:val="Normal"/>
        <w:spacing w:lineRule="exact" w:line="268" w:before="0" w:after="110"/>
        <w:jc w:val="start"/>
        <w:rPr/>
      </w:pPr>
      <w:r>
        <w:rPr>
          <w:rFonts w:eastAsia="Calibri" w:cs="Calibri"/>
          <w:b w:val="false"/>
          <w:bCs w:val="false"/>
          <w:i w:val="false"/>
          <w:iCs w:val="false"/>
          <w:color w:val="1A1A1A"/>
          <w:sz w:val="20"/>
          <w:szCs w:val="20"/>
        </w:rPr>
        <w:t>Use these worksheets to run your referral system week to week. Print them, or copy them into your own tracker.</w:t>
      </w:r>
    </w:p>
    <w:p>
      <w:pPr>
        <w:pStyle w:val="Normal"/>
        <w:rPr/>
      </w:pPr>
      <w:r>
        <w:rPr/>
      </w:r>
      <w:r>
        <w:br w:type="page"/>
      </w:r>
    </w:p>
    <w:p>
      <w:pPr>
        <w:pStyle w:val="Normal"/>
        <w:shd w:val="clear" w:color="auto" w:fill="1F3A5F"/>
        <w:spacing w:before="0" w:after="60"/>
        <w:rPr/>
      </w:pPr>
      <w:r>
        <w:rPr>
          <w:rFonts w:eastAsia="Calibri" w:cs="Calibri"/>
          <w:b/>
          <w:bCs/>
          <w:i w:val="false"/>
          <w:iCs w:val="false"/>
          <w:color w:val="FFFFFF"/>
          <w:sz w:val="24"/>
          <w:szCs w:val="24"/>
        </w:rPr>
        <w:t xml:space="preserve">  </w:t>
      </w:r>
      <w:r>
        <w:rPr>
          <w:rFonts w:eastAsia="Calibri" w:cs="Calibri"/>
          <w:b/>
          <w:bCs/>
          <w:i w:val="false"/>
          <w:iCs w:val="false"/>
          <w:color w:val="FFFFFF"/>
          <w:sz w:val="24"/>
          <w:szCs w:val="24"/>
        </w:rPr>
        <w:t xml:space="preserve">Target List — Priority Referral Partners  </w:t>
      </w:r>
    </w:p>
    <w:p>
      <w:pPr>
        <w:pStyle w:val="Normal"/>
        <w:spacing w:lineRule="exact" w:line="268" w:before="60" w:after="120"/>
        <w:jc w:val="start"/>
        <w:rPr/>
      </w:pPr>
      <w:r>
        <w:rPr>
          <w:rFonts w:eastAsia="Calibri" w:cs="Calibri"/>
          <w:b w:val="false"/>
          <w:bCs w:val="false"/>
          <w:i/>
          <w:iCs/>
          <w:color w:val="555555"/>
          <w:sz w:val="19"/>
          <w:szCs w:val="19"/>
        </w:rPr>
        <w:t>List the partners you most want relationships with, by category, and plan your first visit.</w:t>
      </w:r>
    </w:p>
    <w:tbl>
      <w:tblPr>
        <w:tblW w:w="9360" w:type="dxa"/>
        <w:jc w:val="start"/>
        <w:tblInd w:w="0" w:type="dxa"/>
        <w:tblLayout w:type="fixed"/>
        <w:tblCellMar>
          <w:top w:w="45" w:type="dxa"/>
          <w:start w:w="80" w:type="dxa"/>
          <w:bottom w:w="45" w:type="dxa"/>
          <w:end w:w="80" w:type="dxa"/>
        </w:tblCellMar>
      </w:tblPr>
      <w:tblGrid>
        <w:gridCol w:w="2700"/>
        <w:gridCol w:w="2699"/>
        <w:gridCol w:w="1900"/>
        <w:gridCol w:w="2060"/>
      </w:tblGrid>
      <w:tr>
        <w:trPr>
          <w:tblHeader w:val="true"/>
        </w:trPr>
        <w:tc>
          <w:tcPr>
            <w:tcW w:w="2700"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8" w:before="0" w:after="0"/>
              <w:jc w:val="start"/>
              <w:rPr/>
            </w:pPr>
            <w:r>
              <w:rPr>
                <w:rFonts w:eastAsia="Calibri" w:cs="Calibri"/>
                <w:b/>
                <w:bCs/>
                <w:i w:val="false"/>
                <w:iCs w:val="false"/>
                <w:color w:val="FFFFFF"/>
                <w:sz w:val="15"/>
                <w:szCs w:val="15"/>
              </w:rPr>
              <w:t>Partner &amp; category</w:t>
            </w:r>
          </w:p>
        </w:tc>
        <w:tc>
          <w:tcPr>
            <w:tcW w:w="2699"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8" w:before="0" w:after="0"/>
              <w:jc w:val="start"/>
              <w:rPr/>
            </w:pPr>
            <w:r>
              <w:rPr>
                <w:rFonts w:eastAsia="Calibri" w:cs="Calibri"/>
                <w:b/>
                <w:bCs/>
                <w:i w:val="false"/>
                <w:iCs w:val="false"/>
                <w:color w:val="FFFFFF"/>
                <w:sz w:val="15"/>
                <w:szCs w:val="15"/>
              </w:rPr>
              <w:t>Address / phone</w:t>
            </w:r>
          </w:p>
        </w:tc>
        <w:tc>
          <w:tcPr>
            <w:tcW w:w="1900"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8" w:before="0" w:after="0"/>
              <w:jc w:val="start"/>
              <w:rPr/>
            </w:pPr>
            <w:r>
              <w:rPr>
                <w:rFonts w:eastAsia="Calibri" w:cs="Calibri"/>
                <w:b/>
                <w:bCs/>
                <w:i w:val="false"/>
                <w:iCs w:val="false"/>
                <w:color w:val="FFFFFF"/>
                <w:sz w:val="15"/>
                <w:szCs w:val="15"/>
              </w:rPr>
              <w:t>Contact person</w:t>
            </w:r>
          </w:p>
        </w:tc>
        <w:tc>
          <w:tcPr>
            <w:tcW w:w="2060"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8" w:before="0" w:after="0"/>
              <w:jc w:val="start"/>
              <w:rPr/>
            </w:pPr>
            <w:r>
              <w:rPr>
                <w:rFonts w:eastAsia="Calibri" w:cs="Calibri"/>
                <w:b/>
                <w:bCs/>
                <w:i w:val="false"/>
                <w:iCs w:val="false"/>
                <w:color w:val="FFFFFF"/>
                <w:sz w:val="15"/>
                <w:szCs w:val="15"/>
              </w:rPr>
              <w:t>First visit (date)</w:t>
            </w:r>
          </w:p>
        </w:tc>
      </w:tr>
      <w:tr>
        <w:trPr/>
        <w:tc>
          <w:tcPr>
            <w:tcW w:w="27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6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9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0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27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6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9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0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27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6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9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0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27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6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9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0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27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6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9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0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27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6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9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0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27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6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9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0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27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6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9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0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27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6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9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0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27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6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9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0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27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6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9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0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27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6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9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0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27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6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9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0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27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6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9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0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bl>
    <w:p>
      <w:pPr>
        <w:pStyle w:val="Normal"/>
        <w:rPr/>
      </w:pPr>
      <w:r>
        <w:rPr/>
      </w:r>
      <w:r>
        <w:br w:type="page"/>
      </w:r>
    </w:p>
    <w:p>
      <w:pPr>
        <w:pStyle w:val="Normal"/>
        <w:shd w:val="clear" w:color="auto" w:fill="1F3A5F"/>
        <w:spacing w:before="0" w:after="60"/>
        <w:rPr/>
      </w:pPr>
      <w:r>
        <w:rPr>
          <w:rFonts w:eastAsia="Calibri" w:cs="Calibri"/>
          <w:b/>
          <w:bCs/>
          <w:i w:val="false"/>
          <w:iCs w:val="false"/>
          <w:color w:val="FFFFFF"/>
          <w:sz w:val="24"/>
          <w:szCs w:val="24"/>
        </w:rPr>
        <w:t xml:space="preserve">  </w:t>
      </w:r>
      <w:r>
        <w:rPr>
          <w:rFonts w:eastAsia="Calibri" w:cs="Calibri"/>
          <w:b/>
          <w:bCs/>
          <w:i w:val="false"/>
          <w:iCs w:val="false"/>
          <w:color w:val="FFFFFF"/>
          <w:sz w:val="24"/>
          <w:szCs w:val="24"/>
        </w:rPr>
        <w:t xml:space="preserve">Outreach Contact Log  </w:t>
      </w:r>
    </w:p>
    <w:p>
      <w:pPr>
        <w:pStyle w:val="Normal"/>
        <w:spacing w:lineRule="exact" w:line="268" w:before="60" w:after="120"/>
        <w:jc w:val="start"/>
        <w:rPr/>
      </w:pPr>
      <w:r>
        <w:rPr>
          <w:rFonts w:eastAsia="Calibri" w:cs="Calibri"/>
          <w:b w:val="false"/>
          <w:bCs w:val="false"/>
          <w:i/>
          <w:iCs/>
          <w:color w:val="555555"/>
          <w:sz w:val="19"/>
          <w:szCs w:val="19"/>
        </w:rPr>
        <w:t>Log every outreach so nothing falls through the cracks.</w:t>
      </w:r>
    </w:p>
    <w:tbl>
      <w:tblPr>
        <w:tblW w:w="9360" w:type="dxa"/>
        <w:jc w:val="start"/>
        <w:tblInd w:w="0" w:type="dxa"/>
        <w:tblLayout w:type="fixed"/>
        <w:tblCellMar>
          <w:top w:w="45" w:type="dxa"/>
          <w:start w:w="80" w:type="dxa"/>
          <w:bottom w:w="45" w:type="dxa"/>
          <w:end w:w="80" w:type="dxa"/>
        </w:tblCellMar>
      </w:tblPr>
      <w:tblGrid>
        <w:gridCol w:w="1300"/>
        <w:gridCol w:w="2700"/>
        <w:gridCol w:w="3000"/>
        <w:gridCol w:w="2359"/>
      </w:tblGrid>
      <w:tr>
        <w:trPr>
          <w:tblHeader w:val="true"/>
        </w:trPr>
        <w:tc>
          <w:tcPr>
            <w:tcW w:w="1300"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8" w:before="0" w:after="0"/>
              <w:jc w:val="start"/>
              <w:rPr/>
            </w:pPr>
            <w:r>
              <w:rPr>
                <w:rFonts w:eastAsia="Calibri" w:cs="Calibri"/>
                <w:b/>
                <w:bCs/>
                <w:i w:val="false"/>
                <w:iCs w:val="false"/>
                <w:color w:val="FFFFFF"/>
                <w:sz w:val="15"/>
                <w:szCs w:val="15"/>
              </w:rPr>
              <w:t>Date</w:t>
            </w:r>
          </w:p>
        </w:tc>
        <w:tc>
          <w:tcPr>
            <w:tcW w:w="2700"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8" w:before="0" w:after="0"/>
              <w:jc w:val="start"/>
              <w:rPr/>
            </w:pPr>
            <w:r>
              <w:rPr>
                <w:rFonts w:eastAsia="Calibri" w:cs="Calibri"/>
                <w:b/>
                <w:bCs/>
                <w:i w:val="false"/>
                <w:iCs w:val="false"/>
                <w:color w:val="FFFFFF"/>
                <w:sz w:val="15"/>
                <w:szCs w:val="15"/>
              </w:rPr>
              <w:t>Partner &amp; person</w:t>
            </w:r>
          </w:p>
        </w:tc>
        <w:tc>
          <w:tcPr>
            <w:tcW w:w="3000"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8" w:before="0" w:after="0"/>
              <w:jc w:val="start"/>
              <w:rPr/>
            </w:pPr>
            <w:r>
              <w:rPr>
                <w:rFonts w:eastAsia="Calibri" w:cs="Calibri"/>
                <w:b/>
                <w:bCs/>
                <w:i w:val="false"/>
                <w:iCs w:val="false"/>
                <w:color w:val="FFFFFF"/>
                <w:sz w:val="15"/>
                <w:szCs w:val="15"/>
              </w:rPr>
              <w:t>What was discussed</w:t>
            </w:r>
          </w:p>
        </w:tc>
        <w:tc>
          <w:tcPr>
            <w:tcW w:w="2359"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8" w:before="0" w:after="0"/>
              <w:jc w:val="start"/>
              <w:rPr/>
            </w:pPr>
            <w:r>
              <w:rPr>
                <w:rFonts w:eastAsia="Calibri" w:cs="Calibri"/>
                <w:b/>
                <w:bCs/>
                <w:i w:val="false"/>
                <w:iCs w:val="false"/>
                <w:color w:val="FFFFFF"/>
                <w:sz w:val="15"/>
                <w:szCs w:val="15"/>
              </w:rPr>
              <w:t>Follow-up &amp; date</w:t>
            </w:r>
          </w:p>
        </w:tc>
      </w:tr>
      <w:tr>
        <w:trPr/>
        <w:tc>
          <w:tcPr>
            <w:tcW w:w="13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7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30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35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7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30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35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7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30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35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7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30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35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7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30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35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7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30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35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7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30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35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7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30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35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7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30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35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7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30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35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7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30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35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3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7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30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35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bl>
    <w:p>
      <w:pPr>
        <w:pStyle w:val="Normal"/>
        <w:rPr/>
      </w:pPr>
      <w:r>
        <w:rPr/>
      </w:r>
      <w:r>
        <w:br w:type="page"/>
      </w:r>
    </w:p>
    <w:p>
      <w:pPr>
        <w:pStyle w:val="Normal"/>
        <w:shd w:val="clear" w:color="auto" w:fill="1F3A5F"/>
        <w:spacing w:before="0" w:after="60"/>
        <w:rPr/>
      </w:pPr>
      <w:r>
        <w:rPr>
          <w:rFonts w:eastAsia="Calibri" w:cs="Calibri"/>
          <w:b/>
          <w:bCs/>
          <w:i w:val="false"/>
          <w:iCs w:val="false"/>
          <w:color w:val="FFFFFF"/>
          <w:sz w:val="24"/>
          <w:szCs w:val="24"/>
        </w:rPr>
        <w:t xml:space="preserve">  </w:t>
      </w:r>
      <w:r>
        <w:rPr>
          <w:rFonts w:eastAsia="Calibri" w:cs="Calibri"/>
          <w:b/>
          <w:bCs/>
          <w:i w:val="false"/>
          <w:iCs w:val="false"/>
          <w:color w:val="FFFFFF"/>
          <w:sz w:val="24"/>
          <w:szCs w:val="24"/>
        </w:rPr>
        <w:t xml:space="preserve">Referral Source Tracker  </w:t>
      </w:r>
    </w:p>
    <w:p>
      <w:pPr>
        <w:pStyle w:val="Normal"/>
        <w:spacing w:lineRule="exact" w:line="268" w:before="60" w:after="120"/>
        <w:jc w:val="start"/>
        <w:rPr/>
      </w:pPr>
      <w:r>
        <w:rPr>
          <w:rFonts w:eastAsia="Calibri" w:cs="Calibri"/>
          <w:b w:val="false"/>
          <w:bCs w:val="false"/>
          <w:i/>
          <w:iCs/>
          <w:color w:val="555555"/>
          <w:sz w:val="19"/>
          <w:szCs w:val="19"/>
        </w:rPr>
        <w:t>Track where your clients actually come from so you invest in what works.</w:t>
      </w:r>
    </w:p>
    <w:tbl>
      <w:tblPr>
        <w:tblW w:w="9360" w:type="dxa"/>
        <w:jc w:val="start"/>
        <w:tblInd w:w="0" w:type="dxa"/>
        <w:tblLayout w:type="fixed"/>
        <w:tblCellMar>
          <w:top w:w="45" w:type="dxa"/>
          <w:start w:w="80" w:type="dxa"/>
          <w:bottom w:w="45" w:type="dxa"/>
          <w:end w:w="80" w:type="dxa"/>
        </w:tblCellMar>
      </w:tblPr>
      <w:tblGrid>
        <w:gridCol w:w="1599"/>
        <w:gridCol w:w="2401"/>
        <w:gridCol w:w="3000"/>
        <w:gridCol w:w="2359"/>
      </w:tblGrid>
      <w:tr>
        <w:trPr>
          <w:tblHeader w:val="true"/>
        </w:trPr>
        <w:tc>
          <w:tcPr>
            <w:tcW w:w="1599"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8" w:before="0" w:after="0"/>
              <w:jc w:val="start"/>
              <w:rPr/>
            </w:pPr>
            <w:r>
              <w:rPr>
                <w:rFonts w:eastAsia="Calibri" w:cs="Calibri"/>
                <w:b/>
                <w:bCs/>
                <w:i w:val="false"/>
                <w:iCs w:val="false"/>
                <w:color w:val="FFFFFF"/>
                <w:sz w:val="15"/>
                <w:szCs w:val="15"/>
              </w:rPr>
              <w:t>Month</w:t>
            </w:r>
          </w:p>
        </w:tc>
        <w:tc>
          <w:tcPr>
            <w:tcW w:w="2401"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8" w:before="0" w:after="0"/>
              <w:jc w:val="start"/>
              <w:rPr/>
            </w:pPr>
            <w:r>
              <w:rPr>
                <w:rFonts w:eastAsia="Calibri" w:cs="Calibri"/>
                <w:b/>
                <w:bCs/>
                <w:i w:val="false"/>
                <w:iCs w:val="false"/>
                <w:color w:val="FFFFFF"/>
                <w:sz w:val="15"/>
                <w:szCs w:val="15"/>
              </w:rPr>
              <w:t>New client (initials)</w:t>
            </w:r>
          </w:p>
        </w:tc>
        <w:tc>
          <w:tcPr>
            <w:tcW w:w="3000"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8" w:before="0" w:after="0"/>
              <w:jc w:val="start"/>
              <w:rPr/>
            </w:pPr>
            <w:r>
              <w:rPr>
                <w:rFonts w:eastAsia="Calibri" w:cs="Calibri"/>
                <w:b/>
                <w:bCs/>
                <w:i w:val="false"/>
                <w:iCs w:val="false"/>
                <w:color w:val="FFFFFF"/>
                <w:sz w:val="15"/>
                <w:szCs w:val="15"/>
              </w:rPr>
              <w:t>Referral source</w:t>
            </w:r>
          </w:p>
        </w:tc>
        <w:tc>
          <w:tcPr>
            <w:tcW w:w="2359"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8" w:before="0" w:after="0"/>
              <w:jc w:val="start"/>
              <w:rPr/>
            </w:pPr>
            <w:r>
              <w:rPr>
                <w:rFonts w:eastAsia="Calibri" w:cs="Calibri"/>
                <w:b/>
                <w:bCs/>
                <w:i w:val="false"/>
                <w:iCs w:val="false"/>
                <w:color w:val="FFFFFF"/>
                <w:sz w:val="15"/>
                <w:szCs w:val="15"/>
              </w:rPr>
              <w:t>Category</w:t>
            </w:r>
          </w:p>
        </w:tc>
      </w:tr>
      <w:tr>
        <w:trPr/>
        <w:tc>
          <w:tcPr>
            <w:tcW w:w="15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4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30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35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5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4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30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35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5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4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30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35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5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4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30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35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5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4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30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35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5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4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30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35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5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4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30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35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5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4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30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35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5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4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30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35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5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4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30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35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5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4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30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35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15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401"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30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35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bl>
    <w:p>
      <w:pPr>
        <w:pStyle w:val="Normal"/>
        <w:rPr/>
      </w:pPr>
      <w:r>
        <w:rPr/>
      </w:r>
      <w:r>
        <w:br w:type="page"/>
      </w:r>
    </w:p>
    <w:p>
      <w:pPr>
        <w:pStyle w:val="Normal"/>
        <w:shd w:val="clear" w:color="auto" w:fill="1F3A5F"/>
        <w:spacing w:before="0" w:after="60"/>
        <w:rPr/>
      </w:pPr>
      <w:r>
        <w:rPr>
          <w:rFonts w:eastAsia="Calibri" w:cs="Calibri"/>
          <w:b/>
          <w:bCs/>
          <w:i w:val="false"/>
          <w:iCs w:val="false"/>
          <w:color w:val="FFFFFF"/>
          <w:sz w:val="24"/>
          <w:szCs w:val="24"/>
        </w:rPr>
        <w:t xml:space="preserve">  </w:t>
      </w:r>
      <w:r>
        <w:rPr>
          <w:rFonts w:eastAsia="Calibri" w:cs="Calibri"/>
          <w:b/>
          <w:bCs/>
          <w:i w:val="false"/>
          <w:iCs w:val="false"/>
          <w:color w:val="FFFFFF"/>
          <w:sz w:val="24"/>
          <w:szCs w:val="24"/>
        </w:rPr>
        <w:t xml:space="preserve">Relationship Follow-Up Schedule  </w:t>
      </w:r>
    </w:p>
    <w:p>
      <w:pPr>
        <w:pStyle w:val="Normal"/>
        <w:spacing w:lineRule="exact" w:line="268" w:before="60" w:after="120"/>
        <w:jc w:val="start"/>
        <w:rPr/>
      </w:pPr>
      <w:r>
        <w:rPr>
          <w:rFonts w:eastAsia="Calibri" w:cs="Calibri"/>
          <w:b w:val="false"/>
          <w:bCs w:val="false"/>
          <w:i/>
          <w:iCs/>
          <w:color w:val="555555"/>
          <w:sz w:val="19"/>
          <w:szCs w:val="19"/>
        </w:rPr>
        <w:t>Keep your best relationships warm with a regular touch.</w:t>
      </w:r>
    </w:p>
    <w:tbl>
      <w:tblPr>
        <w:tblW w:w="9360" w:type="dxa"/>
        <w:jc w:val="start"/>
        <w:tblInd w:w="0" w:type="dxa"/>
        <w:tblLayout w:type="fixed"/>
        <w:tblCellMar>
          <w:top w:w="45" w:type="dxa"/>
          <w:start w:w="80" w:type="dxa"/>
          <w:bottom w:w="45" w:type="dxa"/>
          <w:end w:w="80" w:type="dxa"/>
        </w:tblCellMar>
      </w:tblPr>
      <w:tblGrid>
        <w:gridCol w:w="2600"/>
        <w:gridCol w:w="1900"/>
        <w:gridCol w:w="2099"/>
        <w:gridCol w:w="2760"/>
      </w:tblGrid>
      <w:tr>
        <w:trPr>
          <w:tblHeader w:val="true"/>
        </w:trPr>
        <w:tc>
          <w:tcPr>
            <w:tcW w:w="2600"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8" w:before="0" w:after="0"/>
              <w:jc w:val="start"/>
              <w:rPr/>
            </w:pPr>
            <w:r>
              <w:rPr>
                <w:rFonts w:eastAsia="Calibri" w:cs="Calibri"/>
                <w:b/>
                <w:bCs/>
                <w:i w:val="false"/>
                <w:iCs w:val="false"/>
                <w:color w:val="FFFFFF"/>
                <w:sz w:val="15"/>
                <w:szCs w:val="15"/>
              </w:rPr>
              <w:t>Partner</w:t>
            </w:r>
          </w:p>
        </w:tc>
        <w:tc>
          <w:tcPr>
            <w:tcW w:w="1900"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8" w:before="0" w:after="0"/>
              <w:jc w:val="start"/>
              <w:rPr/>
            </w:pPr>
            <w:r>
              <w:rPr>
                <w:rFonts w:eastAsia="Calibri" w:cs="Calibri"/>
                <w:b/>
                <w:bCs/>
                <w:i w:val="false"/>
                <w:iCs w:val="false"/>
                <w:color w:val="FFFFFF"/>
                <w:sz w:val="15"/>
                <w:szCs w:val="15"/>
              </w:rPr>
              <w:t>Last contact</w:t>
            </w:r>
          </w:p>
        </w:tc>
        <w:tc>
          <w:tcPr>
            <w:tcW w:w="2099"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8" w:before="0" w:after="0"/>
              <w:jc w:val="start"/>
              <w:rPr/>
            </w:pPr>
            <w:r>
              <w:rPr>
                <w:rFonts w:eastAsia="Calibri" w:cs="Calibri"/>
                <w:b/>
                <w:bCs/>
                <w:i w:val="false"/>
                <w:iCs w:val="false"/>
                <w:color w:val="FFFFFF"/>
                <w:sz w:val="15"/>
                <w:szCs w:val="15"/>
              </w:rPr>
              <w:t>Next touch (date)</w:t>
            </w:r>
          </w:p>
        </w:tc>
        <w:tc>
          <w:tcPr>
            <w:tcW w:w="2760" w:type="dxa"/>
            <w:tcBorders>
              <w:top w:val="single" w:sz="4" w:space="0" w:color="9DB1C7"/>
              <w:start w:val="single" w:sz="4" w:space="0" w:color="9DB1C7"/>
              <w:bottom w:val="single" w:sz="4" w:space="0" w:color="9DB1C7"/>
              <w:end w:val="single" w:sz="4" w:space="0" w:color="9DB1C7"/>
            </w:tcBorders>
            <w:shd w:color="auto" w:fill="3E5871" w:val="clear"/>
          </w:tcPr>
          <w:p>
            <w:pPr>
              <w:pStyle w:val="Normal"/>
              <w:spacing w:lineRule="exact" w:line="268" w:before="0" w:after="0"/>
              <w:jc w:val="start"/>
              <w:rPr/>
            </w:pPr>
            <w:r>
              <w:rPr>
                <w:rFonts w:eastAsia="Calibri" w:cs="Calibri"/>
                <w:b/>
                <w:bCs/>
                <w:i w:val="false"/>
                <w:iCs w:val="false"/>
                <w:color w:val="FFFFFF"/>
                <w:sz w:val="15"/>
                <w:szCs w:val="15"/>
              </w:rPr>
              <w:t>Notes</w:t>
            </w:r>
          </w:p>
        </w:tc>
      </w:tr>
      <w:tr>
        <w:trPr/>
        <w:tc>
          <w:tcPr>
            <w:tcW w:w="26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9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0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7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26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9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0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7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26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9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0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7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26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9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0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7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26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9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0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7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26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9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0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7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26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9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0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7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26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9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0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7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26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9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0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7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26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9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0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7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26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9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0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7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r>
        <w:trPr/>
        <w:tc>
          <w:tcPr>
            <w:tcW w:w="26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190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099"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c>
          <w:tcPr>
            <w:tcW w:w="2760" w:type="dxa"/>
            <w:tcBorders>
              <w:top w:val="single" w:sz="4" w:space="0" w:color="9DB1C7"/>
              <w:start w:val="single" w:sz="4" w:space="0" w:color="9DB1C7"/>
              <w:bottom w:val="single" w:sz="4" w:space="0" w:color="9DB1C7"/>
              <w:end w:val="single" w:sz="4" w:space="0" w:color="9DB1C7"/>
            </w:tcBorders>
            <w:tcMar>
              <w:top w:w="75" w:type="dxa"/>
              <w:bottom w:w="75" w:type="dxa"/>
            </w:tcMar>
          </w:tcPr>
          <w:p>
            <w:pPr>
              <w:pStyle w:val="Normal"/>
              <w:spacing w:lineRule="exact" w:line="268" w:before="0" w:after="0"/>
              <w:jc w:val="start"/>
              <w:rPr/>
            </w:pPr>
            <w:r>
              <w:rPr/>
            </w:r>
          </w:p>
        </w:tc>
      </w:tr>
    </w:tbl>
    <w:p>
      <w:pPr>
        <w:pStyle w:val="Normal"/>
        <w:rPr/>
      </w:pPr>
      <w:r>
        <w:rPr/>
      </w:r>
      <w:r>
        <w:br w:type="page"/>
      </w:r>
    </w:p>
    <w:p>
      <w:pPr>
        <w:pStyle w:val="Normal"/>
        <w:pBdr>
          <w:bottom w:val="single" w:sz="8" w:space="1" w:color="9DB1C7"/>
        </w:pBdr>
        <w:spacing w:before="0" w:after="120"/>
        <w:rPr/>
      </w:pPr>
      <w:r>
        <w:rPr/>
      </w:r>
    </w:p>
    <w:p>
      <w:pPr>
        <w:pStyle w:val="Normal"/>
        <w:spacing w:lineRule="exact" w:line="268" w:before="0" w:after="90"/>
        <w:jc w:val="center"/>
        <w:rPr/>
      </w:pPr>
      <w:r>
        <w:rPr>
          <w:rFonts w:eastAsia="Calibri" w:cs="Calibri"/>
          <w:b w:val="false"/>
          <w:bCs w:val="false"/>
          <w:i/>
          <w:iCs/>
          <w:color w:val="555555"/>
          <w:sz w:val="16"/>
          <w:szCs w:val="16"/>
        </w:rPr>
        <w:t>This resource is general educational information, not legal advice. Contacts, programs, and phone numbers change — verify each before you rely on it. Build referral relationships on trust and quality, never on payment; comply with the federal Anti-Kickback Statute and Colorado law.</w:t>
      </w:r>
    </w:p>
    <w:sectPr>
      <w:footerReference w:type="even" r:id="rId2"/>
      <w:footerReference w:type="default" r:id="rId3"/>
      <w:footerReference w:type="first" r:id="rId4"/>
      <w:type w:val="nextPage"/>
      <w:pgSz w:w="12240" w:h="15840"/>
      <w:pgMar w:left="1440" w:right="1440" w:gutter="0" w:header="0" w:top="1200" w:footer="708" w:bottom="1200"/>
      <w:pgNumType w:fmt="decimal"/>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Calibri" w:cs="Calibri"/>
        <w:b w:val="false"/>
        <w:bCs w:val="false"/>
        <w:i w:val="false"/>
        <w:iCs w:val="false"/>
        <w:color w:val="555555"/>
        <w:sz w:val="16"/>
        <w:szCs w:val="16"/>
      </w:rPr>
      <w:t xml:space="preserve">The Referral System — Colorado Edition  —  PolicyReady.org  —  Page </w:t>
    </w:r>
    <w:r>
      <w:rPr/>
      <w:fldChar w:fldCharType="begin"/>
    </w:r>
    <w:r>
      <w:rPr/>
      <w:instrText xml:space="preserve"> PAGE </w:instrText>
    </w:r>
    <w:r>
      <w:rPr/>
      <w:fldChar w:fldCharType="separate"/>
    </w:r>
    <w:r>
      <w:rPr/>
      <w:t>30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Calibri" w:cs="Calibri"/>
        <w:b w:val="false"/>
        <w:bCs w:val="false"/>
        <w:i w:val="false"/>
        <w:iCs w:val="false"/>
        <w:color w:val="555555"/>
        <w:sz w:val="16"/>
        <w:szCs w:val="16"/>
      </w:rPr>
      <w:t xml:space="preserve">The Referral System — Colorado Edition  —  PolicyReady.org  —  Page </w:t>
    </w:r>
    <w:r>
      <w:rPr/>
      <w:fldChar w:fldCharType="begin"/>
    </w:r>
    <w:r>
      <w:rPr/>
      <w:instrText xml:space="preserve"> PAGE </w:instrText>
    </w:r>
    <w:r>
      <w:rPr/>
      <w:fldChar w:fldCharType="separate"/>
    </w:r>
    <w:r>
      <w:rPr/>
      <w:t>30</w:t>
    </w:r>
    <w:r>
      <w:rPr/>
      <w:fldChar w:fldCharType="end"/>
    </w:r>
  </w:p>
</w:ft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color w:val="1A1A1A"/>
        <w:lang w:val="en-US" w:eastAsia="zh-CN" w:bidi="hi-IN"/>
      </w:rPr>
    </w:rPrDefault>
    <w:pPrDefault>
      <w:pPr>
        <w:suppressAutoHyphens w:val="true"/>
      </w:pPr>
    </w:pPrDefault>
  </w:docDefaults>
  <w:style w:type="paragraph" w:styleId="Normal">
    <w:name w:val="Normal"/>
    <w:qFormat/>
    <w:pPr>
      <w:widowControl/>
      <w:bidi w:val="0"/>
      <w:spacing w:before="0" w:after="0"/>
      <w:jc w:val="start"/>
    </w:pPr>
    <w:rPr>
      <w:rFonts w:ascii="Calibri" w:hAnsi="Calibri" w:eastAsia="Calibri" w:cs="Calibri"/>
      <w:color w:val="1A1A1A"/>
      <w:kern w:val="0"/>
      <w:sz w:val="20"/>
      <w:szCs w:val="20"/>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rPr>
      <w:color w:val="2E74B5"/>
      <w:sz w:val="26"/>
      <w:szCs w:val="26"/>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start"/>
    </w:pPr>
    <w:rPr>
      <w:rFonts w:ascii="Calibri" w:hAnsi="Calibri" w:eastAsia="Calibri" w:cs="Calibri"/>
      <w:b/>
      <w:bCs/>
      <w:color w:val="1A1A1A"/>
      <w:kern w:val="0"/>
      <w:sz w:val="20"/>
      <w:szCs w:val="20"/>
      <w:lang w:val="en-US" w:eastAsia="zh-CN" w:bidi="hi-IN"/>
    </w:rPr>
  </w:style>
  <w:style w:type="paragraph" w:styleId="ListParagraph">
    <w:name w:val="List Paragraph"/>
    <w:qFormat/>
    <w:pPr>
      <w:widowControl/>
      <w:bidi w:val="0"/>
      <w:spacing w:before="0" w:after="0"/>
      <w:jc w:val="start"/>
    </w:pPr>
    <w:rPr>
      <w:rFonts w:ascii="Calibri" w:hAnsi="Calibri" w:eastAsia="Calibri" w:cs="Calibri"/>
      <w:color w:val="1A1A1A"/>
      <w:kern w:val="0"/>
      <w:sz w:val="20"/>
      <w:szCs w:val="20"/>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2026-07-12T15:00:17Z</dcterms:created>
  <dc:creator>PolicyReady.org</dc:creator>
  <dc:description/>
  <dc:language>en-US</dc:language>
  <cp:lastModifiedBy>Un-named</cp:lastModifiedBy>
  <dcterms:modified xsi:type="dcterms:W3CDTF">2026-07-12T15:00:17Z</dcterms:modified>
  <cp:revision>1</cp:revision>
  <dc:subject/>
  <dc:title>The Referral System — Colorado Edition</dc:title>
</cp:coreProperties>
</file>