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360" w:type="dxa"/>
        <w:jc w:val="start"/>
        <w:tblInd w:w="0" w:type="dxa"/>
        <w:tblLayout w:type="fixed"/>
        <w:tblCellMar>
          <w:top w:w="300" w:type="dxa"/>
          <w:start w:w="200" w:type="dxa"/>
          <w:bottom w:w="300" w:type="dxa"/>
          <w:end w:w="200" w:type="dxa"/>
        </w:tblCellMar>
      </w:tblPr>
      <w:tblGrid>
        <w:gridCol w:w="9360"/>
      </w:tblGrid>
      <w:tr>
        <w:trPr/>
        <w:tc>
          <w:tcPr>
            <w:tcW w:w="9360" w:type="dxa"/>
            <w:tcBorders/>
            <w:shd w:color="auto" w:fill="1F3A5F" w:val="clear"/>
          </w:tcPr>
          <w:p>
            <w:pPr>
              <w:pStyle w:val="Normal"/>
              <w:spacing w:before="0" w:after="40"/>
              <w:jc w:val="center"/>
              <w:rPr/>
            </w:pPr>
            <w:r>
              <w:rPr>
                <w:rFonts w:eastAsia="Calibri" w:cs="Calibri"/>
                <w:b/>
                <w:bCs/>
                <w:i w:val="false"/>
                <w:iCs w:val="false"/>
                <w:color w:val="FFFFFF"/>
                <w:sz w:val="34"/>
                <w:szCs w:val="34"/>
              </w:rPr>
              <w:t>THE REFERRAL SYSTEM</w:t>
            </w:r>
          </w:p>
          <w:p>
            <w:pPr>
              <w:pStyle w:val="Normal"/>
              <w:spacing w:before="0" w:after="40"/>
              <w:jc w:val="center"/>
              <w:rPr/>
            </w:pPr>
            <w:r>
              <w:rPr>
                <w:rFonts w:eastAsia="Calibri" w:cs="Calibri"/>
                <w:b/>
                <w:bCs/>
                <w:i w:val="false"/>
                <w:iCs w:val="false"/>
                <w:color w:val="FFFFFF"/>
                <w:sz w:val="34"/>
                <w:szCs w:val="34"/>
              </w:rPr>
              <w:t>Playbook · Directory · Toolkit</w:t>
            </w:r>
          </w:p>
          <w:p>
            <w:pPr>
              <w:pStyle w:val="Normal"/>
              <w:spacing w:before="0" w:after="0"/>
              <w:jc w:val="center"/>
              <w:rPr/>
            </w:pPr>
            <w:r>
              <w:rPr>
                <w:rFonts w:eastAsia="Calibri" w:cs="Calibri"/>
                <w:b/>
                <w:bCs/>
                <w:i w:val="false"/>
                <w:iCs w:val="false"/>
                <w:color w:val="FFFFFF"/>
                <w:sz w:val="34"/>
                <w:szCs w:val="34"/>
              </w:rPr>
              <w:t>Tennessee Edition</w:t>
            </w:r>
          </w:p>
        </w:tc>
      </w:tr>
    </w:tbl>
    <w:p>
      <w:pPr>
        <w:pStyle w:val="Normal"/>
        <w:spacing w:lineRule="exact" w:line="268" w:before="0" w:after="120"/>
        <w:jc w:val="center"/>
        <w:rPr/>
      </w:pPr>
      <w:r>
        <w:rPr>
          <w:rFonts w:eastAsia="Calibri" w:cs="Calibri"/>
          <w:b w:val="false"/>
          <w:bCs w:val="false"/>
          <w:i/>
          <w:iCs/>
          <w:color w:val="3E5871"/>
          <w:sz w:val="21"/>
          <w:szCs w:val="21"/>
        </w:rPr>
        <w:t>Everything a Tennessee personal support services agency needs to build a steady stream of referrals — the strategy, a verified local resource directory, and the worksheets to run it week to week.</w:t>
      </w:r>
    </w:p>
    <w:p>
      <w:pPr>
        <w:pStyle w:val="Normal"/>
        <w:pBdr>
          <w:bottom w:val="single" w:sz="8" w:space="1" w:color="9DB1C7"/>
        </w:pBdr>
        <w:spacing w:before="80" w:after="120"/>
        <w:rPr/>
      </w:pPr>
      <w:r>
        <w:rPr/>
      </w:r>
    </w:p>
    <w:p>
      <w:pPr>
        <w:pStyle w:val="Normal"/>
        <w:spacing w:lineRule="exact" w:line="268" w:before="0" w:after="110"/>
        <w:jc w:val="start"/>
        <w:rPr/>
      </w:pPr>
      <w:r>
        <w:rPr>
          <w:rFonts w:eastAsia="Calibri" w:cs="Calibri"/>
          <w:b/>
          <w:bCs/>
          <w:i w:val="false"/>
          <w:iCs w:val="false"/>
          <w:color w:val="3E5871"/>
          <w:sz w:val="20"/>
          <w:szCs w:val="20"/>
        </w:rPr>
        <w:t xml:space="preserve">Three parts, one resource: </w:t>
      </w:r>
      <w:r>
        <w:rPr>
          <w:rFonts w:eastAsia="Calibri" w:cs="Calibri"/>
          <w:b w:val="false"/>
          <w:bCs w:val="false"/>
          <w:i w:val="false"/>
          <w:iCs w:val="false"/>
          <w:color w:val="1A1A1A"/>
          <w:sz w:val="20"/>
          <w:szCs w:val="20"/>
        </w:rPr>
        <w:t>Part One — the Playbook (how to earn referrals, an eleven-part system). Part Two — the Tennessee Referral Directory (verified statewide contacts plus named-partner target lists for Nashville, Memphis, Knoxville, and Chattanooga). Part Three — the Worksheets &amp; Tracker (run it weekly). General business guidance, not legal advice; follow all applicable anti-kickback and referral laws.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One — The Playbook: How to Earn Referrals</w:t>
      </w:r>
    </w:p>
    <w:p>
      <w:pPr>
        <w:pStyle w:val="Normal"/>
        <w:keepNext w:val="true"/>
        <w:spacing w:before="140" w:after="60"/>
        <w:rPr/>
      </w:pPr>
      <w:r>
        <w:rPr>
          <w:rFonts w:eastAsia="Calibri" w:cs="Calibri"/>
          <w:b/>
          <w:bCs/>
          <w:i w:val="false"/>
          <w:iCs w:val="false"/>
          <w:color w:val="3E5871"/>
          <w:sz w:val="21"/>
          <w:szCs w:val="21"/>
        </w:rPr>
        <w:t>How to Use This Playbook</w:t>
      </w:r>
    </w:p>
    <w:p>
      <w:pPr>
        <w:pStyle w:val="Normal"/>
        <w:spacing w:lineRule="exact" w:line="268" w:before="0" w:after="110"/>
        <w:jc w:val="start"/>
        <w:rPr/>
      </w:pPr>
      <w:r>
        <w:rPr>
          <w:rFonts w:eastAsia="Calibri" w:cs="Calibri"/>
          <w:b w:val="false"/>
          <w:bCs w:val="false"/>
          <w:i w:val="false"/>
          <w:iCs w:val="false"/>
          <w:color w:val="1A1A1A"/>
          <w:sz w:val="20"/>
          <w:szCs w:val="20"/>
        </w:rPr>
        <w:t>This playbook teaches you how to get clients the way successful care providers actually get them: through relationships with the people and organizations that already have your future clients in front of them. It works whether you run a home care agency, a residential care home, a brain-injury or behavioral-health program, or any other care business — the sources differ a little, but the system is the same.</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one idea to hold onto</w:t>
            </w:r>
          </w:p>
          <w:p>
            <w:pPr>
              <w:pStyle w:val="Normal"/>
              <w:spacing w:lineRule="exact" w:line="264" w:before="0" w:after="0"/>
              <w:rPr/>
            </w:pPr>
            <w:r>
              <w:rPr>
                <w:rFonts w:eastAsia="Calibri" w:cs="Calibri"/>
                <w:b w:val="false"/>
                <w:bCs w:val="false"/>
                <w:i w:val="false"/>
                <w:iCs w:val="false"/>
                <w:color w:val="1A1A1A"/>
                <w:sz w:val="19"/>
                <w:szCs w:val="19"/>
              </w:rPr>
              <w:t>People don’t choose a care provider from an ad — they choose the one a trusted professional recommends at the moment of need. Your job is to become that trusted, recommended provider for the handful of people who send clients your way. Do that, and referrals become steady and mostly free.</w:t>
            </w:r>
          </w:p>
        </w:tc>
      </w:tr>
    </w:tbl>
    <w:p>
      <w:pPr>
        <w:pStyle w:val="Normal"/>
        <w:keepNext w:val="true"/>
        <w:spacing w:before="140" w:after="60"/>
        <w:rPr/>
      </w:pPr>
      <w:r>
        <w:rPr>
          <w:rFonts w:eastAsia="Calibri" w:cs="Calibri"/>
          <w:b/>
          <w:bCs/>
          <w:i w:val="false"/>
          <w:iCs w:val="false"/>
          <w:color w:val="3E5871"/>
          <w:sz w:val="21"/>
          <w:szCs w:val="21"/>
        </w:rPr>
        <w:t>The whole system in one paragraph</w:t>
      </w:r>
    </w:p>
    <w:p>
      <w:pPr>
        <w:pStyle w:val="Normal"/>
        <w:spacing w:lineRule="exact" w:line="268" w:before="0" w:after="110"/>
        <w:jc w:val="start"/>
        <w:rPr/>
      </w:pPr>
      <w:r>
        <w:rPr>
          <w:rFonts w:eastAsia="Calibri" w:cs="Calibri"/>
          <w:b w:val="false"/>
          <w:bCs w:val="false"/>
          <w:i w:val="false"/>
          <w:iCs w:val="false"/>
          <w:color w:val="1A1A1A"/>
          <w:sz w:val="20"/>
          <w:szCs w:val="20"/>
        </w:rPr>
        <w:t>Here is the entire playbook in miniature. You identify the people who already serve your future clients (Part 2). You get into their official referral pipeline — discharge lists, payer contracts, and waiver enrollment — while staying on the right side of the law (Part 3). You understand what each of them actually needs from a provider (Part 4). You reach out and build real relationships with a small, focused list of them (Parts 5 and 6). You become the provider they trust and prefer by being reliable and easy to work with (Part 7). You show up online so you’re easy to find and check out (Part 8). And you run it as a weekly habit and track what works, so it compounds (Parts 9 and 10). Identify, get in, understand, reach out, deliver, track.</w:t>
      </w:r>
    </w:p>
    <w:p>
      <w:pPr>
        <w:pStyle w:val="Normal"/>
        <w:keepNext w:val="true"/>
        <w:spacing w:before="140" w:after="60"/>
        <w:rPr/>
      </w:pPr>
      <w:r>
        <w:rPr>
          <w:rFonts w:eastAsia="Calibri" w:cs="Calibri"/>
          <w:b/>
          <w:bCs/>
          <w:i w:val="false"/>
          <w:iCs w:val="false"/>
          <w:color w:val="3E5871"/>
          <w:sz w:val="21"/>
          <w:szCs w:val="21"/>
        </w:rPr>
        <w:t>The path at a glance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Build your referral-source list — who, near you, has your clients in front of them (Part 2 + the Tracker).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Pick your “Target 25” — the highest-value sources to focus on first.</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Get into the official referral pipeline — discharge lists, payer contracts, and waiver enrollment — and know the legal line (Part 3).</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Learn what each one wants, so your outreach speaks to their needs (Part 4).</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Reach out and meet them — with a clear, short message about how you help (Parts 5–6).</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Deliver so well that they refer again — reliability and communication (Part 7).</w:t>
      </w:r>
    </w:p>
    <w:p>
      <w:pPr>
        <w:pStyle w:val="Normal"/>
        <w:spacing w:lineRule="exact" w:line="268" w:before="0" w:after="70"/>
        <w:ind w:hanging="300" w:start="360"/>
        <w:rPr/>
      </w:pPr>
      <w:r>
        <w:rPr>
          <w:rFonts w:eastAsia="Calibri" w:cs="Calibri"/>
          <w:b/>
          <w:bCs/>
          <w:i w:val="false"/>
          <w:iCs w:val="false"/>
          <w:color w:val="3E5871"/>
          <w:sz w:val="20"/>
          <w:szCs w:val="20"/>
        </w:rPr>
        <w:t xml:space="preserve">7.  </w:t>
      </w:r>
      <w:r>
        <w:rPr>
          <w:rFonts w:eastAsia="Calibri" w:cs="Calibri"/>
          <w:b w:val="false"/>
          <w:bCs w:val="false"/>
          <w:i w:val="false"/>
          <w:iCs w:val="false"/>
          <w:color w:val="1A1A1A"/>
          <w:sz w:val="20"/>
          <w:szCs w:val="20"/>
        </w:rPr>
        <w:t>Get found online — Google Business Profile, reviews, website (Part 8).</w:t>
      </w:r>
    </w:p>
    <w:p>
      <w:pPr>
        <w:pStyle w:val="Normal"/>
        <w:spacing w:lineRule="exact" w:line="268" w:before="0" w:after="70"/>
        <w:ind w:hanging="300" w:start="360"/>
        <w:rPr/>
      </w:pPr>
      <w:r>
        <w:rPr>
          <w:rFonts w:eastAsia="Calibri" w:cs="Calibri"/>
          <w:b/>
          <w:bCs/>
          <w:i w:val="false"/>
          <w:iCs w:val="false"/>
          <w:color w:val="3E5871"/>
          <w:sz w:val="20"/>
          <w:szCs w:val="20"/>
        </w:rPr>
        <w:t xml:space="preserve">8.  </w:t>
      </w:r>
      <w:r>
        <w:rPr>
          <w:rFonts w:eastAsia="Calibri" w:cs="Calibri"/>
          <w:b w:val="false"/>
          <w:bCs w:val="false"/>
          <w:i w:val="false"/>
          <w:iCs w:val="false"/>
          <w:color w:val="1A1A1A"/>
          <w:sz w:val="20"/>
          <w:szCs w:val="20"/>
        </w:rPr>
        <w:t>Run the weekly rhythm and track results — double down on what produces (Parts 9–10).</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 — Why Referrals Are Your #1 Growth Engine</w:t>
      </w:r>
    </w:p>
    <w:p>
      <w:pPr>
        <w:pStyle w:val="Normal"/>
        <w:spacing w:lineRule="exact" w:line="268" w:before="0" w:after="110"/>
        <w:jc w:val="start"/>
        <w:rPr/>
      </w:pPr>
      <w:r>
        <w:rPr>
          <w:rFonts w:eastAsia="Calibri" w:cs="Calibri"/>
          <w:b w:val="false"/>
          <w:bCs w:val="false"/>
          <w:i w:val="false"/>
          <w:iCs w:val="false"/>
          <w:color w:val="1A1A1A"/>
          <w:sz w:val="20"/>
          <w:szCs w:val="20"/>
        </w:rPr>
        <w:t>Most new care providers make the same mistake: they spend their limited money on ads and wait for the phone to ring. But care is a trust purchase made at a stressful moment — a hospital discharge, a fall, a diagnosis, a caregiver burning out — and at that moment people ask someone they trust: the discharge planner, the doctor, the care manager, the friend whose mother had a good experience. The provider that professional names is the one that gets the client.</w:t>
      </w:r>
    </w:p>
    <w:p>
      <w:pPr>
        <w:pStyle w:val="Normal"/>
        <w:spacing w:lineRule="exact" w:line="268" w:before="0" w:after="110"/>
        <w:jc w:val="start"/>
        <w:rPr/>
      </w:pPr>
      <w:r>
        <w:rPr>
          <w:rFonts w:eastAsia="Calibri" w:cs="Calibri"/>
          <w:b w:val="false"/>
          <w:bCs w:val="false"/>
          <w:i w:val="false"/>
          <w:iCs w:val="false"/>
          <w:color w:val="1A1A1A"/>
          <w:sz w:val="20"/>
          <w:szCs w:val="20"/>
        </w:rPr>
        <w:t>That’s why referrals beat advertising for care businesses on almost every measure: they cost little, they arrive pre-trusted (so they convert far better than a cold lead), and they compound — a discharge planner who trusts you sends you clients month after month, and a happy family tells other families. A single strong referral relationship can be worth more than an entire year’s ad budget. Your growth job, especially early, is not ‘marketing’ in the abstract — it is building and keeping a small number of referral relationships.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math that should change how you spend your time</w:t>
            </w:r>
          </w:p>
          <w:p>
            <w:pPr>
              <w:pStyle w:val="Normal"/>
              <w:spacing w:lineRule="exact" w:line="264" w:before="0" w:after="0"/>
              <w:rPr/>
            </w:pPr>
            <w:r>
              <w:rPr>
                <w:rFonts w:eastAsia="Calibri" w:cs="Calibri"/>
                <w:b w:val="false"/>
                <w:bCs w:val="false"/>
                <w:i w:val="false"/>
                <w:iCs w:val="false"/>
                <w:color w:val="1A1A1A"/>
                <w:sz w:val="19"/>
                <w:szCs w:val="19"/>
              </w:rPr>
              <w:t>One hospital discharge planner or one senior-community director who trusts you might send several clients a month, for years. Winning that one relationship is worth more than thousands of ad impressions — and it costs you time and reliability, not dollars. Spend your time where the clients actually come from.</w:t>
            </w:r>
          </w:p>
        </w:tc>
      </w:tr>
    </w:tbl>
    <w:p>
      <w:pPr>
        <w:pStyle w:val="Normal"/>
        <w:spacing w:lineRule="exact" w:line="268" w:before="0" w:after="110"/>
        <w:jc w:val="start"/>
        <w:rPr/>
      </w:pPr>
      <w:r>
        <w:rPr>
          <w:rFonts w:eastAsia="Calibri" w:cs="Calibri"/>
          <w:b w:val="false"/>
          <w:bCs w:val="false"/>
          <w:i w:val="false"/>
          <w:iCs w:val="false"/>
          <w:color w:val="1A1A1A"/>
          <w:sz w:val="20"/>
          <w:szCs w:val="20"/>
        </w:rPr>
        <w:t>There is a second reason referrals matter so much in care: the people who refer you are betting their own credibility on you. When a discharge planner sends a patient home with your agency, or a care manager recommends your program to a family, they are staking their professional reputation on your performance. That is why a referral converts so well — the client arrives already trusting you because someone they trust vouched for you — and it is also why referral relationships, once earned, are so durable and so worth protecting. You are not just getting a client; you are being trusted, and every good outcome deepens that trust into a stream of future clients.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2 — The Referral Source Map: Who Refers</w:t>
      </w:r>
    </w:p>
    <w:p>
      <w:pPr>
        <w:pStyle w:val="Normal"/>
        <w:spacing w:lineRule="exact" w:line="268" w:before="0" w:after="110"/>
        <w:jc w:val="start"/>
        <w:rPr/>
      </w:pPr>
      <w:r>
        <w:rPr>
          <w:rFonts w:eastAsia="Calibri" w:cs="Calibri"/>
          <w:b w:val="false"/>
          <w:bCs w:val="false"/>
          <w:i w:val="false"/>
          <w:iCs w:val="false"/>
          <w:color w:val="1A1A1A"/>
          <w:sz w:val="20"/>
          <w:szCs w:val="20"/>
        </w:rPr>
        <w:t>Here is the landscape of who sends clients to care providers. Not all of these fit every business — pick the ones whose clients match yours — but this is the full menu to choose from. (The companion Tracker gives you a worksheet to build your own local list from this map.)</w:t>
      </w:r>
    </w:p>
    <w:p>
      <w:pPr>
        <w:pStyle w:val="Normal"/>
        <w:spacing w:lineRule="exact" w:line="268" w:before="0" w:after="110"/>
        <w:jc w:val="start"/>
        <w:rPr/>
      </w:pPr>
      <w:r>
        <w:rPr>
          <w:rFonts w:eastAsia="Calibri" w:cs="Calibri"/>
          <w:b w:val="false"/>
          <w:bCs w:val="false"/>
          <w:i w:val="false"/>
          <w:iCs w:val="false"/>
          <w:color w:val="1A1A1A"/>
          <w:sz w:val="20"/>
          <w:szCs w:val="20"/>
        </w:rPr>
        <w:t>Which of these matter most depends on your business. A home care agency lives on hospital and skilled-nursing discharge planners, geriatric care managers, and senior communities. A residential care or assisted-living home leans on discharge planners, care managers, hospitals, and families touring for a placement. A brain-injury program depends on rehabilitation hospitals, trauma-center case managers, neurologists and physiatrists, and case managers. A behavioral-health provider works with hospitals, crisis teams, courts and probation, schools, and health-plan care coordinators. Read the whole map, then choose the six or eight source types where your future clients actually are, and build your list there.</w:t>
      </w:r>
    </w:p>
    <w:p>
      <w:pPr>
        <w:pStyle w:val="Normal"/>
        <w:keepNext w:val="true"/>
        <w:spacing w:before="140" w:after="60"/>
        <w:rPr/>
      </w:pPr>
      <w:r>
        <w:rPr>
          <w:rFonts w:eastAsia="Calibri" w:cs="Calibri"/>
          <w:b/>
          <w:bCs/>
          <w:i w:val="false"/>
          <w:iCs w:val="false"/>
          <w:color w:val="3E5871"/>
          <w:sz w:val="21"/>
          <w:szCs w:val="21"/>
        </w:rPr>
        <w:t>1. Healthcare discharge sources — usually the biggest</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Hospital discharge planners /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arrange where a patient goes next and need reliable providers who respond fast and prevent readmissions. Often your single highest-volume source. Reach them through the case management / social work department.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Skilled nursing &amp; rehab facility discharge planners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discharge people who still need support at home or a lower level of care. Build relationships with their social workers and admissions/discharge staff.</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Emergency department &amp; hospital social workers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handle crisis discharges that need care set up quickly. Being responsive and available is what earns their trust.</w:t>
            </w:r>
          </w:p>
        </w:tc>
      </w:tr>
    </w:tbl>
    <w:p>
      <w:pPr>
        <w:pStyle w:val="Normal"/>
        <w:keepNext w:val="true"/>
        <w:spacing w:before="140" w:after="60"/>
        <w:rPr/>
      </w:pPr>
      <w:r>
        <w:rPr>
          <w:rFonts w:eastAsia="Calibri" w:cs="Calibri"/>
          <w:b/>
          <w:bCs/>
          <w:i w:val="false"/>
          <w:iCs w:val="false"/>
          <w:color w:val="3E5871"/>
          <w:sz w:val="21"/>
          <w:szCs w:val="21"/>
        </w:rPr>
        <w:t>2. Physicians and clinical offices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Primary care physicians &amp; geriatricians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know which patients are declining or unsafe at home. Reach the office manager and nurses, not just the doctor.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Specialists (neurology, cardiology, oncology, physiatry)</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to specific niches — e.g., neurology for brain injury. Their care coordinators are the door.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Clinic &amp; FQHC social workers /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connect patients to community services and appreciate providers who make their job easier.</w:t>
            </w:r>
          </w:p>
        </w:tc>
      </w:tr>
    </w:tbl>
    <w:p>
      <w:pPr>
        <w:pStyle w:val="Normal"/>
        <w:keepNext w:val="true"/>
        <w:spacing w:before="140" w:after="60"/>
        <w:rPr/>
      </w:pPr>
      <w:r>
        <w:rPr>
          <w:rFonts w:eastAsia="Calibri" w:cs="Calibri"/>
          <w:b/>
          <w:bCs/>
          <w:i w:val="false"/>
          <w:iCs w:val="false"/>
          <w:color w:val="3E5871"/>
          <w:sz w:val="21"/>
          <w:szCs w:val="21"/>
        </w:rPr>
        <w:t>3. The aging &amp; disability network</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Geriatric care managers / aging life care professionals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Private care managers who advise families and recommend providers — high-trust, high-value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senior information lines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Local hubs that field “I need help for my parent” calls and maintain provider lists.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County / Medicaid case managers &amp; waiver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authorize and coordinate publicly funded services and place clients with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Managed-care &amp; MLTSS care coordinators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Health-plan staff who arrange long-term services and supports for members.</w:t>
            </w:r>
          </w:p>
        </w:tc>
      </w:tr>
    </w:tbl>
    <w:p>
      <w:pPr>
        <w:pStyle w:val="Normal"/>
        <w:keepNext w:val="true"/>
        <w:spacing w:before="140" w:after="60"/>
        <w:rPr/>
      </w:pPr>
      <w:r>
        <w:rPr>
          <w:rFonts w:eastAsia="Calibri" w:cs="Calibri"/>
          <w:b/>
          <w:bCs/>
          <w:i w:val="false"/>
          <w:iCs w:val="false"/>
          <w:color w:val="3E5871"/>
          <w:sz w:val="21"/>
          <w:szCs w:val="21"/>
        </w:rPr>
        <w:t>4. Senior living, housing &amp; other providers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Assisted living, independent living, memory care &amp; CCRCs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Residents often need added in-home help, or a different level of care; directors refer both ways.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Board-and-care / residential care homes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refer residents who need more or different care, and take your referrals in return.</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Hospice &amp; palliative care</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partner with care providers for extra support hours; a strong reciprocal relationship.</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Pharmacies, home medical equipment &amp; home health</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see people managing illness at home and are natural referral partners (and partners you refer to).</w:t>
            </w:r>
          </w:p>
        </w:tc>
      </w:tr>
    </w:tbl>
    <w:p>
      <w:pPr>
        <w:pStyle w:val="Normal"/>
        <w:keepNext w:val="true"/>
        <w:spacing w:before="140" w:after="60"/>
        <w:rPr/>
      </w:pPr>
      <w:r>
        <w:rPr>
          <w:rFonts w:eastAsia="Calibri" w:cs="Calibri"/>
          <w:b/>
          <w:bCs/>
          <w:i w:val="false"/>
          <w:iCs w:val="false"/>
          <w:color w:val="3E5871"/>
          <w:sz w:val="21"/>
          <w:szCs w:val="21"/>
        </w:rPr>
        <w:t>5. Payers and benefit sources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VA &amp; veteran service organizations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Route eligible veterans to care; many families don’t know these benefits exist.</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Long-term-care insurance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coordinate benefits for policyholders and can steer to responsive providers.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Workers’ comp &amp; auto/injury case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Relevant for injury-related care, including brain injury.</w:t>
            </w:r>
          </w:p>
        </w:tc>
      </w:tr>
    </w:tbl>
    <w:p>
      <w:pPr>
        <w:pStyle w:val="Normal"/>
        <w:keepNext w:val="true"/>
        <w:spacing w:before="140" w:after="60"/>
        <w:rPr/>
      </w:pPr>
      <w:r>
        <w:rPr>
          <w:rFonts w:eastAsia="Calibri" w:cs="Calibri"/>
          <w:b/>
          <w:bCs/>
          <w:i w:val="false"/>
          <w:iCs w:val="false"/>
          <w:color w:val="3E5871"/>
          <w:sz w:val="21"/>
          <w:szCs w:val="21"/>
        </w:rPr>
        <w:t>6. Community &amp; professional influencers</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Elder-law &amp; estate attorneys, fiduciaries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advise families in exactly the moments care is needed — excellent, underused referrers.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Financial planners &amp; trust officers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help families plan for care costs and are asked “who do you recommend?”</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Faith communities, senior centers &amp; support groups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Clergy, senior-center staff, and group leaders (e.g., Alzheimer’s support) are trusted local voices.</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Funeral homes, senior real-estate specialists, move managers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They work with aging families and hear about care needs early.</w:t>
            </w:r>
          </w:p>
        </w:tc>
      </w:tr>
    </w:tbl>
    <w:p>
      <w:pPr>
        <w:pStyle w:val="Normal"/>
        <w:keepNext w:val="true"/>
        <w:spacing w:before="140" w:after="60"/>
        <w:rPr/>
      </w:pPr>
      <w:r>
        <w:rPr>
          <w:rFonts w:eastAsia="Calibri" w:cs="Calibri"/>
          <w:b/>
          <w:bCs/>
          <w:i w:val="false"/>
          <w:iCs w:val="false"/>
          <w:color w:val="3E5871"/>
          <w:sz w:val="21"/>
          <w:szCs w:val="21"/>
        </w:rPr>
        <w:t>7. Families, past clients, and your own team</w:t>
      </w:r>
    </w:p>
    <w:p>
      <w:pPr>
        <w:pStyle w:val="Normal"/>
        <w:spacing w:lineRule="exact" w:line="268" w:before="0" w:after="110"/>
        <w:jc w:val="start"/>
        <w:rPr/>
      </w:pPr>
      <w:r>
        <w:rPr>
          <w:rFonts w:eastAsia="Calibri" w:cs="Calibri"/>
          <w:b w:val="false"/>
          <w:bCs w:val="false"/>
          <w:i w:val="false"/>
          <w:iCs w:val="false"/>
          <w:color w:val="1A1A1A"/>
          <w:sz w:val="20"/>
          <w:szCs w:val="20"/>
        </w:rPr>
        <w:t>Never overlook the warmest source of all: the families you’ve served, your past and current clients, and your own caregivers and staff (who know others in the field). A happy client and a well-treated caregiver are walking advertisements. Ask — politely and at the right moment — for reviews and referrals, and make it easy for people to send others your way.</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3 — Official Referral Pathways: Getting Into the Pipeline (and the Legal Line)</w:t>
      </w:r>
    </w:p>
    <w:p>
      <w:pPr>
        <w:pStyle w:val="Normal"/>
        <w:spacing w:lineRule="exact" w:line="268" w:before="0" w:after="110"/>
        <w:jc w:val="start"/>
        <w:rPr/>
      </w:pPr>
      <w:r>
        <w:rPr>
          <w:rFonts w:eastAsia="Calibri" w:cs="Calibri"/>
          <w:b w:val="false"/>
          <w:bCs w:val="false"/>
          <w:i w:val="false"/>
          <w:iCs w:val="false"/>
          <w:color w:val="1A1A1A"/>
          <w:sz w:val="20"/>
          <w:szCs w:val="20"/>
        </w:rPr>
        <w:t>Everything else in this playbook is about earning referrals through relationships. This part is about the formal, official routes into institutional referral pipelines — how you actually get onto a hospital’s discharge list, into a health plan’s network, and onto a case manager’s roster — and about a bright legal line you must never cross while doing it. Get this right and you unlock steady, high-quality referrals; get it wrong and you can face serious penalties. Read this part carefully.</w:t>
      </w:r>
    </w:p>
    <w:p>
      <w:pPr>
        <w:pStyle w:val="Normal"/>
        <w:keepNext w:val="true"/>
        <w:spacing w:before="140" w:after="60"/>
        <w:rPr/>
      </w:pPr>
      <w:r>
        <w:rPr>
          <w:rFonts w:eastAsia="Calibri" w:cs="Calibri"/>
          <w:b/>
          <w:bCs/>
          <w:i w:val="false"/>
          <w:iCs w:val="false"/>
          <w:color w:val="3E5871"/>
          <w:sz w:val="21"/>
          <w:szCs w:val="21"/>
        </w:rPr>
        <w:t>The official pathways — how to get into the pipeline</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Get onto the discharge and community-provider list. Hospitals and skilled-nursing facilities give discharging patients a list of providers and let the patient choose. You cannot pay to be steered to — but you can get onto the list by being licensed, introducing yourself to the case-management and social-work department, and being known as reliable. This is free, and it is the front door.</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Become a contracted, in-network provider with payers. Credential and contract with TennCare managed-care organizations (including CHOICES), the VA, and long-term-care insurers. Once you are in-network, their care coordinators refer within the network as a matter of routine — an official, ongoing pipeline.</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Enroll as a TennCare and waiver provider. Enroll with the state and TennCare CHOICES and Employment and Community First (ECF) CHOICES long-term services and supports. Waiver and plan case managers place clients with enrolled providers — so enrollment itself becomes a referral channel.</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Build preferred-provider or partnership agreements — carefully. Hospitals, health systems, ACOs, and senior communities sometimes set up preferred-provider relationships. These can be legitimate, but only if they are structured correctly (see the legal line below), which is the one place you should have a healthcare attorney paper the arrangement before you sign.</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Then work the relationships. Once you are on the lists and in the networks, the rest of this playbook — building trust with the discharge planners, case managers, and physicians who actually pick the provider — is what turns being eligible into being chosen.</w:t>
      </w:r>
    </w:p>
    <w:p>
      <w:pPr>
        <w:pStyle w:val="Normal"/>
        <w:keepNext w:val="true"/>
        <w:spacing w:before="140" w:after="60"/>
        <w:rPr/>
      </w:pPr>
      <w:r>
        <w:rPr>
          <w:rFonts w:eastAsia="Calibri" w:cs="Calibri"/>
          <w:b/>
          <w:bCs/>
          <w:i w:val="false"/>
          <w:iCs w:val="false"/>
          <w:color w:val="3E5871"/>
          <w:sz w:val="21"/>
          <w:szCs w:val="21"/>
        </w:rPr>
        <w:t>The legal line — you can earn referrals, but you cannot buy them</w:t>
      </w:r>
    </w:p>
    <w:p>
      <w:pPr>
        <w:pStyle w:val="Normal"/>
        <w:spacing w:lineRule="exact" w:line="268" w:before="0" w:after="110"/>
        <w:jc w:val="start"/>
        <w:rPr/>
      </w:pPr>
      <w:r>
        <w:rPr>
          <w:rFonts w:eastAsia="Calibri" w:cs="Calibri"/>
          <w:b w:val="false"/>
          <w:bCs w:val="false"/>
          <w:i w:val="false"/>
          <w:iCs w:val="false"/>
          <w:color w:val="1A1A1A"/>
          <w:sz w:val="20"/>
          <w:szCs w:val="20"/>
        </w:rPr>
        <w:t>One rule sits above all the rest, and it is where new agencies get into the most serious trouble: you may not pay for referrals of clients whose care is paid, even partly, by a federal health care program (Medicare, TennCare/Medicaid, TRICARE, or the VA). The federal Anti-Kickback Statute makes it a crime to knowingly offer or pay — or to solicit or receive — anything of value to induce those referrals. “Anything of value” is broad: cash, gift cards, free rent, free services, meals, or a per-client fee all count, and both the payer and the receiver are liable. Because your home care, residential, and brain-injury clients are often funded through TennCare, waivers, or the VA, this applies squarely to you.</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bright-line test</w:t>
            </w:r>
          </w:p>
          <w:p>
            <w:pPr>
              <w:pStyle w:val="Normal"/>
              <w:spacing w:lineRule="exact" w:line="264" w:before="0" w:after="0"/>
              <w:rPr/>
            </w:pPr>
            <w:r>
              <w:rPr>
                <w:rFonts w:eastAsia="Calibri" w:cs="Calibri"/>
                <w:b w:val="false"/>
                <w:bCs w:val="false"/>
                <w:i w:val="false"/>
                <w:iCs w:val="false"/>
                <w:color w:val="1A1A1A"/>
                <w:sz w:val="19"/>
                <w:szCs w:val="19"/>
              </w:rPr>
              <w:t>If a payment is tied to the number of clients someone sends you — a fee per referral, per admission, or per lead — and any of those clients are federally funded, assume it is illegal. “Send me clients and I’ll pay you $X each” is the arrangement that gets agencies prosecuted.</w:t>
            </w:r>
          </w:p>
        </w:tc>
      </w:tr>
    </w:tbl>
    <w:p>
      <w:pPr>
        <w:pStyle w:val="Normal"/>
        <w:keepNext w:val="true"/>
        <w:spacing w:before="140" w:after="60"/>
        <w:rPr/>
      </w:pPr>
      <w:r>
        <w:rPr>
          <w:rFonts w:eastAsia="Calibri" w:cs="Calibri"/>
          <w:b/>
          <w:bCs/>
          <w:i w:val="false"/>
          <w:iCs w:val="false"/>
          <w:color w:val="3E5871"/>
          <w:sz w:val="21"/>
          <w:szCs w:val="21"/>
        </w:rPr>
        <w:t>Be careful with “referral services” and lead-sellers</w:t>
      </w:r>
    </w:p>
    <w:p>
      <w:pPr>
        <w:pStyle w:val="Normal"/>
        <w:spacing w:lineRule="exact" w:line="268" w:before="0" w:after="110"/>
        <w:jc w:val="start"/>
        <w:rPr/>
      </w:pPr>
      <w:r>
        <w:rPr>
          <w:rFonts w:eastAsia="Calibri" w:cs="Calibri"/>
          <w:b w:val="false"/>
          <w:bCs w:val="false"/>
          <w:i w:val="false"/>
          <w:iCs w:val="false"/>
          <w:color w:val="1A1A1A"/>
          <w:sz w:val="20"/>
          <w:szCs w:val="20"/>
        </w:rPr>
        <w:t>This is why online and social-media offers to ‘give you referrals’ deserve real caution. Some lead-generation and referral services are lawful, but many are not — and regulators have specifically flagged paying a platform for preferential access to hospital discharge referrals as a likely violation. If someone is charging you per client, per admission, or for a ‘pipeline’ of federally funded patients, treat it as a red flag until a healthcare attorney tells you otherwise. And know that some states go further than federal law and prohibit paying for any patient referral at all — even private-pay — so ‘but they’re private-pay’ is not a safe assumption.</w:t>
      </w:r>
    </w:p>
    <w:p>
      <w:pPr>
        <w:pStyle w:val="Normal"/>
        <w:keepNext w:val="true"/>
        <w:spacing w:before="140" w:after="60"/>
        <w:rPr/>
      </w:pPr>
      <w:r>
        <w:rPr>
          <w:rFonts w:eastAsia="Calibri" w:cs="Calibri"/>
          <w:b/>
          <w:bCs/>
          <w:i w:val="false"/>
          <w:iCs w:val="false"/>
          <w:color w:val="3E5871"/>
          <w:sz w:val="21"/>
          <w:szCs w:val="21"/>
        </w:rPr>
        <w:t>What you can do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Market legitimately: a website, online listings, Google ads, brochures, and events are all fine.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Employ a marketer or business-development person on a real salary: a genuine employee doing genuine work is generally fine — just don’t tie their pay to the volume of federally funded referrals in a way that looks like a per-head bounty.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Educate and build relationships: lunch-and-learns, being a genuine resource, and sharing outcomes — value delivered through service and information, not payments to the source.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Pay fair-market value for actual, documented services (not referrals): under a written agreement — and have an attorney confirm it fits a recognized safe harbor.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Thank referrers appropriately: a phone call or a handwritten note — gratitude, not a fee.</w:t>
      </w:r>
    </w:p>
    <w:p>
      <w:pPr>
        <w:pStyle w:val="Normal"/>
        <w:spacing w:lineRule="exact" w:line="268" w:before="0" w:after="110"/>
        <w:jc w:val="start"/>
        <w:rPr/>
      </w:pPr>
      <w:r>
        <w:rPr>
          <w:rFonts w:eastAsia="Calibri" w:cs="Calibri"/>
          <w:b w:val="false"/>
          <w:bCs w:val="false"/>
          <w:i w:val="false"/>
          <w:iCs w:val="false"/>
          <w:color w:val="1A1A1A"/>
          <w:sz w:val="20"/>
          <w:szCs w:val="20"/>
        </w:rPr>
        <w:t>Take this seriously: home care and personal-care agencies are named high-risk service lines in current federal fraud enforcement, and penalties for kickbacks include criminal charges, heavy fines, and being barred from Medicare and TennCare — which would end the business. None of this is legal advice, and the safe harbors are technical, so before you sign any arrangement that involves paying anyone in connection with getting clients, have a healthcare attorney review it. The good news: the official pathways above — discharge lists, payer contracts, waiver enrollment, and earned relationships — are exactly how the best agencies grow, and they are completely legal.</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4 — What Each Source Actually Wants</w:t>
      </w:r>
    </w:p>
    <w:p>
      <w:pPr>
        <w:pStyle w:val="Normal"/>
        <w:spacing w:lineRule="exact" w:line="268" w:before="0" w:after="110"/>
        <w:jc w:val="start"/>
        <w:rPr/>
      </w:pPr>
      <w:r>
        <w:rPr>
          <w:rFonts w:eastAsia="Calibri" w:cs="Calibri"/>
          <w:b w:val="false"/>
          <w:bCs w:val="false"/>
          <w:i w:val="false"/>
          <w:iCs w:val="false"/>
          <w:color w:val="1A1A1A"/>
          <w:sz w:val="20"/>
          <w:szCs w:val="20"/>
        </w:rPr>
        <w:t>You won’t win referrals by talking about yourself — you win them by solving the referrer’s problem. Each source has a different worry. Speak to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Discharge planners want: speed and reliability. They need a provider who answers the phone, accepts the referral quickly, starts on time, and doesn’t send the patient back to the hospital. Make their discharge easy and safe and you’ll be their go-to.</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Care managers want: communication and partnership. They’ve staked their reputation on you; they want updates, quick responses, and no surprises.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Physicians’ offices want: to know their patient is safe and that you’ll flag problems. Low-hassle, trustworthy, and communicative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Senior-living &amp; facility directors want: a partner who makes them look good to their residents and refers back appropriately.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Attorneys &amp; financial advisors want: a provider they can recommend without risk to their own reputation — professional, ethical, and dependable.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Families want: trust, warmth, and competence — the feeling that their loved one is safe and cared for.</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The reframe that wins referrals</w:t>
            </w:r>
          </w:p>
          <w:p>
            <w:pPr>
              <w:pStyle w:val="Normal"/>
              <w:spacing w:lineRule="exact" w:line="264" w:before="0" w:after="0"/>
              <w:rPr/>
            </w:pPr>
            <w:r>
              <w:rPr>
                <w:rFonts w:eastAsia="Calibri" w:cs="Calibri"/>
                <w:b w:val="false"/>
                <w:bCs w:val="false"/>
                <w:i w:val="false"/>
                <w:iCs w:val="false"/>
                <w:color w:val="1A1A1A"/>
                <w:sz w:val="19"/>
                <w:szCs w:val="19"/>
              </w:rPr>
              <w:t>Every referrer is really asking one silent question: “Will this provider make me look good or make me look bad?” Everything you do — responsiveness, communication, reliability — answers that question. Be the provider who always makes the referrer look good, and the referrals never stop.</w:t>
            </w:r>
          </w:p>
        </w:tc>
      </w:tr>
    </w:tbl>
    <w:p>
      <w:pPr>
        <w:pStyle w:val="Normal"/>
        <w:spacing w:lineRule="exact" w:line="268" w:before="0" w:after="110"/>
        <w:jc w:val="start"/>
        <w:rPr/>
      </w:pPr>
      <w:r>
        <w:rPr>
          <w:rFonts w:eastAsia="Calibri" w:cs="Calibri"/>
          <w:b w:val="false"/>
          <w:bCs w:val="false"/>
          <w:i w:val="false"/>
          <w:iCs w:val="false"/>
          <w:color w:val="1A1A1A"/>
          <w:sz w:val="20"/>
          <w:szCs w:val="20"/>
        </w:rPr>
        <w:t>It helps to understand the pressures your referrers are under. Hospital discharge planners are measured on how fast they discharge and on whether patients come back — a readmission is a black mark, so a provider who keeps clients safe and out of the hospital is gold to them. Care managers juggle heavy caseloads and can’t chase providers for updates, so one who communicates proactively saves them time and worry. Facility directors answer to families and owners and can’t afford a partner who embarrasses them. When you show a referrer that you understand their pressure and take it off their shoulders, you stop being a vendor and become an ally — and allies get the referrals.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5 — How to Approach Them</w:t>
      </w:r>
    </w:p>
    <w:p>
      <w:pPr>
        <w:pStyle w:val="Normal"/>
        <w:spacing w:lineRule="exact" w:line="268" w:before="0" w:after="110"/>
        <w:jc w:val="start"/>
        <w:rPr/>
      </w:pPr>
      <w:r>
        <w:rPr>
          <w:rFonts w:eastAsia="Calibri" w:cs="Calibri"/>
          <w:b w:val="false"/>
          <w:bCs w:val="false"/>
          <w:i w:val="false"/>
          <w:iCs w:val="false"/>
          <w:color w:val="1A1A1A"/>
          <w:sz w:val="20"/>
          <w:szCs w:val="20"/>
        </w:rPr>
        <w:t>Referral relationships are built like any professional relationship: with research, a genuine first contact, a real conversation, and consistent follow-up. Here is the approach that works.</w:t>
      </w:r>
    </w:p>
    <w:p>
      <w:pPr>
        <w:pStyle w:val="Normal"/>
        <w:spacing w:lineRule="exact" w:line="268" w:before="0" w:after="70"/>
        <w:ind w:hanging="300" w:start="360"/>
        <w:rPr/>
      </w:pPr>
      <w:r>
        <w:rPr>
          <w:rFonts w:eastAsia="Calibri" w:cs="Calibri"/>
          <w:b/>
          <w:bCs/>
          <w:i w:val="false"/>
          <w:iCs w:val="false"/>
          <w:color w:val="3E5871"/>
          <w:sz w:val="20"/>
          <w:szCs w:val="20"/>
        </w:rPr>
        <w:t xml:space="preserve">1.  </w:t>
      </w:r>
      <w:r>
        <w:rPr>
          <w:rFonts w:eastAsia="Calibri" w:cs="Calibri"/>
          <w:b w:val="false"/>
          <w:bCs w:val="false"/>
          <w:i w:val="false"/>
          <w:iCs w:val="false"/>
          <w:color w:val="1A1A1A"/>
          <w:sz w:val="20"/>
          <w:szCs w:val="20"/>
        </w:rPr>
        <w:t>Research first. Know the organization, what clients they serve, and the name of the right person (the case manager, the director, the office manager) before you reach out.</w:t>
      </w:r>
    </w:p>
    <w:p>
      <w:pPr>
        <w:pStyle w:val="Normal"/>
        <w:spacing w:lineRule="exact" w:line="268" w:before="0" w:after="70"/>
        <w:ind w:hanging="300" w:start="360"/>
        <w:rPr/>
      </w:pPr>
      <w:r>
        <w:rPr>
          <w:rFonts w:eastAsia="Calibri" w:cs="Calibri"/>
          <w:b/>
          <w:bCs/>
          <w:i w:val="false"/>
          <w:iCs w:val="false"/>
          <w:color w:val="3E5871"/>
          <w:sz w:val="20"/>
          <w:szCs w:val="20"/>
        </w:rPr>
        <w:t xml:space="preserve">2.  </w:t>
      </w:r>
      <w:r>
        <w:rPr>
          <w:rFonts w:eastAsia="Calibri" w:cs="Calibri"/>
          <w:b w:val="false"/>
          <w:bCs w:val="false"/>
          <w:i w:val="false"/>
          <w:iCs w:val="false"/>
          <w:color w:val="1A1A1A"/>
          <w:sz w:val="20"/>
          <w:szCs w:val="20"/>
        </w:rPr>
        <w:t>Make a warm, specific first contact. Introduce yourself and your business in one or two sentences focused on how you help their clients — not a sales pitch. Ask for a brief meeting or a chance to drop off information.</w:t>
      </w:r>
    </w:p>
    <w:p>
      <w:pPr>
        <w:pStyle w:val="Normal"/>
        <w:spacing w:lineRule="exact" w:line="268" w:before="0" w:after="70"/>
        <w:ind w:hanging="300" w:start="360"/>
        <w:rPr/>
      </w:pPr>
      <w:r>
        <w:rPr>
          <w:rFonts w:eastAsia="Calibri" w:cs="Calibri"/>
          <w:b/>
          <w:bCs/>
          <w:i w:val="false"/>
          <w:iCs w:val="false"/>
          <w:color w:val="3E5871"/>
          <w:sz w:val="20"/>
          <w:szCs w:val="20"/>
        </w:rPr>
        <w:t xml:space="preserve">3.  </w:t>
      </w:r>
      <w:r>
        <w:rPr>
          <w:rFonts w:eastAsia="Calibri" w:cs="Calibri"/>
          <w:b w:val="false"/>
          <w:bCs w:val="false"/>
          <w:i w:val="false"/>
          <w:iCs w:val="false"/>
          <w:color w:val="1A1A1A"/>
          <w:sz w:val="20"/>
          <w:szCs w:val="20"/>
        </w:rPr>
        <w:t>Show up prepared. Bring a simple one-page leave-behind (who you are, who you serve, what makes you reliable, how to refer, your contact info). Be brief and respectful of their time.</w:t>
      </w:r>
    </w:p>
    <w:p>
      <w:pPr>
        <w:pStyle w:val="Normal"/>
        <w:spacing w:lineRule="exact" w:line="268" w:before="0" w:after="70"/>
        <w:ind w:hanging="300" w:start="360"/>
        <w:rPr/>
      </w:pPr>
      <w:r>
        <w:rPr>
          <w:rFonts w:eastAsia="Calibri" w:cs="Calibri"/>
          <w:b/>
          <w:bCs/>
          <w:i w:val="false"/>
          <w:iCs w:val="false"/>
          <w:color w:val="3E5871"/>
          <w:sz w:val="20"/>
          <w:szCs w:val="20"/>
        </w:rPr>
        <w:t xml:space="preserve">4.  </w:t>
      </w:r>
      <w:r>
        <w:rPr>
          <w:rFonts w:eastAsia="Calibri" w:cs="Calibri"/>
          <w:b w:val="false"/>
          <w:bCs w:val="false"/>
          <w:i w:val="false"/>
          <w:iCs w:val="false"/>
          <w:color w:val="1A1A1A"/>
          <w:sz w:val="20"/>
          <w:szCs w:val="20"/>
        </w:rPr>
        <w:t>Listen more than you talk. Ask what they need from a provider and what frustrates them about the ones they use. Their answer is your playbook.</w:t>
      </w:r>
    </w:p>
    <w:p>
      <w:pPr>
        <w:pStyle w:val="Normal"/>
        <w:spacing w:lineRule="exact" w:line="268" w:before="0" w:after="70"/>
        <w:ind w:hanging="300" w:start="360"/>
        <w:rPr/>
      </w:pPr>
      <w:r>
        <w:rPr>
          <w:rFonts w:eastAsia="Calibri" w:cs="Calibri"/>
          <w:b/>
          <w:bCs/>
          <w:i w:val="false"/>
          <w:iCs w:val="false"/>
          <w:color w:val="3E5871"/>
          <w:sz w:val="20"/>
          <w:szCs w:val="20"/>
        </w:rPr>
        <w:t xml:space="preserve">5.  </w:t>
      </w:r>
      <w:r>
        <w:rPr>
          <w:rFonts w:eastAsia="Calibri" w:cs="Calibri"/>
          <w:b w:val="false"/>
          <w:bCs w:val="false"/>
          <w:i w:val="false"/>
          <w:iCs w:val="false"/>
          <w:color w:val="1A1A1A"/>
          <w:sz w:val="20"/>
          <w:szCs w:val="20"/>
        </w:rPr>
        <w:t>Make referring easy. Give them a simple way to send a client — a direct phone number, a referral form, an email — and tell them exactly what happens when they do.</w:t>
      </w:r>
    </w:p>
    <w:p>
      <w:pPr>
        <w:pStyle w:val="Normal"/>
        <w:spacing w:lineRule="exact" w:line="268" w:before="0" w:after="70"/>
        <w:ind w:hanging="300" w:start="360"/>
        <w:rPr/>
      </w:pPr>
      <w:r>
        <w:rPr>
          <w:rFonts w:eastAsia="Calibri" w:cs="Calibri"/>
          <w:b/>
          <w:bCs/>
          <w:i w:val="false"/>
          <w:iCs w:val="false"/>
          <w:color w:val="3E5871"/>
          <w:sz w:val="20"/>
          <w:szCs w:val="20"/>
        </w:rPr>
        <w:t xml:space="preserve">6.  </w:t>
      </w:r>
      <w:r>
        <w:rPr>
          <w:rFonts w:eastAsia="Calibri" w:cs="Calibri"/>
          <w:b w:val="false"/>
          <w:bCs w:val="false"/>
          <w:i w:val="false"/>
          <w:iCs w:val="false"/>
          <w:color w:val="1A1A1A"/>
          <w:sz w:val="20"/>
          <w:szCs w:val="20"/>
        </w:rPr>
        <w:t>Follow up consistently. One visit rarely creates a referral relationship. Check in on a regular cadence (Part 9), share a success (respecting privacy), and stay top of mind without being a pest.</w:t>
      </w:r>
    </w:p>
    <w:p>
      <w:pPr>
        <w:pStyle w:val="Normal"/>
        <w:keepNext w:val="true"/>
        <w:spacing w:before="140" w:after="60"/>
        <w:rPr/>
      </w:pPr>
      <w:r>
        <w:rPr>
          <w:rFonts w:eastAsia="Calibri" w:cs="Calibri"/>
          <w:b/>
          <w:bCs/>
          <w:i w:val="false"/>
          <w:iCs w:val="false"/>
          <w:color w:val="3E5871"/>
          <w:sz w:val="21"/>
          <w:szCs w:val="21"/>
        </w:rPr>
        <w:t>The first-meeting mindset</w:t>
      </w:r>
    </w:p>
    <w:p>
      <w:pPr>
        <w:pStyle w:val="Normal"/>
        <w:spacing w:lineRule="exact" w:line="268" w:before="0" w:after="110"/>
        <w:jc w:val="start"/>
        <w:rPr/>
      </w:pPr>
      <w:r>
        <w:rPr>
          <w:rFonts w:eastAsia="Calibri" w:cs="Calibri"/>
          <w:b w:val="false"/>
          <w:bCs w:val="false"/>
          <w:i w:val="false"/>
          <w:iCs w:val="false"/>
          <w:color w:val="1A1A1A"/>
          <w:sz w:val="20"/>
          <w:szCs w:val="20"/>
        </w:rPr>
        <w:t>Go in to help, not to sell. The professionals you’re meeting are protective of their clients and their own reputation, and they can smell a pushy salesperson instantly. Be warm, brief, knowledgeable, and genuinely useful — even offer to be a resource before you’ve gotten a single referral. Relationships, not transactions, are what you’re building.</w:t>
      </w:r>
    </w:p>
    <w:p>
      <w:pPr>
        <w:pStyle w:val="Normal"/>
        <w:keepNext w:val="true"/>
        <w:spacing w:before="140" w:after="60"/>
        <w:rPr/>
      </w:pPr>
      <w:r>
        <w:rPr>
          <w:rFonts w:eastAsia="Calibri" w:cs="Calibri"/>
          <w:b/>
          <w:bCs/>
          <w:i w:val="false"/>
          <w:iCs w:val="false"/>
          <w:color w:val="3E5871"/>
          <w:sz w:val="21"/>
          <w:szCs w:val="21"/>
        </w:rPr>
        <w:t>Getting past the gatekeeper</w:t>
      </w:r>
    </w:p>
    <w:p>
      <w:pPr>
        <w:pStyle w:val="Normal"/>
        <w:spacing w:lineRule="exact" w:line="268" w:before="0" w:after="110"/>
        <w:jc w:val="start"/>
        <w:rPr/>
      </w:pPr>
      <w:r>
        <w:rPr>
          <w:rFonts w:eastAsia="Calibri" w:cs="Calibri"/>
          <w:b w:val="false"/>
          <w:bCs w:val="false"/>
          <w:i w:val="false"/>
          <w:iCs w:val="false"/>
          <w:color w:val="1A1A1A"/>
          <w:sz w:val="20"/>
          <w:szCs w:val="20"/>
        </w:rPr>
        <w:t>You often can’t reach the decision-maker directly, and that’s fine — the gatekeeper (the front desk, the office manager, the admissions coordinator) is often the real relationship. Treat them with genuine respect and warmth, learn their name, make their day a little easier, and they will open doors for you. Ask them who handles referrals or discharges, the best way to get information to that person, and how they prefer providers to reach out. A gatekeeper who likes you is worth more than a dozen cold calls to someone who doesn’t know you.</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6 — What to Say: Scripts &amp; Messages</w:t>
      </w:r>
    </w:p>
    <w:p>
      <w:pPr>
        <w:pStyle w:val="Normal"/>
        <w:spacing w:lineRule="exact" w:line="268" w:before="0" w:after="110"/>
        <w:jc w:val="start"/>
        <w:rPr/>
      </w:pPr>
      <w:r>
        <w:rPr>
          <w:rFonts w:eastAsia="Calibri" w:cs="Calibri"/>
          <w:b w:val="false"/>
          <w:bCs w:val="false"/>
          <w:i w:val="false"/>
          <w:iCs w:val="false"/>
          <w:color w:val="1A1A1A"/>
          <w:sz w:val="20"/>
          <w:szCs w:val="20"/>
        </w:rPr>
        <w:t>You don’t need to be slick — you need to be clear, warm, and brief. Adapt these to your business and your voice.</w:t>
      </w:r>
    </w:p>
    <w:p>
      <w:pPr>
        <w:pStyle w:val="Normal"/>
        <w:keepNext w:val="true"/>
        <w:spacing w:before="140" w:after="60"/>
        <w:rPr/>
      </w:pPr>
      <w:r>
        <w:rPr>
          <w:rFonts w:eastAsia="Calibri" w:cs="Calibri"/>
          <w:b/>
          <w:bCs/>
          <w:i w:val="false"/>
          <w:iCs w:val="false"/>
          <w:color w:val="3E5871"/>
          <w:sz w:val="21"/>
          <w:szCs w:val="21"/>
        </w:rPr>
        <w:t>Your 20-second introduction</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I’m [name] with [agency]. We provide [what you do] for [who you serve] in [area]. I work with discharge planners and care managers to make sure their clients get [the outcome you deliver — safe, reliable care at home / a smooth transition]. I’d love to learn what you look for in a provider so we can be a good resource for you.”</w:t>
      </w:r>
    </w:p>
    <w:p>
      <w:pPr>
        <w:pStyle w:val="Normal"/>
        <w:keepNext w:val="true"/>
        <w:spacing w:before="140" w:after="60"/>
        <w:rPr/>
      </w:pPr>
      <w:r>
        <w:rPr>
          <w:rFonts w:eastAsia="Calibri" w:cs="Calibri"/>
          <w:b/>
          <w:bCs/>
          <w:i w:val="false"/>
          <w:iCs w:val="false"/>
          <w:color w:val="3E5871"/>
          <w:sz w:val="21"/>
          <w:szCs w:val="21"/>
        </w:rPr>
        <w:t>Voicemail</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this is [name] with [agency] — we provide [service] for [population] in [area]. I’m reaching out to introduce us as a resource for your clients. My direct line is [number]; I’d welcome a quick conversation whenever it’s convenient. Thank you.”</w:t>
      </w:r>
    </w:p>
    <w:p>
      <w:pPr>
        <w:pStyle w:val="Normal"/>
        <w:keepNext w:val="true"/>
        <w:spacing w:before="140" w:after="60"/>
        <w:rPr/>
      </w:pPr>
      <w:r>
        <w:rPr>
          <w:rFonts w:eastAsia="Calibri" w:cs="Calibri"/>
          <w:b/>
          <w:bCs/>
          <w:i w:val="false"/>
          <w:iCs w:val="false"/>
          <w:color w:val="3E5871"/>
          <w:sz w:val="21"/>
          <w:szCs w:val="21"/>
        </w:rPr>
        <w:t>Introductory email</w:t>
      </w:r>
    </w:p>
    <w:p>
      <w:pPr>
        <w:pStyle w:val="Normal"/>
        <w:spacing w:lineRule="exact" w:line="268" w:before="0" w:after="110"/>
        <w:jc w:val="start"/>
        <w:rPr/>
      </w:pPr>
      <w:r>
        <w:rPr>
          <w:rFonts w:eastAsia="Calibri" w:cs="Calibri"/>
          <w:b w:val="false"/>
          <w:bCs w:val="false"/>
          <w:i w:val="false"/>
          <w:iCs w:val="false"/>
          <w:color w:val="1A1A1A"/>
          <w:sz w:val="20"/>
          <w:szCs w:val="20"/>
        </w:rPr>
        <w:t>Subject: A reliable [service] resource for your clients in [area]</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Hi [name], I’m [name] with [agency]. We help [population] with [service], and we work closely with [discharge planners / care managers / physicians] to make sure clients get [outcome]. I’d love a few minutes to introduce us and learn what you look for in a provider. Could I stop by or set up a brief call? A one-page overview is attached. Thank you — [name], [phone], [email].”</w:t>
      </w:r>
    </w:p>
    <w:p>
      <w:pPr>
        <w:pStyle w:val="Normal"/>
        <w:keepNext w:val="true"/>
        <w:spacing w:before="140" w:after="60"/>
        <w:rPr/>
      </w:pPr>
      <w:r>
        <w:rPr>
          <w:rFonts w:eastAsia="Calibri" w:cs="Calibri"/>
          <w:b/>
          <w:bCs/>
          <w:i w:val="false"/>
          <w:iCs w:val="false"/>
          <w:color w:val="3E5871"/>
          <w:sz w:val="21"/>
          <w:szCs w:val="21"/>
        </w:rPr>
        <w:t>What makes you different (have this ready)</w:t>
      </w:r>
    </w:p>
    <w:p>
      <w:pPr>
        <w:pStyle w:val="Normal"/>
        <w:spacing w:lineRule="exact" w:line="268" w:before="0" w:after="110"/>
        <w:jc w:val="start"/>
        <w:rPr/>
      </w:pPr>
      <w:r>
        <w:rPr>
          <w:rFonts w:eastAsia="Calibri" w:cs="Calibri"/>
          <w:b w:val="false"/>
          <w:bCs w:val="false"/>
          <w:i w:val="false"/>
          <w:iCs w:val="false"/>
          <w:color w:val="1A1A1A"/>
          <w:sz w:val="20"/>
          <w:szCs w:val="20"/>
        </w:rPr>
        <w:t>Referrers will ask, directly or silently, ‘why you?’ Have a specific, honest answer — not ‘we care about our clients’ (everyone says that). Better: ‘We answer every referral within [X] hours and start within [Y].’ ‘Our caregivers are trained in [specialty].’ ‘We send you an update after every start.’ Specific, reliable, and about them.</w:t>
      </w:r>
    </w:p>
    <w:p>
      <w:pPr>
        <w:pStyle w:val="Normal"/>
        <w:keepNext w:val="true"/>
        <w:spacing w:before="140" w:after="60"/>
        <w:rPr/>
      </w:pPr>
      <w:r>
        <w:rPr>
          <w:rFonts w:eastAsia="Calibri" w:cs="Calibri"/>
          <w:b/>
          <w:bCs/>
          <w:i w:val="false"/>
          <w:iCs w:val="false"/>
          <w:color w:val="3E5871"/>
          <w:sz w:val="21"/>
          <w:szCs w:val="21"/>
        </w:rPr>
        <w:t>Your one-page leave-behind</w:t>
      </w:r>
    </w:p>
    <w:p>
      <w:pPr>
        <w:pStyle w:val="Normal"/>
        <w:spacing w:lineRule="exact" w:line="268" w:before="0" w:after="110"/>
        <w:jc w:val="start"/>
        <w:rPr/>
      </w:pPr>
      <w:r>
        <w:rPr>
          <w:rFonts w:eastAsia="Calibri" w:cs="Calibri"/>
          <w:b w:val="false"/>
          <w:bCs w:val="false"/>
          <w:i w:val="false"/>
          <w:iCs w:val="false"/>
          <w:color w:val="1A1A1A"/>
          <w:sz w:val="20"/>
          <w:szCs w:val="20"/>
        </w:rPr>
        <w:t>Give every source something simple to keep and to hand to a client. One page, uncluttered, with: who you are and who you serve; your service area; three specific things that make you reliable (not fluffy claims); exactly how to refer (a direct phone number and a simple form or email); and what happens after they refer (‘we respond within [X] hours and keep you informed’). Put a real person’s name and direct line on it. Skip the stock photos and marketing speak — professionals want clarity and a name they can call, not a brochure. This one page, left in the right hands, does quiet work long after your visit.</w:t>
      </w:r>
    </w:p>
    <w:p>
      <w:pPr>
        <w:pStyle w:val="Normal"/>
        <w:keepNext w:val="true"/>
        <w:spacing w:before="140" w:after="60"/>
        <w:rPr/>
      </w:pPr>
      <w:r>
        <w:rPr>
          <w:rFonts w:eastAsia="Calibri" w:cs="Calibri"/>
          <w:b/>
          <w:bCs/>
          <w:i w:val="false"/>
          <w:iCs w:val="false"/>
          <w:color w:val="3E5871"/>
          <w:sz w:val="21"/>
          <w:szCs w:val="21"/>
        </w:rPr>
        <w:t>Asking a happy family for a referral or review</w:t>
      </w:r>
    </w:p>
    <w:p>
      <w:pPr>
        <w:pStyle w:val="Normal"/>
        <w:spacing w:lineRule="exact" w:line="268" w:before="0" w:after="110"/>
        <w:jc w:val="start"/>
        <w:rPr/>
      </w:pPr>
      <w:r>
        <w:rPr>
          <w:rFonts w:eastAsia="Calibri" w:cs="Calibri"/>
          <w:b w:val="false"/>
          <w:bCs w:val="false"/>
          <w:i w:val="false"/>
          <w:iCs w:val="false"/>
          <w:color w:val="1A1A1A"/>
          <w:sz w:val="20"/>
          <w:szCs w:val="20"/>
        </w:rPr>
        <w:t>“</w:t>
      </w:r>
      <w:r>
        <w:rPr>
          <w:rFonts w:eastAsia="Calibri" w:cs="Calibri"/>
          <w:b w:val="false"/>
          <w:bCs w:val="false"/>
          <w:i w:val="false"/>
          <w:iCs w:val="false"/>
          <w:color w:val="1A1A1A"/>
          <w:sz w:val="20"/>
          <w:szCs w:val="20"/>
        </w:rPr>
        <w:t>It’s meant so much to care for [name]. If you know another family who could use support like this, we’d be honored to help — and if you have a moment, a short review online helps other families find us.”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7 — Becoming a Preferred Provider</w:t>
      </w:r>
    </w:p>
    <w:p>
      <w:pPr>
        <w:pStyle w:val="Normal"/>
        <w:spacing w:lineRule="exact" w:line="268" w:before="0" w:after="110"/>
        <w:jc w:val="start"/>
        <w:rPr/>
      </w:pPr>
      <w:r>
        <w:rPr>
          <w:rFonts w:eastAsia="Calibri" w:cs="Calibri"/>
          <w:b w:val="false"/>
          <w:bCs w:val="false"/>
          <w:i w:val="false"/>
          <w:iCs w:val="false"/>
          <w:color w:val="1A1A1A"/>
          <w:sz w:val="20"/>
          <w:szCs w:val="20"/>
        </w:rPr>
        <w:t>Getting a first referral is the beginning. The goal is to become the provider a source refers to by default — their ‘preferred’ provider. That is earned by how you perform after the referral, not by how good your pitch was. What earns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Responsiveness: answer referrals fast — same day, ideally within hours. Slow response is the number-one reason sources stop referring.</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Reliability: do what you said, when you said. Start on time, show up, and don’t drop the ball. One dropped ball can cost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Communication loop: close the loop — tell the referrer you accepted, that you started, and how it’s going (within privacy rules). Referrers love providers who keep them informed.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Good outcomes: keep clients safe and satisfied, prevent hospital readmissions, and make the referrer look good.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easy to work with: simple referral process, no drama, gracious even when you can’t take a case (and refer it on when you can’t).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Gratitude: thank referrers sincerely — a call, a note. (Keep it appropriate and lawful; see Part 11 — never pay for referrals of federally funded clients.)</w:t>
      </w:r>
    </w:p>
    <w:p>
      <w:pPr>
        <w:pStyle w:val="Normal"/>
        <w:keepNext w:val="true"/>
        <w:spacing w:before="140" w:after="60"/>
        <w:rPr/>
      </w:pPr>
      <w:r>
        <w:rPr>
          <w:rFonts w:eastAsia="Calibri" w:cs="Calibri"/>
          <w:b/>
          <w:bCs/>
          <w:i w:val="false"/>
          <w:iCs w:val="false"/>
          <w:color w:val="3E5871"/>
          <w:sz w:val="21"/>
          <w:szCs w:val="21"/>
        </w:rPr>
        <w:t>The communication loop that sets you apart</w:t>
      </w:r>
    </w:p>
    <w:p>
      <w:pPr>
        <w:pStyle w:val="Normal"/>
        <w:spacing w:lineRule="exact" w:line="268" w:before="0" w:after="110"/>
        <w:jc w:val="start"/>
        <w:rPr/>
      </w:pPr>
      <w:r>
        <w:rPr>
          <w:rFonts w:eastAsia="Calibri" w:cs="Calibri"/>
          <w:b w:val="false"/>
          <w:bCs w:val="false"/>
          <w:i w:val="false"/>
          <w:iCs w:val="false"/>
          <w:color w:val="1A1A1A"/>
          <w:sz w:val="20"/>
          <w:szCs w:val="20"/>
        </w:rPr>
        <w:t>Most providers go silent after they get a referral, which leaves the referrer wondering what happened to their client and their reputation. Do the opposite. Close the loop at three moments: when you receive the referral (‘Got it, thank you — we’re on it’), when you start (‘We started today; here’s who’s on the case’), and periodically after (‘Just so you know, things are going well’ — within privacy rules). This simple habit costs you minutes and makes you unforgettable, because it answers the referrer’s silent worry before they have to ask. Providers who close the loop become the preferred provider; providers who go silent get replaced.</w:t>
      </w:r>
    </w:p>
    <w:p>
      <w:pPr>
        <w:pStyle w:val="Normal"/>
        <w:spacing w:lineRule="exact" w:line="268" w:before="0" w:after="110"/>
        <w:jc w:val="start"/>
        <w:rPr/>
      </w:pPr>
      <w:r>
        <w:rPr>
          <w:rFonts w:eastAsia="Calibri" w:cs="Calibri"/>
          <w:b w:val="false"/>
          <w:bCs w:val="false"/>
          <w:i w:val="false"/>
          <w:iCs w:val="false"/>
          <w:color w:val="1A1A1A"/>
          <w:sz w:val="20"/>
          <w:szCs w:val="20"/>
        </w:rPr>
        <w:t>Preferred-provider status compounds in a way that’s worth understanding. The first referral is a test. If you pass — responsive, reliable, communicative — the second comes faster, and the third faster still, until the source stops thinking about who to refer to and simply thinks of you. At that point you’ve moved from ‘a provider they’ve used’ to ‘their provider,’ and a single such relationship can anchor your census. That is the whole game: turn a first referral into a default choice by never giving them a reason to look elsewhere.</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8 — Get Found: Your Online Presence</w:t>
      </w:r>
    </w:p>
    <w:p>
      <w:pPr>
        <w:pStyle w:val="Normal"/>
        <w:spacing w:lineRule="exact" w:line="268" w:before="0" w:after="110"/>
        <w:jc w:val="start"/>
        <w:rPr/>
      </w:pPr>
      <w:r>
        <w:rPr>
          <w:rFonts w:eastAsia="Calibri" w:cs="Calibri"/>
          <w:b w:val="false"/>
          <w:bCs w:val="false"/>
          <w:i w:val="false"/>
          <w:iCs w:val="false"/>
          <w:color w:val="1A1A1A"/>
          <w:sz w:val="20"/>
          <w:szCs w:val="20"/>
        </w:rPr>
        <w:t>Even referred clients check you out online before they call, and some clients find you there directly. You don’t need a big marketing budget — you need to be findable and credible.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Google Business Profile: claim and complete it — this is how you show up in local ‘[service] near me’ searches and on the map. Keep hours, phone, and service area current.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Reviews: ask satisfied families for Google reviews — they’re the modern word of mouth, and referrers check them too. Respond to every review graciously.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 clear, honest website: who you serve, what you do, your service area, and how to reach you — with a phone number that’s answered. It doesn’t need to be fancy; it needs to be clear and trustworthy.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Directories &amp; listings: list on the aging-network and referral directories your sources use (Area Agency on Aging lists, senior-referral sites, payer provider directories).</w:t>
      </w:r>
    </w:p>
    <w:p>
      <w:pPr>
        <w:pStyle w:val="Normal"/>
        <w:spacing w:lineRule="exact" w:line="268" w:before="0" w:after="110"/>
        <w:jc w:val="start"/>
        <w:rPr/>
      </w:pPr>
      <w:r>
        <w:rPr>
          <w:rFonts w:eastAsia="Calibri" w:cs="Calibri"/>
          <w:b w:val="false"/>
          <w:bCs w:val="false"/>
          <w:i w:val="false"/>
          <w:iCs w:val="false"/>
          <w:color w:val="1A1A1A"/>
          <w:sz w:val="20"/>
          <w:szCs w:val="20"/>
        </w:rPr>
        <w:t>Reviews deserve special attention, because they now do what word of mouth used to do — at scale. Families read them before they call, and referrers quietly check them too, because recommending a provider with poor reviews reflects on them. Build a gentle, consistent habit of asking satisfied families for a review at a natural moment (after a milestone, when they express gratitude), make it easy with a direct link, and respond to every review — grateful for the good ones, calm and constructive with the rare hard one. A steady trickle of genuine, recent reviews is one of the highest-return, lowest-cost things you can do, and it reinforces every referral relationship you build.</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9 — The Referral System: Your Weekly Rhythm</w:t>
      </w:r>
    </w:p>
    <w:p>
      <w:pPr>
        <w:pStyle w:val="Normal"/>
        <w:spacing w:lineRule="exact" w:line="268" w:before="0" w:after="110"/>
        <w:jc w:val="start"/>
        <w:rPr/>
      </w:pPr>
      <w:r>
        <w:rPr>
          <w:rFonts w:eastAsia="Calibri" w:cs="Calibri"/>
          <w:b w:val="false"/>
          <w:bCs w:val="false"/>
          <w:i w:val="false"/>
          <w:iCs w:val="false"/>
          <w:color w:val="1A1A1A"/>
          <w:sz w:val="20"/>
          <w:szCs w:val="20"/>
        </w:rPr>
        <w:t>Referral development fails when it’s a burst of activity that fizzles. It works when it’s a habit. Build a simple weekly rhythm and use the companion Tracker to run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Pick your Target 25. From your source list, choose the 25 highest-value sources to focus on. Depth beats breadth — 25 real relationships outperform 200 business cards.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Set a weekly outreach goal. For example: 5 new contacts and 5 follow-ups a week. Small and consistent wins.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Log every touch. Who you contacted, when, what happened, and the next step — in the Tracker. A relationship with no next step goes cold.</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Nurture on a cadence. Stay in front of your top sources regularly — a check-in, a helpful resource, a thank-you — without being a nuisance.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Block the time. Put referral outreach on your calendar like a client shift. If it’s not scheduled, it won’t happen when you get busy.</w:t>
      </w:r>
    </w:p>
    <w:p>
      <w:pPr>
        <w:pStyle w:val="Normal"/>
        <w:spacing w:lineRule="exact" w:line="268" w:before="0" w:after="110"/>
        <w:jc w:val="start"/>
        <w:rPr/>
      </w:pPr>
      <w:r>
        <w:rPr>
          <w:rFonts w:eastAsia="Calibri" w:cs="Calibri"/>
          <w:b w:val="false"/>
          <w:bCs w:val="false"/>
          <w:i w:val="false"/>
          <w:iCs w:val="false"/>
          <w:color w:val="1A1A1A"/>
          <w:sz w:val="20"/>
          <w:szCs w:val="20"/>
        </w:rPr>
        <w:t>One multiplier is worth building into every step: make it effortless to refer to you. A source will send a client to the provider who is easiest to use — the one whose number they have, whose intake takes two minutes, who answers on the first call, and who never makes them fill out a maze of forms. Audit your own referral process by pretending to be a busy discharge planner at 4:45 on a Friday: can they reach you, hand off the client, and move on in five minutes? If not, fix it. Being the easiest provider to refer to is a quiet, powerful advantage that compounds every single week.</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10 — Measure What Works and Grow</w:t>
      </w:r>
    </w:p>
    <w:p>
      <w:pPr>
        <w:pStyle w:val="Normal"/>
        <w:spacing w:lineRule="exact" w:line="268" w:before="0" w:after="110"/>
        <w:jc w:val="start"/>
        <w:rPr/>
      </w:pPr>
      <w:r>
        <w:rPr>
          <w:rFonts w:eastAsia="Calibri" w:cs="Calibri"/>
          <w:b w:val="false"/>
          <w:bCs w:val="false"/>
          <w:i w:val="false"/>
          <w:iCs w:val="false"/>
          <w:color w:val="1A1A1A"/>
          <w:sz w:val="20"/>
          <w:szCs w:val="20"/>
        </w:rPr>
        <w:t>If you’re just starting, here is a concrete first-30-days plan: Week 1 — build your source list in the Tracker and pick your Target 25. Week 2 — prepare your one-page leave-behind and your scripts, and make your first five contacts. Week 3 — hold your first meetings, listen hard, and log every touch and next step. Week 4 — follow up with everyone, thank anyone who’s helped, and add five new sources to the top of your list. Then repeat, every week. In ninety days of this, you will have real relationships forming; in six months, a referral engine.</w:t>
      </w:r>
    </w:p>
    <w:p>
      <w:pPr>
        <w:pStyle w:val="Normal"/>
        <w:spacing w:lineRule="exact" w:line="268" w:before="0" w:after="110"/>
        <w:jc w:val="start"/>
        <w:rPr/>
      </w:pPr>
      <w:r>
        <w:rPr>
          <w:rFonts w:eastAsia="Calibri" w:cs="Calibri"/>
          <w:b w:val="false"/>
          <w:bCs w:val="false"/>
          <w:i w:val="false"/>
          <w:iCs w:val="false"/>
          <w:color w:val="1A1A1A"/>
          <w:sz w:val="20"/>
          <w:szCs w:val="20"/>
        </w:rPr>
        <w:t>Track where your clients actually come from, and let the data steer you. Ask every new client (and referrer) how they found you, and record it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Track referrals by source. Which sources send clients, how many, and how often — so you know where your business really comes from.</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Watch conversion. Referrals that turn into clients — a source that sends many that don’t fit is different from one that sends a few perfect ones.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Double down on producers. Give your best sources more time and gratitude; they’re your growth engine.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Diagnose the quiet ones. A source that stopped referring is a signal — reconnect and find out why.</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Replace and expand. Keep adding new sources to the top of your list as relationships mature, so growth never stalls.</w:t>
      </w:r>
    </w:p>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11 — Common Mistakes (and the Legal Line)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Spending on ads before building relationships. Referrals convert better and cost less — start there.</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Chasing breadth over depth. A stack of business cards isn’t relationships. Focus on your Target 25.</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Pitching instead of listening. Ask what they need; don’t monologue about yourself.</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Being slow or unreliable after the referral. Performance, not pitch, keeps referrals coming. One dropped ball can end a relationship.</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Not tracking anything. If you don’t know where clients come from, you can’t grow it.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Giving up too soon. Referral relationships take months to mature — consistency wins.</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Stay on the right side of the law</w:t>
            </w:r>
          </w:p>
          <w:p>
            <w:pPr>
              <w:pStyle w:val="Normal"/>
              <w:spacing w:lineRule="exact" w:line="264" w:before="0" w:after="0"/>
              <w:rPr/>
            </w:pPr>
            <w:r>
              <w:rPr>
                <w:rFonts w:eastAsia="Calibri" w:cs="Calibri"/>
                <w:b w:val="false"/>
                <w:bCs w:val="false"/>
                <w:i w:val="false"/>
                <w:iCs w:val="false"/>
                <w:color w:val="1A1A1A"/>
                <w:sz w:val="19"/>
                <w:szCs w:val="19"/>
              </w:rPr>
              <w:t>Referral relationships must be built on trust and service — never on payment for referrals of clients covered by Medicare, Medicaid, or other federal programs. The federal Anti-Kickback Statute and related laws (and many state laws) prohibit paying or receiving anything of value for such referrals. Keep gratitude appropriate (a thank-you, not a fee), and when in doubt, consult a healthcare attorney. Ethical referral-building is also better business — it’s built to last.</w:t>
            </w:r>
          </w:p>
        </w:tc>
      </w:tr>
    </w:tbl>
    <w:p>
      <w:pPr>
        <w:pStyle w:val="Normal"/>
        <w:keepNext w:val="true"/>
        <w:spacing w:before="140" w:after="60"/>
        <w:rPr/>
      </w:pPr>
      <w:r>
        <w:rPr>
          <w:rFonts w:eastAsia="Calibri" w:cs="Calibri"/>
          <w:b/>
          <w:bCs/>
          <w:i w:val="false"/>
          <w:iCs w:val="false"/>
          <w:color w:val="3E5871"/>
          <w:sz w:val="21"/>
          <w:szCs w:val="21"/>
        </w:rPr>
        <w:t>The Referral Source Directory at a Glance</w:t>
      </w:r>
    </w:p>
    <w:p>
      <w:pPr>
        <w:pStyle w:val="Normal"/>
        <w:spacing w:lineRule="exact" w:line="268" w:before="0" w:after="110"/>
        <w:jc w:val="start"/>
        <w:rPr/>
      </w:pPr>
      <w:r>
        <w:rPr>
          <w:rFonts w:eastAsia="Calibri" w:cs="Calibri"/>
          <w:b w:val="false"/>
          <w:bCs w:val="false"/>
          <w:i w:val="false"/>
          <w:iCs w:val="false"/>
          <w:color w:val="1A1A1A"/>
          <w:sz w:val="20"/>
          <w:szCs w:val="20"/>
        </w:rPr>
        <w:t>A quick-scan checklist of sources to consider for your list (build your local version in the Tracker):</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Hospital discharge planners / case managers · ED &amp; hospital social workers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Skilled nursing &amp; rehab facility discharge planners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Primary care physicians, geriatricians &amp; relevant specialists (+ their 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Geriatric care managers / aging life care professionals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Area Agencies on Aging &amp; senior information/referral lines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County / Medicaid / waiver case managers; managed-care coordinators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Assisted living, independent living, memory care, CCRCs &amp; board-and-care homes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Hospice &amp; palliative care; home health; pharmacies; home medical equipment</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VA &amp; veteran service organizations; long-term-care insurance &amp; injury case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Elder-law attorneys, fiduciaries, financial planners &amp; trust officers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Faith communities, senior centers, support groups; funeral homes, senior realtors, move managers</w:t>
      </w:r>
    </w:p>
    <w:p>
      <w:pPr>
        <w:pStyle w:val="ListParagraph"/>
        <w:numPr>
          <w:ilvl w:val="0"/>
          <w:numId w:val="0"/>
        </w:numPr>
        <w:spacing w:lineRule="exact" w:line="268" w:before="0" w:after="60"/>
        <w:ind w:hanging="0" w:start="0"/>
        <w:rPr/>
      </w:pPr>
      <w:r>
        <w:rPr>
          <w:rFonts w:eastAsia="Calibri" w:cs="Calibri"/>
          <w:b w:val="false"/>
          <w:bCs w:val="false"/>
          <w:i w:val="false"/>
          <w:iCs w:val="false"/>
          <w:color w:val="1A1A1A"/>
          <w:sz w:val="20"/>
          <w:szCs w:val="20"/>
        </w:rPr>
        <w:t>Past &amp; current clients and families; your own caregivers and staff</w:t>
      </w:r>
    </w:p>
    <w:p>
      <w:pPr>
        <w:pStyle w:val="Normal"/>
        <w:keepNext w:val="true"/>
        <w:spacing w:before="140" w:after="60"/>
        <w:rPr/>
      </w:pPr>
      <w:r>
        <w:rPr>
          <w:rFonts w:eastAsia="Calibri" w:cs="Calibri"/>
          <w:b/>
          <w:bCs/>
          <w:i w:val="false"/>
          <w:iCs w:val="false"/>
          <w:color w:val="3E5871"/>
          <w:sz w:val="21"/>
          <w:szCs w:val="21"/>
        </w:rPr>
        <w:t>Putting It to Work</w:t>
      </w:r>
    </w:p>
    <w:p>
      <w:pPr>
        <w:pStyle w:val="Normal"/>
        <w:spacing w:lineRule="exact" w:line="268" w:before="0" w:after="110"/>
        <w:jc w:val="start"/>
        <w:rPr/>
      </w:pPr>
      <w:r>
        <w:rPr>
          <w:rFonts w:eastAsia="Calibri" w:cs="Calibri"/>
          <w:b w:val="false"/>
          <w:bCs w:val="false"/>
          <w:i w:val="false"/>
          <w:iCs w:val="false"/>
          <w:color w:val="1A1A1A"/>
          <w:sz w:val="20"/>
          <w:szCs w:val="20"/>
        </w:rPr>
        <w:t>Referrals aren’t luck — they’re a system. Build your source list, focus on your Target 25, learn what each one needs, reach out consistently, deliver so well they refer again, and track what works. Do it as a weekly habit and it compounds into a steady stream of pre-trusted clients. Open the companion worksheets in Part Three and start building your list today.</w:t>
      </w:r>
    </w:p>
    <w:tbl>
      <w:tblPr>
        <w:tblW w:w="9360" w:type="dxa"/>
        <w:jc w:val="start"/>
        <w:tblInd w:w="0" w:type="dxa"/>
        <w:tblLayout w:type="fixed"/>
        <w:tblCellMar>
          <w:top w:w="120" w:type="dxa"/>
          <w:start w:w="160" w:type="dxa"/>
          <w:bottom w:w="120" w:type="dxa"/>
          <w:end w:w="160" w:type="dxa"/>
        </w:tblCellMar>
      </w:tblPr>
      <w:tblGrid>
        <w:gridCol w:w="9360"/>
      </w:tblGrid>
      <w:tr>
        <w:trPr/>
        <w:tc>
          <w:tcPr>
            <w:tcW w:w="9360" w:type="dxa"/>
            <w:tcBorders>
              <w:top w:val="single" w:sz="6" w:space="0" w:color="D8B37A"/>
              <w:start w:val="single" w:sz="6" w:space="0" w:color="D8B37A"/>
              <w:bottom w:val="single" w:sz="6" w:space="0" w:color="D8B37A"/>
              <w:end w:val="single" w:sz="6" w:space="0" w:color="D8B37A"/>
            </w:tcBorders>
            <w:shd w:color="auto" w:fill="FBF3E7" w:val="clear"/>
          </w:tcPr>
          <w:p>
            <w:pPr>
              <w:pStyle w:val="Normal"/>
              <w:spacing w:before="0" w:after="40"/>
              <w:rPr/>
            </w:pPr>
            <w:r>
              <w:rPr>
                <w:rFonts w:eastAsia="Calibri" w:cs="Calibri"/>
                <w:b/>
                <w:bCs/>
                <w:i w:val="false"/>
                <w:iCs w:val="false"/>
                <w:color w:val="8A5A1A"/>
                <w:sz w:val="19"/>
                <w:szCs w:val="19"/>
              </w:rPr>
              <w:t>Your next step</w:t>
            </w:r>
          </w:p>
          <w:p>
            <w:pPr>
              <w:pStyle w:val="Normal"/>
              <w:spacing w:lineRule="exact" w:line="264" w:before="0" w:after="0"/>
              <w:rPr/>
            </w:pPr>
            <w:r>
              <w:rPr>
                <w:rFonts w:eastAsia="Calibri" w:cs="Calibri"/>
                <w:b w:val="false"/>
                <w:bCs w:val="false"/>
                <w:i w:val="false"/>
                <w:iCs w:val="false"/>
                <w:color w:val="1A1A1A"/>
                <w:sz w:val="19"/>
                <w:szCs w:val="19"/>
              </w:rPr>
              <w:t>Turn to the worksheets in Part Three, list every referral source you can think of near you, star your Target 25, and schedule your first five outreach contacts this week. Momentum starts with one conversation.</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Two — The Tennessee Referral Directory</w:t>
      </w:r>
    </w:p>
    <w:p>
      <w:pPr>
        <w:pStyle w:val="Normal"/>
        <w:spacing w:lineRule="exact" w:line="268" w:before="0" w:after="110"/>
        <w:jc w:val="start"/>
        <w:rPr/>
      </w:pPr>
      <w:r>
        <w:rPr>
          <w:rFonts w:eastAsia="Calibri" w:cs="Calibri"/>
          <w:b w:val="false"/>
          <w:bCs w:val="false"/>
          <w:i w:val="false"/>
          <w:iCs w:val="false"/>
          <w:color w:val="1A1A1A"/>
          <w:sz w:val="20"/>
          <w:szCs w:val="20"/>
        </w:rPr>
        <w:t>Start with the statewide agencies and payers every Tennessee personal support services agency works with, then use the metro target lists that follow to build your local referral network. Verify each contact before you rely on it.</w:t>
      </w:r>
    </w:p>
    <w:p>
      <w:pPr>
        <w:pStyle w:val="Normal"/>
        <w:shd w:val="clear" w:color="auto" w:fill="1F3A5F"/>
        <w:spacing w:before="24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Statewide Agencies, Payers &amp; Reporting  </w:t>
      </w:r>
    </w:p>
    <w:tbl>
      <w:tblPr>
        <w:tblW w:w="9360" w:type="dxa"/>
        <w:jc w:val="start"/>
        <w:tblInd w:w="0" w:type="dxa"/>
        <w:tblLayout w:type="fixed"/>
        <w:tblCellMar>
          <w:top w:w="55" w:type="dxa"/>
          <w:start w:w="100" w:type="dxa"/>
          <w:bottom w:w="55" w:type="dxa"/>
          <w:end w:w="100" w:type="dxa"/>
        </w:tblCellMar>
      </w:tblPr>
      <w:tblGrid>
        <w:gridCol w:w="2600"/>
        <w:gridCol w:w="6759"/>
      </w:tblGrid>
      <w:tr>
        <w:trPr>
          <w:tblHeader w:val="true"/>
        </w:trPr>
        <w:tc>
          <w:tcPr>
            <w:tcW w:w="260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Source</w:t>
            </w:r>
          </w:p>
        </w:tc>
        <w:tc>
          <w:tcPr>
            <w:tcW w:w="675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Why they refer · how to reach them</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TDMHSAS — Office of Licensure (PSSA licensing)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tn.gov/behavioral-health/licensing.html · regional offices (East / Middle / West); West TN e.g. 731-984-9684</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TennCare — CHOICES (long-term services &amp; supports)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tn.gov/tenncare/long-term-services-supports/choices.html</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TennCare EVV (open model — Sandata aggregator)</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Confirm the EVV system with each contracted managed care organization (some use CareBridge)</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TN Secretary of State (business registration)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615-741-2286 · sos.tn.gov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TN Department of Revenue (business tax)</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615-253-0600 · tn.gov/revenue</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TN Department of Labor &amp; Workforce Development</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844-224-5818 · tn.gov/workforce</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Adult Protective Services (report abuse/neglect/exploitation)</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1-888-277-8366 (24/7) · 911 if in immediate danger</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TN Dept of Children’s Services (child abuse reporting)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1-877-237-0004</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Area Agencies on Aging &amp; Disability (aging network / CHOICES screening)</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1-866-836-6678 · tn.gov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Eldercare Locator (national)</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r>
        <w:trPr/>
        <w:tc>
          <w:tcPr>
            <w:tcW w:w="2600" w:type="dxa"/>
            <w:tcBorders>
              <w:top w:val="single" w:sz="4" w:space="0" w:color="9DB1C7"/>
              <w:start w:val="single" w:sz="4" w:space="0" w:color="9DB1C7"/>
              <w:bottom w:val="single" w:sz="4" w:space="0" w:color="9DB1C7"/>
              <w:end w:val="single" w:sz="4" w:space="0" w:color="9DB1C7"/>
            </w:tcBorders>
            <w:shd w:color="auto" w:fill="EAF0F6" w:val="clear"/>
            <w:tcMar>
              <w:top w:w="50" w:type="dxa"/>
              <w:bottom w:w="50" w:type="dxa"/>
            </w:tcMar>
          </w:tcPr>
          <w:p>
            <w:pPr>
              <w:pStyle w:val="Normal"/>
              <w:spacing w:lineRule="exact" w:line="268" w:before="0" w:after="0"/>
              <w:jc w:val="start"/>
              <w:rPr/>
            </w:pPr>
            <w:r>
              <w:rPr>
                <w:rFonts w:eastAsia="Calibri" w:cs="Calibri"/>
                <w:b/>
                <w:bCs/>
                <w:i w:val="false"/>
                <w:iCs w:val="false"/>
                <w:color w:val="3E5871"/>
                <w:sz w:val="15"/>
                <w:szCs w:val="15"/>
              </w:rPr>
              <w:t>U.S. Dept of Veterans Affairs (veteran in-home benefits)</w:t>
            </w:r>
          </w:p>
        </w:tc>
        <w:tc>
          <w:tcPr>
            <w:tcW w:w="6759" w:type="dxa"/>
            <w:tcBorders>
              <w:top w:val="single" w:sz="4" w:space="0" w:color="9DB1C7"/>
              <w:start w:val="single" w:sz="4" w:space="0" w:color="9DB1C7"/>
              <w:bottom w:val="single" w:sz="4" w:space="0" w:color="9DB1C7"/>
              <w:end w:val="single" w:sz="4" w:space="0" w:color="9DB1C7"/>
            </w:tcBorders>
            <w:tcMar>
              <w:top w:w="50" w:type="dxa"/>
              <w:bottom w:w="50" w:type="dxa"/>
            </w:tcMar>
          </w:tcPr>
          <w:p>
            <w:pPr>
              <w:pStyle w:val="Normal"/>
              <w:spacing w:lineRule="exact" w:line="268" w:before="0" w:after="0"/>
              <w:jc w:val="start"/>
              <w:rPr/>
            </w:pPr>
            <w:r>
              <w:rPr>
                <w:rFonts w:eastAsia="Calibri" w:cs="Calibri"/>
                <w:b w:val="false"/>
                <w:bCs w:val="false"/>
                <w:i w:val="false"/>
                <w:iCs w:val="false"/>
                <w:color w:val="1A1A1A"/>
                <w:sz w:val="15"/>
                <w:szCs w:val="15"/>
              </w:rPr>
              <w:t>1-877-222-8387 · va.gov</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Nashville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TriStar Centennial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2300 Patterson St, Nashville 37203 · 615-342-1000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Vanderbilt University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1211 Medical Center Dr, Nashville 37232 · 615-322-5000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Ascension Saint Thomas Hospital Midtown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2000 Church St, Nashville 37203 · 615-284-5555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Nashville General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1818 Albion St, Nashville 37208 · 615-341-4000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Green Hills Center for Rehabilitation &amp; Healing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3939 Hillsboro Cir, Nashville 37215 · 615-297-2100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Nashville Center for Rehabilitation &amp; Healing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832 Wedgewood Ave, Nashville 37203 · 615-806-8800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Trevecca Center for Rehabilitation &amp; Healing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329 Murfreesboro Pike, Nashville 37210 · 615-244-6900</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Alive Hospice Residence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1710 Patterson St, Nashville 37203 · 615-346-8704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Caris Healthcare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2525 Perimeter Pl Dr #129, Nashville 37214 · 615-366-9952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Gentiva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7135 Charlotte Pike, Nashville 37209 · 615-889-5995</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Clarendale West End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3416 Park Dr, Nashville 37203 · 629-222-9221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Belmont Village Senior Living Green Hills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4206 Stammer Pl, Nashville 37215 · 615-527-5149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Clarendale at Bellevue Place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7632 Hwy 70 S, Nashville 37221 · 615-640-4083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Blakeford at Green Hills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 Burton Hills Blvd, Nashville 37215 · 615-665-9505</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Highland Hills Funeral Home &amp; Crematory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2422 Brick Church Pike, Nashville 37207 · 615-650-5555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Spring Hill Funeral Home &amp; Cemetery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5110 Gallatin Pike S, Nashville 37216 · 615-866-1419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Phillips-Robinson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2707 Gallatin Pike, Nashville 37216 · 615-262-3312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Woodlawn-Roesch-Patton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660 Thompson Ln, Nashville 37204 · 615-383-4754</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Law of Nashville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4235 Hillsboro Pike, Nashville 37215 · 615-852-5602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Silva Law,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901 Woodland St #104, Nashville 37206 · 615-258-5541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Johnson McGinnis Elder Care Law &amp; Estate Planning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104 Wyncrest Way #100, Hendersonville 37075 · 615-824-2571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Joe Dughman &amp; Associates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3817 Bedford Ave #220, Nashville 37215 · 615-244-3331</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Options Care Management, 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2183 Hillsboro Rd #204, Franklin 37069 · 615-397-1078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Geriatric Health and Care Management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2018 Cedarmont Dr, Franklin 37067 · 615-879-9947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Care Authority — Nashville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5543 Edmondson Pike #83, Nashville 37211 · 615-450-0044</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Memphis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Baptist Memorial Hospital-Memphis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6019 Walnut Grove Rd, Memphis 38120 · 901-226-5000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Methodist University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1265 Union Ave, Memphis 38104 · 901-516-7000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Saint Francis Hospital-Memphis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5959 Park Ave, Memphis 38119 · 901-765-1000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Regional One Health</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877 Jefferson Ave, Memphis 38103 · 901-545-7100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Shelby Oaks Post 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5070 Sanderlin Ave, Memphis 38117 · 901-682-5677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Harborview Post Acute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1513 N 2nd St, Memphis 38107 · 901-272-2494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Rainbow Rehab and Healthcare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8119 Memphis Arlington Rd, Bartlett 38133 · 901-937-6302</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Methodist Hospice Residence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6416 Quince Rd, Memphis 38119 · 901-818-2100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Baptist Reynolds Hospice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1520 W Poplar Ave, Collierville 38017 · 901-861-5700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Caris Healthcare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7953 Stage Hills Blvd #107, Bartlett 38133 · 901-465-2120</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Belmont Village Senior Living Memphis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6605 N Quail Hollow Rd, Memphis 38120 · 901-617-7501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Opus East Memphis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1029 Cherry Rd, Memphis 38117 · 901-459-5437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South Breeze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3168 Hacks Cross Rd, Memphis 38125 · 901-748-1757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Town Village Audubon Park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950 Cherry Rd, Memphis 38117 · 901-614-4423</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Memphis Funeral Home &amp; Memorial Gardens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3700 N Germantown Pkwy, Bartlett 38133 · 901-725-0100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Memorial Park Funeral Home &amp; Cemetery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5668 Poplar Ave, Memphis 38120 · 901-302-9980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 J. Edwards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1165 Airways Blvd, Memphis 38114 · 901-327-9360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Memphis Funeral Home (Poplar)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5599 Poplar Ave, Memphis 38119 · 901-725-0100</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Elderlaw Memphis — William King Self, Jr.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5170 Sanderlin Ave #201, Memphis 38117 · 901-603-8730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Bailey Law Firm</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5100 Wheelis Dr #215, Memphis 38117 · 901-843-2760</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Senior Care Management Solutions Inc.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5498 Poplar Ave Ste 3, Memphis 38119 · 901-387-3837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Aging Commission of the Mid-South (AAAD, West TN)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Reach through the statewide AAAD network · 1-866-836-6678</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Knoxville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University of Tennessee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1924 Alcoa Hwy, Knoxville 37920 · 865-305-9000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Fort Sanders Regional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1901 Clinch Ave, Knoxville 37916 · 865-331-1111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North Knoxville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7565 Dannaher Dr, Powell 37849 · 865-859-8000</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Beverly Park Place Health and Rehab</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5321 Beverly Park Circle, Knoxville 37918 · 865-687-1321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Creekview Health and Rehabilitation</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3300 N Broadway, Knoxville 37917 · 865-686-7300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Lyonsview Health &amp; Rehabilitation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5837 Lyons View Pike, Knoxville 37919 · 865-584-3902</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Sacred Ground Hospice House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1120 Dry Gap Pike, Knoxville 37918 · 865-659-2606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UT Medical Center Hospice Services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4435 Valley View Dr NE #104, Knoxville 37917 · 865-544-6222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Amedisys Hospice 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1420 Dutch Valley Dr Ste C, Knoxville 37918 · 865-689-7123</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Windsor Ridge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5611 Central Ave Pike, Knoxville 37912 · 865-688-4840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Morning Pointe of Knoxville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9649 Westland Dr, Knoxville 37922 · 865-223-6422</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Rain Forest Landings</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555 Rain Forest Rd, Knoxville 37923 · 865-200-8238</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Mynatt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2829 Rennoc Rd, Knoxville 37918 · 865-688-2331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Berry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3704 Chapman Hwy, Knoxville 37920 · 865-577-6666</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Bridges Funeral Home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5430 Rutledge Pike, Knoxville 37924 · 865-523-4999</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 Care Law of Tennessee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903 Hall of Fame Dr, Knoxville 37917 · 865-951-2410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Knoxville Elder Law — Dustin S. Crouse, Esq.</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9111 Cross Park Dr D200, Knoxville 37923 · 865-691-3355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Franklin &amp; Kyle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4931 Homberg Dr, Knoxville 37919 · 865-588-3700</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East Tennessee Area Agency on Aging &amp; Disability</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Aging network / CHOICES screening · 1-866-836-6678</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Eldercare Locator (placement help)</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1-800-677-1116 · eldercare.acl.gov</w:t>
            </w:r>
          </w:p>
        </w:tc>
      </w:tr>
    </w:tbl>
    <w:p>
      <w:pPr>
        <w:pStyle w:val="Normal"/>
        <w:rPr/>
      </w:pPr>
      <w:r>
        <w:rPr/>
      </w:r>
      <w:r>
        <w:br w:type="page"/>
      </w:r>
    </w:p>
    <w:p>
      <w:pPr>
        <w:pStyle w:val="Normal"/>
        <w:shd w:val="clear" w:color="auto" w:fill="1F3A5F"/>
        <w:spacing w:before="0" w:after="170"/>
        <w:rPr/>
      </w:pPr>
      <w:r>
        <w:rPr>
          <w:rFonts w:eastAsia="Calibri" w:cs="Calibri"/>
          <w:b/>
          <w:bCs/>
          <w:i w:val="false"/>
          <w:iCs w:val="false"/>
          <w:color w:val="FFFFFF"/>
          <w:sz w:val="30"/>
          <w:szCs w:val="30"/>
        </w:rPr>
        <w:t xml:space="preserve">  </w:t>
      </w:r>
      <w:r>
        <w:rPr>
          <w:rFonts w:eastAsia="Calibri" w:cs="Calibri"/>
          <w:b/>
          <w:bCs/>
          <w:i w:val="false"/>
          <w:iCs w:val="false"/>
          <w:color w:val="FFFFFF"/>
          <w:sz w:val="30"/>
          <w:szCs w:val="30"/>
        </w:rPr>
        <w:t xml:space="preserve">Referral Target List — Chattanooga (Verified Named Partners)  </w:t>
      </w:r>
    </w:p>
    <w:p>
      <w:pPr>
        <w:pStyle w:val="Normal"/>
        <w:keepNext w:val="true"/>
        <w:spacing w:before="140" w:after="60"/>
        <w:rPr/>
      </w:pPr>
      <w:r>
        <w:rPr>
          <w:rFonts w:eastAsia="Calibri" w:cs="Calibri"/>
          <w:b/>
          <w:bCs/>
          <w:i w:val="false"/>
          <w:iCs w:val="false"/>
          <w:color w:val="3E5871"/>
          <w:sz w:val="21"/>
          <w:szCs w:val="21"/>
        </w:rPr>
        <w:t>Hospitals (discharge planning / case management)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Erlanger Baroness Hospital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975 E 3rd St, Chattanooga 37403 · 423-778-7000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CommonSpirit — Memorial Hospital Chattanooga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2525 Desales Ave, Chattanooga 37404 · 423-495-2525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Parkridge Medical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2333 McCallie Ave, Chattanooga 37404 · 423-698-6061</w:t>
            </w:r>
          </w:p>
        </w:tc>
      </w:tr>
    </w:tbl>
    <w:p>
      <w:pPr>
        <w:pStyle w:val="Normal"/>
        <w:keepNext w:val="true"/>
        <w:spacing w:before="140" w:after="60"/>
        <w:rPr/>
      </w:pPr>
      <w:r>
        <w:rPr>
          <w:rFonts w:eastAsia="Calibri" w:cs="Calibri"/>
          <w:b/>
          <w:bCs/>
          <w:i w:val="false"/>
          <w:iCs w:val="false"/>
          <w:color w:val="3E5871"/>
          <w:sz w:val="21"/>
          <w:szCs w:val="21"/>
        </w:rPr>
        <w:t>Skilled nursing &amp; rehabilitation facilities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Life Care Center of Red Bank</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1020 Runyan Dr, Chattanooga 37405 · 423-877-1155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NHC Healthcare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2700 Parkwood Ave, Chattanooga 37404 · 423-624-1533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The Health Center at Standifer Place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2626 Walker Rd, Chattanooga 37421 · 423-490-1599</w:t>
            </w:r>
          </w:p>
        </w:tc>
      </w:tr>
    </w:tbl>
    <w:p>
      <w:pPr>
        <w:pStyle w:val="Normal"/>
        <w:keepNext w:val="true"/>
        <w:spacing w:before="140" w:after="60"/>
        <w:rPr/>
      </w:pPr>
      <w:r>
        <w:rPr>
          <w:rFonts w:eastAsia="Calibri" w:cs="Calibri"/>
          <w:b/>
          <w:bCs/>
          <w:i w:val="false"/>
          <w:iCs w:val="false"/>
          <w:color w:val="3E5871"/>
          <w:sz w:val="21"/>
          <w:szCs w:val="21"/>
        </w:rPr>
        <w:t>Hospices (two-way referral partners)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of Chattanooga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2030 Hamilton Pl Blvd #220, Chattanooga 37421 · 423-892-4289</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Hearth Hospice</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811 Broad St, Chattanooga 37402 · 423-531-6555</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Hospice Care Center</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937 Blackford St, Chattanooga 37403 · 423-702-9419</w:t>
            </w:r>
          </w:p>
        </w:tc>
      </w:tr>
    </w:tbl>
    <w:p>
      <w:pPr>
        <w:pStyle w:val="Normal"/>
        <w:keepNext w:val="true"/>
        <w:spacing w:before="140" w:after="60"/>
        <w:rPr/>
      </w:pPr>
      <w:r>
        <w:rPr>
          <w:rFonts w:eastAsia="Calibri" w:cs="Calibri"/>
          <w:b/>
          <w:bCs/>
          <w:i w:val="false"/>
          <w:iCs w:val="false"/>
          <w:color w:val="3E5871"/>
          <w:sz w:val="21"/>
          <w:szCs w:val="21"/>
        </w:rPr>
        <w:t>Assisted living &amp; senior living communities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Morning Pointe of Chattanooga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7719 Shallowford Rd, Chattanooga 37421 · 423-296-0097</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Charter Senior Living of Chattanooga</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825 Runyan Dr, Chattanooga 37405 · 423-556-8373</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Red Stone Estates Senior Living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6653 Palms Ct, Chattanooga 37421 · 423-401-2086</w:t>
            </w:r>
          </w:p>
        </w:tc>
      </w:tr>
    </w:tbl>
    <w:p>
      <w:pPr>
        <w:pStyle w:val="Normal"/>
        <w:keepNext w:val="true"/>
        <w:spacing w:before="140" w:after="60"/>
        <w:rPr/>
      </w:pPr>
      <w:r>
        <w:rPr>
          <w:rFonts w:eastAsia="Calibri" w:cs="Calibri"/>
          <w:b/>
          <w:bCs/>
          <w:i w:val="false"/>
          <w:iCs w:val="false"/>
          <w:color w:val="3E5871"/>
          <w:sz w:val="21"/>
          <w:szCs w:val="21"/>
        </w:rPr>
        <w:t>Funeral homes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Heritage Funeral Home — East Brainerd</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7454 E Brainerd Rd, Chattanooga 37421 · 423-894-2010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Lane Funeral Home — Coulter Chapel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601 Ashland Terrace, Chattanooga 37415 · 423-877-3524</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Chattanooga Funeral Home — North Chapel</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5401 TN-153, Hixson 37343 · 423-698-2541</w:t>
            </w:r>
          </w:p>
        </w:tc>
      </w:tr>
    </w:tbl>
    <w:p>
      <w:pPr>
        <w:pStyle w:val="Normal"/>
        <w:keepNext w:val="true"/>
        <w:spacing w:before="140" w:after="60"/>
        <w:rPr/>
      </w:pPr>
      <w:r>
        <w:rPr>
          <w:rFonts w:eastAsia="Calibri" w:cs="Calibri"/>
          <w:b/>
          <w:bCs/>
          <w:i w:val="false"/>
          <w:iCs w:val="false"/>
          <w:color w:val="3E5871"/>
          <w:sz w:val="21"/>
          <w:szCs w:val="21"/>
        </w:rPr>
        <w:t>Elder-law attorneys</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Nancy A. Cogar, Esq. — Estate Planning &amp; Elder Law</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130 Jordan Dr, Chattanooga 37421 · 423-596-7220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Buhrman Law Firm, P.C.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345 Frazier Ave #210, Chattanooga 37405 · 423-266-5691</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Jelks Law, PLLC</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1615 Bailey Ave, Chattanooga 37404 · 423-602-2230</w:t>
            </w:r>
          </w:p>
        </w:tc>
      </w:tr>
    </w:tbl>
    <w:p>
      <w:pPr>
        <w:pStyle w:val="Normal"/>
        <w:keepNext w:val="true"/>
        <w:spacing w:before="140" w:after="60"/>
        <w:rPr/>
      </w:pPr>
      <w:r>
        <w:rPr>
          <w:rFonts w:eastAsia="Calibri" w:cs="Calibri"/>
          <w:b/>
          <w:bCs/>
          <w:i w:val="false"/>
          <w:iCs w:val="false"/>
          <w:color w:val="3E5871"/>
          <w:sz w:val="21"/>
          <w:szCs w:val="21"/>
        </w:rPr>
        <w:t>Geriatric care managers &amp; senior placement</w:t>
      </w:r>
    </w:p>
    <w:tbl>
      <w:tblPr>
        <w:tblW w:w="9360" w:type="dxa"/>
        <w:jc w:val="start"/>
        <w:tblInd w:w="0" w:type="dxa"/>
        <w:tblLayout w:type="fixed"/>
        <w:tblCellMar>
          <w:top w:w="50" w:type="dxa"/>
          <w:start w:w="100" w:type="dxa"/>
          <w:bottom w:w="50" w:type="dxa"/>
          <w:end w:w="100" w:type="dxa"/>
        </w:tblCellMar>
      </w:tblPr>
      <w:tblGrid>
        <w:gridCol w:w="3650"/>
        <w:gridCol w:w="5709"/>
      </w:tblGrid>
      <w:tr>
        <w:trPr>
          <w:tblHeader w:val="true"/>
        </w:trPr>
        <w:tc>
          <w:tcPr>
            <w:tcW w:w="3650"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Resource</w:t>
            </w:r>
          </w:p>
        </w:tc>
        <w:tc>
          <w:tcPr>
            <w:tcW w:w="5709" w:type="dxa"/>
            <w:tcBorders>
              <w:top w:val="single" w:sz="4" w:space="0" w:color="9DB1C7"/>
              <w:start w:val="single" w:sz="4" w:space="0" w:color="9DB1C7"/>
              <w:bottom w:val="single" w:sz="4" w:space="0" w:color="9DB1C7"/>
              <w:end w:val="single" w:sz="4" w:space="0" w:color="9DB1C7"/>
            </w:tcBorders>
            <w:shd w:fill="3E5871" w:val="clear"/>
          </w:tcPr>
          <w:p>
            <w:pPr>
              <w:pStyle w:val="Normal"/>
              <w:spacing w:lineRule="exact" w:line="268" w:before="0" w:after="0"/>
              <w:jc w:val="start"/>
              <w:rPr/>
            </w:pPr>
            <w:r>
              <w:rPr>
                <w:rFonts w:eastAsia="Calibri" w:cs="Calibri"/>
                <w:b/>
                <w:bCs/>
                <w:i w:val="false"/>
                <w:iCs w:val="false"/>
                <w:color w:val="FFFFFF"/>
                <w:sz w:val="16"/>
                <w:szCs w:val="16"/>
              </w:rPr>
              <w:t>Phone · website · notes</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Eldernav LLC (geriatric care management)</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100 Cherokee Blvd #3005, Chattanooga 37405 · 423-718-7940</w:t>
            </w:r>
          </w:p>
        </w:tc>
      </w:tr>
      <w:tr>
        <w:trPr/>
        <w:tc>
          <w:tcPr>
            <w:tcW w:w="3650" w:type="dxa"/>
            <w:tcBorders>
              <w:top w:val="single" w:sz="4" w:space="0" w:color="9DB1C7"/>
              <w:start w:val="single" w:sz="4" w:space="0" w:color="9DB1C7"/>
              <w:bottom w:val="single" w:sz="4" w:space="0" w:color="9DB1C7"/>
              <w:end w:val="single" w:sz="4" w:space="0" w:color="9DB1C7"/>
            </w:tcBorders>
            <w:shd w:color="auto" w:fill="EAF0F6" w:val="clear"/>
            <w:tcMar>
              <w:top w:w="55" w:type="dxa"/>
              <w:bottom w:w="55" w:type="dxa"/>
            </w:tcMar>
          </w:tcPr>
          <w:p>
            <w:pPr>
              <w:pStyle w:val="Normal"/>
              <w:spacing w:lineRule="exact" w:line="268" w:before="0" w:after="0"/>
              <w:jc w:val="start"/>
              <w:rPr/>
            </w:pPr>
            <w:r>
              <w:rPr>
                <w:rFonts w:eastAsia="Calibri" w:cs="Calibri"/>
                <w:b/>
                <w:bCs/>
                <w:i w:val="false"/>
                <w:iCs w:val="false"/>
                <w:color w:val="3E5871"/>
                <w:sz w:val="15"/>
                <w:szCs w:val="15"/>
              </w:rPr>
              <w:t>CommonSpirit Medical Group — Healthy Aging</w:t>
            </w:r>
          </w:p>
        </w:tc>
        <w:tc>
          <w:tcPr>
            <w:tcW w:w="5709" w:type="dxa"/>
            <w:tcBorders>
              <w:top w:val="single" w:sz="4" w:space="0" w:color="9DB1C7"/>
              <w:start w:val="single" w:sz="4" w:space="0" w:color="9DB1C7"/>
              <w:bottom w:val="single" w:sz="4" w:space="0" w:color="9DB1C7"/>
              <w:end w:val="single" w:sz="4" w:space="0" w:color="9DB1C7"/>
            </w:tcBorders>
            <w:tcMar>
              <w:top w:w="55" w:type="dxa"/>
              <w:bottom w:w="55" w:type="dxa"/>
            </w:tcMar>
          </w:tcPr>
          <w:p>
            <w:pPr>
              <w:pStyle w:val="Normal"/>
              <w:spacing w:lineRule="exact" w:line="268" w:before="0" w:after="0"/>
              <w:jc w:val="start"/>
              <w:rPr/>
            </w:pPr>
            <w:r>
              <w:rPr>
                <w:rFonts w:eastAsia="Calibri" w:cs="Calibri"/>
                <w:b w:val="false"/>
                <w:bCs w:val="false"/>
                <w:i w:val="false"/>
                <w:iCs w:val="false"/>
                <w:color w:val="1A1A1A"/>
                <w:sz w:val="15"/>
                <w:szCs w:val="15"/>
              </w:rPr>
              <w:t>725 Glenwood Dr Ste E-786, Chattanooga 37404 · 423-682-8150</w:t>
            </w:r>
          </w:p>
        </w:tc>
      </w:tr>
    </w:tbl>
    <w:p>
      <w:pPr>
        <w:pStyle w:val="Normal"/>
        <w:rPr/>
      </w:pPr>
      <w:r>
        <w:rPr/>
      </w:r>
      <w:r>
        <w:br w:type="page"/>
      </w:r>
    </w:p>
    <w:p>
      <w:pPr>
        <w:pStyle w:val="Normal"/>
        <w:keepNext w:val="true"/>
        <w:spacing w:before="0" w:after="90"/>
        <w:rPr/>
      </w:pPr>
      <w:r>
        <w:rPr>
          <w:rFonts w:eastAsia="Calibri" w:cs="Calibri"/>
          <w:b/>
          <w:bCs/>
          <w:i w:val="false"/>
          <w:iCs w:val="false"/>
          <w:color w:val="1F3A5F"/>
          <w:sz w:val="26"/>
          <w:szCs w:val="26"/>
        </w:rPr>
        <w:t>Part Three — The Referral Toolkit</w:t>
      </w:r>
    </w:p>
    <w:p>
      <w:pPr>
        <w:pStyle w:val="Normal"/>
        <w:spacing w:lineRule="exact" w:line="268" w:before="0" w:after="110"/>
        <w:jc w:val="start"/>
        <w:rPr/>
      </w:pPr>
      <w:r>
        <w:rPr>
          <w:rFonts w:eastAsia="Calibri" w:cs="Calibri"/>
          <w:b w:val="false"/>
          <w:bCs w:val="false"/>
          <w:i w:val="false"/>
          <w:iCs w:val="false"/>
          <w:color w:val="1A1A1A"/>
          <w:sz w:val="20"/>
          <w:szCs w:val="20"/>
        </w:rPr>
        <w:t>Use these worksheets to turn the directory into a working referral pipeline. Copy them, fill them in, and work them every week.</w:t>
      </w:r>
    </w:p>
    <w:p>
      <w:pPr>
        <w:pStyle w:val="Normal"/>
        <w:shd w:val="clear" w:color="auto" w:fill="1F3A5F"/>
        <w:spacing w:before="4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Referral Target List  </w:t>
      </w:r>
    </w:p>
    <w:p>
      <w:pPr>
        <w:pStyle w:val="Normal"/>
        <w:spacing w:lineRule="exact" w:line="268" w:before="60" w:after="120"/>
        <w:jc w:val="start"/>
        <w:rPr/>
      </w:pPr>
      <w:r>
        <w:rPr>
          <w:rFonts w:eastAsia="Calibri" w:cs="Calibri"/>
          <w:b w:val="false"/>
          <w:bCs w:val="false"/>
          <w:i/>
          <w:iCs/>
          <w:color w:val="555555"/>
          <w:sz w:val="19"/>
          <w:szCs w:val="19"/>
        </w:rPr>
        <w:t>List the partners you will pursue this month, by category and priority. Pull names from Part Two.</w:t>
      </w:r>
    </w:p>
    <w:tbl>
      <w:tblPr>
        <w:tblW w:w="9360" w:type="dxa"/>
        <w:jc w:val="start"/>
        <w:tblInd w:w="0" w:type="dxa"/>
        <w:tblLayout w:type="fixed"/>
        <w:tblCellMar>
          <w:top w:w="45" w:type="dxa"/>
          <w:start w:w="80" w:type="dxa"/>
          <w:bottom w:w="45" w:type="dxa"/>
          <w:end w:w="80" w:type="dxa"/>
        </w:tblCellMar>
      </w:tblPr>
      <w:tblGrid>
        <w:gridCol w:w="2999"/>
        <w:gridCol w:w="2101"/>
        <w:gridCol w:w="2599"/>
        <w:gridCol w:w="1660"/>
      </w:tblGrid>
      <w:tr>
        <w:trPr>
          <w:tblHeader w:val="true"/>
        </w:trPr>
        <w:tc>
          <w:tcPr>
            <w:tcW w:w="29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 organization</w:t>
            </w:r>
          </w:p>
        </w:tc>
        <w:tc>
          <w:tcPr>
            <w:tcW w:w="21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Category</w:t>
            </w:r>
          </w:p>
        </w:tc>
        <w:tc>
          <w:tcPr>
            <w:tcW w:w="2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Contact &amp; phone</w:t>
            </w:r>
          </w:p>
        </w:tc>
        <w:tc>
          <w:tcPr>
            <w:tcW w:w="16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Priority</w:t>
            </w:r>
          </w:p>
        </w:tc>
      </w:tr>
      <w:tr>
        <w:trPr/>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9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1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6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Weekly Outreach Log  </w:t>
      </w:r>
    </w:p>
    <w:p>
      <w:pPr>
        <w:pStyle w:val="Normal"/>
        <w:spacing w:lineRule="exact" w:line="268" w:before="60" w:after="120"/>
        <w:jc w:val="start"/>
        <w:rPr/>
      </w:pPr>
      <w:r>
        <w:rPr>
          <w:rFonts w:eastAsia="Calibri" w:cs="Calibri"/>
          <w:b w:val="false"/>
          <w:bCs w:val="false"/>
          <w:i/>
          <w:iCs/>
          <w:color w:val="555555"/>
          <w:sz w:val="19"/>
          <w:szCs w:val="19"/>
        </w:rPr>
        <w:t>Log every outreach visit and call. Aim for two or three intentional contacts a week.</w:t>
      </w:r>
    </w:p>
    <w:tbl>
      <w:tblPr>
        <w:tblW w:w="9360" w:type="dxa"/>
        <w:jc w:val="start"/>
        <w:tblInd w:w="0" w:type="dxa"/>
        <w:tblLayout w:type="fixed"/>
        <w:tblCellMar>
          <w:top w:w="45" w:type="dxa"/>
          <w:start w:w="80" w:type="dxa"/>
          <w:bottom w:w="45" w:type="dxa"/>
          <w:end w:w="80" w:type="dxa"/>
        </w:tblCellMar>
      </w:tblPr>
      <w:tblGrid>
        <w:gridCol w:w="1300"/>
        <w:gridCol w:w="2700"/>
        <w:gridCol w:w="3000"/>
        <w:gridCol w:w="2359"/>
      </w:tblGrid>
      <w:tr>
        <w:trPr>
          <w:tblHeader w:val="true"/>
        </w:trPr>
        <w:tc>
          <w:tcPr>
            <w:tcW w:w="13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Date</w:t>
            </w:r>
          </w:p>
        </w:tc>
        <w:tc>
          <w:tcPr>
            <w:tcW w:w="27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 &amp; person</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What was discussed</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Follow-up &amp; date</w:t>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3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Referral Source Tracker  </w:t>
      </w:r>
    </w:p>
    <w:p>
      <w:pPr>
        <w:pStyle w:val="Normal"/>
        <w:spacing w:lineRule="exact" w:line="268" w:before="60" w:after="120"/>
        <w:jc w:val="start"/>
        <w:rPr/>
      </w:pPr>
      <w:r>
        <w:rPr>
          <w:rFonts w:eastAsia="Calibri" w:cs="Calibri"/>
          <w:b w:val="false"/>
          <w:bCs w:val="false"/>
          <w:i/>
          <w:iCs/>
          <w:color w:val="555555"/>
          <w:sz w:val="19"/>
          <w:szCs w:val="19"/>
        </w:rPr>
        <w:t>Track where your clients actually come from so you invest in what works.</w:t>
      </w:r>
    </w:p>
    <w:tbl>
      <w:tblPr>
        <w:tblW w:w="9360" w:type="dxa"/>
        <w:jc w:val="start"/>
        <w:tblInd w:w="0" w:type="dxa"/>
        <w:tblLayout w:type="fixed"/>
        <w:tblCellMar>
          <w:top w:w="45" w:type="dxa"/>
          <w:start w:w="80" w:type="dxa"/>
          <w:bottom w:w="45" w:type="dxa"/>
          <w:end w:w="80" w:type="dxa"/>
        </w:tblCellMar>
      </w:tblPr>
      <w:tblGrid>
        <w:gridCol w:w="1599"/>
        <w:gridCol w:w="2401"/>
        <w:gridCol w:w="3000"/>
        <w:gridCol w:w="2359"/>
      </w:tblGrid>
      <w:tr>
        <w:trPr>
          <w:tblHeader w:val="true"/>
        </w:trPr>
        <w:tc>
          <w:tcPr>
            <w:tcW w:w="15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Month</w:t>
            </w:r>
          </w:p>
        </w:tc>
        <w:tc>
          <w:tcPr>
            <w:tcW w:w="2401"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New client (initials)</w:t>
            </w:r>
          </w:p>
        </w:tc>
        <w:tc>
          <w:tcPr>
            <w:tcW w:w="30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Referral source</w:t>
            </w:r>
          </w:p>
        </w:tc>
        <w:tc>
          <w:tcPr>
            <w:tcW w:w="235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Category</w:t>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15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401"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30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35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shd w:val="clear" w:color="auto" w:fill="1F3A5F"/>
        <w:spacing w:before="0" w:after="60"/>
        <w:rPr/>
      </w:pPr>
      <w:r>
        <w:rPr>
          <w:rFonts w:eastAsia="Calibri" w:cs="Calibri"/>
          <w:b/>
          <w:bCs/>
          <w:i w:val="false"/>
          <w:iCs w:val="false"/>
          <w:color w:val="FFFFFF"/>
          <w:sz w:val="24"/>
          <w:szCs w:val="24"/>
        </w:rPr>
        <w:t xml:space="preserve">  </w:t>
      </w:r>
      <w:r>
        <w:rPr>
          <w:rFonts w:eastAsia="Calibri" w:cs="Calibri"/>
          <w:b/>
          <w:bCs/>
          <w:i w:val="false"/>
          <w:iCs w:val="false"/>
          <w:color w:val="FFFFFF"/>
          <w:sz w:val="24"/>
          <w:szCs w:val="24"/>
        </w:rPr>
        <w:t xml:space="preserve">Relationship Follow-Up Schedule  </w:t>
      </w:r>
    </w:p>
    <w:p>
      <w:pPr>
        <w:pStyle w:val="Normal"/>
        <w:spacing w:lineRule="exact" w:line="268" w:before="60" w:after="120"/>
        <w:jc w:val="start"/>
        <w:rPr/>
      </w:pPr>
      <w:r>
        <w:rPr>
          <w:rFonts w:eastAsia="Calibri" w:cs="Calibri"/>
          <w:b w:val="false"/>
          <w:bCs w:val="false"/>
          <w:i/>
          <w:iCs/>
          <w:color w:val="555555"/>
          <w:sz w:val="19"/>
          <w:szCs w:val="19"/>
        </w:rPr>
        <w:t>Keep your best relationships warm with a regular touch.</w:t>
      </w:r>
    </w:p>
    <w:tbl>
      <w:tblPr>
        <w:tblW w:w="9360" w:type="dxa"/>
        <w:jc w:val="start"/>
        <w:tblInd w:w="0" w:type="dxa"/>
        <w:tblLayout w:type="fixed"/>
        <w:tblCellMar>
          <w:top w:w="45" w:type="dxa"/>
          <w:start w:w="80" w:type="dxa"/>
          <w:bottom w:w="45" w:type="dxa"/>
          <w:end w:w="80" w:type="dxa"/>
        </w:tblCellMar>
      </w:tblPr>
      <w:tblGrid>
        <w:gridCol w:w="2600"/>
        <w:gridCol w:w="1900"/>
        <w:gridCol w:w="2099"/>
        <w:gridCol w:w="2760"/>
      </w:tblGrid>
      <w:tr>
        <w:trPr>
          <w:tblHeader w:val="true"/>
        </w:trPr>
        <w:tc>
          <w:tcPr>
            <w:tcW w:w="26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Partner</w:t>
            </w:r>
          </w:p>
        </w:tc>
        <w:tc>
          <w:tcPr>
            <w:tcW w:w="190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Last contact</w:t>
            </w:r>
          </w:p>
        </w:tc>
        <w:tc>
          <w:tcPr>
            <w:tcW w:w="2099"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Next touch (date)</w:t>
            </w:r>
          </w:p>
        </w:tc>
        <w:tc>
          <w:tcPr>
            <w:tcW w:w="2760" w:type="dxa"/>
            <w:tcBorders>
              <w:top w:val="single" w:sz="4" w:space="0" w:color="9DB1C7"/>
              <w:start w:val="single" w:sz="4" w:space="0" w:color="9DB1C7"/>
              <w:bottom w:val="single" w:sz="4" w:space="0" w:color="9DB1C7"/>
              <w:end w:val="single" w:sz="4" w:space="0" w:color="9DB1C7"/>
            </w:tcBorders>
            <w:shd w:color="auto" w:fill="3E5871" w:val="clear"/>
          </w:tcPr>
          <w:p>
            <w:pPr>
              <w:pStyle w:val="Normal"/>
              <w:spacing w:lineRule="exact" w:line="268" w:before="0" w:after="0"/>
              <w:jc w:val="start"/>
              <w:rPr/>
            </w:pPr>
            <w:r>
              <w:rPr>
                <w:rFonts w:eastAsia="Calibri" w:cs="Calibri"/>
                <w:b/>
                <w:bCs/>
                <w:i w:val="false"/>
                <w:iCs w:val="false"/>
                <w:color w:val="FFFFFF"/>
                <w:sz w:val="15"/>
                <w:szCs w:val="15"/>
              </w:rPr>
              <w:t>Notes</w:t>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r>
        <w:trPr/>
        <w:tc>
          <w:tcPr>
            <w:tcW w:w="26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190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099"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c>
          <w:tcPr>
            <w:tcW w:w="2760" w:type="dxa"/>
            <w:tcBorders>
              <w:top w:val="single" w:sz="4" w:space="0" w:color="9DB1C7"/>
              <w:start w:val="single" w:sz="4" w:space="0" w:color="9DB1C7"/>
              <w:bottom w:val="single" w:sz="4" w:space="0" w:color="9DB1C7"/>
              <w:end w:val="single" w:sz="4" w:space="0" w:color="9DB1C7"/>
            </w:tcBorders>
            <w:tcMar>
              <w:top w:w="75" w:type="dxa"/>
              <w:bottom w:w="75" w:type="dxa"/>
            </w:tcMar>
          </w:tcPr>
          <w:p>
            <w:pPr>
              <w:pStyle w:val="Normal"/>
              <w:spacing w:lineRule="exact" w:line="268" w:before="0" w:after="0"/>
              <w:jc w:val="start"/>
              <w:rPr/>
            </w:pPr>
            <w:r>
              <w:rPr/>
            </w:r>
          </w:p>
        </w:tc>
      </w:tr>
    </w:tbl>
    <w:p>
      <w:pPr>
        <w:pStyle w:val="Normal"/>
        <w:rPr/>
      </w:pPr>
      <w:r>
        <w:rPr/>
      </w:r>
      <w:r>
        <w:br w:type="page"/>
      </w:r>
    </w:p>
    <w:p>
      <w:pPr>
        <w:pStyle w:val="Normal"/>
        <w:pBdr>
          <w:bottom w:val="single" w:sz="8" w:space="1" w:color="9DB1C7"/>
        </w:pBdr>
        <w:spacing w:before="0" w:after="120"/>
        <w:rPr/>
      </w:pPr>
      <w:r>
        <w:rPr/>
      </w:r>
    </w:p>
    <w:p>
      <w:pPr>
        <w:pStyle w:val="Normal"/>
        <w:spacing w:lineRule="exact" w:line="268" w:before="0" w:after="90"/>
        <w:jc w:val="center"/>
        <w:rPr/>
      </w:pPr>
      <w:r>
        <w:rPr>
          <w:rFonts w:eastAsia="Calibri" w:cs="Calibri"/>
          <w:b w:val="false"/>
          <w:bCs w:val="false"/>
          <w:i/>
          <w:iCs/>
          <w:color w:val="555555"/>
          <w:sz w:val="16"/>
          <w:szCs w:val="16"/>
        </w:rPr>
        <w:t>This resource is general educational information, not legal advice. Contacts, programs, and phone numbers change — verify each before you rely on it. Build referral relationships on trust and quality, never on payment; comply with the federal Anti-Kickback Statute and Tennessee law.</w:t>
      </w:r>
    </w:p>
    <w:sectPr>
      <w:footerReference w:type="even" r:id="rId2"/>
      <w:footerReference w:type="default" r:id="rId3"/>
      <w:footerReference w:type="first" r:id="rId4"/>
      <w:type w:val="nextPage"/>
      <w:pgSz w:w="12240" w:h="15840"/>
      <w:pgMar w:left="1440" w:right="1440" w:gutter="0" w:header="0" w:top="1200" w:footer="708" w:bottom="120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Tennessee Edition  —  PolicyReady.org  —  Page </w:t>
    </w:r>
    <w:r>
      <w:rPr/>
      <w:fldChar w:fldCharType="begin"/>
    </w:r>
    <w:r>
      <w:rPr/>
      <w:instrText xml:space="preserve"> PAGE </w:instrText>
    </w:r>
    <w:r>
      <w:rPr/>
      <w:fldChar w:fldCharType="separate"/>
    </w:r>
    <w:r>
      <w:rPr/>
      <w:t>29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Calibri" w:cs="Calibri"/>
        <w:b w:val="false"/>
        <w:bCs w:val="false"/>
        <w:i w:val="false"/>
        <w:iCs w:val="false"/>
        <w:color w:val="555555"/>
        <w:sz w:val="16"/>
        <w:szCs w:val="16"/>
      </w:rPr>
      <w:t xml:space="preserve">The Referral System — Tennessee Edition  —  PolicyReady.org  —  Page </w:t>
    </w:r>
    <w:r>
      <w:rPr/>
      <w:fldChar w:fldCharType="begin"/>
    </w:r>
    <w:r>
      <w:rPr/>
      <w:instrText xml:space="preserve"> PAGE </w:instrText>
    </w:r>
    <w:r>
      <w:rPr/>
      <w:fldChar w:fldCharType="separate"/>
    </w:r>
    <w:r>
      <w:rPr/>
      <w:t>29</w:t>
    </w:r>
    <w:r>
      <w:rPr/>
      <w:fldChar w:fldCharType="end"/>
    </w:r>
  </w:p>
</w:ftr>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color w:val="1A1A1A"/>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Heading1">
    <w:name w:val="Heading 1"/>
    <w:basedOn w:val="Heading"/>
    <w:qFormat/>
    <w:pPr/>
    <w:rPr>
      <w:color w:val="2E74B5"/>
      <w:sz w:val="32"/>
      <w:szCs w:val="32"/>
    </w:rPr>
  </w:style>
  <w:style w:type="paragraph" w:styleId="Heading2">
    <w:name w:val="Heading 2"/>
    <w:basedOn w:val="Heading"/>
    <w:qFormat/>
    <w:pPr/>
    <w:rPr>
      <w:color w:val="2E74B5"/>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
    <w:name w:val="Endnote Characters"/>
    <w:uiPriority w:val="99"/>
    <w:semiHidden/>
    <w:unhideWhenUsed/>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Calibri" w:hAnsi="Calibri" w:eastAsia="Calibri" w:cs="Calibri"/>
      <w:b/>
      <w:bCs/>
      <w:color w:val="1A1A1A"/>
      <w:kern w:val="0"/>
      <w:sz w:val="20"/>
      <w:szCs w:val="20"/>
      <w:lang w:val="en-US" w:eastAsia="zh-CN" w:bidi="hi-IN"/>
    </w:rPr>
  </w:style>
  <w:style w:type="paragraph" w:styleId="ListParagraph">
    <w:name w:val="List Paragraph"/>
    <w:qFormat/>
    <w:pPr>
      <w:widowControl/>
      <w:bidi w:val="0"/>
      <w:spacing w:before="0" w:after="0"/>
      <w:jc w:val="start"/>
    </w:pPr>
    <w:rPr>
      <w:rFonts w:ascii="Calibri" w:hAnsi="Calibri" w:eastAsia="Calibri" w:cs="Calibri"/>
      <w:color w:val="1A1A1A"/>
      <w:kern w:val="0"/>
      <w:sz w:val="20"/>
      <w:szCs w:val="20"/>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2026-07-12T13:43:20Z</dcterms:created>
  <dc:creator>PolicyReady.org</dc:creator>
  <dc:description/>
  <dc:language>en-US</dc:language>
  <cp:lastModifiedBy>Un-named</cp:lastModifiedBy>
  <dcterms:modified xsi:type="dcterms:W3CDTF">2026-07-12T13:43:20Z</dcterms:modified>
  <cp:revision>1</cp:revision>
  <dc:subject/>
  <dc:title>The Referral System — Tennessee Edition</dc:title>
</cp:coreProperties>
</file>