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Calibri" w:cs="Calibri"/>
          <w:b/>
          <w:bCs/>
          <w:i w:val="false"/>
          <w:iCs w:val="false"/>
          <w:color w:val="3E5871"/>
          <w:sz w:val="20"/>
          <w:szCs w:val="20"/>
        </w:rPr>
        <w:t>PolicyReady.org</w:t>
      </w:r>
    </w:p>
    <w:p>
      <w:pPr>
        <w:pStyle w:val="Normal"/>
        <w:pBdr>
          <w:bottom w:val="single" w:sz="8" w:space="1" w:color="9DB1C7"/>
        </w:pBdr>
        <w:spacing w:before="80" w:after="120"/>
        <w:rPr/>
      </w:pPr>
      <w:r>
        <w:rPr/>
      </w:r>
    </w:p>
    <w:p>
      <w:pPr>
        <w:pStyle w:val="Normal"/>
        <w:spacing w:before="4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Behavioral Health Referral System</w:t>
            </w:r>
          </w:p>
          <w:p>
            <w:pPr>
              <w:pStyle w:val="Normal"/>
              <w:spacing w:before="0" w:after="0"/>
              <w:jc w:val="center"/>
              <w:rPr/>
            </w:pPr>
            <w:r>
              <w:rPr>
                <w:rFonts w:eastAsia="Calibri" w:cs="Calibri"/>
                <w:b/>
                <w:bCs/>
                <w:i w:val="false"/>
                <w:iCs w:val="false"/>
                <w:color w:val="FFFFFF"/>
                <w:sz w:val="34"/>
                <w:szCs w:val="34"/>
              </w:rPr>
              <w:t>Arizona Edition</w:t>
            </w:r>
          </w:p>
        </w:tc>
      </w:tr>
    </w:tbl>
    <w:p>
      <w:pPr>
        <w:pStyle w:val="Normal"/>
        <w:spacing w:lineRule="exact" w:line="268" w:before="0" w:after="60"/>
        <w:jc w:val="center"/>
        <w:rPr/>
      </w:pPr>
      <w:r>
        <w:rPr>
          <w:rFonts w:eastAsia="Calibri" w:cs="Calibri"/>
          <w:b w:val="false"/>
          <w:bCs w:val="false"/>
          <w:i/>
          <w:iCs/>
          <w:color w:val="3E5871"/>
          <w:sz w:val="22"/>
          <w:szCs w:val="22"/>
        </w:rPr>
        <w:t>How a licensed Arizona behavioral health provider builds a steady stream of client referrals — the strategy, a verified directory of Arizona referral sources, named-partner target lists for the state's largest metros, and the worksheets to run it week to week</w:t>
      </w:r>
    </w:p>
    <w:p>
      <w:pPr>
        <w:pStyle w:val="Normal"/>
        <w:spacing w:lineRule="exact" w:line="268" w:before="0" w:after="120"/>
        <w:jc w:val="center"/>
        <w:rPr/>
      </w:pPr>
      <w:r>
        <w:rPr>
          <w:rFonts w:eastAsia="Calibri" w:cs="Calibri"/>
          <w:b w:val="false"/>
          <w:bCs w:val="false"/>
          <w:i w:val="false"/>
          <w:iCs w:val="false"/>
          <w:color w:val="555555"/>
          <w:sz w:val="18"/>
          <w:szCs w:val="18"/>
        </w:rPr>
        <w:t>PolicyReady.org  —  Practical Playbooks for Care Entrepreneurs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Why behavioral health referrals are different — read this first</w:t>
            </w:r>
          </w:p>
          <w:p>
            <w:pPr>
              <w:pStyle w:val="Normal"/>
              <w:spacing w:lineRule="exact" w:line="264" w:before="0" w:after="0"/>
              <w:rPr/>
            </w:pPr>
            <w:r>
              <w:rPr>
                <w:rFonts w:eastAsia="Calibri" w:cs="Calibri"/>
                <w:b/>
                <w:bCs/>
                <w:i w:val="false"/>
                <w:iCs w:val="false"/>
                <w:color w:val="1A1A1A"/>
                <w:sz w:val="19"/>
                <w:szCs w:val="19"/>
              </w:rPr>
              <w:t xml:space="preserve">Clients rarely walk in off the street, and most are not private-pay. </w:t>
            </w:r>
            <w:r>
              <w:rPr>
                <w:rFonts w:eastAsia="Calibri" w:cs="Calibri"/>
                <w:b w:val="false"/>
                <w:bCs w:val="false"/>
                <w:i w:val="false"/>
                <w:iCs w:val="false"/>
                <w:color w:val="1A1A1A"/>
                <w:sz w:val="19"/>
                <w:szCs w:val="19"/>
              </w:rPr>
              <w:t>An Arizona behavioral health provider fills its caseload and beds through the systems that pay for and steer behavioral health care: AHCCCS's health plans (the ACC plans for general mental health and substance use, and the ACC-RBHAs — Mercy Care and Arizona Complete Health — for members with a Serious Mental Illness designation and for grant-funded and crisis services), the statewide crisis system run by Solari (988 or 844-534-4673), hospitals and emergency departments, withdrawal-management and detox programs, and the courts (including court-ordered evaluation and treatment). So your “referral” work is really network and relationship work: get licensed with the right endorsements, get enrolled and in-network so those systems can send you clients, and then become the provider they trust to accept referrals quickly, communicate, and get results. This system shows you exactly who those sources are in Arizona, what each of them wants, how to reach them, and how to keep the relationships warm — all within the legal line, which in behavioral health is stricter than most people realize.</w:t>
            </w:r>
          </w:p>
        </w:tc>
      </w:tr>
    </w:tbl>
    <w:p>
      <w:pPr>
        <w:pStyle w:val="Normal"/>
        <w:keepNext w:val="true"/>
        <w:spacing w:before="220" w:after="90"/>
        <w:rPr/>
      </w:pPr>
      <w:r>
        <w:rPr>
          <w:rFonts w:eastAsia="Calibri" w:cs="Calibri"/>
          <w:b/>
          <w:bCs/>
          <w:i w:val="false"/>
          <w:iCs w:val="false"/>
          <w:color w:val="1F3A5F"/>
          <w:sz w:val="26"/>
          <w:szCs w:val="26"/>
        </w:rPr>
        <w:t>Part One — The Playbook: How to Earn Referrals</w:t>
      </w:r>
    </w:p>
    <w:p>
      <w:pPr>
        <w:pStyle w:val="Normal"/>
        <w:keepNext w:val="true"/>
        <w:spacing w:before="140" w:after="60"/>
        <w:rPr/>
      </w:pPr>
      <w:r>
        <w:rPr>
          <w:rFonts w:eastAsia="Calibri" w:cs="Calibri"/>
          <w:b/>
          <w:bCs/>
          <w:i w:val="false"/>
          <w:iCs w:val="false"/>
          <w:color w:val="3E5871"/>
          <w:sz w:val="21"/>
          <w:szCs w:val="21"/>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behavioral health providers actually build a caseload in Arizona: by being in-network, being known, and being reliable. Read it once start to finish, then use it as a checklist. Everything here is general educational information for Arizona providers — not legal advice; verify programs, contacts, and the anti-kickback and anti-brokering rules before you rely on them.</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whole system in one paragraph</w:t>
            </w:r>
          </w:p>
          <w:p>
            <w:pPr>
              <w:pStyle w:val="Normal"/>
              <w:spacing w:lineRule="exact" w:line="264" w:before="0" w:after="0"/>
              <w:rPr/>
            </w:pPr>
            <w:r>
              <w:rPr>
                <w:rFonts w:eastAsia="Calibri" w:cs="Calibri"/>
                <w:b w:val="false"/>
                <w:bCs w:val="false"/>
                <w:i w:val="false"/>
                <w:iCs w:val="false"/>
                <w:color w:val="1A1A1A"/>
                <w:sz w:val="19"/>
                <w:szCs w:val="19"/>
              </w:rPr>
              <w:t>Get licensed as a BHRF or OTC, enroll as a AHCCCS provider, and contract with your ACC plan and your regional ACC-RBHA so clients can be sent to you and you can be paid. Identify the sources that put clients in front of you — the AHCCCS health plan care coordinators, the crisis system, hospitals and emergency departments, detox and withdrawal management, the courts, and other behavioral health providers. Learn what each one needs, reach out and meet them with a clear message about who you serve well, and then deliver so reliably — accept referrals fast, communicate, and report outcomes — that they refer to you again. Get found in the payer directories and online, run a steady weekly rhythm, track where your referrals actually come from, and stay inside the legal line — you earn referrals through reliability and relationships, and in behavioral health you never pay for them.</w:t>
            </w:r>
          </w:p>
        </w:tc>
      </w:tr>
    </w:tbl>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referable. </w:t>
      </w:r>
      <w:r>
        <w:rPr>
          <w:rFonts w:eastAsia="Calibri" w:cs="Calibri"/>
          <w:b w:val="false"/>
          <w:bCs w:val="false"/>
          <w:i w:val="false"/>
          <w:iCs w:val="false"/>
          <w:color w:val="1A1A1A"/>
          <w:sz w:val="20"/>
          <w:szCs w:val="20"/>
        </w:rPr>
        <w:t>Hold your BHRF or OTC license, enroll as a AHCCCS provider, and contract with your AHCCCS health plans so a care coordinator can send you a client and you get paid.</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Map your sources. </w:t>
      </w:r>
      <w:r>
        <w:rPr>
          <w:rFonts w:eastAsia="Calibri" w:cs="Calibri"/>
          <w:b w:val="false"/>
          <w:bCs w:val="false"/>
          <w:i w:val="false"/>
          <w:iCs w:val="false"/>
          <w:color w:val="1A1A1A"/>
          <w:sz w:val="20"/>
          <w:szCs w:val="20"/>
        </w:rPr>
        <w:t>The AHCCCS health plan care coordinators, the crisis system, hospitals and EDs, detox and withdrawal management, the courts, and other providers (Part 2 + the directory).</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into the pipeline. </w:t>
      </w:r>
      <w:r>
        <w:rPr>
          <w:rFonts w:eastAsia="Calibri" w:cs="Calibri"/>
          <w:b w:val="false"/>
          <w:bCs w:val="false"/>
          <w:i w:val="false"/>
          <w:iCs w:val="false"/>
          <w:color w:val="1A1A1A"/>
          <w:sz w:val="20"/>
          <w:szCs w:val="20"/>
        </w:rPr>
        <w:t>Get in-network and onto the referral lists of the crisis system, hospitals, and courts (Part 3).</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Learn what each wants. </w:t>
      </w:r>
      <w:r>
        <w:rPr>
          <w:rFonts w:eastAsia="Calibri" w:cs="Calibri"/>
          <w:b w:val="false"/>
          <w:bCs w:val="false"/>
          <w:i w:val="false"/>
          <w:iCs w:val="false"/>
          <w:color w:val="1A1A1A"/>
          <w:sz w:val="20"/>
          <w:szCs w:val="20"/>
        </w:rPr>
        <w:t>Speak to the pressure each source is under (Part 4).</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Reach out and meet them. </w:t>
      </w:r>
      <w:r>
        <w:rPr>
          <w:rFonts w:eastAsia="Calibri" w:cs="Calibri"/>
          <w:b w:val="false"/>
          <w:bCs w:val="false"/>
          <w:i w:val="false"/>
          <w:iCs w:val="false"/>
          <w:color w:val="1A1A1A"/>
          <w:sz w:val="20"/>
          <w:szCs w:val="20"/>
        </w:rPr>
        <w:t>With a short, clear message about who you serve well (Parts 5–6).</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Deliver and communicate. </w:t>
      </w:r>
      <w:r>
        <w:rPr>
          <w:rFonts w:eastAsia="Calibri" w:cs="Calibri"/>
          <w:b w:val="false"/>
          <w:bCs w:val="false"/>
          <w:i w:val="false"/>
          <w:iCs w:val="false"/>
          <w:color w:val="1A1A1A"/>
          <w:sz w:val="20"/>
          <w:szCs w:val="20"/>
        </w:rPr>
        <w:t>Fast acceptance, updates, and outcome reporting earn the next referral (Part 7).</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bCs/>
          <w:i w:val="false"/>
          <w:iCs w:val="false"/>
          <w:color w:val="1A1A1A"/>
          <w:sz w:val="20"/>
          <w:szCs w:val="20"/>
        </w:rPr>
        <w:t xml:space="preserve">Be findable. </w:t>
      </w:r>
      <w:r>
        <w:rPr>
          <w:rFonts w:eastAsia="Calibri" w:cs="Calibri"/>
          <w:b w:val="false"/>
          <w:bCs w:val="false"/>
          <w:i w:val="false"/>
          <w:iCs w:val="false"/>
          <w:color w:val="1A1A1A"/>
          <w:sz w:val="20"/>
          <w:szCs w:val="20"/>
        </w:rPr>
        <w:t>Payer directories, online presence, and crisis referral platforms (Part 8).</w:t>
      </w:r>
    </w:p>
    <w:p>
      <w:pPr>
        <w:pStyle w:val="Normal"/>
        <w:spacing w:lineRule="exact" w:line="268" w:before="0" w:after="60"/>
        <w:ind w:hanging="300" w:start="360"/>
        <w:rPr/>
      </w:pPr>
      <w:r>
        <w:rPr>
          <w:rFonts w:eastAsia="Calibri" w:cs="Calibri"/>
          <w:b/>
          <w:bCs/>
          <w:i w:val="false"/>
          <w:iCs w:val="false"/>
          <w:color w:val="3E5871"/>
          <w:sz w:val="20"/>
          <w:szCs w:val="20"/>
        </w:rPr>
        <w:t xml:space="preserve">8.  </w:t>
      </w:r>
      <w:r>
        <w:rPr>
          <w:rFonts w:eastAsia="Calibri" w:cs="Calibri"/>
          <w:b/>
          <w:bCs/>
          <w:i w:val="false"/>
          <w:iCs w:val="false"/>
          <w:color w:val="1A1A1A"/>
          <w:sz w:val="20"/>
          <w:szCs w:val="20"/>
        </w:rPr>
        <w:t xml:space="preserve">Run the rhythm and measure. </w:t>
      </w:r>
      <w:r>
        <w:rPr>
          <w:rFonts w:eastAsia="Calibri" w:cs="Calibri"/>
          <w:b w:val="false"/>
          <w:bCs w:val="false"/>
          <w:i w:val="false"/>
          <w:iCs w:val="false"/>
          <w:color w:val="1A1A1A"/>
          <w:sz w:val="20"/>
          <w:szCs w:val="20"/>
        </w:rPr>
        <w:t>A weekly cadence and honest tracking (Parts 9–10).</w:t>
      </w:r>
    </w:p>
    <w:p>
      <w:pPr>
        <w:pStyle w:val="Normal"/>
        <w:keepNext w:val="true"/>
        <w:spacing w:before="220" w:after="90"/>
        <w:rPr/>
      </w:pPr>
      <w:r>
        <w:rPr>
          <w:rFonts w:eastAsia="Calibri" w:cs="Calibri"/>
          <w:b/>
          <w:bCs/>
          <w:i w:val="false"/>
          <w:iCs w:val="false"/>
          <w:color w:val="1F3A5F"/>
          <w:sz w:val="26"/>
          <w:szCs w:val="26"/>
        </w:rPr>
        <w:t>Part 1 — Why Referrals Are Your Caseload Engine</w:t>
      </w:r>
    </w:p>
    <w:p>
      <w:pPr>
        <w:pStyle w:val="Normal"/>
        <w:spacing w:lineRule="exact" w:line="268" w:before="0" w:after="110"/>
        <w:jc w:val="start"/>
        <w:rPr/>
      </w:pPr>
      <w:r>
        <w:rPr>
          <w:rFonts w:eastAsia="Calibri" w:cs="Calibri"/>
          <w:b w:val="false"/>
          <w:bCs w:val="false"/>
          <w:i w:val="false"/>
          <w:iCs w:val="false"/>
          <w:color w:val="1A1A1A"/>
          <w:sz w:val="20"/>
          <w:szCs w:val="20"/>
        </w:rPr>
        <w:t>An empty appointment slot or an empty bed earns nothing, and in behavioral health your clients arrive one way: someone with authority over where a person goes — a care coordinator, a discharge planner, a crisis clinician, a probation officer — sends them to you. That makes your relationships with those referrers the single most important driver of your revenue, more than any advertisement.</w:t>
      </w:r>
    </w:p>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relationships matter so much here: the person who refers a client to you is staking their own judgment on you. A health plan care coordinator, a hospital social worker, or a drug-court case manager is trusting you with a vulnerable person in crisis. When you accept the referral quickly, communicate, and get results, they refer to you again. When you are slow, hard to reach, or quiet after intake, they quietly stop. Your reputation among a small circle of referring professionals is your business.</w:t>
      </w:r>
    </w:p>
    <w:p>
      <w:pPr>
        <w:pStyle w:val="Normal"/>
        <w:spacing w:lineRule="exact" w:line="268" w:before="0" w:after="110"/>
        <w:jc w:val="start"/>
        <w:rPr/>
      </w:pPr>
      <w:r>
        <w:rPr>
          <w:rFonts w:eastAsia="Calibri" w:cs="Calibri"/>
          <w:b w:val="false"/>
          <w:bCs w:val="false"/>
          <w:i w:val="false"/>
          <w:iCs w:val="false"/>
          <w:color w:val="1A1A1A"/>
          <w:sz w:val="20"/>
          <w:szCs w:val="20"/>
        </w:rPr>
        <w:t>It also means growth is relationship-limited, not ad-limited. You cannot buy your way to a full caseload; you earn it by being the provider the referring systems trust with their hardest clients. And one strong relationship compounds — a single health plan or hospital that trusts you can send clients for years. Everything else in this playbook serves that one goal.</w:t>
      </w:r>
    </w:p>
    <w:p>
      <w:pPr>
        <w:pStyle w:val="Normal"/>
        <w:spacing w:lineRule="exact" w:line="268" w:before="0" w:after="110"/>
        <w:jc w:val="start"/>
        <w:rPr/>
      </w:pPr>
      <w:r>
        <w:rPr>
          <w:rFonts w:eastAsia="Calibri" w:cs="Calibri"/>
          <w:b w:val="false"/>
          <w:bCs w:val="false"/>
          <w:i w:val="false"/>
          <w:iCs w:val="false"/>
          <w:color w:val="1A1A1A"/>
          <w:sz w:val="20"/>
          <w:szCs w:val="20"/>
        </w:rPr>
        <w:t>Think about the math of a single relationship. One health plan that keeps you in-network and one hospital discharge team that trusts you can together fill a large share of your caseload, month after month, and each engaged client is ongoing revenue. That means the time you spend earning and keeping a handful of referral relationships is worth more than any marketing budget — and it costs you reliability, not money. The providers who thrive in behavioral health are rarely the ones with the flashiest websites; they are the ones the coordinators call first because they have never been let down.</w:t>
      </w:r>
    </w:p>
    <w:p>
      <w:pPr>
        <w:pStyle w:val="Normal"/>
        <w:keepNext w:val="true"/>
        <w:spacing w:before="220" w:after="90"/>
        <w:rPr/>
      </w:pPr>
      <w:r>
        <w:rPr>
          <w:rFonts w:eastAsia="Calibri" w:cs="Calibri"/>
          <w:b/>
          <w:bCs/>
          <w:i w:val="false"/>
          <w:iCs w:val="false"/>
          <w:color w:val="1F3A5F"/>
          <w:sz w:val="26"/>
          <w:szCs w:val="26"/>
        </w:rPr>
        <w:t>Part 2 — The Referral Source Map: Who Sends You Clients</w:t>
      </w:r>
    </w:p>
    <w:p>
      <w:pPr>
        <w:pStyle w:val="Normal"/>
        <w:spacing w:lineRule="exact" w:line="268" w:before="0" w:after="110"/>
        <w:jc w:val="start"/>
        <w:rPr/>
      </w:pPr>
      <w:r>
        <w:rPr>
          <w:rFonts w:eastAsia="Calibri" w:cs="Calibri"/>
          <w:b w:val="false"/>
          <w:bCs w:val="false"/>
          <w:i w:val="false"/>
          <w:iCs w:val="false"/>
          <w:color w:val="1A1A1A"/>
          <w:sz w:val="20"/>
          <w:szCs w:val="20"/>
        </w:rPr>
        <w:t>Here is the Arizona landscape of who puts behavioral health clients in front of a provider. Not all carry the same weight — the AHCCCS health plans, and the crisis and hospital systems matter most — but each has a role:</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AHCCCS health plans (ACC and ACC-RBHA) — the biggest for Medicaid. </w:t>
      </w:r>
      <w:r>
        <w:rPr>
          <w:rFonts w:eastAsia="Calibri" w:cs="Calibri"/>
          <w:b w:val="false"/>
          <w:bCs w:val="false"/>
          <w:i w:val="false"/>
          <w:iCs w:val="false"/>
          <w:color w:val="1A1A1A"/>
          <w:sz w:val="20"/>
          <w:szCs w:val="20"/>
        </w:rPr>
        <w:t>Arizona's Medicaid behavioral health benefit is managed by regional health plans; their care coordinators refer members and authorize services. Being enrolled and in-network with your AHCCCS health plan is the highest-value relationship you have.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ACC-RBHAs — SMI, crisis &amp; grant-funded. </w:t>
      </w:r>
      <w:r>
        <w:rPr>
          <w:rFonts w:eastAsia="Calibri" w:cs="Calibri"/>
          <w:b w:val="false"/>
          <w:bCs w:val="false"/>
          <w:i w:val="false"/>
          <w:iCs w:val="false"/>
          <w:color w:val="1A1A1A"/>
          <w:sz w:val="20"/>
          <w:szCs w:val="20"/>
        </w:rPr>
        <w:t>For members with a Serious Mental Illness (SMI) designation — determined by Solari — and for grant-funded and crisis services, the ACC-RBHAs (Mercy Care in the Central/Maricopa area, Arizona Complete Health in the North and South) coordinate care and refer. Helping a client pursue an SMI designation can open this referral stream.</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crisis system (Solari, 988 / 844-534-4673). </w:t>
      </w:r>
      <w:r>
        <w:rPr>
          <w:rFonts w:eastAsia="Calibri" w:cs="Calibri"/>
          <w:b w:val="false"/>
          <w:bCs w:val="false"/>
          <w:i w:val="false"/>
          <w:iCs w:val="false"/>
          <w:color w:val="1A1A1A"/>
          <w:sz w:val="20"/>
          <w:szCs w:val="20"/>
        </w:rPr>
        <w:t>Crisis lines, mobile crisis, walk-in centers, and crisis stabilization units continually need somewhere to step people down to — a huge source of referrals for both mental health and substance use.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Hospitals &amp; emergency departments. </w:t>
      </w:r>
      <w:r>
        <w:rPr>
          <w:rFonts w:eastAsia="Calibri" w:cs="Calibri"/>
          <w:b w:val="false"/>
          <w:bCs w:val="false"/>
          <w:i w:val="false"/>
          <w:iCs w:val="false"/>
          <w:color w:val="1A1A1A"/>
          <w:sz w:val="20"/>
          <w:szCs w:val="20"/>
        </w:rPr>
        <w:t>Psychiatric units, med/psych, and EDs discharging or boarding behavioral health patients need fast, reliable outpatient and residential placements.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Withdrawal management &amp; detox. </w:t>
      </w:r>
      <w:r>
        <w:rPr>
          <w:rFonts w:eastAsia="Calibri" w:cs="Calibri"/>
          <w:b w:val="false"/>
          <w:bCs w:val="false"/>
          <w:i w:val="false"/>
          <w:iCs w:val="false"/>
          <w:color w:val="1A1A1A"/>
          <w:sz w:val="20"/>
          <w:szCs w:val="20"/>
        </w:rPr>
        <w:t>Detox programs step clients down to residential and outpatient substance use treatment — a core referral relationship for SUD services.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criminal justice. </w:t>
      </w:r>
      <w:r>
        <w:rPr>
          <w:rFonts w:eastAsia="Calibri" w:cs="Calibri"/>
          <w:b w:val="false"/>
          <w:bCs w:val="false"/>
          <w:i w:val="false"/>
          <w:iCs w:val="false"/>
          <w:color w:val="1A1A1A"/>
          <w:sz w:val="20"/>
          <w:szCs w:val="20"/>
        </w:rPr>
        <w:t>Court-ordered evaluation and treatment (COE/COT under Title 36), drug and mental health courts, probation and parole, diversion, and jail reentry refer large numbers of clients and need reliable compliance reporting.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Safety-net &amp; other behavioral health providers. </w:t>
      </w:r>
      <w:r>
        <w:rPr>
          <w:rFonts w:eastAsia="Calibri" w:cs="Calibri"/>
          <w:b w:val="false"/>
          <w:bCs w:val="false"/>
          <w:i w:val="false"/>
          <w:iCs w:val="false"/>
          <w:color w:val="1A1A1A"/>
          <w:sz w:val="20"/>
          <w:szCs w:val="20"/>
        </w:rPr>
        <w:t>Community mental health centers and other providers refer out what they cannot serve — and you refer back. Two-way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Primary care, SBIRT &amp; other. </w:t>
      </w:r>
      <w:r>
        <w:rPr>
          <w:rFonts w:eastAsia="Calibri" w:cs="Calibri"/>
          <w:b w:val="false"/>
          <w:bCs w:val="false"/>
          <w:i w:val="false"/>
          <w:iCs w:val="false"/>
          <w:color w:val="1A1A1A"/>
          <w:sz w:val="20"/>
          <w:szCs w:val="20"/>
        </w:rPr>
        <w:t>Primary care screening, schools, child welfare, recovery residences, 211, and families all send clients.</w:t>
      </w:r>
    </w:p>
    <w:p>
      <w:pPr>
        <w:pStyle w:val="Normal"/>
        <w:spacing w:lineRule="exact" w:line="268" w:before="0" w:after="110"/>
        <w:jc w:val="start"/>
        <w:rPr/>
      </w:pPr>
      <w:r>
        <w:rPr>
          <w:rFonts w:eastAsia="Calibri" w:cs="Calibri"/>
          <w:b w:val="false"/>
          <w:bCs w:val="false"/>
          <w:i w:val="false"/>
          <w:iCs w:val="false"/>
          <w:color w:val="1A1A1A"/>
          <w:sz w:val="20"/>
          <w:szCs w:val="20"/>
        </w:rPr>
        <w:t>Do not try to work all of these at once. For a new provider, the order that matters is simple: first, get in-network with your AHCCCS health plans, because they are who can actually send you paid referrals; second, the crisis and hospital systems where clients in acute need are looking for the next level of care; and third, the detox programs, courts, and other providers. Get deep with the first group before you spread thin across the rest. A few strong payer, crisis, and hospital relationships will fill more of your caseload than a hundred cold introductions.</w:t>
      </w:r>
    </w:p>
    <w:p>
      <w:pPr>
        <w:pStyle w:val="Normal"/>
        <w:keepNext w:val="true"/>
        <w:spacing w:before="220" w:after="90"/>
        <w:rPr/>
      </w:pPr>
      <w:r>
        <w:rPr>
          <w:rFonts w:eastAsia="Calibri" w:cs="Calibri"/>
          <w:b/>
          <w:bCs/>
          <w:i w:val="false"/>
          <w:iCs w:val="false"/>
          <w:color w:val="1F3A5F"/>
          <w:sz w:val="26"/>
          <w:szCs w:val="26"/>
        </w:rPr>
        <w:t>Part 3 — Getting Into the Pipeline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Most of this playbook is about earning referrals through relationships. This part is about the formal pipeline you must be in first, and the legal line you must never cross — which in behavioral health is unusually strict.</w:t>
      </w:r>
    </w:p>
    <w:p>
      <w:pPr>
        <w:pStyle w:val="Normal"/>
        <w:keepNext w:val="true"/>
        <w:spacing w:before="140" w:after="60"/>
        <w:rPr/>
      </w:pPr>
      <w:r>
        <w:rPr>
          <w:rFonts w:eastAsia="Calibri" w:cs="Calibri"/>
          <w:b/>
          <w:bCs/>
          <w:i w:val="false"/>
          <w:iCs w:val="false"/>
          <w:color w:val="3E5871"/>
          <w:sz w:val="21"/>
          <w:szCs w:val="21"/>
        </w:rPr>
        <w:t>Getting into the pipeline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licensed and endorsed. </w:t>
      </w:r>
      <w:r>
        <w:rPr>
          <w:rFonts w:eastAsia="Calibri" w:cs="Calibri"/>
          <w:b w:val="false"/>
          <w:bCs w:val="false"/>
          <w:i w:val="false"/>
          <w:iCs w:val="false"/>
          <w:color w:val="1A1A1A"/>
          <w:sz w:val="20"/>
          <w:szCs w:val="20"/>
        </w:rPr>
        <w:t>Hold your AZDHS license as a Behavioral Health Residential Facility (BHRF) or Outpatient Treatment Center (OTC) so you can legally accept the referrals you want.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Enroll and get in-network. </w:t>
      </w:r>
      <w:r>
        <w:rPr>
          <w:rFonts w:eastAsia="Calibri" w:cs="Calibri"/>
          <w:b w:val="false"/>
          <w:bCs w:val="false"/>
          <w:i w:val="false"/>
          <w:iCs w:val="false"/>
          <w:color w:val="1A1A1A"/>
          <w:sz w:val="20"/>
          <w:szCs w:val="20"/>
        </w:rPr>
        <w:t>Enroll as a AHCCCS provider and contract with your AHCCCS health plans (ACC and ACC-RBHA) — a care coordinator can only send a client to an enrolled, contracted provider.</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onto the crisis and hospital referral lists. </w:t>
      </w:r>
      <w:r>
        <w:rPr>
          <w:rFonts w:eastAsia="Calibri" w:cs="Calibri"/>
          <w:b w:val="false"/>
          <w:bCs w:val="false"/>
          <w:i w:val="false"/>
          <w:iCs w:val="false"/>
          <w:color w:val="1A1A1A"/>
          <w:sz w:val="20"/>
          <w:szCs w:val="20"/>
        </w:rPr>
        <w:t>Make sure the crisis system, hospitals, and EDs know what you accept and how fast you respond, and get into any bed-availability or referral platform they use.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Build relationships with the courts. </w:t>
      </w:r>
      <w:r>
        <w:rPr>
          <w:rFonts w:eastAsia="Calibri" w:cs="Calibri"/>
          <w:b w:val="false"/>
          <w:bCs w:val="false"/>
          <w:i w:val="false"/>
          <w:iCs w:val="false"/>
          <w:color w:val="1A1A1A"/>
          <w:sz w:val="20"/>
          <w:szCs w:val="20"/>
        </w:rPr>
        <w:t>If you serve justice-involved clients, be known to the drug courts, probation, and diversion programs and clear about your reporting.</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Then work the relationships. </w:t>
      </w:r>
      <w:r>
        <w:rPr>
          <w:rFonts w:eastAsia="Calibri" w:cs="Calibri"/>
          <w:b w:val="false"/>
          <w:bCs w:val="false"/>
          <w:i w:val="false"/>
          <w:iCs w:val="false"/>
          <w:color w:val="1A1A1A"/>
          <w:sz w:val="20"/>
          <w:szCs w:val="20"/>
        </w:rPr>
        <w:t>Once you are in the pipeline, reliability and communication are what earn the referrals.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legal line — behavioral health is stricter (AKS and EKRA)</w:t>
            </w:r>
          </w:p>
          <w:p>
            <w:pPr>
              <w:pStyle w:val="Normal"/>
              <w:spacing w:lineRule="exact" w:line="264" w:before="0" w:after="0"/>
              <w:rPr/>
            </w:pPr>
            <w:r>
              <w:rPr>
                <w:rFonts w:eastAsia="Calibri" w:cs="Calibri"/>
                <w:b w:val="false"/>
                <w:bCs w:val="false"/>
                <w:i w:val="false"/>
                <w:iCs w:val="false"/>
                <w:color w:val="1A1A1A"/>
                <w:sz w:val="19"/>
                <w:szCs w:val="19"/>
              </w:rPr>
              <w:t>Two federal laws sit above all the rest, and substance use treatment is a top enforcement priority. The federal Anti-Kickback Statute prohibits paying or receiving anything of value for referrals of federally funded (including Medicaid) patients. And the Eliminating Kickbacks in Recovery Act (EKRA, 18 U.S.C. § 220) goes further: it bans paying or receiving remuneration to induce referrals to a recovery home, clinical treatment facility, or laboratory — for patients with ANY payer, including private pay and commercial insurance, not just Medicaid. Arizona law also prohibits patient brokering. What this means in practice: you may not pay for referrals, pay per-head for bodies in beds, give kickbacks to “marketers” or interventionists who steer clients, or accept them. What you CAN do: market legitimately (a website, listings, education), employ a genuine business-development person on a bona fide salary that does not vary with referral volume, be a real resource, and pay fair-market value for actual documented services under a written agreement (never for referrals). Patient brokering is prosecuted. When in doubt, get qualified legal advice before you sign anything or pay anyone connected to referrals.</w:t>
            </w:r>
          </w:p>
        </w:tc>
      </w:tr>
    </w:tbl>
    <w:p>
      <w:pPr>
        <w:pStyle w:val="Normal"/>
        <w:keepNext w:val="true"/>
        <w:spacing w:before="220" w:after="90"/>
        <w:rPr/>
      </w:pPr>
      <w:r>
        <w:rPr>
          <w:rFonts w:eastAsia="Calibri" w:cs="Calibri"/>
          <w:b/>
          <w:bCs/>
          <w:i w:val="false"/>
          <w:iCs w:val="false"/>
          <w:color w:val="1F3A5F"/>
          <w:sz w:val="26"/>
          <w:szCs w:val="26"/>
        </w:rPr>
        <w:t>Part 4 — What Each Source Actually Wants</w:t>
      </w:r>
    </w:p>
    <w:p>
      <w:pPr>
        <w:pStyle w:val="Normal"/>
        <w:spacing w:lineRule="exact" w:line="268" w:before="0" w:after="110"/>
        <w:jc w:val="start"/>
        <w:rPr/>
      </w:pPr>
      <w:r>
        <w:rPr>
          <w:rFonts w:eastAsia="Calibri" w:cs="Calibri"/>
          <w:b w:val="false"/>
          <w:bCs w:val="false"/>
          <w:i w:val="false"/>
          <w:iCs w:val="false"/>
          <w:color w:val="1A1A1A"/>
          <w:sz w:val="20"/>
          <w:szCs w:val="20"/>
        </w:rPr>
        <w:t>You win referrals by solving the referrer's problem, not by talking about yourself. Each source is under a different pressure: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AHCCCS health plan &amp; ACC-RBHA care coordinators want in-network reliability. </w:t>
      </w:r>
      <w:r>
        <w:rPr>
          <w:rFonts w:eastAsia="Calibri" w:cs="Calibri"/>
          <w:b w:val="false"/>
          <w:bCs w:val="false"/>
          <w:i w:val="false"/>
          <w:iCs w:val="false"/>
          <w:color w:val="1A1A1A"/>
          <w:sz w:val="20"/>
          <w:szCs w:val="20"/>
        </w:rPr>
        <w:t>They must place members with contracted providers who accept referrals, keep them engaged, and report outcomes. They want a provider who answers, accepts, and communicates.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&amp; hospital discharge want fast acceptance and no bounce-back. </w:t>
      </w:r>
      <w:r>
        <w:rPr>
          <w:rFonts w:eastAsia="Calibri" w:cs="Calibri"/>
          <w:b w:val="false"/>
          <w:bCs w:val="false"/>
          <w:i w:val="false"/>
          <w:iCs w:val="false"/>
          <w:color w:val="1A1A1A"/>
          <w:sz w:val="20"/>
          <w:szCs w:val="20"/>
        </w:rPr>
        <w:t>They are under intense time and safety pressure to move someone to the next level of care. A provider who accepts quickly and prevents readmission is gold.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Detox &amp; withdrawal management want a warm handoff. </w:t>
      </w:r>
      <w:r>
        <w:rPr>
          <w:rFonts w:eastAsia="Calibri" w:cs="Calibri"/>
          <w:b w:val="false"/>
          <w:bCs w:val="false"/>
          <w:i w:val="false"/>
          <w:iCs w:val="false"/>
          <w:color w:val="1A1A1A"/>
          <w:sz w:val="20"/>
          <w:szCs w:val="20"/>
        </w:rPr>
        <w:t>They need the next level of care ready so the client does not fall through the gap after detox.</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probation want compliance and communication. </w:t>
      </w:r>
      <w:r>
        <w:rPr>
          <w:rFonts w:eastAsia="Calibri" w:cs="Calibri"/>
          <w:b w:val="false"/>
          <w:bCs w:val="false"/>
          <w:i w:val="false"/>
          <w:iCs w:val="false"/>
          <w:color w:val="1A1A1A"/>
          <w:sz w:val="20"/>
          <w:szCs w:val="20"/>
        </w:rPr>
        <w:t>They need reliable attendance and progress reporting and a provider who flags problems early.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Other providers &amp; families want trust. </w:t>
      </w:r>
      <w:r>
        <w:rPr>
          <w:rFonts w:eastAsia="Calibri" w:cs="Calibri"/>
          <w:b w:val="false"/>
          <w:bCs w:val="false"/>
          <w:i w:val="false"/>
          <w:iCs w:val="false"/>
          <w:color w:val="1A1A1A"/>
          <w:sz w:val="20"/>
          <w:szCs w:val="20"/>
        </w:rPr>
        <w:t>Competence, responsiveness, and the felt sense that the client will be safe and helped.</w:t>
      </w:r>
    </w:p>
    <w:p>
      <w:pPr>
        <w:pStyle w:val="Normal"/>
        <w:spacing w:lineRule="exact" w:line="268" w:before="0" w:after="110"/>
        <w:jc w:val="start"/>
        <w:rPr/>
      </w:pPr>
      <w:r>
        <w:rPr>
          <w:rFonts w:eastAsia="Calibri" w:cs="Calibri"/>
          <w:b w:val="false"/>
          <w:bCs w:val="false"/>
          <w:i w:val="false"/>
          <w:iCs w:val="false"/>
          <w:color w:val="1A1A1A"/>
          <w:sz w:val="20"/>
          <w:szCs w:val="20"/>
        </w:rPr>
        <w:t>Understand the pressure each source is under and speak to it directly. A crisis clinician who needs a bed tonight does not want a sales pitch — they want to know you will accept the referral and keep the person safe.</w:t>
      </w:r>
    </w:p>
    <w:p>
      <w:pPr>
        <w:pStyle w:val="Normal"/>
        <w:spacing w:lineRule="exact" w:line="268" w:before="0" w:after="110"/>
        <w:jc w:val="start"/>
        <w:rPr/>
      </w:pPr>
      <w:r>
        <w:rPr>
          <w:rFonts w:eastAsia="Calibri" w:cs="Calibri"/>
          <w:b w:val="false"/>
          <w:bCs w:val="false"/>
          <w:i w:val="false"/>
          <w:iCs w:val="false"/>
          <w:color w:val="1A1A1A"/>
          <w:sz w:val="20"/>
          <w:szCs w:val="20"/>
        </w:rPr>
        <w:t>Here is a concrete way to think about it. When a hospital or crisis team has a client ready to step down and nowhere to send them, they are under time pressure, safety pressure, and documentation pressure at once: the client cannot stay, the next setting has to be safe, and the referrer has to justify the decision. If you are the provider who answers, accepts quickly, takes a client with real complexity, and communicates after intake, you remove all three pressures at once. That is why fast, reliable acceptance beats marketing every time in behavioral health — you are not selling a service, you are relieving a professional’s hardest problem.</w:t>
      </w:r>
    </w:p>
    <w:p>
      <w:pPr>
        <w:pStyle w:val="Normal"/>
        <w:keepNext w:val="true"/>
        <w:spacing w:before="22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Approach referral sources the way you would want to be approached: professionally, briefly, and with something useful. Start with the sources that matter most — your AHCCCS health plans, and the crisis and hospital teams near you — and work outward.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Do your homework: know your AHCCCS health plans, and the hospitals, crisis centers, detox programs, and courts that serve your area.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Lead with who you serve well, your endorsements, your availability, and how fast you accept a referral — not a sales pitch.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Make it effortless: a clear one-page leave-behind, your intake contact, your current openings, and your response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Be a resource, not a solicitor: share useful information and be genuinely helpful even when there is no immediate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Follow up consistently and respect their time — professionals refer to providers who are easy to work with.</w:t>
      </w:r>
    </w:p>
    <w:p>
      <w:pPr>
        <w:pStyle w:val="Normal"/>
        <w:keepNext w:val="true"/>
        <w:spacing w:before="220" w:after="90"/>
        <w:rPr/>
      </w:pPr>
      <w:r>
        <w:rPr>
          <w:rFonts w:eastAsia="Calibri" w:cs="Calibri"/>
          <w:b/>
          <w:bCs/>
          <w:i w:val="false"/>
          <w:iCs w:val="false"/>
          <w:color w:val="1F3A5F"/>
          <w:sz w:val="26"/>
          <w:szCs w:val="26"/>
        </w:rPr>
        <w:t>Part 6 — What to Say: Scripts &amp; Messages</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I'm [name] with [entity name], a licensed behavioral health provider in [area]. We provide [outpatient / residential / withdrawal management / crisis] services for adults with mental health and substance use needs, we're in-network with [health plan], and we currently have openings. I'd love to be a resource when you have a client who needs [level of care]. What's the best way to reach you when you have a referral?”</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A single clear page a care coordinator or discharge planner can keep: your entity name and location; your license and endorsements; the services and levels of care you provide; who you serve well (diagnoses, co-occurring, age ranges, any specialties) and who you are not the right fit for; your payers and networks (health plan, Medicaid, commercial); your current availability; your intake contact and how fast you respond to a referral; and one line on what makes you reliable. Keep it factual and free of any claim you cannot back up.</w:t>
      </w:r>
    </w:p>
    <w:p>
      <w:pPr>
        <w:pStyle w:val="Normal"/>
        <w:keepNext w:val="true"/>
        <w:spacing w:before="140" w:after="60"/>
        <w:rPr/>
      </w:pPr>
      <w:r>
        <w:rPr>
          <w:rFonts w:eastAsia="Calibri" w:cs="Calibri"/>
          <w:b/>
          <w:bCs/>
          <w:i w:val="false"/>
          <w:iCs w:val="false"/>
          <w:color w:val="3E5871"/>
          <w:sz w:val="21"/>
          <w:szCs w:val="21"/>
        </w:rPr>
        <w:t>A short introduction email you can adapt</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Hello [name], I'm [name] with [entity name], a licensed behavioral health provider in [area], in-network with [AHCCCS health plan] and registered with the ACC-RBHA. We have current openings for [population/level of care]. I know you occasionally need a reliable provider who accepts referrals quickly and communicates — I'd like to be that resource. I've attached a one-page summary of who we serve and how to reach us for a referral. Would a brief call help? Thank you for the work you do.”</w:t>
      </w:r>
    </w:p>
    <w:p>
      <w:pPr>
        <w:pStyle w:val="Normal"/>
        <w:keepNext w:val="true"/>
        <w:spacing w:before="22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one referral is a start; becoming the provider a coordinator thinks of first is the goal. You earn that by making every referral easy and every professional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Accept referrals promptly and give a clear yes or no fast — speed is the single biggest driver of the next referral in behavioral health.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Give proactive updates on engagement and progress (within the bounds of 42 CFR Part 2 and HIPAA consent), and flag any problem early.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Prevent bounce-backs: a client who is safely engaged and does not return to crisis makes the referrer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Report outcomes and, for justice referrals, compliance — reliably and on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Say thank you appropriately and refer back when you can — the best relationships are two-way.</w:t>
      </w:r>
    </w:p>
    <w:p>
      <w:pPr>
        <w:pStyle w:val="Normal"/>
        <w:spacing w:lineRule="exact" w:line="268" w:before="0" w:after="110"/>
        <w:jc w:val="start"/>
        <w:rPr/>
      </w:pPr>
      <w:r>
        <w:rPr>
          <w:rFonts w:eastAsia="Calibri" w:cs="Calibri"/>
          <w:b w:val="false"/>
          <w:bCs w:val="false"/>
          <w:i w:val="false"/>
          <w:iCs w:val="false"/>
          <w:color w:val="1A1A1A"/>
          <w:sz w:val="20"/>
          <w:szCs w:val="20"/>
        </w:rPr>
        <w:t>The single most powerful thing you can do to become a preferred provider is to make the referring professional look good — when the client they sent you is safely engaged and progressing, and the coordinator hears about it, you have made their judgment look sound. Do that consistently and the referrals come to you because you are the safe choice.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A note on consent: 42 CFR Part 2 and HIPAA</w:t>
            </w:r>
          </w:p>
          <w:p>
            <w:pPr>
              <w:pStyle w:val="Normal"/>
              <w:spacing w:lineRule="exact" w:line="264" w:before="0" w:after="0"/>
              <w:rPr/>
            </w:pPr>
            <w:r>
              <w:rPr>
                <w:rFonts w:eastAsia="Calibri" w:cs="Calibri"/>
                <w:b w:val="false"/>
                <w:bCs w:val="false"/>
                <w:i w:val="false"/>
                <w:iCs w:val="false"/>
                <w:color w:val="1A1A1A"/>
                <w:sz w:val="19"/>
                <w:szCs w:val="19"/>
              </w:rPr>
              <w:t>Behavioral health information is protected, and substance use disorder treatment records carry heightened federal confidentiality under 42 CFR Part 2 — stricter than HIPAA alone. You generally cannot confirm a person is even in SUD treatment, or share progress with a referrer, without the client’s valid written consent. This is not a barrier to good referral relationships; it is part of doing them right. Build proper consent into your intake so that, when a client agrees, you can keep referrers appropriately informed — which is exactly what earns the next referral — while protecting the client’s privacy. When in doubt about what you may disclose, get the consent first or consult counsel.</w:t>
            </w:r>
          </w:p>
        </w:tc>
      </w:tr>
    </w:tbl>
    <w:p>
      <w:pPr>
        <w:pStyle w:val="Normal"/>
        <w:keepNext w:val="true"/>
        <w:spacing w:before="220" w:after="90"/>
        <w:rPr/>
      </w:pPr>
      <w:r>
        <w:rPr>
          <w:rFonts w:eastAsia="Calibri" w:cs="Calibri"/>
          <w:b/>
          <w:bCs/>
          <w:i w:val="false"/>
          <w:iCs w:val="false"/>
          <w:color w:val="1F3A5F"/>
          <w:sz w:val="26"/>
          <w:szCs w:val="26"/>
        </w:rPr>
        <w:t>Part 8 — Get Found: Your Online Presence &amp; the Directories</w:t>
      </w:r>
    </w:p>
    <w:p>
      <w:pPr>
        <w:pStyle w:val="Normal"/>
        <w:spacing w:lineRule="exact" w:line="268" w:before="0" w:after="110"/>
        <w:jc w:val="start"/>
        <w:rPr/>
      </w:pPr>
      <w:r>
        <w:rPr>
          <w:rFonts w:eastAsia="Calibri" w:cs="Calibri"/>
          <w:b w:val="false"/>
          <w:bCs w:val="false"/>
          <w:i w:val="false"/>
          <w:iCs w:val="false"/>
          <w:color w:val="1A1A1A"/>
          <w:sz w:val="20"/>
          <w:szCs w:val="20"/>
        </w:rPr>
        <w:t>When a coordinator, clinician, or family searches for a provider, you want to be found and to look credible.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the payer directories. </w:t>
      </w:r>
      <w:r>
        <w:rPr>
          <w:rFonts w:eastAsia="Calibri" w:cs="Calibri"/>
          <w:b w:val="false"/>
          <w:bCs w:val="false"/>
          <w:i w:val="false"/>
          <w:iCs w:val="false"/>
          <w:color w:val="1A1A1A"/>
          <w:sz w:val="20"/>
          <w:szCs w:val="20"/>
        </w:rPr>
        <w:t>Make sure your listing in the ACC and ACC-RBHA plan provider networks is accurate and shows your services, openings, and intake contact.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any bed-availability / referral platform. </w:t>
      </w:r>
      <w:r>
        <w:rPr>
          <w:rFonts w:eastAsia="Calibri" w:cs="Calibri"/>
          <w:b w:val="false"/>
          <w:bCs w:val="false"/>
          <w:i w:val="false"/>
          <w:iCs w:val="false"/>
          <w:color w:val="1A1A1A"/>
          <w:sz w:val="20"/>
          <w:szCs w:val="20"/>
        </w:rPr>
        <w:t>If the crisis and hospital systems in your area use a referral or bed-tracking platform, keep your availability current in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Claim your Google Business Profile. </w:t>
      </w:r>
      <w:r>
        <w:rPr>
          <w:rFonts w:eastAsia="Calibri" w:cs="Calibri"/>
          <w:b w:val="false"/>
          <w:bCs w:val="false"/>
          <w:i w:val="false"/>
          <w:iCs w:val="false"/>
          <w:color w:val="1A1A1A"/>
          <w:sz w:val="20"/>
          <w:szCs w:val="20"/>
        </w:rPr>
        <w:t>Accurate name, location, phone, and hours so you appear in local searches.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Keep a simple, professional website. </w:t>
      </w:r>
      <w:r>
        <w:rPr>
          <w:rFonts w:eastAsia="Calibri" w:cs="Calibri"/>
          <w:b w:val="false"/>
          <w:bCs w:val="false"/>
          <w:i w:val="false"/>
          <w:iCs w:val="false"/>
          <w:color w:val="1A1A1A"/>
          <w:sz w:val="20"/>
          <w:szCs w:val="20"/>
        </w:rPr>
        <w:t>Clear on who you serve, your levels of care, your networks, and how to make a referral — a coordinator should find your intake contact in seconds.</w:t>
      </w:r>
    </w:p>
    <w:p>
      <w:pPr>
        <w:pStyle w:val="Normal"/>
        <w:keepNext w:val="true"/>
        <w:spacing w:before="22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Referrals come from consistency, not bursts. Build a simple weekly rhythm and keep it: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Each week, make a set number of outreach touches — a new crisis, hospital, detox, or court contact, and a check-in with an existing one.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Respond to every referral inquiry the same day, whether or not you have an opening.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Update your current availability with your AHCCCS health plan, ACC-RBHA, and referral platforms.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Send one proactive update to a referring coordinator about a shared client (with proper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Log every outreach and every referral so nothing falls through the cracks (Part Three).</w:t>
      </w:r>
    </w:p>
    <w:p>
      <w:pPr>
        <w:pStyle w:val="Normal"/>
        <w:spacing w:lineRule="exact" w:line="268" w:before="0" w:after="110"/>
        <w:jc w:val="start"/>
        <w:rPr/>
      </w:pPr>
      <w:r>
        <w:rPr>
          <w:rFonts w:eastAsia="Calibri" w:cs="Calibri"/>
          <w:b w:val="false"/>
          <w:bCs w:val="false"/>
          <w:i w:val="false"/>
          <w:iCs w:val="false"/>
          <w:color w:val="1A1A1A"/>
          <w:sz w:val="20"/>
          <w:szCs w:val="20"/>
        </w:rPr>
        <w:t>The hard part of a weekly rhythm is that it works slowly at first. You will make outreach touches for weeks before they produce steady referrals, and it is tempting to stop when nothing seems to happen. Do not. Referral relationships compound: the coordinator you checked in with three times this quarter is the one who calls you first when a client needs your level of care. Protect a small, fixed amount of time every week for outreach and follow-up, and treat it as seriously as you treat clinical care, because it is what keeps your caseload full.</w:t>
      </w:r>
    </w:p>
    <w:p>
      <w:pPr>
        <w:pStyle w:val="Normal"/>
        <w:keepNext w:val="true"/>
        <w:spacing w:before="22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Track where your referrals actually come from so you invest in the sources that produce them:</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For every admission, record the referral source — which health plan, hospital, crisis center, detox, or court.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Watch which sources refer repeatedly and which never convert, and shift your time toward what works.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your response time to referrals — speed is one of the biggest drivers of the next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engagement and no-show rates by source, and review quarterly to set outreach priorities.</w:t>
      </w:r>
    </w:p>
    <w:p>
      <w:pPr>
        <w:pStyle w:val="Normal"/>
        <w:spacing w:lineRule="exact" w:line="268" w:before="0" w:after="110"/>
        <w:jc w:val="start"/>
        <w:rPr/>
      </w:pPr>
      <w:r>
        <w:rPr>
          <w:rFonts w:eastAsia="Calibri" w:cs="Calibri"/>
          <w:b w:val="false"/>
          <w:bCs w:val="false"/>
          <w:i w:val="false"/>
          <w:iCs w:val="false"/>
          <w:color w:val="1A1A1A"/>
          <w:sz w:val="20"/>
          <w:szCs w:val="20"/>
        </w:rPr>
        <w:t>Honest tracking will surprise you. Most providers discover that a small number of sources produce the large majority of their admissions — often one AHCCCS health plan, one or two hospitals or crisis centers, and a detox or court. Once you know who those are, invest your best time in deepening those relationships rather than spreading thin. Tracking also protects you: if a once-reliable source stops referring, you will notice early and can find out why before it quietly costs you your caseload.</w:t>
      </w:r>
    </w:p>
    <w:p>
      <w:pPr>
        <w:pStyle w:val="Normal"/>
        <w:keepNext w:val="true"/>
        <w:spacing w:before="220" w:after="90"/>
        <w:rPr/>
      </w:pPr>
      <w:r>
        <w:rPr>
          <w:rFonts w:eastAsia="Calibri" w:cs="Calibri"/>
          <w:b/>
          <w:bCs/>
          <w:i w:val="false"/>
          <w:iCs w:val="false"/>
          <w:color w:val="1F3A5F"/>
          <w:sz w:val="26"/>
          <w:szCs w:val="26"/>
        </w:rPr>
        <w:t>Part 11 — Common Mistakes (and the Legal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Waiting for clients to come to you. </w:t>
      </w:r>
      <w:r>
        <w:rPr>
          <w:rFonts w:eastAsia="Calibri" w:cs="Calibri"/>
          <w:b w:val="false"/>
          <w:bCs w:val="false"/>
          <w:i w:val="false"/>
          <w:iCs w:val="false"/>
          <w:color w:val="1A1A1A"/>
          <w:sz w:val="20"/>
          <w:szCs w:val="20"/>
        </w:rPr>
        <w:t>A license does not fill a caseload; relationships with the health plan, crisis, hospital, detox, and court systems do.</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slow or hard to reach. </w:t>
      </w:r>
      <w:r>
        <w:rPr>
          <w:rFonts w:eastAsia="Calibri" w:cs="Calibri"/>
          <w:b w:val="false"/>
          <w:bCs w:val="false"/>
          <w:i w:val="false"/>
          <w:iCs w:val="false"/>
          <w:color w:val="1A1A1A"/>
          <w:sz w:val="20"/>
          <w:szCs w:val="20"/>
        </w:rPr>
        <w:t>A slow or unclear response to a referral sends the next one elsewhere — speed is everything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Going quiet after intake. </w:t>
      </w:r>
      <w:r>
        <w:rPr>
          <w:rFonts w:eastAsia="Calibri" w:cs="Calibri"/>
          <w:b w:val="false"/>
          <w:bCs w:val="false"/>
          <w:i w:val="false"/>
          <w:iCs w:val="false"/>
          <w:color w:val="1A1A1A"/>
          <w:sz w:val="20"/>
          <w:szCs w:val="20"/>
        </w:rPr>
        <w:t>No updates is how you lose a referrer; proactive, consent-based communication is how you keep one.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Over-promising on who you can serve. </w:t>
      </w:r>
      <w:r>
        <w:rPr>
          <w:rFonts w:eastAsia="Calibri" w:cs="Calibri"/>
          <w:b w:val="false"/>
          <w:bCs w:val="false"/>
          <w:i w:val="false"/>
          <w:iCs w:val="false"/>
          <w:color w:val="1A1A1A"/>
          <w:sz w:val="20"/>
          <w:szCs w:val="20"/>
        </w:rPr>
        <w:t>Accepting a client you cannot safely serve damages the trust you depend on — be honest about fit.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Paying for referrals or accepting patient brokering. </w:t>
      </w:r>
      <w:r>
        <w:rPr>
          <w:rFonts w:eastAsia="Calibri" w:cs="Calibri"/>
          <w:b w:val="false"/>
          <w:bCs w:val="false"/>
          <w:i w:val="false"/>
          <w:iCs w:val="false"/>
          <w:color w:val="1A1A1A"/>
          <w:sz w:val="20"/>
          <w:szCs w:val="20"/>
        </w:rPr>
        <w:t>Never pay or accept anything of value for a referral — the Anti-Kickback Statute and EKRA apply, EKRA even for private-pay clients. Earn referrals; never buy them.</w:t>
      </w:r>
    </w:p>
    <w:p>
      <w:pPr>
        <w:pStyle w:val="Normal"/>
        <w:keepNext w:val="true"/>
        <w:spacing w:before="220" w:after="90"/>
        <w:rPr/>
      </w:pPr>
      <w:r>
        <w:rPr>
          <w:rFonts w:eastAsia="Calibri" w:cs="Calibri"/>
          <w:b/>
          <w:bCs/>
          <w:i w:val="false"/>
          <w:iCs w:val="false"/>
          <w:color w:val="1F3A5F"/>
          <w:sz w:val="26"/>
          <w:szCs w:val="26"/>
        </w:rPr>
        <w:t>Building Your Referral Story: What Makes You the Reliable Choice</w:t>
      </w:r>
    </w:p>
    <w:p>
      <w:pPr>
        <w:pStyle w:val="Normal"/>
        <w:spacing w:lineRule="exact" w:line="268" w:before="0" w:after="110"/>
        <w:jc w:val="start"/>
        <w:rPr/>
      </w:pPr>
      <w:r>
        <w:rPr>
          <w:rFonts w:eastAsia="Calibri" w:cs="Calibri"/>
          <w:b w:val="false"/>
          <w:bCs w:val="false"/>
          <w:i w:val="false"/>
          <w:iCs w:val="false"/>
          <w:color w:val="1A1A1A"/>
          <w:sz w:val="20"/>
          <w:szCs w:val="20"/>
        </w:rPr>
        <w:t>Before you can earn referrals, you need to be clear — in one or two sentences — on why a coordinator or clinician should trust you with a client. This is your referral story, and it is not marketing language; it is a factual, specific account of what you do well. The clearer it is, the easier you are to refer to.</w:t>
      </w:r>
    </w:p>
    <w:p>
      <w:pPr>
        <w:pStyle w:val="Normal"/>
        <w:spacing w:lineRule="exact" w:line="268" w:before="0" w:after="110"/>
        <w:jc w:val="start"/>
        <w:rPr/>
      </w:pPr>
      <w:r>
        <w:rPr>
          <w:rFonts w:eastAsia="Calibri" w:cs="Calibri"/>
          <w:b w:val="false"/>
          <w:bCs w:val="false"/>
          <w:i w:val="false"/>
          <w:iCs w:val="false"/>
          <w:color w:val="1A1A1A"/>
          <w:sz w:val="20"/>
          <w:szCs w:val="20"/>
        </w:rPr>
        <w:t>A strong referral story answers three questions a referrer is silently asking. First, who do you serve well? Be specific about diagnoses, co-occurring mental health and substance use, levels of care, age ranges, and any specialties — and honest about who you are not the right fit for. Second, how do you keep clients safe and engaged? Point to your staffing, your levels of care, your crisis response, and your track record. Third, what is it like to work with you? Fast acceptance, clear communication, and outcome reporting. When you can state your story plainly and back every part of it up, referrers can send clients with confidence — and confidence earns the next referral.</w:t>
      </w:r>
    </w:p>
    <w:p>
      <w:pPr>
        <w:pStyle w:val="Normal"/>
        <w:spacing w:lineRule="exact" w:line="268" w:before="0" w:after="110"/>
        <w:jc w:val="start"/>
        <w:rPr/>
      </w:pPr>
      <w:r>
        <w:rPr>
          <w:rFonts w:eastAsia="Calibri" w:cs="Calibri"/>
          <w:b w:val="false"/>
          <w:bCs w:val="false"/>
          <w:i w:val="false"/>
          <w:iCs w:val="false"/>
          <w:color w:val="1A1A1A"/>
          <w:sz w:val="20"/>
          <w:szCs w:val="20"/>
        </w:rPr>
        <w:t>Write your referral story down, make sure everyone who answers your intake line can express it, and keep it current as your services grow. Then let everything you do prove it true.</w:t>
      </w:r>
    </w:p>
    <w:p>
      <w:pPr>
        <w:pStyle w:val="Normal"/>
        <w:keepNext w:val="true"/>
        <w:spacing w:before="220" w:after="90"/>
        <w:rPr/>
      </w:pPr>
      <w:r>
        <w:rPr>
          <w:rFonts w:eastAsia="Calibri" w:cs="Calibri"/>
          <w:b/>
          <w:bCs/>
          <w:i w:val="false"/>
          <w:iCs w:val="false"/>
          <w:color w:val="1F3A5F"/>
          <w:sz w:val="26"/>
          <w:szCs w:val="26"/>
        </w:rPr>
        <w:t>Your First 90 Days: An Outreach Action Plan</w:t>
      </w:r>
    </w:p>
    <w:p>
      <w:pPr>
        <w:pStyle w:val="Normal"/>
        <w:spacing w:lineRule="exact" w:line="268" w:before="0" w:after="110"/>
        <w:jc w:val="start"/>
        <w:rPr/>
      </w:pPr>
      <w:r>
        <w:rPr>
          <w:rFonts w:eastAsia="Calibri" w:cs="Calibri"/>
          <w:b w:val="false"/>
          <w:bCs w:val="false"/>
          <w:i w:val="false"/>
          <w:iCs w:val="false"/>
          <w:color w:val="1A1A1A"/>
          <w:sz w:val="20"/>
          <w:szCs w:val="20"/>
        </w:rPr>
        <w:t>If you are opening or newly licensed, here is a concrete way to build your referral base in the first ninety days: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Weeks 1–2: get in-network. </w:t>
      </w:r>
      <w:r>
        <w:rPr>
          <w:rFonts w:eastAsia="Calibri" w:cs="Calibri"/>
          <w:b w:val="false"/>
          <w:bCs w:val="false"/>
          <w:i w:val="false"/>
          <w:iCs w:val="false"/>
          <w:color w:val="1A1A1A"/>
          <w:sz w:val="20"/>
          <w:szCs w:val="20"/>
        </w:rPr>
        <w:t>Confirm your AHCCCS enrollment, your AHCCCS health plan contract, and your ACC-RBHA contract, and make sure your directory listings are accurate.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Weeks 2–4: map your region. </w:t>
      </w:r>
      <w:r>
        <w:rPr>
          <w:rFonts w:eastAsia="Calibri" w:cs="Calibri"/>
          <w:b w:val="false"/>
          <w:bCs w:val="false"/>
          <w:i w:val="false"/>
          <w:iCs w:val="false"/>
          <w:color w:val="1A1A1A"/>
          <w:sz w:val="20"/>
          <w:szCs w:val="20"/>
        </w:rPr>
        <w:t>Identify the crisis centers, hospitals and EDs, detox and withdrawal-management programs, courts, and other providers near you — use the directory in Part Two.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Weeks 3–6: introduce yourself to the crisis and hospital teams. </w:t>
      </w:r>
      <w:r>
        <w:rPr>
          <w:rFonts w:eastAsia="Calibri" w:cs="Calibri"/>
          <w:b w:val="false"/>
          <w:bCs w:val="false"/>
          <w:i w:val="false"/>
          <w:iCs w:val="false"/>
          <w:color w:val="1A1A1A"/>
          <w:sz w:val="20"/>
          <w:szCs w:val="20"/>
        </w:rPr>
        <w:t>Reach out with your one-page leave-behind, your openings, and your response time.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Weeks 5–8: build detox and court relationships. </w:t>
      </w:r>
      <w:r>
        <w:rPr>
          <w:rFonts w:eastAsia="Calibri" w:cs="Calibri"/>
          <w:b w:val="false"/>
          <w:bCs w:val="false"/>
          <w:i w:val="false"/>
          <w:iCs w:val="false"/>
          <w:color w:val="1A1A1A"/>
          <w:sz w:val="20"/>
          <w:szCs w:val="20"/>
        </w:rPr>
        <w:t>Meet the withdrawal-management programs and, if you serve justice-involved clients, the drug courts and probation.</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Weeks 8–12: deepen and follow up. </w:t>
      </w:r>
      <w:r>
        <w:rPr>
          <w:rFonts w:eastAsia="Calibri" w:cs="Calibri"/>
          <w:b w:val="false"/>
          <w:bCs w:val="false"/>
          <w:i w:val="false"/>
          <w:iCs w:val="false"/>
          <w:color w:val="1A1A1A"/>
          <w:sz w:val="20"/>
          <w:szCs w:val="20"/>
        </w:rPr>
        <w:t>Check back in with everyone you met, respond instantly to any referral, and start your weekly rhythm and tracking so nothing slips.</w:t>
      </w:r>
    </w:p>
    <w:p>
      <w:pPr>
        <w:pStyle w:val="Normal"/>
        <w:spacing w:lineRule="exact" w:line="268" w:before="0" w:after="110"/>
        <w:jc w:val="start"/>
        <w:rPr/>
      </w:pPr>
      <w:r>
        <w:rPr>
          <w:rFonts w:eastAsia="Calibri" w:cs="Calibri"/>
          <w:b w:val="false"/>
          <w:bCs w:val="false"/>
          <w:i w:val="false"/>
          <w:iCs w:val="false"/>
          <w:color w:val="1A1A1A"/>
          <w:sz w:val="20"/>
          <w:szCs w:val="20"/>
        </w:rPr>
        <w:t>By the end of ninety days you will not have every relationship you need, but you will have introduced yourself to the sources that matter most and started the habits that fill a caseload over the long run. Keep going — in this business, consistency is the whole strategy.</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Two — The Arizona Behavioral Health Referral Directory</w:t>
      </w:r>
    </w:p>
    <w:p>
      <w:pPr>
        <w:pStyle w:val="Normal"/>
        <w:spacing w:lineRule="exact" w:line="268" w:before="0" w:after="110"/>
        <w:jc w:val="start"/>
        <w:rPr/>
      </w:pPr>
      <w:r>
        <w:rPr>
          <w:rFonts w:eastAsia="Calibri" w:cs="Calibri"/>
          <w:b w:val="false"/>
          <w:bCs w:val="false"/>
          <w:i w:val="false"/>
          <w:iCs w:val="false"/>
          <w:color w:val="1A1A1A"/>
          <w:sz w:val="20"/>
          <w:szCs w:val="20"/>
        </w:rPr>
        <w:t>These are the Arizona sources a behavioral health provider builds relationships with, organized statewide and then by metro with verified named partners. Contacts change — confirm each before you rely on it, and treat this as a starting map, not a guarantee.</w:t>
      </w:r>
    </w:p>
    <w:p>
      <w:pPr>
        <w:pStyle w:val="Normal"/>
        <w:keepNext w:val="true"/>
        <w:spacing w:before="150" w:after="60"/>
        <w:rPr/>
      </w:pPr>
      <w:r>
        <w:rPr>
          <w:rFonts w:eastAsia="Calibri" w:cs="Calibri"/>
          <w:b/>
          <w:bCs/>
          <w:i w:val="false"/>
          <w:iCs w:val="false"/>
          <w:color w:val="3E5871"/>
          <w:sz w:val="20"/>
          <w:szCs w:val="20"/>
        </w:rPr>
        <w:t>Statewide — start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AHCCCS Complete Care (ACC) plans — in-network first. </w:t>
      </w:r>
      <w:r>
        <w:rPr>
          <w:rFonts w:eastAsia="Calibri" w:cs="Calibri"/>
          <w:b w:val="false"/>
          <w:bCs w:val="false"/>
          <w:i w:val="false"/>
          <w:iCs w:val="false"/>
          <w:color w:val="1A1A1A"/>
          <w:sz w:val="20"/>
          <w:szCs w:val="20"/>
        </w:rPr>
        <w:t>Arizona Medicaid's behavioral health benefit is delivered through integrated AHCCCS Complete Care (ACC) plans; their care coordinators refer members and authorize services. Enroll as an AHCCCS provider and contract with the ACC plans serving your area. azahcccs.gov.</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ACC-RBHAs — SMI, crisis &amp; grant-funded. </w:t>
      </w:r>
      <w:r>
        <w:rPr>
          <w:rFonts w:eastAsia="Calibri" w:cs="Calibri"/>
          <w:b w:val="false"/>
          <w:bCs w:val="false"/>
          <w:i w:val="false"/>
          <w:iCs w:val="false"/>
          <w:color w:val="1A1A1A"/>
          <w:sz w:val="20"/>
          <w:szCs w:val="20"/>
        </w:rPr>
        <w:t>For members with a Serious Mental Illness (SMI) designation, and for crisis and grant-funded services, the ACC-RBHAs coordinate care: Mercy Care (Central GSA / Maricopa) and Arizona Complete Health (North and South GSAs).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Solari Crisis &amp; Human Services. </w:t>
      </w:r>
      <w:r>
        <w:rPr>
          <w:rFonts w:eastAsia="Calibri" w:cs="Calibri"/>
          <w:b w:val="false"/>
          <w:bCs w:val="false"/>
          <w:i w:val="false"/>
          <w:iCs w:val="false"/>
          <w:color w:val="1A1A1A"/>
          <w:sz w:val="20"/>
          <w:szCs w:val="20"/>
        </w:rPr>
        <w:t>The statewide crisis line (988 or 1-844-534-4673), Crisis Mobile Teams, and crisis stabilization — a major referral source — and the SMI determination vendor. solari-inc.org.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AZDHS &amp; AHCCCS — licensing &amp; clinical criteria. </w:t>
      </w:r>
      <w:r>
        <w:rPr>
          <w:rFonts w:eastAsia="Calibri" w:cs="Calibri"/>
          <w:b w:val="false"/>
          <w:bCs w:val="false"/>
          <w:i w:val="false"/>
          <w:iCs w:val="false"/>
          <w:color w:val="1A1A1A"/>
          <w:sz w:val="20"/>
          <w:szCs w:val="20"/>
        </w:rPr>
        <w:t>AZDHS licenses Behavioral Health Residential Facilities (A.A.C. R9-10 Art. 7) and Outpatient Treatment Centers (Art. 10); AHCCCS AMPM 320-V is the clinical criteria for BHRF level of care. azdhs.gov.</w:t>
      </w:r>
    </w:p>
    <w:p>
      <w:pPr>
        <w:pStyle w:val="Normal"/>
        <w:keepNext w:val="true"/>
        <w:spacing w:before="150" w:after="60"/>
        <w:rPr/>
      </w:pPr>
      <w:r>
        <w:rPr>
          <w:rFonts w:eastAsia="Calibri" w:cs="Calibri"/>
          <w:b/>
          <w:bCs/>
          <w:i w:val="false"/>
          <w:iCs w:val="false"/>
          <w:color w:val="3E5871"/>
          <w:sz w:val="20"/>
          <w:szCs w:val="20"/>
        </w:rPr>
        <w:t>Phoenix Metro — verified named partners</w:t>
      </w:r>
    </w:p>
    <w:p>
      <w:pPr>
        <w:pStyle w:val="Normal"/>
        <w:spacing w:before="0" w:after="60"/>
        <w:rPr/>
      </w:pPr>
      <w:r>
        <w:rPr>
          <w:rFonts w:eastAsia="Calibri" w:cs="Calibri"/>
          <w:b/>
          <w:bCs/>
          <w:i w:val="false"/>
          <w:iCs w:val="false"/>
          <w:color w:val="1F3A5F"/>
          <w:sz w:val="19"/>
          <w:szCs w:val="19"/>
        </w:rPr>
        <w:t>Crisis &amp; urgent psychiatric (step-down referrals)</w:t>
      </w:r>
    </w:p>
    <w:p>
      <w:pPr>
        <w:pStyle w:val="ListParagraph"/>
        <w:numPr>
          <w:ilvl w:val="0"/>
          <w:numId w:val="1"/>
        </w:numPr>
        <w:spacing w:lineRule="exact" w:line="264" w:before="0" w:after="70"/>
        <w:rPr/>
      </w:pPr>
      <w:r>
        <w:rPr>
          <w:rFonts w:eastAsia="Calibri" w:cs="Calibri"/>
          <w:b/>
          <w:bCs/>
          <w:i w:val="false"/>
          <w:iCs w:val="false"/>
          <w:color w:val="1A1A1A"/>
          <w:sz w:val="19"/>
          <w:szCs w:val="19"/>
        </w:rPr>
        <w:t>Connections Health Solutions (23-hour crisis / urgent psychiatric)</w:t>
      </w:r>
      <w:r>
        <w:rPr>
          <w:rFonts w:eastAsia="Calibri" w:cs="Calibri"/>
          <w:b w:val="false"/>
          <w:bCs w:val="false"/>
          <w:i w:val="false"/>
          <w:iCs w:val="false"/>
          <w:color w:val="555555"/>
          <w:sz w:val="18"/>
          <w:szCs w:val="18"/>
        </w:rPr>
        <w:t xml:space="preserve">  —  1201 S 7th Ave #150, Phoenix, AZ 85007</w:t>
      </w:r>
      <w:r>
        <w:rPr>
          <w:rFonts w:eastAsia="Calibri" w:cs="Calibri"/>
          <w:b w:val="false"/>
          <w:bCs w:val="false"/>
          <w:i w:val="false"/>
          <w:iCs w:val="false"/>
          <w:color w:val="3E5871"/>
          <w:sz w:val="18"/>
          <w:szCs w:val="18"/>
        </w:rPr>
        <w:t xml:space="preserve">  ·  602-416-7600</w:t>
      </w:r>
    </w:p>
    <w:p>
      <w:pPr>
        <w:pStyle w:val="Normal"/>
        <w:spacing w:before="100" w:after="60"/>
        <w:rPr/>
      </w:pPr>
      <w:r>
        <w:rPr>
          <w:rFonts w:eastAsia="Calibri" w:cs="Calibri"/>
          <w:b/>
          <w:bCs/>
          <w:i w:val="false"/>
          <w:iCs w:val="false"/>
          <w:color w:val="1F3A5F"/>
          <w:sz w:val="19"/>
          <w:szCs w:val="19"/>
        </w:rPr>
        <w:t>Community behavioral health &amp; integrated clinics (health homes)</w:t>
      </w:r>
    </w:p>
    <w:p>
      <w:pPr>
        <w:pStyle w:val="ListParagraph"/>
        <w:numPr>
          <w:ilvl w:val="0"/>
          <w:numId w:val="1"/>
        </w:numPr>
        <w:spacing w:lineRule="exact" w:line="264" w:before="0" w:after="70"/>
        <w:rPr/>
      </w:pPr>
      <w:r>
        <w:rPr>
          <w:rFonts w:eastAsia="Calibri" w:cs="Calibri"/>
          <w:b/>
          <w:bCs/>
          <w:i w:val="false"/>
          <w:iCs w:val="false"/>
          <w:color w:val="1A1A1A"/>
          <w:sz w:val="19"/>
          <w:szCs w:val="19"/>
        </w:rPr>
        <w:t>Southwest Behavioral &amp; Health Services — Recovery Readiness Center</w:t>
      </w:r>
      <w:r>
        <w:rPr>
          <w:rFonts w:eastAsia="Calibri" w:cs="Calibri"/>
          <w:b w:val="false"/>
          <w:bCs w:val="false"/>
          <w:i w:val="false"/>
          <w:iCs w:val="false"/>
          <w:color w:val="555555"/>
          <w:sz w:val="18"/>
          <w:szCs w:val="18"/>
        </w:rPr>
        <w:t xml:space="preserve">  —  2042 N 35th Ave, Phoenix, AZ 85009</w:t>
      </w:r>
      <w:r>
        <w:rPr>
          <w:rFonts w:eastAsia="Calibri" w:cs="Calibri"/>
          <w:b w:val="false"/>
          <w:bCs w:val="false"/>
          <w:i w:val="false"/>
          <w:iCs w:val="false"/>
          <w:color w:val="3E5871"/>
          <w:sz w:val="18"/>
          <w:szCs w:val="18"/>
        </w:rPr>
        <w:t xml:space="preserve">  ·  602-272-5250</w:t>
      </w:r>
    </w:p>
    <w:p>
      <w:pPr>
        <w:pStyle w:val="ListParagraph"/>
        <w:numPr>
          <w:ilvl w:val="0"/>
          <w:numId w:val="1"/>
        </w:numPr>
        <w:spacing w:lineRule="exact" w:line="264" w:before="0" w:after="70"/>
        <w:rPr/>
      </w:pPr>
      <w:r>
        <w:rPr>
          <w:rFonts w:eastAsia="Calibri" w:cs="Calibri"/>
          <w:b/>
          <w:bCs/>
          <w:i w:val="false"/>
          <w:iCs w:val="false"/>
          <w:color w:val="1A1A1A"/>
          <w:sz w:val="19"/>
          <w:szCs w:val="19"/>
        </w:rPr>
        <w:t>Community Partners Integrated Healthcare</w:t>
      </w:r>
      <w:r>
        <w:rPr>
          <w:rFonts w:eastAsia="Calibri" w:cs="Calibri"/>
          <w:b w:val="false"/>
          <w:bCs w:val="false"/>
          <w:i w:val="false"/>
          <w:iCs w:val="false"/>
          <w:color w:val="555555"/>
          <w:sz w:val="18"/>
          <w:szCs w:val="18"/>
        </w:rPr>
        <w:t xml:space="preserve">  —  1515 E Osborn Rd, Phoenix, AZ 85014</w:t>
      </w:r>
      <w:r>
        <w:rPr>
          <w:rFonts w:eastAsia="Calibri" w:cs="Calibri"/>
          <w:b w:val="false"/>
          <w:bCs w:val="false"/>
          <w:i w:val="false"/>
          <w:iCs w:val="false"/>
          <w:color w:val="3E5871"/>
          <w:sz w:val="18"/>
          <w:szCs w:val="18"/>
        </w:rPr>
        <w:t xml:space="preserve">  ·  602-604-0000</w:t>
      </w:r>
    </w:p>
    <w:p>
      <w:pPr>
        <w:pStyle w:val="ListParagraph"/>
        <w:numPr>
          <w:ilvl w:val="0"/>
          <w:numId w:val="1"/>
        </w:numPr>
        <w:spacing w:lineRule="exact" w:line="264" w:before="0" w:after="70"/>
        <w:rPr/>
      </w:pPr>
      <w:r>
        <w:rPr>
          <w:rFonts w:eastAsia="Calibri" w:cs="Calibri"/>
          <w:b/>
          <w:bCs/>
          <w:i w:val="false"/>
          <w:iCs w:val="false"/>
          <w:color w:val="1A1A1A"/>
          <w:sz w:val="19"/>
          <w:szCs w:val="19"/>
        </w:rPr>
        <w:t>Community Bridges (CBI) — Central City Addiction Recovery Center</w:t>
      </w:r>
      <w:r>
        <w:rPr>
          <w:rFonts w:eastAsia="Calibri" w:cs="Calibri"/>
          <w:b w:val="false"/>
          <w:bCs w:val="false"/>
          <w:i w:val="false"/>
          <w:iCs w:val="false"/>
          <w:color w:val="555555"/>
          <w:sz w:val="18"/>
          <w:szCs w:val="18"/>
        </w:rPr>
        <w:t xml:space="preserve">  —  2770 E Van Buren St, Phoenix, AZ 85008</w:t>
      </w:r>
      <w:r>
        <w:rPr>
          <w:rFonts w:eastAsia="Calibri" w:cs="Calibri"/>
          <w:b w:val="false"/>
          <w:bCs w:val="false"/>
          <w:i w:val="false"/>
          <w:iCs w:val="false"/>
          <w:color w:val="3E5871"/>
          <w:sz w:val="18"/>
          <w:szCs w:val="18"/>
        </w:rPr>
        <w:t xml:space="preserve">  ·  602-273-9999</w:t>
      </w:r>
    </w:p>
    <w:p>
      <w:pPr>
        <w:pStyle w:val="Normal"/>
        <w:spacing w:before="100" w:after="60"/>
        <w:rPr/>
      </w:pPr>
      <w:r>
        <w:rPr>
          <w:rFonts w:eastAsia="Calibri" w:cs="Calibri"/>
          <w:b/>
          <w:bCs/>
          <w:i w:val="false"/>
          <w:iCs w:val="false"/>
          <w:color w:val="1F3A5F"/>
          <w:sz w:val="19"/>
          <w:szCs w:val="19"/>
        </w:rPr>
        <w:t>Detox &amp; withdrawal management</w:t>
      </w:r>
    </w:p>
    <w:p>
      <w:pPr>
        <w:pStyle w:val="ListParagraph"/>
        <w:numPr>
          <w:ilvl w:val="0"/>
          <w:numId w:val="1"/>
        </w:numPr>
        <w:spacing w:lineRule="exact" w:line="264" w:before="0" w:after="70"/>
        <w:rPr/>
      </w:pPr>
      <w:r>
        <w:rPr>
          <w:rFonts w:eastAsia="Calibri" w:cs="Calibri"/>
          <w:b/>
          <w:bCs/>
          <w:i w:val="false"/>
          <w:iCs w:val="false"/>
          <w:color w:val="1A1A1A"/>
          <w:sz w:val="19"/>
          <w:szCs w:val="19"/>
        </w:rPr>
        <w:t>Desert Mountain Health (medical detox)</w:t>
      </w:r>
      <w:r>
        <w:rPr>
          <w:rFonts w:eastAsia="Calibri" w:cs="Calibri"/>
          <w:b w:val="false"/>
          <w:bCs w:val="false"/>
          <w:i w:val="false"/>
          <w:iCs w:val="false"/>
          <w:color w:val="555555"/>
          <w:sz w:val="18"/>
          <w:szCs w:val="18"/>
        </w:rPr>
        <w:t xml:space="preserve">  —  3131 W Peoria Ave, Phoenix, AZ 85029</w:t>
      </w:r>
      <w:r>
        <w:rPr>
          <w:rFonts w:eastAsia="Calibri" w:cs="Calibri"/>
          <w:b w:val="false"/>
          <w:bCs w:val="false"/>
          <w:i w:val="false"/>
          <w:iCs w:val="false"/>
          <w:color w:val="3E5871"/>
          <w:sz w:val="18"/>
          <w:szCs w:val="18"/>
        </w:rPr>
        <w:t xml:space="preserve">  ·  833-568-0473</w:t>
      </w:r>
    </w:p>
    <w:p>
      <w:pPr>
        <w:pStyle w:val="ListParagraph"/>
        <w:numPr>
          <w:ilvl w:val="0"/>
          <w:numId w:val="1"/>
        </w:numPr>
        <w:spacing w:lineRule="exact" w:line="264" w:before="0" w:after="70"/>
        <w:rPr/>
      </w:pPr>
      <w:r>
        <w:rPr>
          <w:rFonts w:eastAsia="Calibri" w:cs="Calibri"/>
          <w:b/>
          <w:bCs/>
          <w:i w:val="false"/>
          <w:iCs w:val="false"/>
          <w:color w:val="1A1A1A"/>
          <w:sz w:val="19"/>
          <w:szCs w:val="19"/>
        </w:rPr>
        <w:t>Calvary Healing Center (residential SUD)</w:t>
      </w:r>
      <w:r>
        <w:rPr>
          <w:rFonts w:eastAsia="Calibri" w:cs="Calibri"/>
          <w:b w:val="false"/>
          <w:bCs w:val="false"/>
          <w:i w:val="false"/>
          <w:iCs w:val="false"/>
          <w:color w:val="555555"/>
          <w:sz w:val="18"/>
          <w:szCs w:val="18"/>
        </w:rPr>
        <w:t xml:space="preserve">  —  720 E Montebello Ave, Phoenix, AZ 85014</w:t>
      </w:r>
      <w:r>
        <w:rPr>
          <w:rFonts w:eastAsia="Calibri" w:cs="Calibri"/>
          <w:b w:val="false"/>
          <w:bCs w:val="false"/>
          <w:i w:val="false"/>
          <w:iCs w:val="false"/>
          <w:color w:val="3E5871"/>
          <w:sz w:val="18"/>
          <w:szCs w:val="18"/>
        </w:rPr>
        <w:t xml:space="preserve">  ·  602-362-8589</w:t>
      </w:r>
    </w:p>
    <w:p>
      <w:pPr>
        <w:pStyle w:val="Normal"/>
        <w:spacing w:before="100" w:after="60"/>
        <w:rPr/>
      </w:pPr>
      <w:r>
        <w:rPr>
          <w:rFonts w:eastAsia="Calibri" w:cs="Calibri"/>
          <w:b/>
          <w:bCs/>
          <w:i w:val="false"/>
          <w:iCs w:val="false"/>
          <w:color w:val="1F3A5F"/>
          <w:sz w:val="19"/>
          <w:szCs w:val="19"/>
        </w:rPr>
        <w:t>Psychiatric hospitals (discharge sources)</w:t>
      </w:r>
    </w:p>
    <w:p>
      <w:pPr>
        <w:pStyle w:val="ListParagraph"/>
        <w:numPr>
          <w:ilvl w:val="0"/>
          <w:numId w:val="1"/>
        </w:numPr>
        <w:spacing w:lineRule="exact" w:line="264" w:before="0" w:after="70"/>
        <w:rPr/>
      </w:pPr>
      <w:r>
        <w:rPr>
          <w:rFonts w:eastAsia="Calibri" w:cs="Calibri"/>
          <w:b/>
          <w:bCs/>
          <w:i w:val="false"/>
          <w:iCs w:val="false"/>
          <w:color w:val="1A1A1A"/>
          <w:sz w:val="19"/>
          <w:szCs w:val="19"/>
        </w:rPr>
        <w:t>Valleywise Behavioral Health Center — Phoenix</w:t>
      </w:r>
      <w:r>
        <w:rPr>
          <w:rFonts w:eastAsia="Calibri" w:cs="Calibri"/>
          <w:b w:val="false"/>
          <w:bCs w:val="false"/>
          <w:i w:val="false"/>
          <w:iCs w:val="false"/>
          <w:color w:val="555555"/>
          <w:sz w:val="18"/>
          <w:szCs w:val="18"/>
        </w:rPr>
        <w:t xml:space="preserve">  —  2619 E Pierce St, Phoenix, AZ 85008</w:t>
      </w:r>
      <w:r>
        <w:rPr>
          <w:rFonts w:eastAsia="Calibri" w:cs="Calibri"/>
          <w:b w:val="false"/>
          <w:bCs w:val="false"/>
          <w:i w:val="false"/>
          <w:iCs w:val="false"/>
          <w:color w:val="3E5871"/>
          <w:sz w:val="18"/>
          <w:szCs w:val="18"/>
        </w:rPr>
        <w:t xml:space="preserve">  ·  602-344-5011</w:t>
      </w:r>
    </w:p>
    <w:p>
      <w:pPr>
        <w:pStyle w:val="ListParagraph"/>
        <w:numPr>
          <w:ilvl w:val="0"/>
          <w:numId w:val="1"/>
        </w:numPr>
        <w:spacing w:lineRule="exact" w:line="264" w:before="0" w:after="70"/>
        <w:rPr/>
      </w:pPr>
      <w:r>
        <w:rPr>
          <w:rFonts w:eastAsia="Calibri" w:cs="Calibri"/>
          <w:b/>
          <w:bCs/>
          <w:i w:val="false"/>
          <w:iCs w:val="false"/>
          <w:color w:val="1A1A1A"/>
          <w:sz w:val="19"/>
          <w:szCs w:val="19"/>
        </w:rPr>
        <w:t>Arizona State Hospital</w:t>
      </w:r>
      <w:r>
        <w:rPr>
          <w:rFonts w:eastAsia="Calibri" w:cs="Calibri"/>
          <w:b w:val="false"/>
          <w:bCs w:val="false"/>
          <w:i w:val="false"/>
          <w:iCs w:val="false"/>
          <w:color w:val="555555"/>
          <w:sz w:val="18"/>
          <w:szCs w:val="18"/>
        </w:rPr>
        <w:t xml:space="preserve">  —  501 N 24th St, Phoenix, AZ 85008</w:t>
      </w:r>
      <w:r>
        <w:rPr>
          <w:rFonts w:eastAsia="Calibri" w:cs="Calibri"/>
          <w:b w:val="false"/>
          <w:bCs w:val="false"/>
          <w:i w:val="false"/>
          <w:iCs w:val="false"/>
          <w:color w:val="3E5871"/>
          <w:sz w:val="18"/>
          <w:szCs w:val="18"/>
        </w:rPr>
        <w:t xml:space="preserve">  ·  602-244-1331</w:t>
      </w:r>
    </w:p>
    <w:p>
      <w:pPr>
        <w:pStyle w:val="ListParagraph"/>
        <w:numPr>
          <w:ilvl w:val="0"/>
          <w:numId w:val="1"/>
        </w:numPr>
        <w:spacing w:lineRule="exact" w:line="264" w:before="0" w:after="70"/>
        <w:rPr/>
      </w:pPr>
      <w:r>
        <w:rPr>
          <w:rFonts w:eastAsia="Calibri" w:cs="Calibri"/>
          <w:b/>
          <w:bCs/>
          <w:i w:val="false"/>
          <w:iCs w:val="false"/>
          <w:color w:val="1A1A1A"/>
          <w:sz w:val="19"/>
          <w:szCs w:val="19"/>
        </w:rPr>
        <w:t>Haven Behavioral Hospital of Phoenix</w:t>
      </w:r>
      <w:r>
        <w:rPr>
          <w:rFonts w:eastAsia="Calibri" w:cs="Calibri"/>
          <w:b w:val="false"/>
          <w:bCs w:val="false"/>
          <w:i w:val="false"/>
          <w:iCs w:val="false"/>
          <w:color w:val="555555"/>
          <w:sz w:val="18"/>
          <w:szCs w:val="18"/>
        </w:rPr>
        <w:t xml:space="preserve">  —  1201 S 7th Ave #200, Phoenix, AZ 85007</w:t>
      </w:r>
      <w:r>
        <w:rPr>
          <w:rFonts w:eastAsia="Calibri" w:cs="Calibri"/>
          <w:b w:val="false"/>
          <w:bCs w:val="false"/>
          <w:i w:val="false"/>
          <w:iCs w:val="false"/>
          <w:color w:val="3E5871"/>
          <w:sz w:val="18"/>
          <w:szCs w:val="18"/>
        </w:rPr>
        <w:t xml:space="preserve">  ·  623-236-2024</w:t>
      </w:r>
    </w:p>
    <w:p>
      <w:pPr>
        <w:pStyle w:val="Normal"/>
        <w:keepNext w:val="true"/>
        <w:spacing w:before="150" w:after="60"/>
        <w:rPr/>
      </w:pPr>
      <w:r>
        <w:rPr>
          <w:rFonts w:eastAsia="Calibri" w:cs="Calibri"/>
          <w:b/>
          <w:bCs/>
          <w:i w:val="false"/>
          <w:iCs w:val="false"/>
          <w:color w:val="3E5871"/>
          <w:sz w:val="20"/>
          <w:szCs w:val="20"/>
        </w:rPr>
        <w:t>Mesa &amp; the East Valley — verified named partners</w:t>
      </w:r>
    </w:p>
    <w:p>
      <w:pPr>
        <w:pStyle w:val="Normal"/>
        <w:spacing w:before="0" w:after="60"/>
        <w:rPr/>
      </w:pPr>
      <w:r>
        <w:rPr>
          <w:rFonts w:eastAsia="Calibri" w:cs="Calibri"/>
          <w:b/>
          <w:bCs/>
          <w:i w:val="false"/>
          <w:iCs w:val="false"/>
          <w:color w:val="1F3A5F"/>
          <w:sz w:val="19"/>
          <w:szCs w:val="19"/>
        </w:rPr>
        <w:t>Community behavioral health &amp; psychiatric</w:t>
      </w:r>
    </w:p>
    <w:p>
      <w:pPr>
        <w:pStyle w:val="ListParagraph"/>
        <w:numPr>
          <w:ilvl w:val="0"/>
          <w:numId w:val="1"/>
        </w:numPr>
        <w:spacing w:lineRule="exact" w:line="264" w:before="0" w:after="70"/>
        <w:rPr/>
      </w:pPr>
      <w:r>
        <w:rPr>
          <w:rFonts w:eastAsia="Calibri" w:cs="Calibri"/>
          <w:b/>
          <w:bCs/>
          <w:i w:val="false"/>
          <w:iCs w:val="false"/>
          <w:color w:val="1A1A1A"/>
          <w:sz w:val="19"/>
          <w:szCs w:val="19"/>
        </w:rPr>
        <w:t>Valleywise Behavioral Health Center — Mesa</w:t>
      </w:r>
      <w:r>
        <w:rPr>
          <w:rFonts w:eastAsia="Calibri" w:cs="Calibri"/>
          <w:b w:val="false"/>
          <w:bCs w:val="false"/>
          <w:i w:val="false"/>
          <w:iCs w:val="false"/>
          <w:color w:val="555555"/>
          <w:sz w:val="18"/>
          <w:szCs w:val="18"/>
        </w:rPr>
        <w:t xml:space="preserve">  —  570 W Brown Rd, Mesa, AZ 85201</w:t>
      </w:r>
      <w:r>
        <w:rPr>
          <w:rFonts w:eastAsia="Calibri" w:cs="Calibri"/>
          <w:b w:val="false"/>
          <w:bCs w:val="false"/>
          <w:i w:val="false"/>
          <w:iCs w:val="false"/>
          <w:color w:val="3E5871"/>
          <w:sz w:val="18"/>
          <w:szCs w:val="18"/>
        </w:rPr>
        <w:t xml:space="preserve">  ·  602-344-5011</w:t>
      </w:r>
    </w:p>
    <w:p>
      <w:pPr>
        <w:pStyle w:val="ListParagraph"/>
        <w:numPr>
          <w:ilvl w:val="0"/>
          <w:numId w:val="1"/>
        </w:numPr>
        <w:spacing w:lineRule="exact" w:line="264" w:before="0" w:after="70"/>
        <w:rPr/>
      </w:pPr>
      <w:r>
        <w:rPr>
          <w:rFonts w:eastAsia="Calibri" w:cs="Calibri"/>
          <w:b/>
          <w:bCs/>
          <w:i w:val="false"/>
          <w:iCs w:val="false"/>
          <w:color w:val="1A1A1A"/>
          <w:sz w:val="19"/>
          <w:szCs w:val="19"/>
        </w:rPr>
        <w:t>Southwest Behavioral &amp; Health Services — Mesa Outpatient</w:t>
      </w:r>
      <w:r>
        <w:rPr>
          <w:rFonts w:eastAsia="Calibri" w:cs="Calibri"/>
          <w:b w:val="false"/>
          <w:bCs w:val="false"/>
          <w:i w:val="false"/>
          <w:iCs w:val="false"/>
          <w:color w:val="555555"/>
          <w:sz w:val="18"/>
          <w:szCs w:val="18"/>
        </w:rPr>
        <w:t xml:space="preserve">  —  1255 W Baseline Rd Unit 138, Mesa, AZ 85202</w:t>
      </w:r>
      <w:r>
        <w:rPr>
          <w:rFonts w:eastAsia="Calibri" w:cs="Calibri"/>
          <w:b w:val="false"/>
          <w:bCs w:val="false"/>
          <w:i w:val="false"/>
          <w:iCs w:val="false"/>
          <w:color w:val="3E5871"/>
          <w:sz w:val="18"/>
          <w:szCs w:val="18"/>
        </w:rPr>
        <w:t xml:space="preserve">  ·  480-820-5422</w:t>
      </w:r>
    </w:p>
    <w:p>
      <w:pPr>
        <w:pStyle w:val="ListParagraph"/>
        <w:numPr>
          <w:ilvl w:val="0"/>
          <w:numId w:val="1"/>
        </w:numPr>
        <w:spacing w:lineRule="exact" w:line="264" w:before="0" w:after="70"/>
        <w:rPr/>
      </w:pPr>
      <w:r>
        <w:rPr>
          <w:rFonts w:eastAsia="Calibri" w:cs="Calibri"/>
          <w:b/>
          <w:bCs/>
          <w:i w:val="false"/>
          <w:iCs w:val="false"/>
          <w:color w:val="1A1A1A"/>
          <w:sz w:val="19"/>
          <w:szCs w:val="19"/>
        </w:rPr>
        <w:t>Mental Health Center of America — Mesa</w:t>
      </w:r>
      <w:r>
        <w:rPr>
          <w:rFonts w:eastAsia="Calibri" w:cs="Calibri"/>
          <w:b w:val="false"/>
          <w:bCs w:val="false"/>
          <w:i w:val="false"/>
          <w:iCs w:val="false"/>
          <w:color w:val="555555"/>
          <w:sz w:val="18"/>
          <w:szCs w:val="18"/>
        </w:rPr>
        <w:t xml:space="preserve">  —  1745 S Alma School Rd #145, Mesa, AZ 85210</w:t>
      </w:r>
      <w:r>
        <w:rPr>
          <w:rFonts w:eastAsia="Calibri" w:cs="Calibri"/>
          <w:b w:val="false"/>
          <w:bCs w:val="false"/>
          <w:i w:val="false"/>
          <w:iCs w:val="false"/>
          <w:color w:val="3E5871"/>
          <w:sz w:val="18"/>
          <w:szCs w:val="18"/>
        </w:rPr>
        <w:t xml:space="preserve">  ·  480-525-5159</w:t>
      </w:r>
    </w:p>
    <w:p>
      <w:pPr>
        <w:pStyle w:val="Normal"/>
        <w:keepNext w:val="true"/>
        <w:spacing w:before="150" w:after="60"/>
        <w:rPr/>
      </w:pPr>
      <w:r>
        <w:rPr>
          <w:rFonts w:eastAsia="Calibri" w:cs="Calibri"/>
          <w:b/>
          <w:bCs/>
          <w:i w:val="false"/>
          <w:iCs w:val="false"/>
          <w:color w:val="3E5871"/>
          <w:sz w:val="20"/>
          <w:szCs w:val="20"/>
        </w:rPr>
        <w:t>Scottsdale — verified named partners</w:t>
      </w:r>
    </w:p>
    <w:p>
      <w:pPr>
        <w:pStyle w:val="Normal"/>
        <w:spacing w:before="0" w:after="60"/>
        <w:rPr/>
      </w:pPr>
      <w:r>
        <w:rPr>
          <w:rFonts w:eastAsia="Calibri" w:cs="Calibri"/>
          <w:b/>
          <w:bCs/>
          <w:i w:val="false"/>
          <w:iCs w:val="false"/>
          <w:color w:val="1F3A5F"/>
          <w:sz w:val="19"/>
          <w:szCs w:val="19"/>
        </w:rPr>
        <w:t>Detox &amp; residential substance use treatment</w:t>
      </w:r>
    </w:p>
    <w:p>
      <w:pPr>
        <w:pStyle w:val="ListParagraph"/>
        <w:numPr>
          <w:ilvl w:val="0"/>
          <w:numId w:val="1"/>
        </w:numPr>
        <w:spacing w:lineRule="exact" w:line="264" w:before="0" w:after="70"/>
        <w:rPr/>
      </w:pPr>
      <w:r>
        <w:rPr>
          <w:rFonts w:eastAsia="Calibri" w:cs="Calibri"/>
          <w:b/>
          <w:bCs/>
          <w:i w:val="false"/>
          <w:iCs w:val="false"/>
          <w:color w:val="1A1A1A"/>
          <w:sz w:val="19"/>
          <w:szCs w:val="19"/>
        </w:rPr>
        <w:t>Scottsdale Detox Center of Arizona</w:t>
      </w:r>
      <w:r>
        <w:rPr>
          <w:rFonts w:eastAsia="Calibri" w:cs="Calibri"/>
          <w:b w:val="false"/>
          <w:bCs w:val="false"/>
          <w:i w:val="false"/>
          <w:iCs w:val="false"/>
          <w:color w:val="555555"/>
          <w:sz w:val="18"/>
          <w:szCs w:val="18"/>
        </w:rPr>
        <w:t xml:space="preserve">  —  7283 E Earll Dr Bldg B, Scottsdale, AZ 85251</w:t>
      </w:r>
      <w:r>
        <w:rPr>
          <w:rFonts w:eastAsia="Calibri" w:cs="Calibri"/>
          <w:b w:val="false"/>
          <w:bCs w:val="false"/>
          <w:i w:val="false"/>
          <w:iCs w:val="false"/>
          <w:color w:val="3E5871"/>
          <w:sz w:val="18"/>
          <w:szCs w:val="18"/>
        </w:rPr>
        <w:t xml:space="preserve">  ·  480-646-7660</w:t>
      </w:r>
    </w:p>
    <w:p>
      <w:pPr>
        <w:pStyle w:val="ListParagraph"/>
        <w:numPr>
          <w:ilvl w:val="0"/>
          <w:numId w:val="1"/>
        </w:numPr>
        <w:spacing w:lineRule="exact" w:line="264" w:before="0" w:after="70"/>
        <w:rPr/>
      </w:pPr>
      <w:r>
        <w:rPr>
          <w:rFonts w:eastAsia="Calibri" w:cs="Calibri"/>
          <w:b/>
          <w:bCs/>
          <w:i w:val="false"/>
          <w:iCs w:val="false"/>
          <w:color w:val="1A1A1A"/>
          <w:sz w:val="19"/>
          <w:szCs w:val="19"/>
        </w:rPr>
        <w:t>Gallus Medical Detox Centers — Scottsdale</w:t>
      </w:r>
      <w:r>
        <w:rPr>
          <w:rFonts w:eastAsia="Calibri" w:cs="Calibri"/>
          <w:b w:val="false"/>
          <w:bCs w:val="false"/>
          <w:i w:val="false"/>
          <w:iCs w:val="false"/>
          <w:color w:val="555555"/>
          <w:sz w:val="18"/>
          <w:szCs w:val="18"/>
        </w:rPr>
        <w:t xml:space="preserve">  —  4326 N 75th St, Scottsdale, AZ 85251</w:t>
      </w:r>
      <w:r>
        <w:rPr>
          <w:rFonts w:eastAsia="Calibri" w:cs="Calibri"/>
          <w:b w:val="false"/>
          <w:bCs w:val="false"/>
          <w:i w:val="false"/>
          <w:iCs w:val="false"/>
          <w:color w:val="3E5871"/>
          <w:sz w:val="18"/>
          <w:szCs w:val="18"/>
        </w:rPr>
        <w:t xml:space="preserve">  ·  480-485-4335</w:t>
      </w:r>
    </w:p>
    <w:p>
      <w:pPr>
        <w:pStyle w:val="ListParagraph"/>
        <w:numPr>
          <w:ilvl w:val="0"/>
          <w:numId w:val="1"/>
        </w:numPr>
        <w:spacing w:lineRule="exact" w:line="264" w:before="0" w:after="70"/>
        <w:rPr/>
      </w:pPr>
      <w:r>
        <w:rPr>
          <w:rFonts w:eastAsia="Calibri" w:cs="Calibri"/>
          <w:b/>
          <w:bCs/>
          <w:i w:val="false"/>
          <w:iCs w:val="false"/>
          <w:color w:val="1A1A1A"/>
          <w:sz w:val="19"/>
          <w:szCs w:val="19"/>
        </w:rPr>
        <w:t>Scottsdale Providence Recovery Center</w:t>
      </w:r>
      <w:r>
        <w:rPr>
          <w:rFonts w:eastAsia="Calibri" w:cs="Calibri"/>
          <w:b w:val="false"/>
          <w:bCs w:val="false"/>
          <w:i w:val="false"/>
          <w:iCs w:val="false"/>
          <w:color w:val="555555"/>
          <w:sz w:val="18"/>
          <w:szCs w:val="18"/>
        </w:rPr>
        <w:t xml:space="preserve">  —  8889 E Vía Linda, Scottsdale, AZ 85258</w:t>
      </w:r>
      <w:r>
        <w:rPr>
          <w:rFonts w:eastAsia="Calibri" w:cs="Calibri"/>
          <w:b w:val="false"/>
          <w:bCs w:val="false"/>
          <w:i w:val="false"/>
          <w:iCs w:val="false"/>
          <w:color w:val="3E5871"/>
          <w:sz w:val="18"/>
          <w:szCs w:val="18"/>
        </w:rPr>
        <w:t xml:space="preserve">  ·  866-522-3339</w:t>
      </w:r>
    </w:p>
    <w:p>
      <w:pPr>
        <w:pStyle w:val="Normal"/>
        <w:keepNext w:val="true"/>
        <w:spacing w:before="150" w:after="60"/>
        <w:rPr/>
      </w:pPr>
      <w:r>
        <w:rPr>
          <w:rFonts w:eastAsia="Calibri" w:cs="Calibri"/>
          <w:b/>
          <w:bCs/>
          <w:i w:val="false"/>
          <w:iCs w:val="false"/>
          <w:color w:val="3E5871"/>
          <w:sz w:val="20"/>
          <w:szCs w:val="20"/>
        </w:rPr>
        <w:t>Tucson — verified named partners</w:t>
      </w:r>
    </w:p>
    <w:p>
      <w:pPr>
        <w:pStyle w:val="Normal"/>
        <w:spacing w:before="0" w:after="60"/>
        <w:rPr/>
      </w:pPr>
      <w:r>
        <w:rPr>
          <w:rFonts w:eastAsia="Calibri" w:cs="Calibri"/>
          <w:b/>
          <w:bCs/>
          <w:i w:val="false"/>
          <w:iCs w:val="false"/>
          <w:color w:val="1F3A5F"/>
          <w:sz w:val="19"/>
          <w:szCs w:val="19"/>
        </w:rPr>
        <w:t>Crisis &amp; community behavioral health</w:t>
      </w:r>
    </w:p>
    <w:p>
      <w:pPr>
        <w:pStyle w:val="ListParagraph"/>
        <w:numPr>
          <w:ilvl w:val="0"/>
          <w:numId w:val="1"/>
        </w:numPr>
        <w:spacing w:lineRule="exact" w:line="264" w:before="0" w:after="70"/>
        <w:rPr/>
      </w:pPr>
      <w:r>
        <w:rPr>
          <w:rFonts w:eastAsia="Calibri" w:cs="Calibri"/>
          <w:b/>
          <w:bCs/>
          <w:i w:val="false"/>
          <w:iCs w:val="false"/>
          <w:color w:val="1A1A1A"/>
          <w:sz w:val="19"/>
          <w:szCs w:val="19"/>
        </w:rPr>
        <w:t>Connections Health Solutions — Crisis Response Center</w:t>
      </w:r>
      <w:r>
        <w:rPr>
          <w:rFonts w:eastAsia="Calibri" w:cs="Calibri"/>
          <w:b w:val="false"/>
          <w:bCs w:val="false"/>
          <w:i w:val="false"/>
          <w:iCs w:val="false"/>
          <w:color w:val="555555"/>
          <w:sz w:val="18"/>
          <w:szCs w:val="18"/>
        </w:rPr>
        <w:t xml:space="preserve">  —  2802 E District St, Tucson, AZ 85714</w:t>
      </w:r>
      <w:r>
        <w:rPr>
          <w:rFonts w:eastAsia="Calibri" w:cs="Calibri"/>
          <w:b w:val="false"/>
          <w:bCs w:val="false"/>
          <w:i w:val="false"/>
          <w:iCs w:val="false"/>
          <w:color w:val="3E5871"/>
          <w:sz w:val="18"/>
          <w:szCs w:val="18"/>
        </w:rPr>
        <w:t xml:space="preserve">  ·  520-301-2400</w:t>
      </w:r>
    </w:p>
    <w:p>
      <w:pPr>
        <w:pStyle w:val="ListParagraph"/>
        <w:numPr>
          <w:ilvl w:val="0"/>
          <w:numId w:val="1"/>
        </w:numPr>
        <w:spacing w:lineRule="exact" w:line="264" w:before="0" w:after="70"/>
        <w:rPr/>
      </w:pPr>
      <w:r>
        <w:rPr>
          <w:rFonts w:eastAsia="Calibri" w:cs="Calibri"/>
          <w:b/>
          <w:bCs/>
          <w:i w:val="false"/>
          <w:iCs w:val="false"/>
          <w:color w:val="1A1A1A"/>
          <w:sz w:val="19"/>
          <w:szCs w:val="19"/>
        </w:rPr>
        <w:t>Community Partners Integrated Healthcare (Tucson)</w:t>
      </w:r>
      <w:r>
        <w:rPr>
          <w:rFonts w:eastAsia="Calibri" w:cs="Calibri"/>
          <w:b w:val="false"/>
          <w:bCs w:val="false"/>
          <w:i w:val="false"/>
          <w:iCs w:val="false"/>
          <w:color w:val="555555"/>
          <w:sz w:val="18"/>
          <w:szCs w:val="18"/>
        </w:rPr>
        <w:t xml:space="preserve">  —  3939 S Park Ave, Tucson, AZ 85714</w:t>
      </w:r>
      <w:r>
        <w:rPr>
          <w:rFonts w:eastAsia="Calibri" w:cs="Calibri"/>
          <w:b w:val="false"/>
          <w:bCs w:val="false"/>
          <w:i w:val="false"/>
          <w:iCs w:val="false"/>
          <w:color w:val="3E5871"/>
          <w:sz w:val="18"/>
          <w:szCs w:val="18"/>
        </w:rPr>
        <w:t xml:space="preserve">  ·  520-333-4320</w:t>
      </w:r>
    </w:p>
    <w:p>
      <w:pPr>
        <w:pStyle w:val="ListParagraph"/>
        <w:numPr>
          <w:ilvl w:val="0"/>
          <w:numId w:val="1"/>
        </w:numPr>
        <w:spacing w:lineRule="exact" w:line="264" w:before="0" w:after="70"/>
        <w:rPr/>
      </w:pPr>
      <w:r>
        <w:rPr>
          <w:rFonts w:eastAsia="Calibri" w:cs="Calibri"/>
          <w:b/>
          <w:bCs/>
          <w:i w:val="false"/>
          <w:iCs w:val="false"/>
          <w:color w:val="1A1A1A"/>
          <w:sz w:val="19"/>
          <w:szCs w:val="19"/>
        </w:rPr>
        <w:t>COPE Community Services</w:t>
      </w:r>
      <w:r>
        <w:rPr>
          <w:rFonts w:eastAsia="Calibri" w:cs="Calibri"/>
          <w:b w:val="false"/>
          <w:bCs w:val="false"/>
          <w:i w:val="false"/>
          <w:iCs w:val="false"/>
          <w:color w:val="555555"/>
          <w:sz w:val="18"/>
          <w:szCs w:val="18"/>
        </w:rPr>
        <w:t xml:space="preserve">  —  5840 N La Cholla Blvd, Tucson, AZ 85741</w:t>
      </w:r>
      <w:r>
        <w:rPr>
          <w:rFonts w:eastAsia="Calibri" w:cs="Calibri"/>
          <w:b w:val="false"/>
          <w:bCs w:val="false"/>
          <w:i w:val="false"/>
          <w:iCs w:val="false"/>
          <w:color w:val="3E5871"/>
          <w:sz w:val="18"/>
          <w:szCs w:val="18"/>
        </w:rPr>
        <w:t xml:space="preserve">  ·  520-498-3900</w:t>
      </w:r>
    </w:p>
    <w:p>
      <w:pPr>
        <w:pStyle w:val="ListParagraph"/>
        <w:numPr>
          <w:ilvl w:val="0"/>
          <w:numId w:val="1"/>
        </w:numPr>
        <w:spacing w:lineRule="exact" w:line="264" w:before="0" w:after="70"/>
        <w:rPr/>
      </w:pPr>
      <w:r>
        <w:rPr>
          <w:rFonts w:eastAsia="Calibri" w:cs="Calibri"/>
          <w:b/>
          <w:bCs/>
          <w:i w:val="false"/>
          <w:iCs w:val="false"/>
          <w:color w:val="1A1A1A"/>
          <w:sz w:val="19"/>
          <w:szCs w:val="19"/>
        </w:rPr>
        <w:t>Community Bridges (CBI) — Tucson</w:t>
      </w:r>
      <w:r>
        <w:rPr>
          <w:rFonts w:eastAsia="Calibri" w:cs="Calibri"/>
          <w:b w:val="false"/>
          <w:bCs w:val="false"/>
          <w:i w:val="false"/>
          <w:iCs w:val="false"/>
          <w:color w:val="555555"/>
          <w:sz w:val="18"/>
          <w:szCs w:val="18"/>
        </w:rPr>
        <w:t xml:space="preserve">  —  250 S Toole Ave, Tucson, AZ 85701</w:t>
      </w:r>
      <w:r>
        <w:rPr>
          <w:rFonts w:eastAsia="Calibri" w:cs="Calibri"/>
          <w:b w:val="false"/>
          <w:bCs w:val="false"/>
          <w:i w:val="false"/>
          <w:iCs w:val="false"/>
          <w:color w:val="3E5871"/>
          <w:sz w:val="18"/>
          <w:szCs w:val="18"/>
        </w:rPr>
        <w:t xml:space="preserve">  ·  520-323-1312</w:t>
      </w:r>
    </w:p>
    <w:p>
      <w:pPr>
        <w:pStyle w:val="Normal"/>
        <w:pBdr>
          <w:top w:val="single" w:sz="4" w:space="6" w:color="9DB1C7"/>
        </w:pBdr>
        <w:spacing w:before="140" w:after="0"/>
        <w:rPr/>
      </w:pPr>
      <w:r>
        <w:rPr>
          <w:rFonts w:eastAsia="Calibri" w:cs="Calibri"/>
          <w:b w:val="false"/>
          <w:bCs w:val="false"/>
          <w:i/>
          <w:iCs/>
          <w:color w:val="555555"/>
          <w:sz w:val="17"/>
          <w:szCs w:val="17"/>
        </w:rPr>
        <w:t>Verify every contact before you rely on it. Named partners are potential referral relationships, not endorsements or guarantees of referrals, and listing is not affiliation.</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Three — The Referral Toolkit</w:t>
      </w:r>
    </w:p>
    <w:p>
      <w:pPr>
        <w:pStyle w:val="Normal"/>
        <w:spacing w:lineRule="exact" w:line="268" w:before="0" w:after="110"/>
        <w:jc w:val="start"/>
        <w:rPr/>
      </w:pPr>
      <w:r>
        <w:rPr>
          <w:rFonts w:eastAsia="Calibri" w:cs="Calibri"/>
          <w:b w:val="false"/>
          <w:bCs w:val="false"/>
          <w:i w:val="false"/>
          <w:iCs w:val="false"/>
          <w:color w:val="1A1A1A"/>
          <w:sz w:val="20"/>
          <w:szCs w:val="20"/>
        </w:rPr>
        <w:t>Use these worksheets to run your referral system week to week. Print them, or copy them into your own tracker.</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Priority Referral Partner Target List  </w:t>
      </w:r>
    </w:p>
    <w:p>
      <w:pPr>
        <w:pStyle w:val="Normal"/>
        <w:spacing w:lineRule="exact" w:line="268" w:before="0" w:after="110"/>
        <w:jc w:val="start"/>
        <w:rPr/>
      </w:pPr>
      <w:r>
        <w:rPr>
          <w:rFonts w:eastAsia="Calibri" w:cs="Calibri"/>
          <w:b w:val="false"/>
          <w:bCs w:val="false"/>
          <w:i w:val="false"/>
          <w:iCs w:val="false"/>
          <w:color w:val="1A1A1A"/>
          <w:sz w:val="20"/>
          <w:szCs w:val="20"/>
        </w:rPr>
        <w:t>List the sources you most want relationships with, by category, and plan your first contact.</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Source (name)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Type (health plan / ACC-RBHA / crisis / hospital / detox / court)</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First contact &amp; date</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Payer &amp; Network Contracting Map  </w:t>
      </w:r>
    </w:p>
    <w:p>
      <w:pPr>
        <w:pStyle w:val="Normal"/>
        <w:spacing w:lineRule="exact" w:line="268" w:before="0" w:after="110"/>
        <w:jc w:val="start"/>
        <w:rPr/>
      </w:pPr>
      <w:r>
        <w:rPr>
          <w:rFonts w:eastAsia="Calibri" w:cs="Calibri"/>
          <w:b w:val="false"/>
          <w:bCs w:val="false"/>
          <w:i w:val="false"/>
          <w:iCs w:val="false"/>
          <w:color w:val="1A1A1A"/>
          <w:sz w:val="20"/>
          <w:szCs w:val="20"/>
        </w:rPr>
        <w:t>Track your in-network status — being contracted is what lets clients be sent to you.</w:t>
      </w:r>
    </w:p>
    <w:tbl>
      <w:tblPr>
        <w:tblW w:w="9360" w:type="dxa"/>
        <w:jc w:val="start"/>
        <w:tblInd w:w="0" w:type="dxa"/>
        <w:tblLayout w:type="fixed"/>
        <w:tblCellMar>
          <w:top w:w="60" w:type="dxa"/>
          <w:start w:w="100" w:type="dxa"/>
          <w:bottom w:w="60" w:type="dxa"/>
          <w:end w:w="100" w:type="dxa"/>
        </w:tblCellMar>
      </w:tblPr>
      <w:tblGrid>
        <w:gridCol w:w="3759"/>
        <w:gridCol w:w="3201"/>
        <w:gridCol w:w="2400"/>
      </w:tblGrid>
      <w:tr>
        <w:trPr>
          <w:tblHeader w:val="true"/>
        </w:trPr>
        <w:tc>
          <w:tcPr>
            <w:tcW w:w="3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Payer / network (health plan, Medicaid, commercial)</w:t>
            </w:r>
          </w:p>
        </w:tc>
        <w:tc>
          <w:tcPr>
            <w:tcW w:w="32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Status (enrolled / contracted / pending)</w:t>
            </w:r>
          </w:p>
        </w:tc>
        <w:tc>
          <w:tcPr>
            <w:tcW w:w="24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Next step &amp; date</w:t>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Outreach Contact Log  </w:t>
      </w:r>
    </w:p>
    <w:p>
      <w:pPr>
        <w:pStyle w:val="Normal"/>
        <w:spacing w:lineRule="exact" w:line="268" w:before="0" w:after="110"/>
        <w:jc w:val="start"/>
        <w:rPr/>
      </w:pPr>
      <w:r>
        <w:rPr>
          <w:rFonts w:eastAsia="Calibri" w:cs="Calibri"/>
          <w:b w:val="false"/>
          <w:bCs w:val="false"/>
          <w:i w:val="false"/>
          <w:iCs w:val="false"/>
          <w:color w:val="1A1A1A"/>
          <w:sz w:val="20"/>
          <w:szCs w:val="20"/>
        </w:rPr>
        <w:t>Log every outreach so nothing falls through the cracks.</w:t>
      </w:r>
    </w:p>
    <w:tbl>
      <w:tblPr>
        <w:tblW w:w="9360" w:type="dxa"/>
        <w:jc w:val="start"/>
        <w:tblInd w:w="0" w:type="dxa"/>
        <w:tblLayout w:type="fixed"/>
        <w:tblCellMar>
          <w:top w:w="60" w:type="dxa"/>
          <w:start w:w="100" w:type="dxa"/>
          <w:bottom w:w="60" w:type="dxa"/>
          <w:end w:w="100" w:type="dxa"/>
        </w:tblCellMar>
      </w:tblPr>
      <w:tblGrid>
        <w:gridCol w:w="1500"/>
        <w:gridCol w:w="3359"/>
        <w:gridCol w:w="4501"/>
      </w:tblGrid>
      <w:tr>
        <w:trPr>
          <w:tblHeader w:val="true"/>
        </w:trPr>
        <w:tc>
          <w:tcPr>
            <w:tcW w:w="15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w:t>
            </w:r>
          </w:p>
        </w:tc>
        <w:tc>
          <w:tcPr>
            <w:tcW w:w="33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Who / organization</w:t>
            </w:r>
          </w:p>
        </w:tc>
        <w:tc>
          <w:tcPr>
            <w:tcW w:w="45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What was said / next step</w:t>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Referral Source Tracker  </w:t>
      </w:r>
    </w:p>
    <w:p>
      <w:pPr>
        <w:pStyle w:val="Normal"/>
        <w:spacing w:lineRule="exact" w:line="268" w:before="0" w:after="110"/>
        <w:jc w:val="start"/>
        <w:rPr/>
      </w:pPr>
      <w:r>
        <w:rPr>
          <w:rFonts w:eastAsia="Calibri" w:cs="Calibri"/>
          <w:b w:val="false"/>
          <w:bCs w:val="false"/>
          <w:i w:val="false"/>
          <w:iCs w:val="false"/>
          <w:color w:val="1A1A1A"/>
          <w:sz w:val="20"/>
          <w:szCs w:val="20"/>
        </w:rPr>
        <w:t>Track where your admissions actually come from so you invest in what works.</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Client admitted (initials / date)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Referral source</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Level of care / notes</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Weekly Outreach Planner  </w:t>
      </w:r>
    </w:p>
    <w:p>
      <w:pPr>
        <w:pStyle w:val="Normal"/>
        <w:spacing w:lineRule="exact" w:line="268" w:before="0" w:after="110"/>
        <w:jc w:val="start"/>
        <w:rPr/>
      </w:pPr>
      <w:r>
        <w:rPr>
          <w:rFonts w:eastAsia="Calibri" w:cs="Calibri"/>
          <w:b w:val="false"/>
          <w:bCs w:val="false"/>
          <w:i w:val="false"/>
          <w:iCs w:val="false"/>
          <w:color w:val="1A1A1A"/>
          <w:sz w:val="20"/>
          <w:szCs w:val="20"/>
        </w:rPr>
        <w:t>Plan your weekly rhythm: a set number of new contacts and check-ins each week.</w:t>
      </w:r>
    </w:p>
    <w:tbl>
      <w:tblPr>
        <w:tblW w:w="9360" w:type="dxa"/>
        <w:jc w:val="start"/>
        <w:tblInd w:w="0" w:type="dxa"/>
        <w:tblLayout w:type="fixed"/>
        <w:tblCellMar>
          <w:top w:w="60" w:type="dxa"/>
          <w:start w:w="100" w:type="dxa"/>
          <w:bottom w:w="60" w:type="dxa"/>
          <w:end w:w="100" w:type="dxa"/>
        </w:tblCellMar>
      </w:tblPr>
      <w:tblGrid>
        <w:gridCol w:w="2199"/>
        <w:gridCol w:w="3561"/>
        <w:gridCol w:w="3600"/>
      </w:tblGrid>
      <w:tr>
        <w:trPr>
          <w:tblHeader w:val="true"/>
        </w:trPr>
        <w:tc>
          <w:tcPr>
            <w:tcW w:w="21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Week of</w:t>
            </w:r>
          </w:p>
        </w:tc>
        <w:tc>
          <w:tcPr>
            <w:tcW w:w="35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contacts (goal / done)</w:t>
            </w:r>
          </w:p>
        </w:tc>
        <w:tc>
          <w:tcPr>
            <w:tcW w:w="3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availability updates</w:t>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pBdr>
          <w:bottom w:val="single" w:sz="8" w:space="1" w:color="9DB1C7"/>
        </w:pBdr>
        <w:spacing w:before="80" w:after="120"/>
        <w:rPr/>
      </w:pPr>
      <w:r>
        <w:rPr/>
      </w:r>
    </w:p>
    <w:p>
      <w:pPr>
        <w:pStyle w:val="Normal"/>
        <w:spacing w:lineRule="exact" w:line="268" w:before="0" w:after="90"/>
        <w:jc w:val="center"/>
        <w:rPr/>
      </w:pPr>
      <w:r>
        <w:rPr>
          <w:rFonts w:eastAsia="Calibri" w:cs="Calibri"/>
          <w:b w:val="false"/>
          <w:bCs w:val="false"/>
          <w:i/>
          <w:iCs/>
          <w:color w:val="555555"/>
          <w:sz w:val="18"/>
          <w:szCs w:val="18"/>
        </w:rPr>
        <w:t>This resource is general educational information for Arizona behavioral health providers, not legal advice. Contacts, programs, and phone numbers change — verify each before you rely on it, and confirm the Anti-Kickback Statute, EKRA, and Arizona anti-brokering rules with qualified counsel before entering any arrangement involving referrals. Named partners are potential referral relationships, not endorsements.</w:t>
      </w:r>
    </w:p>
    <w:sectPr>
      <w:footerReference w:type="even" r:id="rId2"/>
      <w:footerReference w:type="default" r:id="rId3"/>
      <w:footerReference w:type="first" r:id="rId4"/>
      <w:type w:val="nextPage"/>
      <w:pgSz w:w="12240" w:h="15840"/>
      <w:pgMar w:left="1440" w:right="1440" w:gutter="0" w:header="0"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Behavioral Health Referral System — Arizona Edition  —  PolicyReady.org  —  Page </w:t>
    </w: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Behavioral Health Referral System — Arizona Edition  —  PolicyReady.org  —  Page </w:t>
    </w:r>
    <w:r>
      <w:rPr/>
      <w:fldChar w:fldCharType="begin"/>
    </w:r>
    <w:r>
      <w:rPr/>
      <w:instrText xml:space="preserve"> PAGE </w:instrText>
    </w:r>
    <w:r>
      <w:rPr/>
      <w:fldChar w:fldCharType="separate"/>
    </w:r>
    <w:r>
      <w:rPr/>
      <w:t>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2026-07-15T12:32:43Z</dcterms:created>
  <dc:creator>PolicyReady.org</dc:creator>
  <dc:description/>
  <dc:language>en-US</dc:language>
  <cp:lastModifiedBy>Un-named</cp:lastModifiedBy>
  <dcterms:modified xsi:type="dcterms:W3CDTF">2026-07-15T12:32:43Z</dcterms:modified>
  <cp:revision>1</cp:revision>
  <dc:subject/>
  <dc:title>The Behavioral Health Referral System — Arizona Edition</dc:title>
</cp:coreProperties>
</file>