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rFonts w:ascii="Calibri" w:cs="Calibri" w:eastAsia="Calibri" w:hAnsi="Calibri"/>
          <w:b/>
          <w:bCs/>
          <w:color w:val="1F3D2B"/>
          <w:sz w:val="52"/>
          <w:szCs w:val="52"/>
        </w:rPr>
        <w:t xml:space="preserve">POLICY &amp; PROCEDURE MANUAL</w:t>
      </w:r>
    </w:p>
    <w:p>
      <w:pPr>
        <w:pBdr>
          <w:top w:val="single" w:color="C9C2B0" w:sz="8" w:space="10"/>
          <w:bottom w:val="single" w:color="C9C2B0" w:sz="8" w:space="10"/>
        </w:pBdr>
        <w:spacing w:before="120"/>
        <w:jc w:val="center"/>
      </w:pPr>
      <w:r>
        <w:rPr>
          <w:rFonts w:ascii="Calibri" w:cs="Calibri" w:eastAsia="Calibri" w:hAnsi="Calibri"/>
          <w:color w:val="2C523A"/>
          <w:sz w:val="30"/>
          <w:szCs w:val="30"/>
        </w:rPr>
        <w:t xml:space="preserve">Mental Health Services</w:t>
      </w:r>
    </w:p>
    <w:p>
      <w:pPr>
        <w:spacing w:before="220"/>
        <w:jc w:val="center"/>
      </w:pPr>
      <w:r>
        <w:rPr>
          <w:rFonts w:ascii="Calibri" w:cs="Calibri" w:eastAsia="Calibri" w:hAnsi="Calibri"/>
          <w:b/>
          <w:bCs/>
          <w:sz w:val="26"/>
          <w:szCs w:val="26"/>
        </w:rPr>
        <w:t xml:space="preserve">State of New York</w:t>
      </w:r>
    </w:p>
    <w:p>
      <w:pPr>
        <w:spacing w:before="40"/>
        <w:jc w:val="center"/>
      </w:pPr>
      <w:r>
        <w:rPr>
          <w:rFonts w:ascii="Calibri" w:cs="Calibri" w:eastAsia="Calibri" w:hAnsi="Calibri"/>
          <w:i/>
          <w:iCs/>
          <w:color w:val="555555"/>
          <w:sz w:val="20"/>
          <w:szCs w:val="20"/>
        </w:rPr>
        <w:t xml:space="preserve">Licensed under Mental Hygiene Law Article 31 &amp; 14 NYCRR (Parts 508–599) · NYS Office of Mental Health (OMH)</w:t>
      </w:r>
    </w:p>
    <w:p>
      <w:pPr>
        <w:spacing w:before="900"/>
        <w:jc w:val="center"/>
      </w:pPr>
      <w:r>
        <w:rPr>
          <w:rFonts w:ascii="Calibri" w:cs="Calibri" w:eastAsia="Calibri" w:hAnsi="Calibri"/>
          <w:sz w:val="22"/>
          <w:szCs w:val="22"/>
        </w:rPr>
        <w:t xml:space="preserve">Facility name: _______________________________</w:t>
      </w:r>
    </w:p>
    <w:p>
      <w:pPr>
        <w:spacing w:before="120"/>
        <w:jc w:val="center"/>
      </w:pPr>
      <w:r>
        <w:rPr>
          <w:rFonts w:ascii="Calibri" w:cs="Calibri" w:eastAsia="Calibri" w:hAnsi="Calibri"/>
          <w:sz w:val="22"/>
          <w:szCs w:val="22"/>
        </w:rPr>
        <w:t xml:space="preserve">License #: ____________     Administrator: ____________________</w:t>
      </w:r>
    </w:p>
    <w:p>
      <w:pPr>
        <w:spacing w:before="120"/>
        <w:jc w:val="center"/>
      </w:pPr>
      <w:r>
        <w:rPr>
          <w:rFonts w:ascii="Calibri" w:cs="Calibri" w:eastAsia="Calibri" w:hAnsi="Calibri"/>
          <w:sz w:val="22"/>
          <w:szCs w:val="22"/>
        </w:rPr>
        <w:t xml:space="preserve">Effective date: ____________     Last reviewed: ____________</w:t>
      </w:r>
    </w:p>
    <w:p>
      <w:r>
        <w:br w:type="page"/>
      </w:r>
    </w:p>
    <w:p>
      <w:pPr>
        <w:pStyle w:val="Heading1"/>
        <w:pBdr>
          <w:bottom w:val="single" w:color="1F3D2B" w:sz="10" w:space="6"/>
        </w:pBdr>
        <w:spacing w:after="170" w:before="320"/>
      </w:pPr>
      <w:r>
        <w:rPr>
          <w:rFonts w:ascii="Calibri" w:cs="Calibri" w:eastAsia="Calibri" w:hAnsi="Calibri"/>
          <w:b/>
          <w:bCs/>
          <w:color w:val="1F3D2B"/>
          <w:sz w:val="30"/>
          <w:szCs w:val="30"/>
        </w:rPr>
        <w:t xml:space="preserve">About This Manual</w:t>
      </w:r>
    </w:p>
    <w:p>
      <w:pPr>
        <w:spacing w:after="140" w:before="0" w:line="278"/>
      </w:pPr>
      <w:r>
        <w:rPr>
          <w:rFonts w:ascii="Calibri" w:cs="Calibri" w:eastAsia="Calibri" w:hAnsi="Calibri"/>
          <w:b w:val="false"/>
          <w:bCs w:val="false"/>
          <w:i w:val="false"/>
          <w:iCs w:val="false"/>
          <w:color w:val="222222"/>
          <w:sz w:val="22"/>
          <w:szCs w:val="22"/>
        </w:rPr>
        <w:t xml:space="preserve">This Policy and Procedure Manual is a comprehensive, professionally structured framework of policies for a New York provider of mental health services licensed by the New York State Office of Mental Health (OMH). It is written to Article 31 of the Mental Hygiene Law and the OMH regulations at Title 14 NYCRR — including Part 599 (Mental Health Outpatient Treatment and Rehabilitative Services, or MHOTRS), Part 512 (Personalized Recovery Oriented Services), Part 508 (Assertive Community Treatment), and Part 524 (incident management). New York licenses each program through OMH: a provider applies through the Office's prior approval review process in consultation with the field office and the Local Governmental Unit, and operates under an operating certificate that states the program it may deliver.</w:t>
      </w:r>
    </w:p>
    <w:p>
      <w:pPr>
        <w:spacing w:after="140" w:before="0" w:line="278"/>
      </w:pPr>
      <w:r>
        <w:rPr>
          <w:rFonts w:ascii="Calibri" w:cs="Calibri" w:eastAsia="Calibri" w:hAnsi="Calibri"/>
          <w:b w:val="false"/>
          <w:bCs w:val="false"/>
          <w:i w:val="false"/>
          <w:iCs w:val="false"/>
          <w:color w:val="222222"/>
          <w:sz w:val="22"/>
          <w:szCs w:val="22"/>
        </w:rPr>
        <w:t xml:space="preserve">The manual is organized into eight sections — administration, licensure, and governance; recipient rights and confidentiality; screening, admission, assessment, and treatment planning; clinical services and treatment; personnel, credentials, and clinical supervision; medication management; health, safety, and incident management; and quality, compliance, and business operations. Features distinctive to New York are reflected throughout: the MHOTRS clinic model under Part 599, revised to the Medicaid rehabilitative-services option with off-site service flexibility; the Licensed Practitioner of the Healing Arts framework and OMH's credentialed peer workforce (Certified Peer Specialists and Family and Youth Peer Advocates); the Part 524 incident-management system reported through NIMRS and the role of the Justice Center for the Protection of People with Special Needs; the criminal history review under Mental Hygiene Law § 31.35 and Statewide Central Register clearance; the required utilization review and participation in the Local Governmental Unit's Article 41 planning; and the Medicaid managed care and HARP environment in which New York providers operate.</w:t>
      </w:r>
    </w:p>
    <w:p>
      <w:pPr>
        <w:spacing w:after="110" w:before="0" w:line="278"/>
      </w:pPr>
      <w:r>
        <w:rPr>
          <w:rFonts w:ascii="Calibri" w:cs="Calibri" w:eastAsia="Calibri" w:hAnsi="Calibri"/>
          <w:b/>
          <w:bCs/>
          <w:color w:val="1F3D2B"/>
          <w:sz w:val="22"/>
          <w:szCs w:val="22"/>
        </w:rPr>
        <w:t xml:space="preserve">How to use it. </w:t>
      </w:r>
      <w:r>
        <w:rPr>
          <w:rFonts w:ascii="Calibri" w:cs="Calibri" w:eastAsia="Calibri" w:hAnsi="Calibri"/>
          <w:color w:val="222222"/>
          <w:sz w:val="22"/>
          <w:szCs w:val="22"/>
        </w:rPr>
        <w:t xml:space="preserve">Replace the bracketed placeholders and the facility name throughout, review each policy with your administrator, adopt the manual by signature and date on the cover, train staff on the policies relevant to their duties, and review the manual at least annually and whenever a statute or rule changes. Keep the signed manual where staff and OMH reviewers can review it, together with your operating certificate, most recent review results, and any corrective action plans.</w:t>
      </w:r>
    </w:p>
    <w:p>
      <w:pPr>
        <w:spacing w:after="130" w:before="0" w:line="278"/>
      </w:pPr>
      <w:r>
        <w:rPr>
          <w:rFonts w:ascii="Calibri" w:cs="Calibri" w:eastAsia="Calibri" w:hAnsi="Calibri"/>
          <w:b/>
          <w:bCs/>
          <w:i/>
          <w:iCs/>
          <w:color w:val="555555"/>
          <w:sz w:val="20"/>
          <w:szCs w:val="20"/>
        </w:rPr>
        <w:t xml:space="preserve">Important. </w:t>
      </w:r>
      <w:r>
        <w:rPr>
          <w:rFonts w:ascii="Calibri" w:cs="Calibri" w:eastAsia="Calibri" w:hAnsi="Calibri"/>
          <w:i/>
          <w:iCs/>
          <w:color w:val="555555"/>
          <w:sz w:val="20"/>
          <w:szCs w:val="20"/>
        </w:rPr>
        <w:t xml:space="preserve">This manual is a customizable framework and is not legal advice. New York periodically amends the Mental Hygiene Law and the 14 NYCRR regulations. Confirm the current regulation text with OMH and your OMH field office, confirm credential and licensure requirements with the applicable licensing boards and OMH-approved credentialing programs, and confirm payment and authorization rules with NY Medicaid and the managed care plans you contract with, before relying on any specific citation or figure.</w:t>
      </w:r>
    </w:p>
    <w:p>
      <w:r>
        <w:br w:type="page"/>
      </w:r>
    </w:p>
    <w:p>
      <w:pPr>
        <w:pStyle w:val="Heading1"/>
        <w:pBdr>
          <w:bottom w:val="single" w:color="1F3D2B" w:sz="10" w:space="6"/>
        </w:pBdr>
        <w:spacing w:after="170" w:before="320"/>
      </w:pPr>
      <w:r>
        <w:rPr>
          <w:rFonts w:ascii="Calibri" w:cs="Calibri" w:eastAsia="Calibri" w:hAnsi="Calibri"/>
          <w:b/>
          <w:bCs/>
          <w:color w:val="1F3D2B"/>
          <w:sz w:val="30"/>
          <w:szCs w:val="30"/>
        </w:rPr>
        <w:t xml:space="preserve">Table of Contents</w:t>
      </w:r>
    </w:p>
    <w:sdt>
      <w:sdtPr>
        <w:alias w:val="Contents"/>
      </w:sdtPr>
      <w:sdtContent>
        <w:p>
          <w:r>
            <w:fldChar w:fldCharType="begin" w:dirty="true"/>
            <w:instrText xml:space="preserve">TOC \h \o "1-1"</w:instrText>
            <w:fldChar w:fldCharType="separate"/>
          </w:r>
        </w:p>
        <w:p>
          <w:r>
            <w:fldChar w:fldCharType="end"/>
          </w:r>
        </w:p>
      </w:sdtContent>
    </w:sdt>
    <w:p>
      <w:r>
        <w:br w:type="page"/>
      </w:r>
    </w:p>
    <w:p>
      <w:pPr>
        <w:pStyle w:val="Heading1"/>
        <w:pBdr>
          <w:bottom w:val="single" w:color="1F3D2B" w:sz="10" w:space="6"/>
        </w:pBdr>
        <w:spacing w:after="170" w:before="320"/>
      </w:pPr>
      <w:r>
        <w:rPr>
          <w:rFonts w:ascii="Calibri" w:cs="Calibri" w:eastAsia="Calibri" w:hAnsi="Calibri"/>
          <w:b/>
          <w:bCs/>
          <w:color w:val="1F3D2B"/>
          <w:sz w:val="30"/>
          <w:szCs w:val="30"/>
        </w:rPr>
        <w:t xml:space="preserve">Definitions &amp; Key Terms</w:t>
      </w:r>
    </w:p>
    <w:p>
      <w:pPr>
        <w:spacing w:after="140" w:before="0" w:line="278"/>
      </w:pPr>
      <w:r>
        <w:rPr>
          <w:rFonts w:ascii="Calibri" w:cs="Calibri" w:eastAsia="Calibri" w:hAnsi="Calibri"/>
          <w:b w:val="false"/>
          <w:bCs w:val="false"/>
          <w:i w:val="false"/>
          <w:iCs w:val="false"/>
          <w:color w:val="222222"/>
          <w:sz w:val="22"/>
          <w:szCs w:val="22"/>
        </w:rPr>
        <w:t xml:space="preserve">The following terms are used throughout this manual as they are used in New York law and the OMH regulations at 14 NYCRR. Where a term is defined by statute or regulation, that definition controls.</w:t>
      </w:r>
    </w:p>
    <w:p>
      <w:pPr>
        <w:spacing w:after="100" w:before="0" w:line="274"/>
      </w:pPr>
      <w:r>
        <w:rPr>
          <w:rFonts w:ascii="Calibri" w:cs="Calibri" w:eastAsia="Calibri" w:hAnsi="Calibri"/>
          <w:b/>
          <w:bCs/>
          <w:color w:val="2C523A"/>
          <w:sz w:val="22"/>
          <w:szCs w:val="22"/>
        </w:rPr>
        <w:t xml:space="preserve">OMH. </w:t>
      </w:r>
      <w:r>
        <w:rPr>
          <w:rFonts w:ascii="Calibri" w:cs="Calibri" w:eastAsia="Calibri" w:hAnsi="Calibri"/>
          <w:color w:val="222222"/>
          <w:sz w:val="22"/>
          <w:szCs w:val="22"/>
        </w:rPr>
        <w:t xml:space="preserve">The New York State Office of Mental Health, the agency that licenses, regulates, funds, and oversees mental health programs under Article 31 of the Mental Hygiene Law.</w:t>
      </w:r>
    </w:p>
    <w:p>
      <w:pPr>
        <w:spacing w:after="100" w:before="0" w:line="274"/>
      </w:pPr>
      <w:r>
        <w:rPr>
          <w:rFonts w:ascii="Calibri" w:cs="Calibri" w:eastAsia="Calibri" w:hAnsi="Calibri"/>
          <w:b/>
          <w:bCs/>
          <w:color w:val="2C523A"/>
          <w:sz w:val="22"/>
          <w:szCs w:val="22"/>
        </w:rPr>
        <w:t xml:space="preserve">Mental Hygiene Law Article 31. </w:t>
      </w:r>
      <w:r>
        <w:rPr>
          <w:rFonts w:ascii="Calibri" w:cs="Calibri" w:eastAsia="Calibri" w:hAnsi="Calibri"/>
          <w:color w:val="222222"/>
          <w:sz w:val="22"/>
          <w:szCs w:val="22"/>
        </w:rPr>
        <w:t xml:space="preserve">The New York statute governing the licensing and regulation of providers of mental health services, administered by OMH.</w:t>
      </w:r>
    </w:p>
    <w:p>
      <w:pPr>
        <w:spacing w:after="100" w:before="0" w:line="274"/>
      </w:pPr>
      <w:r>
        <w:rPr>
          <w:rFonts w:ascii="Calibri" w:cs="Calibri" w:eastAsia="Calibri" w:hAnsi="Calibri"/>
          <w:b/>
          <w:bCs/>
          <w:color w:val="2C523A"/>
          <w:sz w:val="22"/>
          <w:szCs w:val="22"/>
        </w:rPr>
        <w:t xml:space="preserve">14 NYCRR. </w:t>
      </w:r>
      <w:r>
        <w:rPr>
          <w:rFonts w:ascii="Calibri" w:cs="Calibri" w:eastAsia="Calibri" w:hAnsi="Calibri"/>
          <w:color w:val="222222"/>
          <w:sz w:val="22"/>
          <w:szCs w:val="22"/>
        </w:rPr>
        <w:t xml:space="preserve">Title 14 of the New York Codes, Rules and Regulations; Chapter XIII contains the OMH regulations, including Parts 508, 512, 524, 550, and 599.</w:t>
      </w:r>
    </w:p>
    <w:p>
      <w:pPr>
        <w:spacing w:after="100" w:before="0" w:line="274"/>
      </w:pPr>
      <w:r>
        <w:rPr>
          <w:rFonts w:ascii="Calibri" w:cs="Calibri" w:eastAsia="Calibri" w:hAnsi="Calibri"/>
          <w:b/>
          <w:bCs/>
          <w:color w:val="2C523A"/>
          <w:sz w:val="22"/>
          <w:szCs w:val="22"/>
        </w:rPr>
        <w:t xml:space="preserve">Operating certificate. </w:t>
      </w:r>
      <w:r>
        <w:rPr>
          <w:rFonts w:ascii="Calibri" w:cs="Calibri" w:eastAsia="Calibri" w:hAnsi="Calibri"/>
          <w:color w:val="222222"/>
          <w:sz w:val="22"/>
          <w:szCs w:val="22"/>
        </w:rPr>
        <w:t xml:space="preserve">The certificate OMH issues that authorizes a provider to operate a specified licensed program at a specified site.</w:t>
      </w:r>
    </w:p>
    <w:p>
      <w:pPr>
        <w:spacing w:after="100" w:before="0" w:line="274"/>
      </w:pPr>
      <w:r>
        <w:rPr>
          <w:rFonts w:ascii="Calibri" w:cs="Calibri" w:eastAsia="Calibri" w:hAnsi="Calibri"/>
          <w:b/>
          <w:bCs/>
          <w:color w:val="2C523A"/>
          <w:sz w:val="22"/>
          <w:szCs w:val="22"/>
        </w:rPr>
        <w:t xml:space="preserve">Prior approval review. </w:t>
      </w:r>
      <w:r>
        <w:rPr>
          <w:rFonts w:ascii="Calibri" w:cs="Calibri" w:eastAsia="Calibri" w:hAnsi="Calibri"/>
          <w:color w:val="222222"/>
          <w:sz w:val="22"/>
          <w:szCs w:val="22"/>
        </w:rPr>
        <w:t xml:space="preserve">The OMH application and review process through which a provider seeks licensure or approval for a new or changed program, in consultation with the OMH field office and the Local Governmental Unit.</w:t>
      </w:r>
    </w:p>
    <w:p>
      <w:pPr>
        <w:spacing w:after="100" w:before="0" w:line="274"/>
      </w:pPr>
      <w:r>
        <w:rPr>
          <w:rFonts w:ascii="Calibri" w:cs="Calibri" w:eastAsia="Calibri" w:hAnsi="Calibri"/>
          <w:b/>
          <w:bCs/>
          <w:color w:val="2C523A"/>
          <w:sz w:val="22"/>
          <w:szCs w:val="22"/>
        </w:rPr>
        <w:t xml:space="preserve">Local Governmental Unit (LGU). </w:t>
      </w:r>
      <w:r>
        <w:rPr>
          <w:rFonts w:ascii="Calibri" w:cs="Calibri" w:eastAsia="Calibri" w:hAnsi="Calibri"/>
          <w:color w:val="222222"/>
          <w:sz w:val="22"/>
          <w:szCs w:val="22"/>
        </w:rPr>
        <w:t xml:space="preserve">The county or city mental hygiene authority that conducts local planning under Article 41 of the Mental Hygiene Law and is consulted on programs in its jurisdiction.</w:t>
      </w:r>
    </w:p>
    <w:p>
      <w:pPr>
        <w:spacing w:after="100" w:before="0" w:line="274"/>
      </w:pPr>
      <w:r>
        <w:rPr>
          <w:rFonts w:ascii="Calibri" w:cs="Calibri" w:eastAsia="Calibri" w:hAnsi="Calibri"/>
          <w:b/>
          <w:bCs/>
          <w:color w:val="2C523A"/>
          <w:sz w:val="22"/>
          <w:szCs w:val="22"/>
        </w:rPr>
        <w:t xml:space="preserve">MHOTRS (Part 599). </w:t>
      </w:r>
      <w:r>
        <w:rPr>
          <w:rFonts w:ascii="Calibri" w:cs="Calibri" w:eastAsia="Calibri" w:hAnsi="Calibri"/>
          <w:color w:val="222222"/>
          <w:sz w:val="22"/>
          <w:szCs w:val="22"/>
        </w:rPr>
        <w:t xml:space="preserve">Mental Health Outpatient Treatment and Rehabilitative Services — the OMH-licensed outpatient clinic program under 14 NYCRR Part 599, operating under the Medicaid rehabilitative-services option with on-site and off-site service flexibility.</w:t>
      </w:r>
    </w:p>
    <w:p>
      <w:pPr>
        <w:spacing w:after="100" w:before="0" w:line="274"/>
      </w:pPr>
      <w:r>
        <w:rPr>
          <w:rFonts w:ascii="Calibri" w:cs="Calibri" w:eastAsia="Calibri" w:hAnsi="Calibri"/>
          <w:b/>
          <w:bCs/>
          <w:color w:val="2C523A"/>
          <w:sz w:val="22"/>
          <w:szCs w:val="22"/>
        </w:rPr>
        <w:t xml:space="preserve">Recipient. </w:t>
      </w:r>
      <w:r>
        <w:rPr>
          <w:rFonts w:ascii="Calibri" w:cs="Calibri" w:eastAsia="Calibri" w:hAnsi="Calibri"/>
          <w:color w:val="222222"/>
          <w:sz w:val="22"/>
          <w:szCs w:val="22"/>
        </w:rPr>
        <w:t xml:space="preserve">The term the OMH regulations use for a person receiving services in a licensed program.</w:t>
      </w:r>
    </w:p>
    <w:p>
      <w:pPr>
        <w:spacing w:after="100" w:before="0" w:line="274"/>
      </w:pPr>
      <w:r>
        <w:rPr>
          <w:rFonts w:ascii="Calibri" w:cs="Calibri" w:eastAsia="Calibri" w:hAnsi="Calibri"/>
          <w:b/>
          <w:bCs/>
          <w:color w:val="2C523A"/>
          <w:sz w:val="22"/>
          <w:szCs w:val="22"/>
        </w:rPr>
        <w:t xml:space="preserve">PROS (Part 512). </w:t>
      </w:r>
      <w:r>
        <w:rPr>
          <w:rFonts w:ascii="Calibri" w:cs="Calibri" w:eastAsia="Calibri" w:hAnsi="Calibri"/>
          <w:color w:val="222222"/>
          <w:sz w:val="22"/>
          <w:szCs w:val="22"/>
        </w:rPr>
        <w:t xml:space="preserve">Personalized Recovery Oriented Services, a comprehensive OMH-certified recovery program for adults with serious mental illness, organized around the Individualized Recovery Plan.</w:t>
      </w:r>
    </w:p>
    <w:p>
      <w:pPr>
        <w:spacing w:after="100" w:before="0" w:line="274"/>
      </w:pPr>
      <w:r>
        <w:rPr>
          <w:rFonts w:ascii="Calibri" w:cs="Calibri" w:eastAsia="Calibri" w:hAnsi="Calibri"/>
          <w:b/>
          <w:bCs/>
          <w:color w:val="2C523A"/>
          <w:sz w:val="22"/>
          <w:szCs w:val="22"/>
        </w:rPr>
        <w:t xml:space="preserve">Individualized Recovery Plan (IRP). </w:t>
      </w:r>
      <w:r>
        <w:rPr>
          <w:rFonts w:ascii="Calibri" w:cs="Calibri" w:eastAsia="Calibri" w:hAnsi="Calibri"/>
          <w:color w:val="222222"/>
          <w:sz w:val="22"/>
          <w:szCs w:val="22"/>
        </w:rPr>
        <w:t xml:space="preserve">The person-centered plan that organizes a PROS participant's goals and services.</w:t>
      </w:r>
    </w:p>
    <w:p>
      <w:pPr>
        <w:spacing w:after="100" w:before="0" w:line="274"/>
      </w:pPr>
      <w:r>
        <w:rPr>
          <w:rFonts w:ascii="Calibri" w:cs="Calibri" w:eastAsia="Calibri" w:hAnsi="Calibri"/>
          <w:b/>
          <w:bCs/>
          <w:color w:val="2C523A"/>
          <w:sz w:val="22"/>
          <w:szCs w:val="22"/>
        </w:rPr>
        <w:t xml:space="preserve">Assertive Community Treatment (Part 508). </w:t>
      </w:r>
      <w:r>
        <w:rPr>
          <w:rFonts w:ascii="Calibri" w:cs="Calibri" w:eastAsia="Calibri" w:hAnsi="Calibri"/>
          <w:color w:val="222222"/>
          <w:sz w:val="22"/>
          <w:szCs w:val="22"/>
        </w:rPr>
        <w:t xml:space="preserve">An intensive, mobile, multidisciplinary team service for adults with serious mental illness, licensed under 14 NYCRR Part 508.</w:t>
      </w:r>
    </w:p>
    <w:p>
      <w:pPr>
        <w:spacing w:after="100" w:before="0" w:line="274"/>
      </w:pPr>
      <w:r>
        <w:rPr>
          <w:rFonts w:ascii="Calibri" w:cs="Calibri" w:eastAsia="Calibri" w:hAnsi="Calibri"/>
          <w:b/>
          <w:bCs/>
          <w:color w:val="2C523A"/>
          <w:sz w:val="22"/>
          <w:szCs w:val="22"/>
        </w:rPr>
        <w:t xml:space="preserve">Part 524 incident management. </w:t>
      </w:r>
      <w:r>
        <w:rPr>
          <w:rFonts w:ascii="Calibri" w:cs="Calibri" w:eastAsia="Calibri" w:hAnsi="Calibri"/>
          <w:color w:val="222222"/>
          <w:sz w:val="22"/>
          <w:szCs w:val="22"/>
        </w:rPr>
        <w:t xml:space="preserve">The OMH regulation requiring providers to maintain an incident management system — timely reporting, investigation, review, tracking and trending, and corrective action — with reporting through NIMRS.</w:t>
      </w:r>
    </w:p>
    <w:p>
      <w:pPr>
        <w:spacing w:after="100" w:before="0" w:line="274"/>
      </w:pPr>
      <w:r>
        <w:rPr>
          <w:rFonts w:ascii="Calibri" w:cs="Calibri" w:eastAsia="Calibri" w:hAnsi="Calibri"/>
          <w:b/>
          <w:bCs/>
          <w:color w:val="2C523A"/>
          <w:sz w:val="22"/>
          <w:szCs w:val="22"/>
        </w:rPr>
        <w:t xml:space="preserve">NIMRS. </w:t>
      </w:r>
      <w:r>
        <w:rPr>
          <w:rFonts w:ascii="Calibri" w:cs="Calibri" w:eastAsia="Calibri" w:hAnsi="Calibri"/>
          <w:color w:val="222222"/>
          <w:sz w:val="22"/>
          <w:szCs w:val="22"/>
        </w:rPr>
        <w:t xml:space="preserve">The New York State Incident Management and Reporting System, through which OMH providers report incidents.</w:t>
      </w:r>
    </w:p>
    <w:p>
      <w:pPr>
        <w:spacing w:after="100" w:before="0" w:line="274"/>
      </w:pPr>
      <w:r>
        <w:rPr>
          <w:rFonts w:ascii="Calibri" w:cs="Calibri" w:eastAsia="Calibri" w:hAnsi="Calibri"/>
          <w:b/>
          <w:bCs/>
          <w:color w:val="2C523A"/>
          <w:sz w:val="22"/>
          <w:szCs w:val="22"/>
        </w:rPr>
        <w:t xml:space="preserve">Justice Center. </w:t>
      </w:r>
      <w:r>
        <w:rPr>
          <w:rFonts w:ascii="Calibri" w:cs="Calibri" w:eastAsia="Calibri" w:hAnsi="Calibri"/>
          <w:color w:val="222222"/>
          <w:sz w:val="22"/>
          <w:szCs w:val="22"/>
        </w:rPr>
        <w:t xml:space="preserve">The New York State Justice Center for the Protection of People with Special Needs, which receives reports of abuse, neglect, and significant incidents in covered programs and maintains the Vulnerable Persons' Central Register and Staff Exclusion List.</w:t>
      </w:r>
    </w:p>
    <w:p>
      <w:pPr>
        <w:spacing w:after="100" w:before="0" w:line="274"/>
      </w:pPr>
      <w:r>
        <w:rPr>
          <w:rFonts w:ascii="Calibri" w:cs="Calibri" w:eastAsia="Calibri" w:hAnsi="Calibri"/>
          <w:b/>
          <w:bCs/>
          <w:color w:val="2C523A"/>
          <w:sz w:val="22"/>
          <w:szCs w:val="22"/>
        </w:rPr>
        <w:t xml:space="preserve">Licensed Practitioner of the Healing Arts (LPHA). </w:t>
      </w:r>
      <w:r>
        <w:rPr>
          <w:rFonts w:ascii="Calibri" w:cs="Calibri" w:eastAsia="Calibri" w:hAnsi="Calibri"/>
          <w:color w:val="222222"/>
          <w:sz w:val="22"/>
          <w:szCs w:val="22"/>
        </w:rPr>
        <w:t xml:space="preserve">A practitioner licensed (or practicing under a limited permit with proper supervision) in a healing-arts profession — such as psychiatry, psychology, social work, mental health counseling, or nursing — authorized to perform designated clinical functions.</w:t>
      </w:r>
    </w:p>
    <w:p>
      <w:pPr>
        <w:spacing w:after="100" w:before="0" w:line="274"/>
      </w:pPr>
      <w:r>
        <w:rPr>
          <w:rFonts w:ascii="Calibri" w:cs="Calibri" w:eastAsia="Calibri" w:hAnsi="Calibri"/>
          <w:b/>
          <w:bCs/>
          <w:color w:val="2C523A"/>
          <w:sz w:val="22"/>
          <w:szCs w:val="22"/>
        </w:rPr>
        <w:t xml:space="preserve">Certified Peer Specialist. </w:t>
      </w:r>
      <w:r>
        <w:rPr>
          <w:rFonts w:ascii="Calibri" w:cs="Calibri" w:eastAsia="Calibri" w:hAnsi="Calibri"/>
          <w:color w:val="222222"/>
          <w:sz w:val="22"/>
          <w:szCs w:val="22"/>
        </w:rPr>
        <w:t xml:space="preserve">A person with lived experience of mental health recovery credentialed by an OMH-approved certification program to provide peer support services.</w:t>
      </w:r>
    </w:p>
    <w:p>
      <w:pPr>
        <w:spacing w:after="100" w:before="0" w:line="274"/>
      </w:pPr>
      <w:r>
        <w:rPr>
          <w:rFonts w:ascii="Calibri" w:cs="Calibri" w:eastAsia="Calibri" w:hAnsi="Calibri"/>
          <w:b/>
          <w:bCs/>
          <w:color w:val="2C523A"/>
          <w:sz w:val="22"/>
          <w:szCs w:val="22"/>
        </w:rPr>
        <w:t xml:space="preserve">Family Peer Advocate / Youth Peer Advocate. </w:t>
      </w:r>
      <w:r>
        <w:rPr>
          <w:rFonts w:ascii="Calibri" w:cs="Calibri" w:eastAsia="Calibri" w:hAnsi="Calibri"/>
          <w:color w:val="222222"/>
          <w:sz w:val="22"/>
          <w:szCs w:val="22"/>
        </w:rPr>
        <w:t xml:space="preserve">Credentialed peer roles supporting families and youth, credentialed through OMH-approved programs.</w:t>
      </w:r>
    </w:p>
    <w:p>
      <w:pPr>
        <w:spacing w:after="100" w:before="0" w:line="274"/>
      </w:pPr>
      <w:r>
        <w:rPr>
          <w:rFonts w:ascii="Calibri" w:cs="Calibri" w:eastAsia="Calibri" w:hAnsi="Calibri"/>
          <w:b/>
          <w:bCs/>
          <w:color w:val="2C523A"/>
          <w:sz w:val="22"/>
          <w:szCs w:val="22"/>
        </w:rPr>
        <w:t xml:space="preserve">Criminal history information review. </w:t>
      </w:r>
      <w:r>
        <w:rPr>
          <w:rFonts w:ascii="Calibri" w:cs="Calibri" w:eastAsia="Calibri" w:hAnsi="Calibri"/>
          <w:color w:val="222222"/>
          <w:sz w:val="22"/>
          <w:szCs w:val="22"/>
        </w:rPr>
        <w:t xml:space="preserve">The pre-employment fingerprint-based review required under Mental Hygiene Law § 31.35 and 14 NYCRR Part 550 for staff with the potential for regular and substantial unsupervised contact with recipients.</w:t>
      </w:r>
    </w:p>
    <w:p>
      <w:pPr>
        <w:spacing w:after="100" w:before="0" w:line="274"/>
      </w:pPr>
      <w:r>
        <w:rPr>
          <w:rFonts w:ascii="Calibri" w:cs="Calibri" w:eastAsia="Calibri" w:hAnsi="Calibri"/>
          <w:b/>
          <w:bCs/>
          <w:color w:val="2C523A"/>
          <w:sz w:val="22"/>
          <w:szCs w:val="22"/>
        </w:rPr>
        <w:t xml:space="preserve">Statewide Central Register (SCR). </w:t>
      </w:r>
      <w:r>
        <w:rPr>
          <w:rFonts w:ascii="Calibri" w:cs="Calibri" w:eastAsia="Calibri" w:hAnsi="Calibri"/>
          <w:color w:val="222222"/>
          <w:sz w:val="22"/>
          <w:szCs w:val="22"/>
        </w:rPr>
        <w:t xml:space="preserve">The New York Statewide Central Register of Child Abuse and Maltreatment; staff with the potential for regular and substantial contact with recipients must be cleared as required.</w:t>
      </w:r>
    </w:p>
    <w:p>
      <w:pPr>
        <w:spacing w:after="100" w:before="0" w:line="274"/>
      </w:pPr>
      <w:r>
        <w:rPr>
          <w:rFonts w:ascii="Calibri" w:cs="Calibri" w:eastAsia="Calibri" w:hAnsi="Calibri"/>
          <w:b/>
          <w:bCs/>
          <w:color w:val="2C523A"/>
          <w:sz w:val="22"/>
          <w:szCs w:val="22"/>
        </w:rPr>
        <w:t xml:space="preserve">Treatment plan. </w:t>
      </w:r>
      <w:r>
        <w:rPr>
          <w:rFonts w:ascii="Calibri" w:cs="Calibri" w:eastAsia="Calibri" w:hAnsi="Calibri"/>
          <w:color w:val="222222"/>
          <w:sz w:val="22"/>
          <w:szCs w:val="22"/>
        </w:rPr>
        <w:t xml:space="preserve">The individualized plan developed with the recipient that documents goals, services, and responsible staff, reviewed and updated as Part 599 requires.</w:t>
      </w:r>
    </w:p>
    <w:p>
      <w:pPr>
        <w:spacing w:after="100" w:before="0" w:line="274"/>
      </w:pPr>
      <w:r>
        <w:rPr>
          <w:rFonts w:ascii="Calibri" w:cs="Calibri" w:eastAsia="Calibri" w:hAnsi="Calibri"/>
          <w:b/>
          <w:bCs/>
          <w:color w:val="2C523A"/>
          <w:sz w:val="22"/>
          <w:szCs w:val="22"/>
        </w:rPr>
        <w:t xml:space="preserve">Utilization review. </w:t>
      </w:r>
      <w:r>
        <w:rPr>
          <w:rFonts w:ascii="Calibri" w:cs="Calibri" w:eastAsia="Calibri" w:hAnsi="Calibri"/>
          <w:color w:val="222222"/>
          <w:sz w:val="22"/>
          <w:szCs w:val="22"/>
        </w:rPr>
        <w:t xml:space="preserve">The written review process Part 599 requires to ensure recipients receive appropriate services at an appropriate level of care.</w:t>
      </w:r>
    </w:p>
    <w:p>
      <w:pPr>
        <w:spacing w:after="100" w:before="0" w:line="274"/>
      </w:pPr>
      <w:r>
        <w:rPr>
          <w:rFonts w:ascii="Calibri" w:cs="Calibri" w:eastAsia="Calibri" w:hAnsi="Calibri"/>
          <w:b/>
          <w:bCs/>
          <w:color w:val="2C523A"/>
          <w:sz w:val="22"/>
          <w:szCs w:val="22"/>
        </w:rPr>
        <w:t xml:space="preserve">HARP. </w:t>
      </w:r>
      <w:r>
        <w:rPr>
          <w:rFonts w:ascii="Calibri" w:cs="Calibri" w:eastAsia="Calibri" w:hAnsi="Calibri"/>
          <w:color w:val="222222"/>
          <w:sz w:val="22"/>
          <w:szCs w:val="22"/>
        </w:rPr>
        <w:t xml:space="preserve">Health and Recovery Plan, a New York Medicaid managed care product for adults with significant behavioral health needs, with access to behavioral health home and community-based services.</w:t>
      </w:r>
    </w:p>
    <w:p>
      <w:pPr>
        <w:spacing w:after="100" w:before="0" w:line="274"/>
      </w:pPr>
      <w:r>
        <w:rPr>
          <w:rFonts w:ascii="Calibri" w:cs="Calibri" w:eastAsia="Calibri" w:hAnsi="Calibri"/>
          <w:b/>
          <w:bCs/>
          <w:color w:val="2C523A"/>
          <w:sz w:val="22"/>
          <w:szCs w:val="22"/>
        </w:rPr>
        <w:t xml:space="preserve">Incident. </w:t>
      </w:r>
      <w:r>
        <w:rPr>
          <w:rFonts w:ascii="Calibri" w:cs="Calibri" w:eastAsia="Calibri" w:hAnsi="Calibri"/>
          <w:color w:val="222222"/>
          <w:sz w:val="22"/>
          <w:szCs w:val="22"/>
        </w:rPr>
        <w:t xml:space="preserve">An event — such as a death, serious injury, allegation of abuse or neglect, or medication error — that must be documented, reviewed, and reported as Part 524 and Justice Center requirements direct.</w:t>
      </w:r>
    </w:p>
    <w:p>
      <w:pPr>
        <w:spacing w:after="100" w:before="0" w:line="274"/>
      </w:pPr>
      <w:r>
        <w:rPr>
          <w:rFonts w:ascii="Calibri" w:cs="Calibri" w:eastAsia="Calibri" w:hAnsi="Calibri"/>
          <w:b/>
          <w:bCs/>
          <w:color w:val="2C523A"/>
          <w:sz w:val="22"/>
          <w:szCs w:val="22"/>
        </w:rPr>
        <w:t xml:space="preserve">Corrective action plan. </w:t>
      </w:r>
      <w:r>
        <w:rPr>
          <w:rFonts w:ascii="Calibri" w:cs="Calibri" w:eastAsia="Calibri" w:hAnsi="Calibri"/>
          <w:color w:val="222222"/>
          <w:sz w:val="22"/>
          <w:szCs w:val="22"/>
        </w:rPr>
        <w:t xml:space="preserve">The written response a provider submits to correct deficiencies identified in an OMH review, investigation, or incident.</w:t>
      </w:r>
    </w:p>
    <w:p>
      <w:r>
        <w:br w:type="page"/>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1 — Administration, Licensure &amp; Governance</w:t>
      </w:r>
    </w:p>
    <w:p>
      <w:pPr>
        <w:spacing w:after="140" w:before="0" w:line="278"/>
      </w:pPr>
      <w:r>
        <w:rPr>
          <w:rFonts w:ascii="Calibri" w:cs="Calibri" w:eastAsia="Calibri" w:hAnsi="Calibri"/>
          <w:b w:val="false"/>
          <w:bCs w:val="false"/>
          <w:i w:val="false"/>
          <w:iCs w:val="false"/>
          <w:color w:val="222222"/>
          <w:sz w:val="22"/>
          <w:szCs w:val="22"/>
        </w:rPr>
        <w:t xml:space="preserve">This section establishes how the provider is licensed and governed under New York's OMH system. OMH licenses each mental health program under Article 31 of the Mental Hygiene Law: the proposal moves through the Office's prior approval review process in consultation with the OMH field office and the Local Governmental Unit, and the provider then operates under an operating certificate for the specific program — an MHOTRS clinic under Part 599, PROS under Part 512, ACT under Part 508, or another licensed program. The section covers the operating certificate and its limits, organization and administration under 599.6, the governing authority's duties, and the provider's participation in the LGU's Article 41 local planning.</w:t>
      </w:r>
    </w:p>
    <w:p>
      <w:pPr>
        <w:pStyle w:val="Heading2"/>
        <w:spacing w:after="90" w:before="230"/>
      </w:pPr>
      <w:r>
        <w:rPr>
          <w:rFonts w:ascii="Calibri" w:cs="Calibri" w:eastAsia="Calibri" w:hAnsi="Calibri"/>
          <w:b/>
          <w:bCs/>
          <w:color w:val="2C523A"/>
          <w:sz w:val="24"/>
          <w:szCs w:val="24"/>
        </w:rPr>
        <w:t xml:space="preserve">1.01  Licensure Under Article 31 and the Operating Certificate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MHL Article 31; 14 NYCRR 599.5</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operate only as licensed by OMH.</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obtains and maintains an OMH operating certificate for each mental health program it operates and delivers services only as the certificate and the applicable Part authorize.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Before operating a program, the provider completes the Office's prior approval review process, in consultation with the OMH field office and the Local Governmental Unit.</w:t>
      </w:r>
    </w:p>
    <w:p>
      <w:pPr>
        <w:pStyle w:val="ListParagraph"/>
        <w:numPr>
          <w:ilvl w:val="0"/>
          <w:numId w:val="2"/>
        </w:numPr>
        <w:spacing w:after="70" w:line="274"/>
      </w:pPr>
      <w:r>
        <w:rPr>
          <w:rFonts w:ascii="Calibri" w:cs="Calibri" w:eastAsia="Calibri" w:hAnsi="Calibri"/>
          <w:color w:val="222222"/>
          <w:sz w:val="22"/>
          <w:szCs w:val="22"/>
        </w:rPr>
        <w:t xml:space="preserve">The provider does not operate a licensable mental health program without an operating certificate authorizing it.</w:t>
      </w:r>
    </w:p>
    <w:p>
      <w:pPr>
        <w:pStyle w:val="ListParagraph"/>
        <w:numPr>
          <w:ilvl w:val="0"/>
          <w:numId w:val="2"/>
        </w:numPr>
        <w:spacing w:after="70" w:line="274"/>
      </w:pPr>
      <w:r>
        <w:rPr>
          <w:rFonts w:ascii="Calibri" w:cs="Calibri" w:eastAsia="Calibri" w:hAnsi="Calibri"/>
          <w:color w:val="222222"/>
          <w:sz w:val="22"/>
          <w:szCs w:val="22"/>
        </w:rPr>
        <w:t xml:space="preserve">Services are delivered within the program, sites, and any conditions stated on the operating certificate.</w:t>
      </w:r>
    </w:p>
    <w:p>
      <w:pPr>
        <w:pStyle w:val="ListParagraph"/>
        <w:numPr>
          <w:ilvl w:val="0"/>
          <w:numId w:val="2"/>
        </w:numPr>
        <w:spacing w:after="70" w:line="274"/>
      </w:pPr>
      <w:r>
        <w:rPr>
          <w:rFonts w:ascii="Calibri" w:cs="Calibri" w:eastAsia="Calibri" w:hAnsi="Calibri"/>
          <w:color w:val="222222"/>
          <w:sz w:val="22"/>
          <w:szCs w:val="22"/>
        </w:rPr>
        <w:t xml:space="preserve">The operating certificate is displayed as required and kept current, and OMH is notified of changes as required.</w:t>
      </w:r>
    </w:p>
    <w:p>
      <w:pPr>
        <w:pStyle w:val="ListParagraph"/>
        <w:numPr>
          <w:ilvl w:val="0"/>
          <w:numId w:val="2"/>
        </w:numPr>
        <w:spacing w:after="70" w:line="274"/>
      </w:pPr>
      <w:r>
        <w:rPr>
          <w:rFonts w:ascii="Calibri" w:cs="Calibri" w:eastAsia="Calibri" w:hAnsi="Calibri"/>
          <w:color w:val="222222"/>
          <w:sz w:val="22"/>
          <w:szCs w:val="22"/>
        </w:rPr>
        <w:t xml:space="preserve">The provider cooperates fully with OMH reviews, inspections, and investigations.</w:t>
      </w:r>
    </w:p>
    <w:p>
      <w:pPr>
        <w:pStyle w:val="Heading2"/>
        <w:spacing w:after="90" w:before="230"/>
      </w:pPr>
      <w:r>
        <w:rPr>
          <w:rFonts w:ascii="Calibri" w:cs="Calibri" w:eastAsia="Calibri" w:hAnsi="Calibri"/>
          <w:b/>
          <w:bCs/>
          <w:color w:val="2C523A"/>
          <w:sz w:val="24"/>
          <w:szCs w:val="24"/>
        </w:rPr>
        <w:t xml:space="preserve">1.02  Organization, Administration and Written Policies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14 NYCRR 599.6</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govern the program through an accountable authority and approved policies.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maintains the organizational and administrative structure Part 599 requires, and its governing authority approves written policies and procedures governing services, reviewing them at least annually and when regulations change.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governing authority is identified, with documented responsibility for oversight, policy approval, and compliance.</w:t>
      </w:r>
    </w:p>
    <w:p>
      <w:pPr>
        <w:pStyle w:val="ListParagraph"/>
        <w:numPr>
          <w:ilvl w:val="0"/>
          <w:numId w:val="2"/>
        </w:numPr>
        <w:spacing w:after="70" w:line="274"/>
      </w:pPr>
      <w:r>
        <w:rPr>
          <w:rFonts w:ascii="Calibri" w:cs="Calibri" w:eastAsia="Calibri" w:hAnsi="Calibri"/>
          <w:color w:val="222222"/>
          <w:sz w:val="22"/>
          <w:szCs w:val="22"/>
        </w:rPr>
        <w:t xml:space="preserve">Written policies and procedures cover the areas the regulations require and are tailored to the licensed program.</w:t>
      </w:r>
    </w:p>
    <w:p>
      <w:pPr>
        <w:pStyle w:val="ListParagraph"/>
        <w:numPr>
          <w:ilvl w:val="0"/>
          <w:numId w:val="2"/>
        </w:numPr>
        <w:spacing w:after="70" w:line="274"/>
      </w:pPr>
      <w:r>
        <w:rPr>
          <w:rFonts w:ascii="Calibri" w:cs="Calibri" w:eastAsia="Calibri" w:hAnsi="Calibri"/>
          <w:color w:val="222222"/>
          <w:sz w:val="22"/>
          <w:szCs w:val="22"/>
        </w:rPr>
        <w:t xml:space="preserve">Qualified program leadership is appointed and responsible for day-to-day operations and clinical oversight.</w:t>
      </w:r>
    </w:p>
    <w:p>
      <w:pPr>
        <w:pStyle w:val="ListParagraph"/>
        <w:numPr>
          <w:ilvl w:val="0"/>
          <w:numId w:val="2"/>
        </w:numPr>
        <w:spacing w:after="70" w:line="274"/>
      </w:pPr>
      <w:r>
        <w:rPr>
          <w:rFonts w:ascii="Calibri" w:cs="Calibri" w:eastAsia="Calibri" w:hAnsi="Calibri"/>
          <w:color w:val="222222"/>
          <w:sz w:val="22"/>
          <w:szCs w:val="22"/>
        </w:rPr>
        <w:t xml:space="preserve">Policies are reviewed at least annually, with revisions documented, and are accessible to staff and OMH.</w:t>
      </w:r>
    </w:p>
    <w:p>
      <w:pPr>
        <w:pStyle w:val="ListParagraph"/>
        <w:numPr>
          <w:ilvl w:val="0"/>
          <w:numId w:val="2"/>
        </w:numPr>
        <w:spacing w:after="70" w:line="274"/>
      </w:pPr>
      <w:r>
        <w:rPr>
          <w:rFonts w:ascii="Calibri" w:cs="Calibri" w:eastAsia="Calibri" w:hAnsi="Calibri"/>
          <w:color w:val="222222"/>
          <w:sz w:val="22"/>
          <w:szCs w:val="22"/>
        </w:rPr>
        <w:t xml:space="preserve">The governing authority reviews compliance, incidents, and quality on a regular basis and acts on findings.</w:t>
      </w:r>
    </w:p>
    <w:p>
      <w:pPr>
        <w:pStyle w:val="Heading2"/>
        <w:spacing w:after="90" w:before="230"/>
      </w:pPr>
      <w:r>
        <w:rPr>
          <w:rFonts w:ascii="Calibri" w:cs="Calibri" w:eastAsia="Calibri" w:hAnsi="Calibri"/>
          <w:b/>
          <w:bCs/>
          <w:color w:val="2C523A"/>
          <w:sz w:val="24"/>
          <w:szCs w:val="24"/>
        </w:rPr>
        <w:t xml:space="preserve">1.03  Clinical and Medical Leadership</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14 NYCRR 599.6, 599.9</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provide qualified clinical and medical leadership.</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maintains qualified clinical leadership and the psychiatric and medical oversight its licensed program requires.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 qualified clinical director or leader oversees clinical services consistent with the applicable Part.</w:t>
      </w:r>
    </w:p>
    <w:p>
      <w:pPr>
        <w:pStyle w:val="ListParagraph"/>
        <w:numPr>
          <w:ilvl w:val="0"/>
          <w:numId w:val="2"/>
        </w:numPr>
        <w:spacing w:after="70" w:line="274"/>
      </w:pPr>
      <w:r>
        <w:rPr>
          <w:rFonts w:ascii="Calibri" w:cs="Calibri" w:eastAsia="Calibri" w:hAnsi="Calibri"/>
          <w:color w:val="222222"/>
          <w:sz w:val="22"/>
          <w:szCs w:val="22"/>
        </w:rPr>
        <w:t xml:space="preserve">Psychiatric oversight and medical responsibilities are assigned to appropriately licensed practitioners.</w:t>
      </w:r>
    </w:p>
    <w:p>
      <w:pPr>
        <w:pStyle w:val="ListParagraph"/>
        <w:numPr>
          <w:ilvl w:val="0"/>
          <w:numId w:val="2"/>
        </w:numPr>
        <w:spacing w:after="70" w:line="274"/>
      </w:pPr>
      <w:r>
        <w:rPr>
          <w:rFonts w:ascii="Calibri" w:cs="Calibri" w:eastAsia="Calibri" w:hAnsi="Calibri"/>
          <w:color w:val="222222"/>
          <w:sz w:val="22"/>
          <w:szCs w:val="22"/>
        </w:rPr>
        <w:t xml:space="preserve">Clinical leadership ensures services meet the regulations and clinical standards.</w:t>
      </w:r>
    </w:p>
    <w:p>
      <w:pPr>
        <w:pStyle w:val="ListParagraph"/>
        <w:numPr>
          <w:ilvl w:val="0"/>
          <w:numId w:val="2"/>
        </w:numPr>
        <w:spacing w:after="70" w:line="274"/>
      </w:pPr>
      <w:r>
        <w:rPr>
          <w:rFonts w:ascii="Calibri" w:cs="Calibri" w:eastAsia="Calibri" w:hAnsi="Calibri"/>
          <w:color w:val="222222"/>
          <w:sz w:val="22"/>
          <w:szCs w:val="22"/>
        </w:rPr>
        <w:t xml:space="preserve">A qualified person is designated to act in the leader's absence, and staff know the lines of authority.</w:t>
      </w:r>
    </w:p>
    <w:p>
      <w:pPr>
        <w:pStyle w:val="Heading2"/>
        <w:spacing w:after="90" w:before="230"/>
      </w:pPr>
      <w:r>
        <w:rPr>
          <w:rFonts w:ascii="Calibri" w:cs="Calibri" w:eastAsia="Calibri" w:hAnsi="Calibri"/>
          <w:b/>
          <w:bCs/>
          <w:color w:val="2C523A"/>
          <w:sz w:val="24"/>
          <w:szCs w:val="24"/>
        </w:rPr>
        <w:t xml:space="preserve">1.04  The Field Office, LGU and Article 41 Planning</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MHL Article 41; 14 NYCRR 599</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maintain the oversight and planning relationships the law requires.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maintains its relationship with the OMH field office, participates as requested in the Local Governmental Unit's local planning under Article 41, and cooperates with OMH and LGU monitoring.</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provider knows its field office and LGU contacts and engages them on program changes, concerns, and planning.</w:t>
      </w:r>
    </w:p>
    <w:p>
      <w:pPr>
        <w:pStyle w:val="ListParagraph"/>
        <w:numPr>
          <w:ilvl w:val="0"/>
          <w:numId w:val="2"/>
        </w:numPr>
        <w:spacing w:after="70" w:line="274"/>
      </w:pPr>
      <w:r>
        <w:rPr>
          <w:rFonts w:ascii="Calibri" w:cs="Calibri" w:eastAsia="Calibri" w:hAnsi="Calibri"/>
          <w:color w:val="222222"/>
          <w:sz w:val="22"/>
          <w:szCs w:val="22"/>
        </w:rPr>
        <w:t xml:space="preserve">The provider participates as requested in the LGU's Article 41 local planning processes.</w:t>
      </w:r>
    </w:p>
    <w:p>
      <w:pPr>
        <w:pStyle w:val="ListParagraph"/>
        <w:numPr>
          <w:ilvl w:val="0"/>
          <w:numId w:val="2"/>
        </w:numPr>
        <w:spacing w:after="70" w:line="274"/>
      </w:pPr>
      <w:r>
        <w:rPr>
          <w:rFonts w:ascii="Calibri" w:cs="Calibri" w:eastAsia="Calibri" w:hAnsi="Calibri"/>
          <w:color w:val="222222"/>
          <w:sz w:val="22"/>
          <w:szCs w:val="22"/>
        </w:rPr>
        <w:t xml:space="preserve">The provider cooperates with OMH and LGU monitoring and provides required information.</w:t>
      </w:r>
    </w:p>
    <w:p>
      <w:pPr>
        <w:pStyle w:val="ListParagraph"/>
        <w:numPr>
          <w:ilvl w:val="0"/>
          <w:numId w:val="2"/>
        </w:numPr>
        <w:spacing w:after="70" w:line="274"/>
      </w:pPr>
      <w:r>
        <w:rPr>
          <w:rFonts w:ascii="Calibri" w:cs="Calibri" w:eastAsia="Calibri" w:hAnsi="Calibri"/>
          <w:color w:val="222222"/>
          <w:sz w:val="22"/>
          <w:szCs w:val="22"/>
        </w:rPr>
        <w:t xml:space="preserve">Communications and approvals are documented.</w:t>
      </w:r>
    </w:p>
    <w:p>
      <w:pPr>
        <w:pStyle w:val="Heading2"/>
        <w:spacing w:after="90" w:before="230"/>
      </w:pPr>
      <w:r>
        <w:rPr>
          <w:rFonts w:ascii="Calibri" w:cs="Calibri" w:eastAsia="Calibri" w:hAnsi="Calibri"/>
          <w:b/>
          <w:bCs/>
          <w:color w:val="2C523A"/>
          <w:sz w:val="24"/>
          <w:szCs w:val="24"/>
        </w:rPr>
        <w:t xml:space="preserve">1.05  Medicaid, Managed Care and Payer Participation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NY Medicaid; 14 NYCRR 599.13–599.14; managed care and HARP contracts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participate properly in the payer systems that fund services.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enrolls in NY Medicaid, contracts with the managed care plans including HARP plans that cover its recipients, and follows Part 599's billing standards and payer rules.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Medicaid enrollment is completed and maintained, and the provider contracts and credentials with the plans serving its recipients.</w:t>
      </w:r>
    </w:p>
    <w:p>
      <w:pPr>
        <w:pStyle w:val="ListParagraph"/>
        <w:numPr>
          <w:ilvl w:val="0"/>
          <w:numId w:val="2"/>
        </w:numPr>
        <w:spacing w:after="70" w:line="274"/>
      </w:pPr>
      <w:r>
        <w:rPr>
          <w:rFonts w:ascii="Calibri" w:cs="Calibri" w:eastAsia="Calibri" w:hAnsi="Calibri"/>
          <w:color w:val="222222"/>
          <w:sz w:val="22"/>
          <w:szCs w:val="22"/>
        </w:rPr>
        <w:t xml:space="preserve">Billing follows the Part 599 medical assistance billing standards and payer rules, and only delivered, documented services are billed.</w:t>
      </w:r>
    </w:p>
    <w:p>
      <w:pPr>
        <w:pStyle w:val="ListParagraph"/>
        <w:numPr>
          <w:ilvl w:val="0"/>
          <w:numId w:val="2"/>
        </w:numPr>
        <w:spacing w:after="70" w:line="274"/>
      </w:pPr>
      <w:r>
        <w:rPr>
          <w:rFonts w:ascii="Calibri" w:cs="Calibri" w:eastAsia="Calibri" w:hAnsi="Calibri"/>
          <w:color w:val="222222"/>
          <w:sz w:val="22"/>
          <w:szCs w:val="22"/>
        </w:rPr>
        <w:t xml:space="preserve">Eligibility and authorization are verified and documented.</w:t>
      </w:r>
    </w:p>
    <w:p>
      <w:pPr>
        <w:pStyle w:val="ListParagraph"/>
        <w:numPr>
          <w:ilvl w:val="0"/>
          <w:numId w:val="2"/>
        </w:numPr>
        <w:spacing w:after="70" w:line="274"/>
      </w:pPr>
      <w:r>
        <w:rPr>
          <w:rFonts w:ascii="Calibri" w:cs="Calibri" w:eastAsia="Calibri" w:hAnsi="Calibri"/>
          <w:color w:val="222222"/>
          <w:sz w:val="22"/>
          <w:szCs w:val="22"/>
        </w:rPr>
        <w:t xml:space="preserve">The provider cooperates with payer audits and program-integrity reviews.</w:t>
      </w:r>
    </w:p>
    <w:p>
      <w:pPr>
        <w:pStyle w:val="Heading2"/>
        <w:spacing w:after="90" w:before="230"/>
      </w:pPr>
      <w:r>
        <w:rPr>
          <w:rFonts w:ascii="Calibri" w:cs="Calibri" w:eastAsia="Calibri" w:hAnsi="Calibri"/>
          <w:b/>
          <w:bCs/>
          <w:color w:val="2C523A"/>
          <w:sz w:val="24"/>
          <w:szCs w:val="24"/>
        </w:rPr>
        <w:t xml:space="preserve">1.06  Changes to Licensure, Program or Location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MHL Article 31; OMH prior approval</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keep the operating certificate accurate as the program changes.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obtains OMH approval before changes to ownership, program, capacity, or location that require it, through the applicable prior approval process.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Proposed changes are discussed with the field office and submitted through the required OMH process.</w:t>
      </w:r>
    </w:p>
    <w:p>
      <w:pPr>
        <w:pStyle w:val="ListParagraph"/>
        <w:numPr>
          <w:ilvl w:val="0"/>
          <w:numId w:val="2"/>
        </w:numPr>
        <w:spacing w:after="70" w:line="274"/>
      </w:pPr>
      <w:r>
        <w:rPr>
          <w:rFonts w:ascii="Calibri" w:cs="Calibri" w:eastAsia="Calibri" w:hAnsi="Calibri"/>
          <w:color w:val="222222"/>
          <w:sz w:val="22"/>
          <w:szCs w:val="22"/>
        </w:rPr>
        <w:t xml:space="preserve">Changes requiring approval are not implemented until granted and the certificate reflects them.</w:t>
      </w:r>
    </w:p>
    <w:p>
      <w:pPr>
        <w:pStyle w:val="ListParagraph"/>
        <w:numPr>
          <w:ilvl w:val="0"/>
          <w:numId w:val="2"/>
        </w:numPr>
        <w:spacing w:after="70" w:line="274"/>
      </w:pPr>
      <w:r>
        <w:rPr>
          <w:rFonts w:ascii="Calibri" w:cs="Calibri" w:eastAsia="Calibri" w:hAnsi="Calibri"/>
          <w:color w:val="222222"/>
          <w:sz w:val="22"/>
          <w:szCs w:val="22"/>
        </w:rPr>
        <w:t xml:space="preserve">Ownership and control information is kept current with OMH and payers.</w:t>
      </w:r>
    </w:p>
    <w:p>
      <w:pPr>
        <w:pStyle w:val="ListParagraph"/>
        <w:numPr>
          <w:ilvl w:val="0"/>
          <w:numId w:val="2"/>
        </w:numPr>
        <w:spacing w:after="70" w:line="274"/>
      </w:pPr>
      <w:r>
        <w:rPr>
          <w:rFonts w:ascii="Calibri" w:cs="Calibri" w:eastAsia="Calibri" w:hAnsi="Calibri"/>
          <w:color w:val="222222"/>
          <w:sz w:val="22"/>
          <w:szCs w:val="22"/>
        </w:rPr>
        <w:t xml:space="preserve">Approvals are documented and retained.</w:t>
      </w:r>
    </w:p>
    <w:p>
      <w:pPr>
        <w:pStyle w:val="Heading2"/>
        <w:spacing w:after="90" w:before="230"/>
      </w:pPr>
      <w:r>
        <w:rPr>
          <w:rFonts w:ascii="Calibri" w:cs="Calibri" w:eastAsia="Calibri" w:hAnsi="Calibri"/>
          <w:b/>
          <w:bCs/>
          <w:color w:val="2C523A"/>
          <w:sz w:val="24"/>
          <w:szCs w:val="24"/>
        </w:rPr>
        <w:t xml:space="preserve">1.07  Multiple Programs, Sites and Integrated Licensure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MHL Article 31; integrated licensure options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operate each program and site under its own authority.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maintains the required license for each program and site, operates each within its certificate and Part, and operates any integrated or dually licensed services within the applicable integrated authority.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Each licensed program and site operates under its own operating certificate and applicable Part.</w:t>
      </w:r>
    </w:p>
    <w:p>
      <w:pPr>
        <w:pStyle w:val="ListParagraph"/>
        <w:numPr>
          <w:ilvl w:val="0"/>
          <w:numId w:val="2"/>
        </w:numPr>
        <w:spacing w:after="70" w:line="274"/>
      </w:pPr>
      <w:r>
        <w:rPr>
          <w:rFonts w:ascii="Calibri" w:cs="Calibri" w:eastAsia="Calibri" w:hAnsi="Calibri"/>
          <w:color w:val="222222"/>
          <w:sz w:val="22"/>
          <w:szCs w:val="22"/>
        </w:rPr>
        <w:t xml:space="preserve">Dual or integrated OMH/OASAS/DOH licensure, where held, operates within the applicable integrated-services authority.</w:t>
      </w:r>
    </w:p>
    <w:p>
      <w:pPr>
        <w:pStyle w:val="ListParagraph"/>
        <w:numPr>
          <w:ilvl w:val="0"/>
          <w:numId w:val="2"/>
        </w:numPr>
        <w:spacing w:after="70" w:line="274"/>
      </w:pPr>
      <w:r>
        <w:rPr>
          <w:rFonts w:ascii="Calibri" w:cs="Calibri" w:eastAsia="Calibri" w:hAnsi="Calibri"/>
          <w:color w:val="222222"/>
          <w:sz w:val="22"/>
          <w:szCs w:val="22"/>
        </w:rPr>
        <w:t xml:space="preserve">Records and billing correctly reflect the licensed program delivering each service.</w:t>
      </w:r>
    </w:p>
    <w:p>
      <w:pPr>
        <w:pStyle w:val="ListParagraph"/>
        <w:numPr>
          <w:ilvl w:val="0"/>
          <w:numId w:val="2"/>
        </w:numPr>
        <w:spacing w:after="70" w:line="274"/>
      </w:pPr>
      <w:r>
        <w:rPr>
          <w:rFonts w:ascii="Calibri" w:cs="Calibri" w:eastAsia="Calibri" w:hAnsi="Calibri"/>
          <w:color w:val="222222"/>
          <w:sz w:val="22"/>
          <w:szCs w:val="22"/>
        </w:rPr>
        <w:t xml:space="preserve">Each site meets the applicable premises requirements.</w:t>
      </w:r>
    </w:p>
    <w:p>
      <w:pPr>
        <w:pStyle w:val="Heading2"/>
        <w:spacing w:after="90" w:before="230"/>
      </w:pPr>
      <w:r>
        <w:rPr>
          <w:rFonts w:ascii="Calibri" w:cs="Calibri" w:eastAsia="Calibri" w:hAnsi="Calibri"/>
          <w:b/>
          <w:bCs/>
          <w:color w:val="2C523A"/>
          <w:sz w:val="24"/>
          <w:szCs w:val="24"/>
        </w:rPr>
        <w:t xml:space="preserve">1.08  Contracts and Affiliations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HIPAA; program integrity</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structure outside relationships to meet clinical and legal standards.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When the provider contracts for services or shares information with outside organizations, it does so under agreements that meet applicable standards.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Contracts define the service, standards, and responsibilities, and contracted staff meet qualification and screening requirements.</w:t>
      </w:r>
    </w:p>
    <w:p>
      <w:pPr>
        <w:pStyle w:val="ListParagraph"/>
        <w:numPr>
          <w:ilvl w:val="0"/>
          <w:numId w:val="2"/>
        </w:numPr>
        <w:spacing w:after="70" w:line="274"/>
      </w:pPr>
      <w:r>
        <w:rPr>
          <w:rFonts w:ascii="Calibri" w:cs="Calibri" w:eastAsia="Calibri" w:hAnsi="Calibri"/>
          <w:color w:val="222222"/>
          <w:sz w:val="22"/>
          <w:szCs w:val="22"/>
        </w:rPr>
        <w:t xml:space="preserve">Business associate agreements cover vendors handling protected information.</w:t>
      </w:r>
    </w:p>
    <w:p>
      <w:pPr>
        <w:pStyle w:val="ListParagraph"/>
        <w:numPr>
          <w:ilvl w:val="0"/>
          <w:numId w:val="2"/>
        </w:numPr>
        <w:spacing w:after="70" w:line="274"/>
      </w:pPr>
      <w:r>
        <w:rPr>
          <w:rFonts w:ascii="Calibri" w:cs="Calibri" w:eastAsia="Calibri" w:hAnsi="Calibri"/>
          <w:color w:val="222222"/>
          <w:sz w:val="22"/>
          <w:szCs w:val="22"/>
        </w:rPr>
        <w:t xml:space="preserve">Affiliations with hospitals, prescribers, and referral sources comply with anti-kickback and referral law.</w:t>
      </w:r>
    </w:p>
    <w:p>
      <w:pPr>
        <w:pStyle w:val="ListParagraph"/>
        <w:numPr>
          <w:ilvl w:val="0"/>
          <w:numId w:val="2"/>
        </w:numPr>
        <w:spacing w:after="70" w:line="274"/>
      </w:pPr>
      <w:r>
        <w:rPr>
          <w:rFonts w:ascii="Calibri" w:cs="Calibri" w:eastAsia="Calibri" w:hAnsi="Calibri"/>
          <w:color w:val="222222"/>
          <w:sz w:val="22"/>
          <w:szCs w:val="22"/>
        </w:rPr>
        <w:t xml:space="preserve">The provider remains responsible for the care of its recipients.</w:t>
      </w:r>
    </w:p>
    <w:p>
      <w:pPr>
        <w:pStyle w:val="Heading2"/>
        <w:spacing w:after="90" w:before="230"/>
      </w:pPr>
      <w:r>
        <w:rPr>
          <w:rFonts w:ascii="Calibri" w:cs="Calibri" w:eastAsia="Calibri" w:hAnsi="Calibri"/>
          <w:b/>
          <w:bCs/>
          <w:color w:val="2C523A"/>
          <w:sz w:val="24"/>
          <w:szCs w:val="24"/>
        </w:rPr>
        <w:t xml:space="preserve">1.09  Insurance and Risk Management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sound practice; OMH oversight</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protect recipients, staff, and the provider.</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maintains appropriate insurance and manages clinical and operational risk proactively.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Professional and general liability, workers' compensation, and other required coverage are maintained with proof on file.</w:t>
      </w:r>
    </w:p>
    <w:p>
      <w:pPr>
        <w:pStyle w:val="ListParagraph"/>
        <w:numPr>
          <w:ilvl w:val="0"/>
          <w:numId w:val="2"/>
        </w:numPr>
        <w:spacing w:after="70" w:line="274"/>
      </w:pPr>
      <w:r>
        <w:rPr>
          <w:rFonts w:ascii="Calibri" w:cs="Calibri" w:eastAsia="Calibri" w:hAnsi="Calibri"/>
          <w:color w:val="222222"/>
          <w:sz w:val="22"/>
          <w:szCs w:val="22"/>
        </w:rPr>
        <w:t xml:space="preserve">Clinical and operational risks are identified and reduced through policy, training, supervision, and monitoring.</w:t>
      </w:r>
    </w:p>
    <w:p>
      <w:pPr>
        <w:pStyle w:val="ListParagraph"/>
        <w:numPr>
          <w:ilvl w:val="0"/>
          <w:numId w:val="2"/>
        </w:numPr>
        <w:spacing w:after="70" w:line="274"/>
      </w:pPr>
      <w:r>
        <w:rPr>
          <w:rFonts w:ascii="Calibri" w:cs="Calibri" w:eastAsia="Calibri" w:hAnsi="Calibri"/>
          <w:color w:val="222222"/>
          <w:sz w:val="22"/>
          <w:szCs w:val="22"/>
        </w:rPr>
        <w:t xml:space="preserve">Incidents, grievances, and review findings feed risk management.</w:t>
      </w:r>
    </w:p>
    <w:p>
      <w:pPr>
        <w:pStyle w:val="ListParagraph"/>
        <w:numPr>
          <w:ilvl w:val="0"/>
          <w:numId w:val="2"/>
        </w:numPr>
        <w:spacing w:after="70" w:line="274"/>
      </w:pPr>
      <w:r>
        <w:rPr>
          <w:rFonts w:ascii="Calibri" w:cs="Calibri" w:eastAsia="Calibri" w:hAnsi="Calibri"/>
          <w:color w:val="222222"/>
          <w:sz w:val="22"/>
          <w:szCs w:val="22"/>
        </w:rPr>
        <w:t xml:space="preserve">Coverage and risks are reviewed periodically.</w:t>
      </w:r>
    </w:p>
    <w:p>
      <w:pPr>
        <w:pStyle w:val="Heading2"/>
        <w:spacing w:after="90" w:before="230"/>
      </w:pPr>
      <w:r>
        <w:rPr>
          <w:rFonts w:ascii="Calibri" w:cs="Calibri" w:eastAsia="Calibri" w:hAnsi="Calibri"/>
          <w:b/>
          <w:bCs/>
          <w:color w:val="2C523A"/>
          <w:sz w:val="24"/>
          <w:szCs w:val="24"/>
        </w:rPr>
        <w:t xml:space="preserve">1.10  After-Hours Access and Crisis Coverage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14 NYCRR 599; program standards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ensure recipients can reach help when the program is closed.</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maintains after-hours arrangements appropriate to its program so recipients can reach help in a crisis.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After-hours coverage appropriate to the program is maintained, including access to clinical guidance for crises.</w:t>
      </w:r>
    </w:p>
    <w:p>
      <w:pPr>
        <w:pStyle w:val="ListParagraph"/>
        <w:numPr>
          <w:ilvl w:val="0"/>
          <w:numId w:val="2"/>
        </w:numPr>
        <w:spacing w:after="70" w:line="274"/>
      </w:pPr>
      <w:r>
        <w:rPr>
          <w:rFonts w:ascii="Calibri" w:cs="Calibri" w:eastAsia="Calibri" w:hAnsi="Calibri"/>
          <w:color w:val="222222"/>
          <w:sz w:val="22"/>
          <w:szCs w:val="22"/>
        </w:rPr>
        <w:t xml:space="preserve">Recipients are told how to reach help after hours and in an emergency, including 988 and local crisis services.</w:t>
      </w:r>
    </w:p>
    <w:p>
      <w:pPr>
        <w:pStyle w:val="ListParagraph"/>
        <w:numPr>
          <w:ilvl w:val="0"/>
          <w:numId w:val="2"/>
        </w:numPr>
        <w:spacing w:after="70" w:line="274"/>
      </w:pPr>
      <w:r>
        <w:rPr>
          <w:rFonts w:ascii="Calibri" w:cs="Calibri" w:eastAsia="Calibri" w:hAnsi="Calibri"/>
          <w:color w:val="222222"/>
          <w:sz w:val="22"/>
          <w:szCs w:val="22"/>
        </w:rPr>
        <w:t xml:space="preserve">ACT and other programs with availability requirements meet them.</w:t>
      </w:r>
    </w:p>
    <w:p>
      <w:pPr>
        <w:pStyle w:val="ListParagraph"/>
        <w:numPr>
          <w:ilvl w:val="0"/>
          <w:numId w:val="2"/>
        </w:numPr>
        <w:spacing w:after="70" w:line="274"/>
      </w:pPr>
      <w:r>
        <w:rPr>
          <w:rFonts w:ascii="Calibri" w:cs="Calibri" w:eastAsia="Calibri" w:hAnsi="Calibri"/>
          <w:color w:val="222222"/>
          <w:sz w:val="22"/>
          <w:szCs w:val="22"/>
        </w:rPr>
        <w:t xml:space="preserve">After-hours contacts and responses are documented.</w:t>
      </w:r>
    </w:p>
    <w:p>
      <w:pPr>
        <w:pStyle w:val="Heading2"/>
        <w:spacing w:after="90" w:before="230"/>
      </w:pPr>
      <w:r>
        <w:rPr>
          <w:rFonts w:ascii="Calibri" w:cs="Calibri" w:eastAsia="Calibri" w:hAnsi="Calibri"/>
          <w:b/>
          <w:bCs/>
          <w:color w:val="2C523A"/>
          <w:sz w:val="24"/>
          <w:szCs w:val="24"/>
        </w:rPr>
        <w:t xml:space="preserve">1.11  Policy Governance and Version Control</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14 NYCRR 599.6</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keep staff working from current, approved policies.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controls its policies so staff always work from the current version approved by the governing authority.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Policies are approved by the governing authority, dated, and version-controlled.</w:t>
      </w:r>
    </w:p>
    <w:p>
      <w:pPr>
        <w:pStyle w:val="ListParagraph"/>
        <w:numPr>
          <w:ilvl w:val="0"/>
          <w:numId w:val="2"/>
        </w:numPr>
        <w:spacing w:after="70" w:line="274"/>
      </w:pPr>
      <w:r>
        <w:rPr>
          <w:rFonts w:ascii="Calibri" w:cs="Calibri" w:eastAsia="Calibri" w:hAnsi="Calibri"/>
          <w:color w:val="222222"/>
          <w:sz w:val="22"/>
          <w:szCs w:val="22"/>
        </w:rPr>
        <w:t xml:space="preserve">Superseded policies are archived, and staff are directed to the current version.</w:t>
      </w:r>
    </w:p>
    <w:p>
      <w:pPr>
        <w:pStyle w:val="ListParagraph"/>
        <w:numPr>
          <w:ilvl w:val="0"/>
          <w:numId w:val="2"/>
        </w:numPr>
        <w:spacing w:after="70" w:line="274"/>
      </w:pPr>
      <w:r>
        <w:rPr>
          <w:rFonts w:ascii="Calibri" w:cs="Calibri" w:eastAsia="Calibri" w:hAnsi="Calibri"/>
          <w:color w:val="222222"/>
          <w:sz w:val="22"/>
          <w:szCs w:val="22"/>
        </w:rPr>
        <w:t xml:space="preserve">Material changes are communicated and acknowledged where appropriate.</w:t>
      </w:r>
    </w:p>
    <w:p>
      <w:pPr>
        <w:pStyle w:val="ListParagraph"/>
        <w:numPr>
          <w:ilvl w:val="0"/>
          <w:numId w:val="2"/>
        </w:numPr>
        <w:spacing w:after="70" w:line="274"/>
      </w:pPr>
      <w:r>
        <w:rPr>
          <w:rFonts w:ascii="Calibri" w:cs="Calibri" w:eastAsia="Calibri" w:hAnsi="Calibri"/>
          <w:color w:val="222222"/>
          <w:sz w:val="22"/>
          <w:szCs w:val="22"/>
        </w:rPr>
        <w:t xml:space="preserve">The policy set is reviewed at least annually and on regulatory change.</w:t>
      </w:r>
    </w:p>
    <w:p>
      <w:pPr>
        <w:pStyle w:val="Heading2"/>
        <w:spacing w:after="90" w:before="230"/>
      </w:pPr>
      <w:r>
        <w:rPr>
          <w:rFonts w:ascii="Calibri" w:cs="Calibri" w:eastAsia="Calibri" w:hAnsi="Calibri"/>
          <w:b/>
          <w:bCs/>
          <w:color w:val="2C523A"/>
          <w:sz w:val="24"/>
          <w:szCs w:val="24"/>
        </w:rPr>
        <w:t xml:space="preserve">1.12  Electronic Systems and State Access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OMH systems requirements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maintain the electronic access OMH processes require.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maintains the state electronic-system access its program requires — including for incident reporting, data submission, and required applications — with accounts limited to authorized staff.</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Accounts for required state systems, including NIMRS, are maintained for the staff who need them, with access removed when roles change.</w:t>
      </w:r>
    </w:p>
    <w:p>
      <w:pPr>
        <w:pStyle w:val="ListParagraph"/>
        <w:numPr>
          <w:ilvl w:val="0"/>
          <w:numId w:val="2"/>
        </w:numPr>
        <w:spacing w:after="70" w:line="274"/>
      </w:pPr>
      <w:r>
        <w:rPr>
          <w:rFonts w:ascii="Calibri" w:cs="Calibri" w:eastAsia="Calibri" w:hAnsi="Calibri"/>
          <w:color w:val="222222"/>
          <w:sz w:val="22"/>
          <w:szCs w:val="22"/>
        </w:rPr>
        <w:t xml:space="preserve">Required applications, reports, and data are submitted through the required systems.</w:t>
      </w:r>
    </w:p>
    <w:p>
      <w:pPr>
        <w:pStyle w:val="ListParagraph"/>
        <w:numPr>
          <w:ilvl w:val="0"/>
          <w:numId w:val="2"/>
        </w:numPr>
        <w:spacing w:after="70" w:line="274"/>
      </w:pPr>
      <w:r>
        <w:rPr>
          <w:rFonts w:ascii="Calibri" w:cs="Calibri" w:eastAsia="Calibri" w:hAnsi="Calibri"/>
          <w:color w:val="222222"/>
          <w:sz w:val="22"/>
          <w:szCs w:val="22"/>
        </w:rPr>
        <w:t xml:space="preserve">Account security follows applicable requirements.</w:t>
      </w:r>
    </w:p>
    <w:p>
      <w:pPr>
        <w:pStyle w:val="ListParagraph"/>
        <w:numPr>
          <w:ilvl w:val="0"/>
          <w:numId w:val="2"/>
        </w:numPr>
        <w:spacing w:after="70" w:line="274"/>
      </w:pPr>
      <w:r>
        <w:rPr>
          <w:rFonts w:ascii="Calibri" w:cs="Calibri" w:eastAsia="Calibri" w:hAnsi="Calibri"/>
          <w:color w:val="222222"/>
          <w:sz w:val="22"/>
          <w:szCs w:val="22"/>
        </w:rPr>
        <w:t xml:space="preserve">Access is reviewed periodically.</w:t>
      </w:r>
    </w:p>
    <w:p>
      <w:pPr>
        <w:pStyle w:val="Heading2"/>
        <w:spacing w:after="90" w:before="230"/>
      </w:pPr>
      <w:r>
        <w:rPr>
          <w:rFonts w:ascii="Calibri" w:cs="Calibri" w:eastAsia="Calibri" w:hAnsi="Calibri"/>
          <w:b/>
          <w:bCs/>
          <w:color w:val="2C523A"/>
          <w:sz w:val="24"/>
          <w:szCs w:val="24"/>
        </w:rPr>
        <w:t xml:space="preserve">1.13  Community and Referral Relationships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sound practice; anti-kickback law</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maintain the community relationships a clinic depends on, lawfully.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maintains professional relationships with hospitals, crisis programs, schools, courts, and community organizations that refer and receive recipients, within referral-integrity law.</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Referral relationships are maintained with the hospitals, crisis programs, primary care, schools, and community organizations serving the provider's recipients.</w:t>
      </w:r>
    </w:p>
    <w:p>
      <w:pPr>
        <w:pStyle w:val="ListParagraph"/>
        <w:numPr>
          <w:ilvl w:val="0"/>
          <w:numId w:val="2"/>
        </w:numPr>
        <w:spacing w:after="70" w:line="274"/>
      </w:pPr>
      <w:r>
        <w:rPr>
          <w:rFonts w:ascii="Calibri" w:cs="Calibri" w:eastAsia="Calibri" w:hAnsi="Calibri"/>
          <w:color w:val="222222"/>
          <w:sz w:val="22"/>
          <w:szCs w:val="22"/>
        </w:rPr>
        <w:t xml:space="preserve">Relationships preserve recipient choice and comply with anti-kickback and referral law.</w:t>
      </w:r>
    </w:p>
    <w:p>
      <w:pPr>
        <w:pStyle w:val="ListParagraph"/>
        <w:numPr>
          <w:ilvl w:val="0"/>
          <w:numId w:val="2"/>
        </w:numPr>
        <w:spacing w:after="70" w:line="274"/>
      </w:pPr>
      <w:r>
        <w:rPr>
          <w:rFonts w:ascii="Calibri" w:cs="Calibri" w:eastAsia="Calibri" w:hAnsi="Calibri"/>
          <w:color w:val="222222"/>
          <w:sz w:val="22"/>
          <w:szCs w:val="22"/>
        </w:rPr>
        <w:t xml:space="preserve">Referral and transition processes are documented.</w:t>
      </w:r>
    </w:p>
    <w:p>
      <w:pPr>
        <w:pStyle w:val="ListParagraph"/>
        <w:numPr>
          <w:ilvl w:val="0"/>
          <w:numId w:val="2"/>
        </w:numPr>
        <w:spacing w:after="70" w:line="274"/>
      </w:pPr>
      <w:r>
        <w:rPr>
          <w:rFonts w:ascii="Calibri" w:cs="Calibri" w:eastAsia="Calibri" w:hAnsi="Calibri"/>
          <w:color w:val="222222"/>
          <w:sz w:val="22"/>
          <w:szCs w:val="22"/>
        </w:rPr>
        <w:t xml:space="preserve">Community concerns are handled professionally and consistent with confidentiality.</w:t>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2 — Recipient Rights &amp; Confidentiality</w:t>
      </w:r>
    </w:p>
    <w:p>
      <w:pPr>
        <w:spacing w:after="140" w:before="0" w:line="278"/>
      </w:pPr>
      <w:r>
        <w:rPr>
          <w:rFonts w:ascii="Calibri" w:cs="Calibri" w:eastAsia="Calibri" w:hAnsi="Calibri"/>
          <w:b w:val="false"/>
          <w:bCs w:val="false"/>
          <w:i w:val="false"/>
          <w:iCs w:val="false"/>
          <w:color w:val="222222"/>
          <w:sz w:val="22"/>
          <w:szCs w:val="22"/>
        </w:rPr>
        <w:t xml:space="preserve">This section protects the rights of the recipients served and the confidentiality of their records. Part 599.7 sets the rights of recipients in MHOTRS programs, and the Mental Hygiene Law's confidentiality provisions at § 33.13 govern clinical records alongside HIPAA — with 42 CFR Part 2 layered on where the provider holds substance use records for recipients with co-occurring needs. Because OMH-licensed programs sit within the Justice Center's jurisdiction, freedom from abuse and neglect carries New York's full reporting regime, covered here and in Section 7.</w:t>
      </w:r>
    </w:p>
    <w:p>
      <w:pPr>
        <w:pStyle w:val="Heading2"/>
        <w:spacing w:after="90" w:before="230"/>
      </w:pPr>
      <w:r>
        <w:rPr>
          <w:rFonts w:ascii="Calibri" w:cs="Calibri" w:eastAsia="Calibri" w:hAnsi="Calibri"/>
          <w:b/>
          <w:bCs/>
          <w:color w:val="2C523A"/>
          <w:sz w:val="24"/>
          <w:szCs w:val="24"/>
        </w:rPr>
        <w:t xml:space="preserve">2.01  Rights of Recipients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14 NYCRR 599.7; MHL Article 33</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afford each recipient the rights the regulations establish.</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protects the rights of each recipient — dignity, privacy, informed consent, participation in treatment, freedom from abuse and neglect, and the right to raise grievances — and informs each recipient of those rights.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Each recipient (and, where applicable, a parent, guardian, or legally authorized representative) is informed of their rights at admission, in a manner they can understand, and the notification is documented.</w:t>
      </w:r>
    </w:p>
    <w:p>
      <w:pPr>
        <w:pStyle w:val="ListParagraph"/>
        <w:numPr>
          <w:ilvl w:val="0"/>
          <w:numId w:val="2"/>
        </w:numPr>
        <w:spacing w:after="70" w:line="274"/>
      </w:pPr>
      <w:r>
        <w:rPr>
          <w:rFonts w:ascii="Calibri" w:cs="Calibri" w:eastAsia="Calibri" w:hAnsi="Calibri"/>
          <w:color w:val="222222"/>
          <w:sz w:val="22"/>
          <w:szCs w:val="22"/>
        </w:rPr>
        <w:t xml:space="preserve">Recipients are treated with dignity and respect, participate in their own treatment, and may consent to or refuse services consistent with law.</w:t>
      </w:r>
    </w:p>
    <w:p>
      <w:pPr>
        <w:pStyle w:val="ListParagraph"/>
        <w:numPr>
          <w:ilvl w:val="0"/>
          <w:numId w:val="2"/>
        </w:numPr>
        <w:spacing w:after="70" w:line="274"/>
      </w:pPr>
      <w:r>
        <w:rPr>
          <w:rFonts w:ascii="Calibri" w:cs="Calibri" w:eastAsia="Calibri" w:hAnsi="Calibri"/>
          <w:color w:val="222222"/>
          <w:sz w:val="22"/>
          <w:szCs w:val="22"/>
        </w:rPr>
        <w:t xml:space="preserve">Recipients are free from abuse, neglect, exploitation, and mistreatment, and from any punitive use of treatment.</w:t>
      </w:r>
    </w:p>
    <w:p>
      <w:pPr>
        <w:pStyle w:val="ListParagraph"/>
        <w:numPr>
          <w:ilvl w:val="0"/>
          <w:numId w:val="2"/>
        </w:numPr>
        <w:spacing w:after="70" w:line="274"/>
      </w:pPr>
      <w:r>
        <w:rPr>
          <w:rFonts w:ascii="Calibri" w:cs="Calibri" w:eastAsia="Calibri" w:hAnsi="Calibri"/>
          <w:color w:val="222222"/>
          <w:sz w:val="22"/>
          <w:szCs w:val="22"/>
        </w:rPr>
        <w:t xml:space="preserve">Recipients may raise grievances without reprisal and are told how, including how to contact OMH and the Justice Center.</w:t>
      </w:r>
    </w:p>
    <w:p>
      <w:pPr>
        <w:pStyle w:val="ListParagraph"/>
        <w:numPr>
          <w:ilvl w:val="0"/>
          <w:numId w:val="2"/>
        </w:numPr>
        <w:spacing w:after="70" w:line="274"/>
      </w:pPr>
      <w:r>
        <w:rPr>
          <w:rFonts w:ascii="Calibri" w:cs="Calibri" w:eastAsia="Calibri" w:hAnsi="Calibri"/>
          <w:color w:val="222222"/>
          <w:sz w:val="22"/>
          <w:szCs w:val="22"/>
        </w:rPr>
        <w:t xml:space="preserve">Rights are honored consistently across on-site and off-site services.</w:t>
      </w:r>
    </w:p>
    <w:p>
      <w:pPr>
        <w:pStyle w:val="Heading2"/>
        <w:spacing w:after="90" w:before="230"/>
      </w:pPr>
      <w:r>
        <w:rPr>
          <w:rFonts w:ascii="Calibri" w:cs="Calibri" w:eastAsia="Calibri" w:hAnsi="Calibri"/>
          <w:b/>
          <w:bCs/>
          <w:color w:val="2C523A"/>
          <w:sz w:val="24"/>
          <w:szCs w:val="24"/>
        </w:rPr>
        <w:t xml:space="preserve">2.02  Confidentiality of Clinical Records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MHL § 33.13; HIPAA; 42 CFR Part 2 (co-occurring)</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protect recipient information and disclose it only as law permits.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protects the confidentiality of clinical records under Mental Hygiene Law § 33.13 and HIPAA, applies 42 CFR Part 2 to any substance use records it holds, and discloses information only as law permits.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Clinical records are confidential under MHL § 33.13 and HIPAA, and staff are trained on these requirements.</w:t>
      </w:r>
    </w:p>
    <w:p>
      <w:pPr>
        <w:pStyle w:val="ListParagraph"/>
        <w:numPr>
          <w:ilvl w:val="0"/>
          <w:numId w:val="2"/>
        </w:numPr>
        <w:spacing w:after="70" w:line="274"/>
      </w:pPr>
      <w:r>
        <w:rPr>
          <w:rFonts w:ascii="Calibri" w:cs="Calibri" w:eastAsia="Calibri" w:hAnsi="Calibri"/>
          <w:color w:val="222222"/>
          <w:sz w:val="22"/>
          <w:szCs w:val="22"/>
        </w:rPr>
        <w:t xml:space="preserve">Disclosures are made only with valid authorization or under a permitted exception, are limited to the minimum necessary, and are documented.</w:t>
      </w:r>
    </w:p>
    <w:p>
      <w:pPr>
        <w:pStyle w:val="ListParagraph"/>
        <w:numPr>
          <w:ilvl w:val="0"/>
          <w:numId w:val="2"/>
        </w:numPr>
        <w:spacing w:after="70" w:line="274"/>
      </w:pPr>
      <w:r>
        <w:rPr>
          <w:rFonts w:ascii="Calibri" w:cs="Calibri" w:eastAsia="Calibri" w:hAnsi="Calibri"/>
          <w:color w:val="222222"/>
          <w:sz w:val="22"/>
          <w:szCs w:val="22"/>
        </w:rPr>
        <w:t xml:space="preserve">Where the provider holds substance use disorder records for recipients with co-occurring needs, the more restrictive 42 CFR Part 2 requirements are applied.</w:t>
      </w:r>
    </w:p>
    <w:p>
      <w:pPr>
        <w:pStyle w:val="ListParagraph"/>
        <w:numPr>
          <w:ilvl w:val="0"/>
          <w:numId w:val="2"/>
        </w:numPr>
        <w:spacing w:after="70" w:line="274"/>
      </w:pPr>
      <w:r>
        <w:rPr>
          <w:rFonts w:ascii="Calibri" w:cs="Calibri" w:eastAsia="Calibri" w:hAnsi="Calibri"/>
          <w:color w:val="222222"/>
          <w:sz w:val="22"/>
          <w:szCs w:val="22"/>
        </w:rPr>
        <w:t xml:space="preserve">Records are stored securely, access is limited to authorized staff, and suspected breaches are handled as law requires.</w:t>
      </w:r>
    </w:p>
    <w:p>
      <w:pPr>
        <w:pStyle w:val="ListParagraph"/>
        <w:numPr>
          <w:ilvl w:val="0"/>
          <w:numId w:val="2"/>
        </w:numPr>
        <w:spacing w:after="70" w:line="274"/>
      </w:pPr>
      <w:r>
        <w:rPr>
          <w:rFonts w:ascii="Calibri" w:cs="Calibri" w:eastAsia="Calibri" w:hAnsi="Calibri"/>
          <w:color w:val="222222"/>
          <w:sz w:val="22"/>
          <w:szCs w:val="22"/>
        </w:rPr>
        <w:t xml:space="preserve">Duties to warn or protect and other legally required disclosures are handled consistent with law.</w:t>
      </w:r>
    </w:p>
    <w:p>
      <w:pPr>
        <w:pStyle w:val="Heading2"/>
        <w:spacing w:after="90" w:before="230"/>
      </w:pPr>
      <w:r>
        <w:rPr>
          <w:rFonts w:ascii="Calibri" w:cs="Calibri" w:eastAsia="Calibri" w:hAnsi="Calibri"/>
          <w:b/>
          <w:bCs/>
          <w:color w:val="2C523A"/>
          <w:sz w:val="24"/>
          <w:szCs w:val="24"/>
        </w:rPr>
        <w:t xml:space="preserve">2.03  Informed Consent and Participation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14 NYCRR 599.7, 599.10</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ensure treatment proceeds with informed consent and real participation.</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obtains informed consent for treatment and supports each recipient's participation in their own care and treatment planning, honoring the right to refuse consistent with law.</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recipient (or, for a minor, the parent or guardian as law provides) gives informed consent to treatment, and consent is documented.</w:t>
      </w:r>
    </w:p>
    <w:p>
      <w:pPr>
        <w:pStyle w:val="ListParagraph"/>
        <w:numPr>
          <w:ilvl w:val="0"/>
          <w:numId w:val="2"/>
        </w:numPr>
        <w:spacing w:after="70" w:line="274"/>
      </w:pPr>
      <w:r>
        <w:rPr>
          <w:rFonts w:ascii="Calibri" w:cs="Calibri" w:eastAsia="Calibri" w:hAnsi="Calibri"/>
          <w:color w:val="222222"/>
          <w:sz w:val="22"/>
          <w:szCs w:val="22"/>
        </w:rPr>
        <w:t xml:space="preserve">The recipient participates in developing and reviewing their treatment plan and in decisions about their care.</w:t>
      </w:r>
    </w:p>
    <w:p>
      <w:pPr>
        <w:pStyle w:val="ListParagraph"/>
        <w:numPr>
          <w:ilvl w:val="0"/>
          <w:numId w:val="2"/>
        </w:numPr>
        <w:spacing w:after="70" w:line="274"/>
      </w:pPr>
      <w:r>
        <w:rPr>
          <w:rFonts w:ascii="Calibri" w:cs="Calibri" w:eastAsia="Calibri" w:hAnsi="Calibri"/>
          <w:color w:val="222222"/>
          <w:sz w:val="22"/>
          <w:szCs w:val="22"/>
        </w:rPr>
        <w:t xml:space="preserve">Refusals are honored consistent with law, documented, and addressed clinically.</w:t>
      </w:r>
    </w:p>
    <w:p>
      <w:pPr>
        <w:pStyle w:val="ListParagraph"/>
        <w:numPr>
          <w:ilvl w:val="0"/>
          <w:numId w:val="2"/>
        </w:numPr>
        <w:spacing w:after="70" w:line="274"/>
      </w:pPr>
      <w:r>
        <w:rPr>
          <w:rFonts w:ascii="Calibri" w:cs="Calibri" w:eastAsia="Calibri" w:hAnsi="Calibri"/>
          <w:color w:val="222222"/>
          <w:sz w:val="22"/>
          <w:szCs w:val="22"/>
        </w:rPr>
        <w:t xml:space="preserve">Consent for specific interventions, medications, telehealth, and disclosures is obtained as required.</w:t>
      </w:r>
    </w:p>
    <w:p>
      <w:pPr>
        <w:pStyle w:val="Heading2"/>
        <w:spacing w:after="90" w:before="230"/>
      </w:pPr>
      <w:r>
        <w:rPr>
          <w:rFonts w:ascii="Calibri" w:cs="Calibri" w:eastAsia="Calibri" w:hAnsi="Calibri"/>
          <w:b/>
          <w:bCs/>
          <w:color w:val="2C523A"/>
          <w:sz w:val="24"/>
          <w:szCs w:val="24"/>
        </w:rPr>
        <w:t xml:space="preserve">2.04  Grievances and Complaints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14 NYCRR 599.7; OMH complaint process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give recipients an effective, retaliation-free way to raise concerns.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maintains a grievance process, responds promptly and without reprisal, and informs recipients how to reach outside authorities including OMH.</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 grievance procedure is provided to each recipient at admission and on request.</w:t>
      </w:r>
    </w:p>
    <w:p>
      <w:pPr>
        <w:pStyle w:val="ListParagraph"/>
        <w:numPr>
          <w:ilvl w:val="0"/>
          <w:numId w:val="2"/>
        </w:numPr>
        <w:spacing w:after="70" w:line="274"/>
      </w:pPr>
      <w:r>
        <w:rPr>
          <w:rFonts w:ascii="Calibri" w:cs="Calibri" w:eastAsia="Calibri" w:hAnsi="Calibri"/>
          <w:color w:val="222222"/>
          <w:sz w:val="22"/>
          <w:szCs w:val="22"/>
        </w:rPr>
        <w:t xml:space="preserve">Grievances are documented, investigated, resolved where possible, and the outcome communicated, without reprisal.</w:t>
      </w:r>
    </w:p>
    <w:p>
      <w:pPr>
        <w:pStyle w:val="ListParagraph"/>
        <w:numPr>
          <w:ilvl w:val="0"/>
          <w:numId w:val="2"/>
        </w:numPr>
        <w:spacing w:after="70" w:line="274"/>
      </w:pPr>
      <w:r>
        <w:rPr>
          <w:rFonts w:ascii="Calibri" w:cs="Calibri" w:eastAsia="Calibri" w:hAnsi="Calibri"/>
          <w:color w:val="222222"/>
          <w:sz w:val="22"/>
          <w:szCs w:val="22"/>
        </w:rPr>
        <w:t xml:space="preserve">Recipients are told how to contact OMH and, for abuse or neglect concerns, the Justice Center.</w:t>
      </w:r>
    </w:p>
    <w:p>
      <w:pPr>
        <w:pStyle w:val="ListParagraph"/>
        <w:numPr>
          <w:ilvl w:val="0"/>
          <w:numId w:val="2"/>
        </w:numPr>
        <w:spacing w:after="70" w:line="274"/>
      </w:pPr>
      <w:r>
        <w:rPr>
          <w:rFonts w:ascii="Calibri" w:cs="Calibri" w:eastAsia="Calibri" w:hAnsi="Calibri"/>
          <w:color w:val="222222"/>
          <w:sz w:val="22"/>
          <w:szCs w:val="22"/>
        </w:rPr>
        <w:t xml:space="preserve">Grievances and their resolution are reviewed as part of quality management.</w:t>
      </w:r>
    </w:p>
    <w:p>
      <w:pPr>
        <w:pStyle w:val="Heading2"/>
        <w:spacing w:after="90" w:before="230"/>
      </w:pPr>
      <w:r>
        <w:rPr>
          <w:rFonts w:ascii="Calibri" w:cs="Calibri" w:eastAsia="Calibri" w:hAnsi="Calibri"/>
          <w:b/>
          <w:bCs/>
          <w:color w:val="2C523A"/>
          <w:sz w:val="24"/>
          <w:szCs w:val="24"/>
        </w:rPr>
        <w:t xml:space="preserve">2.05  Authorization for Disclosure and Legal Demands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MHL § 33.13; HIPAA; 42 CFR Part 2 (co-occurring)</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disclose information only with valid authorization or as law permits.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uses valid authorizations for disclosure, applies Part 2 where co-occurring substance use records are involved, and responds to subpoenas and court orders only as law permits.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Authorizations identify the recipient, recipient of the information, the information, purpose, and expiration, and are signed and dated.</w:t>
      </w:r>
    </w:p>
    <w:p>
      <w:pPr>
        <w:pStyle w:val="ListParagraph"/>
        <w:numPr>
          <w:ilvl w:val="0"/>
          <w:numId w:val="2"/>
        </w:numPr>
        <w:spacing w:after="70" w:line="274"/>
      </w:pPr>
      <w:r>
        <w:rPr>
          <w:rFonts w:ascii="Calibri" w:cs="Calibri" w:eastAsia="Calibri" w:hAnsi="Calibri"/>
          <w:color w:val="222222"/>
          <w:sz w:val="22"/>
          <w:szCs w:val="22"/>
        </w:rPr>
        <w:t xml:space="preserve">Disclosures without authorization are made only under exceptions the law permits, limited to the minimum necessary.</w:t>
      </w:r>
    </w:p>
    <w:p>
      <w:pPr>
        <w:pStyle w:val="ListParagraph"/>
        <w:numPr>
          <w:ilvl w:val="0"/>
          <w:numId w:val="2"/>
        </w:numPr>
        <w:spacing w:after="70" w:line="274"/>
      </w:pPr>
      <w:r>
        <w:rPr>
          <w:rFonts w:ascii="Calibri" w:cs="Calibri" w:eastAsia="Calibri" w:hAnsi="Calibri"/>
          <w:color w:val="222222"/>
          <w:sz w:val="22"/>
          <w:szCs w:val="22"/>
        </w:rPr>
        <w:t xml:space="preserve">For co-occurring substance use records, a subpoena alone does not authorize disclosure; Part 2 standards are applied.</w:t>
      </w:r>
    </w:p>
    <w:p>
      <w:pPr>
        <w:pStyle w:val="ListParagraph"/>
        <w:numPr>
          <w:ilvl w:val="0"/>
          <w:numId w:val="2"/>
        </w:numPr>
        <w:spacing w:after="70" w:line="274"/>
      </w:pPr>
      <w:r>
        <w:rPr>
          <w:rFonts w:ascii="Calibri" w:cs="Calibri" w:eastAsia="Calibri" w:hAnsi="Calibri"/>
          <w:color w:val="222222"/>
          <w:sz w:val="22"/>
          <w:szCs w:val="22"/>
        </w:rPr>
        <w:t xml:space="preserve">The provider consults appropriately before responding to legal demands, and disclosures are documented.</w:t>
      </w:r>
    </w:p>
    <w:p>
      <w:pPr>
        <w:pStyle w:val="Heading2"/>
        <w:spacing w:after="90" w:before="230"/>
      </w:pPr>
      <w:r>
        <w:rPr>
          <w:rFonts w:ascii="Calibri" w:cs="Calibri" w:eastAsia="Calibri" w:hAnsi="Calibri"/>
          <w:b/>
          <w:bCs/>
          <w:color w:val="2C523A"/>
          <w:sz w:val="24"/>
          <w:szCs w:val="24"/>
        </w:rPr>
        <w:t xml:space="preserve">2.06  Duty to Warn or Protect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applicable NY law; clinical standards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handle threats of harm consistent with law.</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recognizes and handles any duty to warn or protect consistent with New York law, balancing safety and confidentiality.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Staff recognize when a recipient presents a serious threat of harm to self or others.</w:t>
      </w:r>
    </w:p>
    <w:p>
      <w:pPr>
        <w:pStyle w:val="ListParagraph"/>
        <w:numPr>
          <w:ilvl w:val="0"/>
          <w:numId w:val="2"/>
        </w:numPr>
        <w:spacing w:after="70" w:line="274"/>
      </w:pPr>
      <w:r>
        <w:rPr>
          <w:rFonts w:ascii="Calibri" w:cs="Calibri" w:eastAsia="Calibri" w:hAnsi="Calibri"/>
          <w:color w:val="222222"/>
          <w:sz w:val="22"/>
          <w:szCs w:val="22"/>
        </w:rPr>
        <w:t xml:space="preserve">Reasonable protective steps consistent with law are taken, which may include notification permitted or required by law.</w:t>
      </w:r>
    </w:p>
    <w:p>
      <w:pPr>
        <w:pStyle w:val="ListParagraph"/>
        <w:numPr>
          <w:ilvl w:val="0"/>
          <w:numId w:val="2"/>
        </w:numPr>
        <w:spacing w:after="70" w:line="274"/>
      </w:pPr>
      <w:r>
        <w:rPr>
          <w:rFonts w:ascii="Calibri" w:cs="Calibri" w:eastAsia="Calibri" w:hAnsi="Calibri"/>
          <w:color w:val="222222"/>
          <w:sz w:val="22"/>
          <w:szCs w:val="22"/>
        </w:rPr>
        <w:t xml:space="preserve">Disclosures for safety are limited to what is necessary and documented.</w:t>
      </w:r>
    </w:p>
    <w:p>
      <w:pPr>
        <w:pStyle w:val="ListParagraph"/>
        <w:numPr>
          <w:ilvl w:val="0"/>
          <w:numId w:val="2"/>
        </w:numPr>
        <w:spacing w:after="70" w:line="274"/>
      </w:pPr>
      <w:r>
        <w:rPr>
          <w:rFonts w:ascii="Calibri" w:cs="Calibri" w:eastAsia="Calibri" w:hAnsi="Calibri"/>
          <w:color w:val="222222"/>
          <w:sz w:val="22"/>
          <w:szCs w:val="22"/>
        </w:rPr>
        <w:t xml:space="preserve">Staff are trained on these obligations.</w:t>
      </w:r>
    </w:p>
    <w:p>
      <w:pPr>
        <w:pStyle w:val="Heading2"/>
        <w:spacing w:after="90" w:before="230"/>
      </w:pPr>
      <w:r>
        <w:rPr>
          <w:rFonts w:ascii="Calibri" w:cs="Calibri" w:eastAsia="Calibri" w:hAnsi="Calibri"/>
          <w:b/>
          <w:bCs/>
          <w:color w:val="2C523A"/>
          <w:sz w:val="24"/>
          <w:szCs w:val="24"/>
        </w:rPr>
        <w:t xml:space="preserve">2.07  Language Access and Disability Accommodation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federal civil-rights law; 14 NYCRR 599.7</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make services accessible and non-discriminatory.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serves recipients without unlawful discrimination and provides language access and reasonable accommodations.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Services and rights information are provided in a manner the recipient can understand, with interpretation and translation as needed.</w:t>
      </w:r>
    </w:p>
    <w:p>
      <w:pPr>
        <w:pStyle w:val="ListParagraph"/>
        <w:numPr>
          <w:ilvl w:val="0"/>
          <w:numId w:val="2"/>
        </w:numPr>
        <w:spacing w:after="70" w:line="274"/>
      </w:pPr>
      <w:r>
        <w:rPr>
          <w:rFonts w:ascii="Calibri" w:cs="Calibri" w:eastAsia="Calibri" w:hAnsi="Calibri"/>
          <w:color w:val="222222"/>
          <w:sz w:val="22"/>
          <w:szCs w:val="22"/>
        </w:rPr>
        <w:t xml:space="preserve">Reasonable accommodations and effective communication are provided for recipients with disabilities.</w:t>
      </w:r>
    </w:p>
    <w:p>
      <w:pPr>
        <w:pStyle w:val="ListParagraph"/>
        <w:numPr>
          <w:ilvl w:val="0"/>
          <w:numId w:val="2"/>
        </w:numPr>
        <w:spacing w:after="70" w:line="274"/>
      </w:pPr>
      <w:r>
        <w:rPr>
          <w:rFonts w:ascii="Calibri" w:cs="Calibri" w:eastAsia="Calibri" w:hAnsi="Calibri"/>
          <w:color w:val="222222"/>
          <w:sz w:val="22"/>
          <w:szCs w:val="22"/>
        </w:rPr>
        <w:t xml:space="preserve">Care is culturally responsive.</w:t>
      </w:r>
    </w:p>
    <w:p>
      <w:pPr>
        <w:pStyle w:val="ListParagraph"/>
        <w:numPr>
          <w:ilvl w:val="0"/>
          <w:numId w:val="2"/>
        </w:numPr>
        <w:spacing w:after="70" w:line="274"/>
      </w:pPr>
      <w:r>
        <w:rPr>
          <w:rFonts w:ascii="Calibri" w:cs="Calibri" w:eastAsia="Calibri" w:hAnsi="Calibri"/>
          <w:color w:val="222222"/>
          <w:sz w:val="22"/>
          <w:szCs w:val="22"/>
        </w:rPr>
        <w:t xml:space="preserve">Discrimination complaints are documented and addressed.</w:t>
      </w:r>
    </w:p>
    <w:p>
      <w:pPr>
        <w:pStyle w:val="Heading2"/>
        <w:spacing w:after="90" w:before="230"/>
      </w:pPr>
      <w:r>
        <w:rPr>
          <w:rFonts w:ascii="Calibri" w:cs="Calibri" w:eastAsia="Calibri" w:hAnsi="Calibri"/>
          <w:b/>
          <w:bCs/>
          <w:color w:val="2C523A"/>
          <w:sz w:val="24"/>
          <w:szCs w:val="24"/>
        </w:rPr>
        <w:t xml:space="preserve">2.08  Minors, Consent and Family Involvement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MHL; applicable NY consent law</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handle consent for minors and family involvement correctly.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handles consent for minors consistent with New York law, involves parents, guardians, and families appropriately, and honors confidentiality.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New York rules on consent for minors and the role of parents and guardians are applied and documented.</w:t>
      </w:r>
    </w:p>
    <w:p>
      <w:pPr>
        <w:pStyle w:val="ListParagraph"/>
        <w:numPr>
          <w:ilvl w:val="0"/>
          <w:numId w:val="2"/>
        </w:numPr>
        <w:spacing w:after="70" w:line="274"/>
      </w:pPr>
      <w:r>
        <w:rPr>
          <w:rFonts w:ascii="Calibri" w:cs="Calibri" w:eastAsia="Calibri" w:hAnsi="Calibri"/>
          <w:color w:val="222222"/>
          <w:sz w:val="22"/>
          <w:szCs w:val="22"/>
        </w:rPr>
        <w:t xml:space="preserve">Family involvement occurs with appropriate consent and supports the recipient's treatment.</w:t>
      </w:r>
    </w:p>
    <w:p>
      <w:pPr>
        <w:pStyle w:val="ListParagraph"/>
        <w:numPr>
          <w:ilvl w:val="0"/>
          <w:numId w:val="2"/>
        </w:numPr>
        <w:spacing w:after="70" w:line="274"/>
      </w:pPr>
      <w:r>
        <w:rPr>
          <w:rFonts w:ascii="Calibri" w:cs="Calibri" w:eastAsia="Calibri" w:hAnsi="Calibri"/>
          <w:color w:val="222222"/>
          <w:sz w:val="22"/>
          <w:szCs w:val="22"/>
        </w:rPr>
        <w:t xml:space="preserve">Confidentiality for minors is handled consistent with law.</w:t>
      </w:r>
    </w:p>
    <w:p>
      <w:pPr>
        <w:pStyle w:val="ListParagraph"/>
        <w:numPr>
          <w:ilvl w:val="0"/>
          <w:numId w:val="2"/>
        </w:numPr>
        <w:spacing w:after="70" w:line="274"/>
      </w:pPr>
      <w:r>
        <w:rPr>
          <w:rFonts w:ascii="Calibri" w:cs="Calibri" w:eastAsia="Calibri" w:hAnsi="Calibri"/>
          <w:color w:val="222222"/>
          <w:sz w:val="22"/>
          <w:szCs w:val="22"/>
        </w:rPr>
        <w:t xml:space="preserve">Staff are trained on these rules for the populations served.</w:t>
      </w:r>
    </w:p>
    <w:p>
      <w:pPr>
        <w:pStyle w:val="Heading2"/>
        <w:spacing w:after="90" w:before="230"/>
      </w:pPr>
      <w:r>
        <w:rPr>
          <w:rFonts w:ascii="Calibri" w:cs="Calibri" w:eastAsia="Calibri" w:hAnsi="Calibri"/>
          <w:b/>
          <w:bCs/>
          <w:color w:val="2C523A"/>
          <w:sz w:val="24"/>
          <w:szCs w:val="24"/>
        </w:rPr>
        <w:t xml:space="preserve">2.09  Recipient Access to Records and Non-Retaliation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MHL § 33.16; HIPAA; 14 NYCRR 599.7</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honor record-access rights and protect those who raise concerns.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honors recipient requests to access their records consistent with MHL § 33.16 and HIPAA, and prohibits retaliation against any recipient or staff member who raises a concern in good faith.</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Access requests are handled within the timeframes and limits of MHL § 33.16 and HIPAA, and documented.</w:t>
      </w:r>
    </w:p>
    <w:p>
      <w:pPr>
        <w:pStyle w:val="ListParagraph"/>
        <w:numPr>
          <w:ilvl w:val="0"/>
          <w:numId w:val="2"/>
        </w:numPr>
        <w:spacing w:after="70" w:line="274"/>
      </w:pPr>
      <w:r>
        <w:rPr>
          <w:rFonts w:ascii="Calibri" w:cs="Calibri" w:eastAsia="Calibri" w:hAnsi="Calibri"/>
          <w:color w:val="222222"/>
          <w:sz w:val="22"/>
          <w:szCs w:val="22"/>
        </w:rPr>
        <w:t xml:space="preserve">Recipients are told how to request access and corrections.</w:t>
      </w:r>
    </w:p>
    <w:p>
      <w:pPr>
        <w:pStyle w:val="ListParagraph"/>
        <w:numPr>
          <w:ilvl w:val="0"/>
          <w:numId w:val="2"/>
        </w:numPr>
        <w:spacing w:after="70" w:line="274"/>
      </w:pPr>
      <w:r>
        <w:rPr>
          <w:rFonts w:ascii="Calibri" w:cs="Calibri" w:eastAsia="Calibri" w:hAnsi="Calibri"/>
          <w:color w:val="222222"/>
          <w:sz w:val="22"/>
          <w:szCs w:val="22"/>
        </w:rPr>
        <w:t xml:space="preserve">No recipient is penalized for asserting rights or contacting OMH or the Justice Center; no staff member is retaliated against for good-faith reporting.</w:t>
      </w:r>
    </w:p>
    <w:p>
      <w:pPr>
        <w:pStyle w:val="ListParagraph"/>
        <w:numPr>
          <w:ilvl w:val="0"/>
          <w:numId w:val="2"/>
        </w:numPr>
        <w:spacing w:after="70" w:line="274"/>
      </w:pPr>
      <w:r>
        <w:rPr>
          <w:rFonts w:ascii="Calibri" w:cs="Calibri" w:eastAsia="Calibri" w:hAnsi="Calibri"/>
          <w:color w:val="222222"/>
          <w:sz w:val="22"/>
          <w:szCs w:val="22"/>
        </w:rPr>
        <w:t xml:space="preserve">Reports of retaliation are investigated and addressed.</w:t>
      </w:r>
    </w:p>
    <w:p>
      <w:pPr>
        <w:pStyle w:val="Heading2"/>
        <w:spacing w:after="90" w:before="230"/>
      </w:pPr>
      <w:r>
        <w:rPr>
          <w:rFonts w:ascii="Calibri" w:cs="Calibri" w:eastAsia="Calibri" w:hAnsi="Calibri"/>
          <w:b/>
          <w:bCs/>
          <w:color w:val="2C523A"/>
          <w:sz w:val="24"/>
          <w:szCs w:val="24"/>
        </w:rPr>
        <w:t xml:space="preserve">2.10  Recipient Orientation and Program Expectations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14 NYCRR 599.7; program policy</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orient recipients to the program and its expectations.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Each recipient receives an orientation to the program — services, schedules, expectations, rights, grievance process, and emergency and after-hours access — in a manner they can understand.</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Orientation covers services, schedules, program expectations, rights, the grievance process, and how to reach help after hours and in an emergency.</w:t>
      </w:r>
    </w:p>
    <w:p>
      <w:pPr>
        <w:pStyle w:val="ListParagraph"/>
        <w:numPr>
          <w:ilvl w:val="0"/>
          <w:numId w:val="2"/>
        </w:numPr>
        <w:spacing w:after="70" w:line="274"/>
      </w:pPr>
      <w:r>
        <w:rPr>
          <w:rFonts w:ascii="Calibri" w:cs="Calibri" w:eastAsia="Calibri" w:hAnsi="Calibri"/>
          <w:color w:val="222222"/>
          <w:sz w:val="22"/>
          <w:szCs w:val="22"/>
        </w:rPr>
        <w:t xml:space="preserve">Program expectations are reasonable, rights-respecting, and applied consistently.</w:t>
      </w:r>
    </w:p>
    <w:p>
      <w:pPr>
        <w:pStyle w:val="ListParagraph"/>
        <w:numPr>
          <w:ilvl w:val="0"/>
          <w:numId w:val="2"/>
        </w:numPr>
        <w:spacing w:after="70" w:line="274"/>
      </w:pPr>
      <w:r>
        <w:rPr>
          <w:rFonts w:ascii="Calibri" w:cs="Calibri" w:eastAsia="Calibri" w:hAnsi="Calibri"/>
          <w:color w:val="222222"/>
          <w:sz w:val="22"/>
          <w:szCs w:val="22"/>
        </w:rPr>
        <w:t xml:space="preserve">Orientation is provided in the recipient's preferred language where practicable, with interpretation as needed.</w:t>
      </w:r>
    </w:p>
    <w:p>
      <w:pPr>
        <w:pStyle w:val="ListParagraph"/>
        <w:numPr>
          <w:ilvl w:val="0"/>
          <w:numId w:val="2"/>
        </w:numPr>
        <w:spacing w:after="70" w:line="274"/>
      </w:pPr>
      <w:r>
        <w:rPr>
          <w:rFonts w:ascii="Calibri" w:cs="Calibri" w:eastAsia="Calibri" w:hAnsi="Calibri"/>
          <w:color w:val="222222"/>
          <w:sz w:val="22"/>
          <w:szCs w:val="22"/>
        </w:rPr>
        <w:t xml:space="preserve">Orientation is documented.</w:t>
      </w:r>
    </w:p>
    <w:p>
      <w:pPr>
        <w:pStyle w:val="Heading2"/>
        <w:spacing w:after="90" w:before="230"/>
      </w:pPr>
      <w:r>
        <w:rPr>
          <w:rFonts w:ascii="Calibri" w:cs="Calibri" w:eastAsia="Calibri" w:hAnsi="Calibri"/>
          <w:b/>
          <w:bCs/>
          <w:color w:val="2C523A"/>
          <w:sz w:val="24"/>
          <w:szCs w:val="24"/>
        </w:rPr>
        <w:t xml:space="preserve">2.11  Personal Property and Freedom from Exploitation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14 NYCRR 599.7; recipient rights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protect recipients' property and prohibit exploitation.</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protects any recipient property it handles and prohibits staff from borrowing, lending, accepting gifts of value, or otherwise exploiting recipients.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Where the provider handles a recipient's property, it does so with documentation and safeguards.</w:t>
      </w:r>
    </w:p>
    <w:p>
      <w:pPr>
        <w:pStyle w:val="ListParagraph"/>
        <w:numPr>
          <w:ilvl w:val="0"/>
          <w:numId w:val="2"/>
        </w:numPr>
        <w:spacing w:after="70" w:line="274"/>
      </w:pPr>
      <w:r>
        <w:rPr>
          <w:rFonts w:ascii="Calibri" w:cs="Calibri" w:eastAsia="Calibri" w:hAnsi="Calibri"/>
          <w:color w:val="222222"/>
          <w:sz w:val="22"/>
          <w:szCs w:val="22"/>
        </w:rPr>
        <w:t xml:space="preserve">Staff do not borrow from, lend to, or accept gifts of value from recipients, or enter financial relationships with them.</w:t>
      </w:r>
    </w:p>
    <w:p>
      <w:pPr>
        <w:pStyle w:val="ListParagraph"/>
        <w:numPr>
          <w:ilvl w:val="0"/>
          <w:numId w:val="2"/>
        </w:numPr>
        <w:spacing w:after="70" w:line="274"/>
      </w:pPr>
      <w:r>
        <w:rPr>
          <w:rFonts w:ascii="Calibri" w:cs="Calibri" w:eastAsia="Calibri" w:hAnsi="Calibri"/>
          <w:color w:val="222222"/>
          <w:sz w:val="22"/>
          <w:szCs w:val="22"/>
        </w:rPr>
        <w:t xml:space="preserve">Suspected exploitation is documented, investigated, and reported as required, including to the Justice Center where applicable.</w:t>
      </w:r>
    </w:p>
    <w:p>
      <w:pPr>
        <w:pStyle w:val="ListParagraph"/>
        <w:numPr>
          <w:ilvl w:val="0"/>
          <w:numId w:val="2"/>
        </w:numPr>
        <w:spacing w:after="70" w:line="274"/>
      </w:pPr>
      <w:r>
        <w:rPr>
          <w:rFonts w:ascii="Calibri" w:cs="Calibri" w:eastAsia="Calibri" w:hAnsi="Calibri"/>
          <w:color w:val="222222"/>
          <w:sz w:val="22"/>
          <w:szCs w:val="22"/>
        </w:rPr>
        <w:t xml:space="preserve">These expectations are covered at staff orientation.</w:t>
      </w:r>
    </w:p>
    <w:p>
      <w:pPr>
        <w:pStyle w:val="Heading2"/>
        <w:spacing w:after="90" w:before="230"/>
      </w:pPr>
      <w:r>
        <w:rPr>
          <w:rFonts w:ascii="Calibri" w:cs="Calibri" w:eastAsia="Calibri" w:hAnsi="Calibri"/>
          <w:b/>
          <w:bCs/>
          <w:color w:val="2C523A"/>
          <w:sz w:val="24"/>
          <w:szCs w:val="24"/>
        </w:rPr>
        <w:t xml:space="preserve">2.12  Freedom from Restraint and Seclusion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14 NYCRR 599.7; recipient rights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keep the outpatient program free of restraint and seclusion.</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does not use restraint or seclusion in its outpatient programs; staff respond to escalation with de-escalation and, where safety requires, emergency services.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Restraint and seclusion are not used in the provider's outpatient programs.</w:t>
      </w:r>
    </w:p>
    <w:p>
      <w:pPr>
        <w:pStyle w:val="ListParagraph"/>
        <w:numPr>
          <w:ilvl w:val="0"/>
          <w:numId w:val="2"/>
        </w:numPr>
        <w:spacing w:after="70" w:line="274"/>
      </w:pPr>
      <w:r>
        <w:rPr>
          <w:rFonts w:ascii="Calibri" w:cs="Calibri" w:eastAsia="Calibri" w:hAnsi="Calibri"/>
          <w:color w:val="222222"/>
          <w:sz w:val="22"/>
          <w:szCs w:val="22"/>
        </w:rPr>
        <w:t xml:space="preserve">Staff are trained in de-escalation and respond to escalation with the least restrictive safe response.</w:t>
      </w:r>
    </w:p>
    <w:p>
      <w:pPr>
        <w:pStyle w:val="ListParagraph"/>
        <w:numPr>
          <w:ilvl w:val="0"/>
          <w:numId w:val="2"/>
        </w:numPr>
        <w:spacing w:after="70" w:line="274"/>
      </w:pPr>
      <w:r>
        <w:rPr>
          <w:rFonts w:ascii="Calibri" w:cs="Calibri" w:eastAsia="Calibri" w:hAnsi="Calibri"/>
          <w:color w:val="222222"/>
          <w:sz w:val="22"/>
          <w:szCs w:val="22"/>
        </w:rPr>
        <w:t xml:space="preserve">When safety cannot be maintained, staff summon emergency services.</w:t>
      </w:r>
    </w:p>
    <w:p>
      <w:pPr>
        <w:pStyle w:val="ListParagraph"/>
        <w:numPr>
          <w:ilvl w:val="0"/>
          <w:numId w:val="2"/>
        </w:numPr>
        <w:spacing w:after="70" w:line="274"/>
      </w:pPr>
      <w:r>
        <w:rPr>
          <w:rFonts w:ascii="Calibri" w:cs="Calibri" w:eastAsia="Calibri" w:hAnsi="Calibri"/>
          <w:color w:val="222222"/>
          <w:sz w:val="22"/>
          <w:szCs w:val="22"/>
        </w:rPr>
        <w:t xml:space="preserve">Any physical emergency intervention that occurs is documented, reported as required, and reviewed.</w:t>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3 — Screening, Admission, Assessment &amp; Treatment Planning</w:t>
      </w:r>
    </w:p>
    <w:p>
      <w:pPr>
        <w:spacing w:after="140" w:before="0" w:line="278"/>
      </w:pPr>
      <w:r>
        <w:rPr>
          <w:rFonts w:ascii="Calibri" w:cs="Calibri" w:eastAsia="Calibri" w:hAnsi="Calibri"/>
          <w:b w:val="false"/>
          <w:bCs w:val="false"/>
          <w:i w:val="false"/>
          <w:iCs w:val="false"/>
          <w:color w:val="222222"/>
          <w:sz w:val="22"/>
          <w:szCs w:val="22"/>
        </w:rPr>
        <w:t xml:space="preserve">This section governs how the provider screens, admits, assesses, and plans care under Part 599's clinical framework: admission and assessment leading to a diagnosis, a person-centered treatment plan developed with the recipient under 599.10, and the utilization review that keeps each recipient at an appropriate level of care — including the twelve-month review cycle for recipients receiving medication-only services. For PROS programs, the Individualized Recovery Plan serves the same organizing role under Part 512.</w:t>
      </w:r>
    </w:p>
    <w:p>
      <w:pPr>
        <w:pStyle w:val="Heading2"/>
        <w:spacing w:after="90" w:before="230"/>
      </w:pPr>
      <w:r>
        <w:rPr>
          <w:rFonts w:ascii="Calibri" w:cs="Calibri" w:eastAsia="Calibri" w:hAnsi="Calibri"/>
          <w:b/>
          <w:bCs/>
          <w:color w:val="2C523A"/>
          <w:sz w:val="24"/>
          <w:szCs w:val="24"/>
        </w:rPr>
        <w:t xml:space="preserve">3.01  Screening, Admission and Access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14 NYCRR 599.8; program admission criteria</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admit recipients the program is licensed and able to serve, promptly.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screens referrals against its licensed program and admission criteria, admits recipients it can serve safely, and manages access so urgent needs are prioritized.</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Referrals are screened against the program's licensed services and admission criteria.</w:t>
      </w:r>
    </w:p>
    <w:p>
      <w:pPr>
        <w:pStyle w:val="ListParagraph"/>
        <w:numPr>
          <w:ilvl w:val="0"/>
          <w:numId w:val="2"/>
        </w:numPr>
        <w:spacing w:after="70" w:line="274"/>
      </w:pPr>
      <w:r>
        <w:rPr>
          <w:rFonts w:ascii="Calibri" w:cs="Calibri" w:eastAsia="Calibri" w:hAnsi="Calibri"/>
          <w:color w:val="222222"/>
          <w:sz w:val="22"/>
          <w:szCs w:val="22"/>
        </w:rPr>
        <w:t xml:space="preserve">Urgent and crisis needs are prioritized, and timely first appointments are supported.</w:t>
      </w:r>
    </w:p>
    <w:p>
      <w:pPr>
        <w:pStyle w:val="ListParagraph"/>
        <w:numPr>
          <w:ilvl w:val="0"/>
          <w:numId w:val="2"/>
        </w:numPr>
        <w:spacing w:after="70" w:line="274"/>
      </w:pPr>
      <w:r>
        <w:rPr>
          <w:rFonts w:ascii="Calibri" w:cs="Calibri" w:eastAsia="Calibri" w:hAnsi="Calibri"/>
          <w:color w:val="222222"/>
          <w:sz w:val="22"/>
          <w:szCs w:val="22"/>
        </w:rPr>
        <w:t xml:space="preserve">When the provider cannot meet a person's needs, it refers to an appropriate provider and documents the decision.</w:t>
      </w:r>
    </w:p>
    <w:p>
      <w:pPr>
        <w:pStyle w:val="ListParagraph"/>
        <w:numPr>
          <w:ilvl w:val="0"/>
          <w:numId w:val="2"/>
        </w:numPr>
        <w:spacing w:after="70" w:line="274"/>
      </w:pPr>
      <w:r>
        <w:rPr>
          <w:rFonts w:ascii="Calibri" w:cs="Calibri" w:eastAsia="Calibri" w:hAnsi="Calibri"/>
          <w:color w:val="222222"/>
          <w:sz w:val="22"/>
          <w:szCs w:val="22"/>
        </w:rPr>
        <w:t xml:space="preserve">Screening and admission decisions are documented.</w:t>
      </w:r>
    </w:p>
    <w:p>
      <w:pPr>
        <w:pStyle w:val="Heading2"/>
        <w:spacing w:after="90" w:before="230"/>
      </w:pPr>
      <w:r>
        <w:rPr>
          <w:rFonts w:ascii="Calibri" w:cs="Calibri" w:eastAsia="Calibri" w:hAnsi="Calibri"/>
          <w:b/>
          <w:bCs/>
          <w:color w:val="2C523A"/>
          <w:sz w:val="24"/>
          <w:szCs w:val="24"/>
        </w:rPr>
        <w:t xml:space="preserve">3.02  Assessment and Diagnosis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14 NYCRR 599.10; clinical standards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base treatment on adequate assessment and diagnosis.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Each recipient receives an assessment by qualified staff that supports diagnosis and the treatment plan, updated as the recipient's condition changes.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An assessment appropriate to the program is completed by qualified staff within required timeframes.</w:t>
      </w:r>
    </w:p>
    <w:p>
      <w:pPr>
        <w:pStyle w:val="ListParagraph"/>
        <w:numPr>
          <w:ilvl w:val="0"/>
          <w:numId w:val="2"/>
        </w:numPr>
        <w:spacing w:after="70" w:line="274"/>
      </w:pPr>
      <w:r>
        <w:rPr>
          <w:rFonts w:ascii="Calibri" w:cs="Calibri" w:eastAsia="Calibri" w:hAnsi="Calibri"/>
          <w:color w:val="222222"/>
          <w:sz w:val="22"/>
          <w:szCs w:val="22"/>
        </w:rPr>
        <w:t xml:space="preserve">The assessment addresses psychiatric history and symptoms, risk (including suicide risk), physical health, substance use, strengths, and social circumstances.</w:t>
      </w:r>
    </w:p>
    <w:p>
      <w:pPr>
        <w:pStyle w:val="ListParagraph"/>
        <w:numPr>
          <w:ilvl w:val="0"/>
          <w:numId w:val="2"/>
        </w:numPr>
        <w:spacing w:after="70" w:line="274"/>
      </w:pPr>
      <w:r>
        <w:rPr>
          <w:rFonts w:ascii="Calibri" w:cs="Calibri" w:eastAsia="Calibri" w:hAnsi="Calibri"/>
          <w:color w:val="222222"/>
          <w:sz w:val="22"/>
          <w:szCs w:val="22"/>
        </w:rPr>
        <w:t xml:space="preserve">A diagnosis is established by a practitioner authorized to diagnose.</w:t>
      </w:r>
    </w:p>
    <w:p>
      <w:pPr>
        <w:pStyle w:val="ListParagraph"/>
        <w:numPr>
          <w:ilvl w:val="0"/>
          <w:numId w:val="2"/>
        </w:numPr>
        <w:spacing w:after="70" w:line="274"/>
      </w:pPr>
      <w:r>
        <w:rPr>
          <w:rFonts w:ascii="Calibri" w:cs="Calibri" w:eastAsia="Calibri" w:hAnsi="Calibri"/>
          <w:color w:val="222222"/>
          <w:sz w:val="22"/>
          <w:szCs w:val="22"/>
        </w:rPr>
        <w:t xml:space="preserve">Assessments are updated as required and when the recipient's condition changes.</w:t>
      </w:r>
    </w:p>
    <w:p>
      <w:pPr>
        <w:pStyle w:val="Heading2"/>
        <w:spacing w:after="90" w:before="230"/>
      </w:pPr>
      <w:r>
        <w:rPr>
          <w:rFonts w:ascii="Calibri" w:cs="Calibri" w:eastAsia="Calibri" w:hAnsi="Calibri"/>
          <w:b/>
          <w:bCs/>
          <w:color w:val="2C523A"/>
          <w:sz w:val="24"/>
          <w:szCs w:val="24"/>
        </w:rPr>
        <w:t xml:space="preserve">3.03  Treatment Plan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14 NYCRR 599.10</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guide treatment through an individualized, person-centered plan.</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Each recipient has a person-centered treatment plan, developed with the recipient, that documents goals, services, frequency, and responsible staff, and is reviewed and updated as Part 599 requires.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 treatment plan is developed with the recipient (and family where appropriate and consented) within the required timeframe, based on the assessment and diagnosis.</w:t>
      </w:r>
    </w:p>
    <w:p>
      <w:pPr>
        <w:pStyle w:val="ListParagraph"/>
        <w:numPr>
          <w:ilvl w:val="0"/>
          <w:numId w:val="2"/>
        </w:numPr>
        <w:spacing w:after="70" w:line="274"/>
      </w:pPr>
      <w:r>
        <w:rPr>
          <w:rFonts w:ascii="Calibri" w:cs="Calibri" w:eastAsia="Calibri" w:hAnsi="Calibri"/>
          <w:color w:val="222222"/>
          <w:sz w:val="22"/>
          <w:szCs w:val="22"/>
        </w:rPr>
        <w:t xml:space="preserve">The plan documents the recipient's goals, the services and their frequency, and the staff responsible.</w:t>
      </w:r>
    </w:p>
    <w:p>
      <w:pPr>
        <w:pStyle w:val="ListParagraph"/>
        <w:numPr>
          <w:ilvl w:val="0"/>
          <w:numId w:val="2"/>
        </w:numPr>
        <w:spacing w:after="70" w:line="274"/>
      </w:pPr>
      <w:r>
        <w:rPr>
          <w:rFonts w:ascii="Calibri" w:cs="Calibri" w:eastAsia="Calibri" w:hAnsi="Calibri"/>
          <w:color w:val="222222"/>
          <w:sz w:val="22"/>
          <w:szCs w:val="22"/>
        </w:rPr>
        <w:t xml:space="preserve">The plan reflects the recipient's strengths, preferences, and recovery goals and addresses co-occurring needs.</w:t>
      </w:r>
    </w:p>
    <w:p>
      <w:pPr>
        <w:pStyle w:val="ListParagraph"/>
        <w:numPr>
          <w:ilvl w:val="0"/>
          <w:numId w:val="2"/>
        </w:numPr>
        <w:spacing w:after="70" w:line="274"/>
      </w:pPr>
      <w:r>
        <w:rPr>
          <w:rFonts w:ascii="Calibri" w:cs="Calibri" w:eastAsia="Calibri" w:hAnsi="Calibri"/>
          <w:color w:val="222222"/>
          <w:sz w:val="22"/>
          <w:szCs w:val="22"/>
        </w:rPr>
        <w:t xml:space="preserve">The plan is reviewed and updated at the required intervals and when needs change, with the recipient's participation; recipients receiving psychotropic medication and medication education only are reviewed at least every twelve months.</w:t>
      </w:r>
    </w:p>
    <w:p>
      <w:pPr>
        <w:pStyle w:val="ListParagraph"/>
        <w:numPr>
          <w:ilvl w:val="0"/>
          <w:numId w:val="2"/>
        </w:numPr>
        <w:spacing w:after="70" w:line="274"/>
      </w:pPr>
      <w:r>
        <w:rPr>
          <w:rFonts w:ascii="Calibri" w:cs="Calibri" w:eastAsia="Calibri" w:hAnsi="Calibri"/>
          <w:color w:val="222222"/>
          <w:sz w:val="22"/>
          <w:szCs w:val="22"/>
        </w:rPr>
        <w:t xml:space="preserve">Staff delivering services follow the current plan.</w:t>
      </w:r>
    </w:p>
    <w:p>
      <w:pPr>
        <w:pStyle w:val="Heading2"/>
        <w:spacing w:after="90" w:before="230"/>
      </w:pPr>
      <w:r>
        <w:rPr>
          <w:rFonts w:ascii="Calibri" w:cs="Calibri" w:eastAsia="Calibri" w:hAnsi="Calibri"/>
          <w:b/>
          <w:bCs/>
          <w:color w:val="2C523A"/>
          <w:sz w:val="24"/>
          <w:szCs w:val="24"/>
        </w:rPr>
        <w:t xml:space="preserve">3.04  Risk Assessment and Safety Planning</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clinical best practice; 14 NYCRR 599</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identify and respond to suicide and other safety risks.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assesses each recipient for suicide, self-harm, violence, and other safety risks and develops safety planning as indicated.</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Risk is assessed at admission and as the recipient's condition changes.</w:t>
      </w:r>
    </w:p>
    <w:p>
      <w:pPr>
        <w:pStyle w:val="ListParagraph"/>
        <w:numPr>
          <w:ilvl w:val="0"/>
          <w:numId w:val="2"/>
        </w:numPr>
        <w:spacing w:after="70" w:line="274"/>
      </w:pPr>
      <w:r>
        <w:rPr>
          <w:rFonts w:ascii="Calibri" w:cs="Calibri" w:eastAsia="Calibri" w:hAnsi="Calibri"/>
          <w:color w:val="222222"/>
          <w:sz w:val="22"/>
          <w:szCs w:val="22"/>
        </w:rPr>
        <w:t xml:space="preserve">Safety planning is developed with recipients at risk, and staff know how to respond to a crisis, including 988 and crisis services.</w:t>
      </w:r>
    </w:p>
    <w:p>
      <w:pPr>
        <w:pStyle w:val="ListParagraph"/>
        <w:numPr>
          <w:ilvl w:val="0"/>
          <w:numId w:val="2"/>
        </w:numPr>
        <w:spacing w:after="70" w:line="274"/>
      </w:pPr>
      <w:r>
        <w:rPr>
          <w:rFonts w:ascii="Calibri" w:cs="Calibri" w:eastAsia="Calibri" w:hAnsi="Calibri"/>
          <w:color w:val="222222"/>
          <w:sz w:val="22"/>
          <w:szCs w:val="22"/>
        </w:rPr>
        <w:t xml:space="preserve">Duty-to-warn or protect obligations are recognized and handled consistent with law.</w:t>
      </w:r>
    </w:p>
    <w:p>
      <w:pPr>
        <w:pStyle w:val="ListParagraph"/>
        <w:numPr>
          <w:ilvl w:val="0"/>
          <w:numId w:val="2"/>
        </w:numPr>
        <w:spacing w:after="70" w:line="274"/>
      </w:pPr>
      <w:r>
        <w:rPr>
          <w:rFonts w:ascii="Calibri" w:cs="Calibri" w:eastAsia="Calibri" w:hAnsi="Calibri"/>
          <w:color w:val="222222"/>
          <w:sz w:val="22"/>
          <w:szCs w:val="22"/>
        </w:rPr>
        <w:t xml:space="preserve">Risk assessment and safety planning are documented.</w:t>
      </w:r>
    </w:p>
    <w:p>
      <w:pPr>
        <w:pStyle w:val="Heading2"/>
        <w:spacing w:after="90" w:before="230"/>
      </w:pPr>
      <w:r>
        <w:rPr>
          <w:rFonts w:ascii="Calibri" w:cs="Calibri" w:eastAsia="Calibri" w:hAnsi="Calibri"/>
          <w:b/>
          <w:bCs/>
          <w:color w:val="2C523A"/>
          <w:sz w:val="24"/>
          <w:szCs w:val="24"/>
        </w:rPr>
        <w:t xml:space="preserve">3.05  Utilization Review</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14 NYCRR 599.6(m)</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keep each recipient at an appropriate level of care.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conducts written utilization review to ensure all recipients are receiving appropriate services and are served at an appropriate level of care.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Utilization review is conducted in accordance with the provider's written procedure and the regulation's required cycles.</w:t>
      </w:r>
    </w:p>
    <w:p>
      <w:pPr>
        <w:pStyle w:val="ListParagraph"/>
        <w:numPr>
          <w:ilvl w:val="0"/>
          <w:numId w:val="2"/>
        </w:numPr>
        <w:spacing w:after="70" w:line="274"/>
      </w:pPr>
      <w:r>
        <w:rPr>
          <w:rFonts w:ascii="Calibri" w:cs="Calibri" w:eastAsia="Calibri" w:hAnsi="Calibri"/>
          <w:color w:val="222222"/>
          <w:sz w:val="22"/>
          <w:szCs w:val="22"/>
        </w:rPr>
        <w:t xml:space="preserve">Reviews confirm the appropriateness of services and level of care and prompt changes where indicated.</w:t>
      </w:r>
    </w:p>
    <w:p>
      <w:pPr>
        <w:pStyle w:val="ListParagraph"/>
        <w:numPr>
          <w:ilvl w:val="0"/>
          <w:numId w:val="2"/>
        </w:numPr>
        <w:spacing w:after="70" w:line="274"/>
      </w:pPr>
      <w:r>
        <w:rPr>
          <w:rFonts w:ascii="Calibri" w:cs="Calibri" w:eastAsia="Calibri" w:hAnsi="Calibri"/>
          <w:color w:val="222222"/>
          <w:sz w:val="22"/>
          <w:szCs w:val="22"/>
        </w:rPr>
        <w:t xml:space="preserve">Recipients receiving medication-only services are reviewed at least every twelve months.</w:t>
      </w:r>
    </w:p>
    <w:p>
      <w:pPr>
        <w:pStyle w:val="ListParagraph"/>
        <w:numPr>
          <w:ilvl w:val="0"/>
          <w:numId w:val="2"/>
        </w:numPr>
        <w:spacing w:after="70" w:line="274"/>
      </w:pPr>
      <w:r>
        <w:rPr>
          <w:rFonts w:ascii="Calibri" w:cs="Calibri" w:eastAsia="Calibri" w:hAnsi="Calibri"/>
          <w:color w:val="222222"/>
          <w:sz w:val="22"/>
          <w:szCs w:val="22"/>
        </w:rPr>
        <w:t xml:space="preserve">Utilization review activity is documented.</w:t>
      </w:r>
    </w:p>
    <w:p>
      <w:pPr>
        <w:pStyle w:val="Heading2"/>
        <w:spacing w:after="90" w:before="230"/>
      </w:pPr>
      <w:r>
        <w:rPr>
          <w:rFonts w:ascii="Calibri" w:cs="Calibri" w:eastAsia="Calibri" w:hAnsi="Calibri"/>
          <w:b/>
          <w:bCs/>
          <w:color w:val="2C523A"/>
          <w:sz w:val="24"/>
          <w:szCs w:val="24"/>
        </w:rPr>
        <w:t xml:space="preserve">3.06  Discharge and Transition Planning</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14 NYCRR 599.10; clinical standards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support safe, planned transitions and continuity of care.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plans discharge and transition from admission onward, prepares a discharge plan addressing continuing care and supports, and coordinates transitions with information shared only as law permits.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Discharge and transition planning begins at admission and is updated throughout treatment.</w:t>
      </w:r>
    </w:p>
    <w:p>
      <w:pPr>
        <w:pStyle w:val="ListParagraph"/>
        <w:numPr>
          <w:ilvl w:val="0"/>
          <w:numId w:val="2"/>
        </w:numPr>
        <w:spacing w:after="70" w:line="274"/>
      </w:pPr>
      <w:r>
        <w:rPr>
          <w:rFonts w:ascii="Calibri" w:cs="Calibri" w:eastAsia="Calibri" w:hAnsi="Calibri"/>
          <w:color w:val="222222"/>
          <w:sz w:val="22"/>
          <w:szCs w:val="22"/>
        </w:rPr>
        <w:t xml:space="preserve">The discharge plan addresses continuing care, medication continuity, community supports, and referrals.</w:t>
      </w:r>
    </w:p>
    <w:p>
      <w:pPr>
        <w:pStyle w:val="ListParagraph"/>
        <w:numPr>
          <w:ilvl w:val="0"/>
          <w:numId w:val="2"/>
        </w:numPr>
        <w:spacing w:after="70" w:line="274"/>
      </w:pPr>
      <w:r>
        <w:rPr>
          <w:rFonts w:ascii="Calibri" w:cs="Calibri" w:eastAsia="Calibri" w:hAnsi="Calibri"/>
          <w:color w:val="222222"/>
          <w:sz w:val="22"/>
          <w:szCs w:val="22"/>
        </w:rPr>
        <w:t xml:space="preserve">Transitions to other providers and levels of care are coordinated, with warm handoffs where possible.</w:t>
      </w:r>
    </w:p>
    <w:p>
      <w:pPr>
        <w:pStyle w:val="ListParagraph"/>
        <w:numPr>
          <w:ilvl w:val="0"/>
          <w:numId w:val="2"/>
        </w:numPr>
        <w:spacing w:after="70" w:line="274"/>
      </w:pPr>
      <w:r>
        <w:rPr>
          <w:rFonts w:ascii="Calibri" w:cs="Calibri" w:eastAsia="Calibri" w:hAnsi="Calibri"/>
          <w:color w:val="222222"/>
          <w:sz w:val="22"/>
          <w:szCs w:val="22"/>
        </w:rPr>
        <w:t xml:space="preserve">The discharge summary is completed as required, and unplanned discharges are reviewed clinically.</w:t>
      </w:r>
    </w:p>
    <w:p>
      <w:pPr>
        <w:pStyle w:val="Heading2"/>
        <w:spacing w:after="90" w:before="230"/>
      </w:pPr>
      <w:r>
        <w:rPr>
          <w:rFonts w:ascii="Calibri" w:cs="Calibri" w:eastAsia="Calibri" w:hAnsi="Calibri"/>
          <w:b/>
          <w:bCs/>
          <w:color w:val="2C523A"/>
          <w:sz w:val="24"/>
          <w:szCs w:val="24"/>
        </w:rPr>
        <w:t xml:space="preserve">3.07  Engagement and Retention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clinical best practice</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keep recipients connected to treatment.</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uses engagement and retention practices and responds to missed appointments and disengagement with outreach consistent with the recipient's wishes and confidentiality law.</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Engagement practices appropriate to the program support retention.</w:t>
      </w:r>
    </w:p>
    <w:p>
      <w:pPr>
        <w:pStyle w:val="ListParagraph"/>
        <w:numPr>
          <w:ilvl w:val="0"/>
          <w:numId w:val="2"/>
        </w:numPr>
        <w:spacing w:after="70" w:line="274"/>
      </w:pPr>
      <w:r>
        <w:rPr>
          <w:rFonts w:ascii="Calibri" w:cs="Calibri" w:eastAsia="Calibri" w:hAnsi="Calibri"/>
          <w:color w:val="222222"/>
          <w:sz w:val="22"/>
          <w:szCs w:val="22"/>
        </w:rPr>
        <w:t xml:space="preserve">Missed appointments and disengagement trigger outreach consistent with consent.</w:t>
      </w:r>
    </w:p>
    <w:p>
      <w:pPr>
        <w:pStyle w:val="ListParagraph"/>
        <w:numPr>
          <w:ilvl w:val="0"/>
          <w:numId w:val="2"/>
        </w:numPr>
        <w:spacing w:after="70" w:line="274"/>
      </w:pPr>
      <w:r>
        <w:rPr>
          <w:rFonts w:ascii="Calibri" w:cs="Calibri" w:eastAsia="Calibri" w:hAnsi="Calibri"/>
          <w:color w:val="222222"/>
          <w:sz w:val="22"/>
          <w:szCs w:val="22"/>
        </w:rPr>
        <w:t xml:space="preserve">Barriers to retention are identified and addressed in the plan.</w:t>
      </w:r>
    </w:p>
    <w:p>
      <w:pPr>
        <w:pStyle w:val="ListParagraph"/>
        <w:numPr>
          <w:ilvl w:val="0"/>
          <w:numId w:val="2"/>
        </w:numPr>
        <w:spacing w:after="70" w:line="274"/>
      </w:pPr>
      <w:r>
        <w:rPr>
          <w:rFonts w:ascii="Calibri" w:cs="Calibri" w:eastAsia="Calibri" w:hAnsi="Calibri"/>
          <w:color w:val="222222"/>
          <w:sz w:val="22"/>
          <w:szCs w:val="22"/>
        </w:rPr>
        <w:t xml:space="preserve">Engagement efforts are documented.</w:t>
      </w:r>
    </w:p>
    <w:p>
      <w:pPr>
        <w:pStyle w:val="Heading2"/>
        <w:spacing w:after="90" w:before="230"/>
      </w:pPr>
      <w:r>
        <w:rPr>
          <w:rFonts w:ascii="Calibri" w:cs="Calibri" w:eastAsia="Calibri" w:hAnsi="Calibri"/>
          <w:b/>
          <w:bCs/>
          <w:color w:val="2C523A"/>
          <w:sz w:val="24"/>
          <w:szCs w:val="24"/>
        </w:rPr>
        <w:t xml:space="preserve">3.08  Health Screening and Coordination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14 NYCRR 599; clinical standards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identify physical health needs that affect mental health.</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screens for physical health needs and coordinates care so health conditions affecting mental health and medication are addressed.</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Screening identifies physical health needs and conditions affecting mental health or medication.</w:t>
      </w:r>
    </w:p>
    <w:p>
      <w:pPr>
        <w:pStyle w:val="ListParagraph"/>
        <w:numPr>
          <w:ilvl w:val="0"/>
          <w:numId w:val="2"/>
        </w:numPr>
        <w:spacing w:after="70" w:line="274"/>
      </w:pPr>
      <w:r>
        <w:rPr>
          <w:rFonts w:ascii="Calibri" w:cs="Calibri" w:eastAsia="Calibri" w:hAnsi="Calibri"/>
          <w:color w:val="222222"/>
          <w:sz w:val="22"/>
          <w:szCs w:val="22"/>
        </w:rPr>
        <w:t xml:space="preserve">Needs are addressed through coordinated referral with consent, including with primary care.</w:t>
      </w:r>
    </w:p>
    <w:p>
      <w:pPr>
        <w:pStyle w:val="ListParagraph"/>
        <w:numPr>
          <w:ilvl w:val="0"/>
          <w:numId w:val="2"/>
        </w:numPr>
        <w:spacing w:after="70" w:line="274"/>
      </w:pPr>
      <w:r>
        <w:rPr>
          <w:rFonts w:ascii="Calibri" w:cs="Calibri" w:eastAsia="Calibri" w:hAnsi="Calibri"/>
          <w:color w:val="222222"/>
          <w:sz w:val="22"/>
          <w:szCs w:val="22"/>
        </w:rPr>
        <w:t xml:space="preserve">Screening informs the assessment and plan.</w:t>
      </w:r>
    </w:p>
    <w:p>
      <w:pPr>
        <w:pStyle w:val="ListParagraph"/>
        <w:numPr>
          <w:ilvl w:val="0"/>
          <w:numId w:val="2"/>
        </w:numPr>
        <w:spacing w:after="70" w:line="274"/>
      </w:pPr>
      <w:r>
        <w:rPr>
          <w:rFonts w:ascii="Calibri" w:cs="Calibri" w:eastAsia="Calibri" w:hAnsi="Calibri"/>
          <w:color w:val="222222"/>
          <w:sz w:val="22"/>
          <w:szCs w:val="22"/>
        </w:rPr>
        <w:t xml:space="preserve">Screening and referrals are documented.</w:t>
      </w:r>
    </w:p>
    <w:p>
      <w:pPr>
        <w:pStyle w:val="Heading2"/>
        <w:spacing w:after="90" w:before="230"/>
      </w:pPr>
      <w:r>
        <w:rPr>
          <w:rFonts w:ascii="Calibri" w:cs="Calibri" w:eastAsia="Calibri" w:hAnsi="Calibri"/>
          <w:b/>
          <w:bCs/>
          <w:color w:val="2C523A"/>
          <w:sz w:val="24"/>
          <w:szCs w:val="24"/>
        </w:rPr>
        <w:t xml:space="preserve">3.09  Social Needs and Community Supports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recovery-oriented practice; HARP BH HCBS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address the social factors that affect recovery.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identifies social drivers of health — housing, employment, education, legal, and social supports — and connects recipients to resources, including HARP behavioral health home and community-based services where eligible.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Assessment and planning consider housing, employment, education, legal, transportation, and social-support needs.</w:t>
      </w:r>
    </w:p>
    <w:p>
      <w:pPr>
        <w:pStyle w:val="ListParagraph"/>
        <w:numPr>
          <w:ilvl w:val="0"/>
          <w:numId w:val="2"/>
        </w:numPr>
        <w:spacing w:after="70" w:line="274"/>
      </w:pPr>
      <w:r>
        <w:rPr>
          <w:rFonts w:ascii="Calibri" w:cs="Calibri" w:eastAsia="Calibri" w:hAnsi="Calibri"/>
          <w:color w:val="222222"/>
          <w:sz w:val="22"/>
          <w:szCs w:val="22"/>
        </w:rPr>
        <w:t xml:space="preserve">Recipients are connected to community resources, peer supports, and, where eligible, HARP BH HCBS.</w:t>
      </w:r>
    </w:p>
    <w:p>
      <w:pPr>
        <w:pStyle w:val="ListParagraph"/>
        <w:numPr>
          <w:ilvl w:val="0"/>
          <w:numId w:val="2"/>
        </w:numPr>
        <w:spacing w:after="70" w:line="274"/>
      </w:pPr>
      <w:r>
        <w:rPr>
          <w:rFonts w:ascii="Calibri" w:cs="Calibri" w:eastAsia="Calibri" w:hAnsi="Calibri"/>
          <w:color w:val="222222"/>
          <w:sz w:val="22"/>
          <w:szCs w:val="22"/>
        </w:rPr>
        <w:t xml:space="preserve">Referrals and outcomes are documented where known.</w:t>
      </w:r>
    </w:p>
    <w:p>
      <w:pPr>
        <w:pStyle w:val="ListParagraph"/>
        <w:numPr>
          <w:ilvl w:val="0"/>
          <w:numId w:val="2"/>
        </w:numPr>
        <w:spacing w:after="70" w:line="274"/>
      </w:pPr>
      <w:r>
        <w:rPr>
          <w:rFonts w:ascii="Calibri" w:cs="Calibri" w:eastAsia="Calibri" w:hAnsi="Calibri"/>
          <w:color w:val="222222"/>
          <w:sz w:val="22"/>
          <w:szCs w:val="22"/>
        </w:rPr>
        <w:t xml:space="preserve">The plan reflects these supports.</w:t>
      </w:r>
    </w:p>
    <w:p>
      <w:pPr>
        <w:pStyle w:val="Heading2"/>
        <w:spacing w:after="90" w:before="230"/>
      </w:pPr>
      <w:r>
        <w:rPr>
          <w:rFonts w:ascii="Calibri" w:cs="Calibri" w:eastAsia="Calibri" w:hAnsi="Calibri"/>
          <w:b/>
          <w:bCs/>
          <w:color w:val="2C523A"/>
          <w:sz w:val="24"/>
          <w:szCs w:val="24"/>
        </w:rPr>
        <w:t xml:space="preserve">3.10  Care Coordination and Health Homes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14 NYCRR 599; health home coordination</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coordinate the services and supports a recipient needs.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coordinates the recipient's services — including with health home care managers and HARP plans — so care is connected.</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Mental health treatment is coordinated with the recipient's other health, behavioral, and social services, with consent.</w:t>
      </w:r>
    </w:p>
    <w:p>
      <w:pPr>
        <w:pStyle w:val="ListParagraph"/>
        <w:numPr>
          <w:ilvl w:val="0"/>
          <w:numId w:val="2"/>
        </w:numPr>
        <w:spacing w:after="70" w:line="274"/>
      </w:pPr>
      <w:r>
        <w:rPr>
          <w:rFonts w:ascii="Calibri" w:cs="Calibri" w:eastAsia="Calibri" w:hAnsi="Calibri"/>
          <w:color w:val="222222"/>
          <w:sz w:val="22"/>
          <w:szCs w:val="22"/>
        </w:rPr>
        <w:t xml:space="preserve">Coordination with health home care managers and plans occurs where the recipient is enrolled.</w:t>
      </w:r>
    </w:p>
    <w:p>
      <w:pPr>
        <w:pStyle w:val="ListParagraph"/>
        <w:numPr>
          <w:ilvl w:val="0"/>
          <w:numId w:val="2"/>
        </w:numPr>
        <w:spacing w:after="70" w:line="274"/>
      </w:pPr>
      <w:r>
        <w:rPr>
          <w:rFonts w:ascii="Calibri" w:cs="Calibri" w:eastAsia="Calibri" w:hAnsi="Calibri"/>
          <w:color w:val="222222"/>
          <w:sz w:val="22"/>
          <w:szCs w:val="22"/>
        </w:rPr>
        <w:t xml:space="preserve">Coordination supports transitions between levels of care and community supports.</w:t>
      </w:r>
    </w:p>
    <w:p>
      <w:pPr>
        <w:pStyle w:val="ListParagraph"/>
        <w:numPr>
          <w:ilvl w:val="0"/>
          <w:numId w:val="2"/>
        </w:numPr>
        <w:spacing w:after="70" w:line="274"/>
      </w:pPr>
      <w:r>
        <w:rPr>
          <w:rFonts w:ascii="Calibri" w:cs="Calibri" w:eastAsia="Calibri" w:hAnsi="Calibri"/>
          <w:color w:val="222222"/>
          <w:sz w:val="22"/>
          <w:szCs w:val="22"/>
        </w:rPr>
        <w:t xml:space="preserve">Coordination is documented.</w:t>
      </w:r>
    </w:p>
    <w:p>
      <w:pPr>
        <w:pStyle w:val="Heading2"/>
        <w:spacing w:after="90" w:before="230"/>
      </w:pPr>
      <w:r>
        <w:rPr>
          <w:rFonts w:ascii="Calibri" w:cs="Calibri" w:eastAsia="Calibri" w:hAnsi="Calibri"/>
          <w:b/>
          <w:bCs/>
          <w:color w:val="2C523A"/>
          <w:sz w:val="24"/>
          <w:szCs w:val="24"/>
        </w:rPr>
        <w:t xml:space="preserve">3.11  Documentation of Medical Necessity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14 NYCRR 599.13–599.14; payer requirements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support services with documented clinical need.</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documents the medical necessity of services consistent with the assessment, diagnosis, and treatment plan, meeting payer standards.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Assessment, diagnosis, and the plan support the necessity of services delivered and billed.</w:t>
      </w:r>
    </w:p>
    <w:p>
      <w:pPr>
        <w:pStyle w:val="ListParagraph"/>
        <w:numPr>
          <w:ilvl w:val="0"/>
          <w:numId w:val="2"/>
        </w:numPr>
        <w:spacing w:after="70" w:line="274"/>
      </w:pPr>
      <w:r>
        <w:rPr>
          <w:rFonts w:ascii="Calibri" w:cs="Calibri" w:eastAsia="Calibri" w:hAnsi="Calibri"/>
          <w:color w:val="222222"/>
          <w:sz w:val="22"/>
          <w:szCs w:val="22"/>
        </w:rPr>
        <w:t xml:space="preserve">Continued-service documentation and utilization review support ongoing services.</w:t>
      </w:r>
    </w:p>
    <w:p>
      <w:pPr>
        <w:pStyle w:val="ListParagraph"/>
        <w:numPr>
          <w:ilvl w:val="0"/>
          <w:numId w:val="2"/>
        </w:numPr>
        <w:spacing w:after="70" w:line="274"/>
      </w:pPr>
      <w:r>
        <w:rPr>
          <w:rFonts w:ascii="Calibri" w:cs="Calibri" w:eastAsia="Calibri" w:hAnsi="Calibri"/>
          <w:color w:val="222222"/>
          <w:sz w:val="22"/>
          <w:szCs w:val="22"/>
        </w:rPr>
        <w:t xml:space="preserve">Documentation meets payer standards.</w:t>
      </w:r>
    </w:p>
    <w:p>
      <w:pPr>
        <w:pStyle w:val="ListParagraph"/>
        <w:numPr>
          <w:ilvl w:val="0"/>
          <w:numId w:val="2"/>
        </w:numPr>
        <w:spacing w:after="70" w:line="274"/>
      </w:pPr>
      <w:r>
        <w:rPr>
          <w:rFonts w:ascii="Calibri" w:cs="Calibri" w:eastAsia="Calibri" w:hAnsi="Calibri"/>
          <w:color w:val="222222"/>
          <w:sz w:val="22"/>
          <w:szCs w:val="22"/>
        </w:rPr>
        <w:t xml:space="preserve">Gaps are identified and corrected.</w:t>
      </w:r>
    </w:p>
    <w:p>
      <w:pPr>
        <w:pStyle w:val="Heading2"/>
        <w:spacing w:after="90" w:before="230"/>
      </w:pPr>
      <w:r>
        <w:rPr>
          <w:rFonts w:ascii="Calibri" w:cs="Calibri" w:eastAsia="Calibri" w:hAnsi="Calibri"/>
          <w:b/>
          <w:bCs/>
          <w:color w:val="2C523A"/>
          <w:sz w:val="24"/>
          <w:szCs w:val="24"/>
        </w:rPr>
        <w:t xml:space="preserve">3.12  Coordination with Assisted Outpatient Treatment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MHL § 9.60 (Kendra's Law)</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serve recipients under assisted outpatient treatment orders properly.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Where a recipient is subject to an assisted outpatient treatment order under Mental Hygiene Law § 9.60, the provider delivers the services identified in the order, coordinates with the AOT program, and reports as required.</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provider identifies recipients under AOT orders and the services the order and written treatment plan identify.</w:t>
      </w:r>
    </w:p>
    <w:p>
      <w:pPr>
        <w:pStyle w:val="ListParagraph"/>
        <w:numPr>
          <w:ilvl w:val="0"/>
          <w:numId w:val="2"/>
        </w:numPr>
        <w:spacing w:after="70" w:line="274"/>
      </w:pPr>
      <w:r>
        <w:rPr>
          <w:rFonts w:ascii="Calibri" w:cs="Calibri" w:eastAsia="Calibri" w:hAnsi="Calibri"/>
          <w:color w:val="222222"/>
          <w:sz w:val="22"/>
          <w:szCs w:val="22"/>
        </w:rPr>
        <w:t xml:space="preserve">Services are delivered and coordinated with the AOT program and care coordination as required.</w:t>
      </w:r>
    </w:p>
    <w:p>
      <w:pPr>
        <w:pStyle w:val="ListParagraph"/>
        <w:numPr>
          <w:ilvl w:val="0"/>
          <w:numId w:val="2"/>
        </w:numPr>
        <w:spacing w:after="70" w:line="274"/>
      </w:pPr>
      <w:r>
        <w:rPr>
          <w:rFonts w:ascii="Calibri" w:cs="Calibri" w:eastAsia="Calibri" w:hAnsi="Calibri"/>
          <w:color w:val="222222"/>
          <w:sz w:val="22"/>
          <w:szCs w:val="22"/>
        </w:rPr>
        <w:t xml:space="preserve">Material non-adherence or decompensation is communicated to the appropriate parties as the program requires and law permits.</w:t>
      </w:r>
    </w:p>
    <w:p>
      <w:pPr>
        <w:pStyle w:val="ListParagraph"/>
        <w:numPr>
          <w:ilvl w:val="0"/>
          <w:numId w:val="2"/>
        </w:numPr>
        <w:spacing w:after="70" w:line="274"/>
      </w:pPr>
      <w:r>
        <w:rPr>
          <w:rFonts w:ascii="Calibri" w:cs="Calibri" w:eastAsia="Calibri" w:hAnsi="Calibri"/>
          <w:color w:val="222222"/>
          <w:sz w:val="22"/>
          <w:szCs w:val="22"/>
        </w:rPr>
        <w:t xml:space="preserve">AOT-related activity is documented.</w:t>
      </w:r>
    </w:p>
    <w:p>
      <w:pPr>
        <w:pStyle w:val="Heading2"/>
        <w:spacing w:after="90" w:before="230"/>
      </w:pPr>
      <w:r>
        <w:rPr>
          <w:rFonts w:ascii="Calibri" w:cs="Calibri" w:eastAsia="Calibri" w:hAnsi="Calibri"/>
          <w:b/>
          <w:bCs/>
          <w:color w:val="2C523A"/>
          <w:sz w:val="24"/>
          <w:szCs w:val="24"/>
        </w:rPr>
        <w:t xml:space="preserve">3.13  Access Management and Waiting</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program standards; payer access requirements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manage access fairly and keep waiting safe.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manages access and any waiting so urgent needs are prioritized and no one deteriorates unseen while waiting for services.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Access is managed consistent with program standards and payer access requirements, with urgent and crisis needs prioritized.</w:t>
      </w:r>
    </w:p>
    <w:p>
      <w:pPr>
        <w:pStyle w:val="ListParagraph"/>
        <w:numPr>
          <w:ilvl w:val="0"/>
          <w:numId w:val="2"/>
        </w:numPr>
        <w:spacing w:after="70" w:line="274"/>
      </w:pPr>
      <w:r>
        <w:rPr>
          <w:rFonts w:ascii="Calibri" w:cs="Calibri" w:eastAsia="Calibri" w:hAnsi="Calibri"/>
          <w:color w:val="222222"/>
          <w:sz w:val="22"/>
          <w:szCs w:val="22"/>
        </w:rPr>
        <w:t xml:space="preserve">People waiting are tracked, kept informed, and connected to interim supports, including crisis access.</w:t>
      </w:r>
    </w:p>
    <w:p>
      <w:pPr>
        <w:pStyle w:val="ListParagraph"/>
        <w:numPr>
          <w:ilvl w:val="0"/>
          <w:numId w:val="2"/>
        </w:numPr>
        <w:spacing w:after="70" w:line="274"/>
      </w:pPr>
      <w:r>
        <w:rPr>
          <w:rFonts w:ascii="Calibri" w:cs="Calibri" w:eastAsia="Calibri" w:hAnsi="Calibri"/>
          <w:color w:val="222222"/>
          <w:sz w:val="22"/>
          <w:szCs w:val="22"/>
        </w:rPr>
        <w:t xml:space="preserve">When the wait is unsafe, referral to another appropriate provider is made and documented.</w:t>
      </w:r>
    </w:p>
    <w:p>
      <w:pPr>
        <w:pStyle w:val="ListParagraph"/>
        <w:numPr>
          <w:ilvl w:val="0"/>
          <w:numId w:val="2"/>
        </w:numPr>
        <w:spacing w:after="70" w:line="274"/>
      </w:pPr>
      <w:r>
        <w:rPr>
          <w:rFonts w:ascii="Calibri" w:cs="Calibri" w:eastAsia="Calibri" w:hAnsi="Calibri"/>
          <w:color w:val="222222"/>
          <w:sz w:val="22"/>
          <w:szCs w:val="22"/>
        </w:rPr>
        <w:t xml:space="preserve">Access management is reviewed.</w:t>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4 — Clinical Services &amp; Treatment</w:t>
      </w:r>
    </w:p>
    <w:p>
      <w:pPr>
        <w:spacing w:after="140" w:before="0" w:line="278"/>
      </w:pPr>
      <w:r>
        <w:rPr>
          <w:rFonts w:ascii="Calibri" w:cs="Calibri" w:eastAsia="Calibri" w:hAnsi="Calibri"/>
          <w:b w:val="false"/>
          <w:bCs w:val="false"/>
          <w:i w:val="false"/>
          <w:iCs w:val="false"/>
          <w:color w:val="222222"/>
          <w:sz w:val="22"/>
          <w:szCs w:val="22"/>
        </w:rPr>
        <w:t xml:space="preserve">This section governs the mental health services the provider delivers under its operating certificate. Part 599's MHOTRS model — revised to the Medicaid rehabilitative-services option — gives the clinic a flexible service menu delivered on-site and off-site, in the community or the recipient's home, according to the recipient's needs. PROS organizes comprehensive recovery services around the Individualized Recovery Plan, and ACT brings an intensive multidisciplinary team to adults with serious mental illness in the community. The section carries these program models into practice alongside evidence-based, trauma-informed, recovery-oriented care.</w:t>
      </w:r>
    </w:p>
    <w:p>
      <w:pPr>
        <w:pStyle w:val="Heading2"/>
        <w:spacing w:after="90" w:before="230"/>
      </w:pPr>
      <w:r>
        <w:rPr>
          <w:rFonts w:ascii="Calibri" w:cs="Calibri" w:eastAsia="Calibri" w:hAnsi="Calibri"/>
          <w:b/>
          <w:bCs/>
          <w:color w:val="2C523A"/>
          <w:sz w:val="24"/>
          <w:szCs w:val="24"/>
        </w:rPr>
        <w:t xml:space="preserve">4.01  Delivering Services Under the Operating Certificate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14 NYCRR 599.8; Parts 512, 508</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deliver each program to the standards of its Part and certificate.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delivers its licensed program in accordance with the applicable Part — including required services, staffing, supervision, and documentation — and does not deliver services outside its certificate.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program delivers the services its Part and certificate authorize, by qualified staff under required supervision.</w:t>
      </w:r>
    </w:p>
    <w:p>
      <w:pPr>
        <w:pStyle w:val="ListParagraph"/>
        <w:numPr>
          <w:ilvl w:val="0"/>
          <w:numId w:val="2"/>
        </w:numPr>
        <w:spacing w:after="70" w:line="274"/>
      </w:pPr>
      <w:r>
        <w:rPr>
          <w:rFonts w:ascii="Calibri" w:cs="Calibri" w:eastAsia="Calibri" w:hAnsi="Calibri"/>
          <w:color w:val="222222"/>
          <w:sz w:val="22"/>
          <w:szCs w:val="22"/>
        </w:rPr>
        <w:t xml:space="preserve">Service amount and frequency are consistent with the treatment plan.</w:t>
      </w:r>
    </w:p>
    <w:p>
      <w:pPr>
        <w:pStyle w:val="ListParagraph"/>
        <w:numPr>
          <w:ilvl w:val="0"/>
          <w:numId w:val="2"/>
        </w:numPr>
        <w:spacing w:after="70" w:line="274"/>
      </w:pPr>
      <w:r>
        <w:rPr>
          <w:rFonts w:ascii="Calibri" w:cs="Calibri" w:eastAsia="Calibri" w:hAnsi="Calibri"/>
          <w:color w:val="222222"/>
          <w:sz w:val="22"/>
          <w:szCs w:val="22"/>
        </w:rPr>
        <w:t xml:space="preserve">Documentation meets the regulations and payer standards.</w:t>
      </w:r>
    </w:p>
    <w:p>
      <w:pPr>
        <w:pStyle w:val="ListParagraph"/>
        <w:numPr>
          <w:ilvl w:val="0"/>
          <w:numId w:val="2"/>
        </w:numPr>
        <w:spacing w:after="70" w:line="274"/>
      </w:pPr>
      <w:r>
        <w:rPr>
          <w:rFonts w:ascii="Calibri" w:cs="Calibri" w:eastAsia="Calibri" w:hAnsi="Calibri"/>
          <w:color w:val="222222"/>
          <w:sz w:val="22"/>
          <w:szCs w:val="22"/>
        </w:rPr>
        <w:t xml:space="preserve">The provider does not deliver or bill services its certificate does not authorize.</w:t>
      </w:r>
    </w:p>
    <w:p>
      <w:pPr>
        <w:pStyle w:val="Heading2"/>
        <w:spacing w:after="90" w:before="230"/>
      </w:pPr>
      <w:r>
        <w:rPr>
          <w:rFonts w:ascii="Calibri" w:cs="Calibri" w:eastAsia="Calibri" w:hAnsi="Calibri"/>
          <w:b/>
          <w:bCs/>
          <w:color w:val="2C523A"/>
          <w:sz w:val="24"/>
          <w:szCs w:val="24"/>
        </w:rPr>
        <w:t xml:space="preserve">4.02  MHOTRS Clinic Services (Part 599)</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14 NYCRR 599.8</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deliver clinic services to the Part 599 standards.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Where the provider operates an MHOTRS program, it delivers assessment, psychotherapy, medication treatment, crisis, and rehabilitative services under Part 599, on-site and off-site as the recipient's needs indicate.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Clinic services — including individual, group, and family psychotherapy, psychiatric assessment and medication treatment, crisis services, and rehabilitative and peer services — are delivered consistent with Part 599 and the treatment plan.</w:t>
      </w:r>
    </w:p>
    <w:p>
      <w:pPr>
        <w:pStyle w:val="ListParagraph"/>
        <w:numPr>
          <w:ilvl w:val="0"/>
          <w:numId w:val="2"/>
        </w:numPr>
        <w:spacing w:after="70" w:line="274"/>
      </w:pPr>
      <w:r>
        <w:rPr>
          <w:rFonts w:ascii="Calibri" w:cs="Calibri" w:eastAsia="Calibri" w:hAnsi="Calibri"/>
          <w:color w:val="222222"/>
          <w:sz w:val="22"/>
          <w:szCs w:val="22"/>
        </w:rPr>
        <w:t xml:space="preserve">Off-site services are delivered in the community or the recipient's residence when the recipient's needs indicate, consistent with the regulations.</w:t>
      </w:r>
    </w:p>
    <w:p>
      <w:pPr>
        <w:pStyle w:val="ListParagraph"/>
        <w:numPr>
          <w:ilvl w:val="0"/>
          <w:numId w:val="2"/>
        </w:numPr>
        <w:spacing w:after="70" w:line="274"/>
      </w:pPr>
      <w:r>
        <w:rPr>
          <w:rFonts w:ascii="Calibri" w:cs="Calibri" w:eastAsia="Calibri" w:hAnsi="Calibri"/>
          <w:color w:val="222222"/>
          <w:sz w:val="22"/>
          <w:szCs w:val="22"/>
        </w:rPr>
        <w:t xml:space="preserve">Services are delivered by licensed practitioners of the healing arts and other qualified staff within their scope.</w:t>
      </w:r>
    </w:p>
    <w:p>
      <w:pPr>
        <w:pStyle w:val="ListParagraph"/>
        <w:numPr>
          <w:ilvl w:val="0"/>
          <w:numId w:val="2"/>
        </w:numPr>
        <w:spacing w:after="70" w:line="274"/>
      </w:pPr>
      <w:r>
        <w:rPr>
          <w:rFonts w:ascii="Calibri" w:cs="Calibri" w:eastAsia="Calibri" w:hAnsi="Calibri"/>
          <w:color w:val="222222"/>
          <w:sz w:val="22"/>
          <w:szCs w:val="22"/>
        </w:rPr>
        <w:t xml:space="preserve">Documentation supports each service delivered and billed.</w:t>
      </w:r>
    </w:p>
    <w:p>
      <w:pPr>
        <w:pStyle w:val="Heading2"/>
        <w:spacing w:after="90" w:before="230"/>
      </w:pPr>
      <w:r>
        <w:rPr>
          <w:rFonts w:ascii="Calibri" w:cs="Calibri" w:eastAsia="Calibri" w:hAnsi="Calibri"/>
          <w:b/>
          <w:bCs/>
          <w:color w:val="2C523A"/>
          <w:sz w:val="24"/>
          <w:szCs w:val="24"/>
        </w:rPr>
        <w:t xml:space="preserve">4.03  PROS (Part 512)</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14 NYCRR Part 512</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operate PROS to its certification standards.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Where the provider operates a PROS program, it delivers the program's components around each participant's Individualized Recovery Plan and integrates any Part 599 clinical treatment with the IRP.</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PROS components are delivered consistent with Part 512 and the participant's Individualized Recovery Plan.</w:t>
      </w:r>
    </w:p>
    <w:p>
      <w:pPr>
        <w:pStyle w:val="ListParagraph"/>
        <w:numPr>
          <w:ilvl w:val="0"/>
          <w:numId w:val="2"/>
        </w:numPr>
        <w:spacing w:after="70" w:line="274"/>
      </w:pPr>
      <w:r>
        <w:rPr>
          <w:rFonts w:ascii="Calibri" w:cs="Calibri" w:eastAsia="Calibri" w:hAnsi="Calibri"/>
          <w:color w:val="222222"/>
          <w:sz w:val="22"/>
          <w:szCs w:val="22"/>
        </w:rPr>
        <w:t xml:space="preserve">The IRP is developed with the participant, organized around their recovery goals, and reviewed as required.</w:t>
      </w:r>
    </w:p>
    <w:p>
      <w:pPr>
        <w:pStyle w:val="ListParagraph"/>
        <w:numPr>
          <w:ilvl w:val="0"/>
          <w:numId w:val="2"/>
        </w:numPr>
        <w:spacing w:after="70" w:line="274"/>
      </w:pPr>
      <w:r>
        <w:rPr>
          <w:rFonts w:ascii="Calibri" w:cs="Calibri" w:eastAsia="Calibri" w:hAnsi="Calibri"/>
          <w:color w:val="222222"/>
          <w:sz w:val="22"/>
          <w:szCs w:val="22"/>
        </w:rPr>
        <w:t xml:space="preserve">Where a participant receives clinical treatment from a Part 599 clinic, integration with the IRP is described and coordinated.</w:t>
      </w:r>
    </w:p>
    <w:p>
      <w:pPr>
        <w:pStyle w:val="ListParagraph"/>
        <w:numPr>
          <w:ilvl w:val="0"/>
          <w:numId w:val="2"/>
        </w:numPr>
        <w:spacing w:after="70" w:line="274"/>
      </w:pPr>
      <w:r>
        <w:rPr>
          <w:rFonts w:ascii="Calibri" w:cs="Calibri" w:eastAsia="Calibri" w:hAnsi="Calibri"/>
          <w:color w:val="222222"/>
          <w:sz w:val="22"/>
          <w:szCs w:val="22"/>
        </w:rPr>
        <w:t xml:space="preserve">Staffing, documentation, and billing meet Part 512.</w:t>
      </w:r>
    </w:p>
    <w:p>
      <w:pPr>
        <w:pStyle w:val="Heading2"/>
        <w:spacing w:after="90" w:before="230"/>
      </w:pPr>
      <w:r>
        <w:rPr>
          <w:rFonts w:ascii="Calibri" w:cs="Calibri" w:eastAsia="Calibri" w:hAnsi="Calibri"/>
          <w:b/>
          <w:bCs/>
          <w:color w:val="2C523A"/>
          <w:sz w:val="24"/>
          <w:szCs w:val="24"/>
        </w:rPr>
        <w:t xml:space="preserve">4.04  Assertive Community Treatment (Part 508)</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14 NYCRR Part 508</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operate ACT to its team model and standards.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Where the provider operates an ACT team, it maintains the multidisciplinary team, intensity, and availability the Part requires and serves recipients primarily in the community.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ACT team maintains the required multidisciplinary composition, including psychiatric, nursing, and clinical staff.</w:t>
      </w:r>
    </w:p>
    <w:p>
      <w:pPr>
        <w:pStyle w:val="ListParagraph"/>
        <w:numPr>
          <w:ilvl w:val="0"/>
          <w:numId w:val="2"/>
        </w:numPr>
        <w:spacing w:after="70" w:line="274"/>
      </w:pPr>
      <w:r>
        <w:rPr>
          <w:rFonts w:ascii="Calibri" w:cs="Calibri" w:eastAsia="Calibri" w:hAnsi="Calibri"/>
          <w:color w:val="222222"/>
          <w:sz w:val="22"/>
          <w:szCs w:val="22"/>
        </w:rPr>
        <w:t xml:space="preserve">Services are delivered primarily in the community with the intensity and availability the Part requires, including crisis availability.</w:t>
      </w:r>
    </w:p>
    <w:p>
      <w:pPr>
        <w:pStyle w:val="ListParagraph"/>
        <w:numPr>
          <w:ilvl w:val="0"/>
          <w:numId w:val="2"/>
        </w:numPr>
        <w:spacing w:after="70" w:line="274"/>
      </w:pPr>
      <w:r>
        <w:rPr>
          <w:rFonts w:ascii="Calibri" w:cs="Calibri" w:eastAsia="Calibri" w:hAnsi="Calibri"/>
          <w:color w:val="222222"/>
          <w:sz w:val="22"/>
          <w:szCs w:val="22"/>
        </w:rPr>
        <w:t xml:space="preserve">The team supports community living, hospitalization diversion, medication, employment, and recovery goals.</w:t>
      </w:r>
    </w:p>
    <w:p>
      <w:pPr>
        <w:pStyle w:val="ListParagraph"/>
        <w:numPr>
          <w:ilvl w:val="0"/>
          <w:numId w:val="2"/>
        </w:numPr>
        <w:spacing w:after="70" w:line="274"/>
      </w:pPr>
      <w:r>
        <w:rPr>
          <w:rFonts w:ascii="Calibri" w:cs="Calibri" w:eastAsia="Calibri" w:hAnsi="Calibri"/>
          <w:color w:val="222222"/>
          <w:sz w:val="22"/>
          <w:szCs w:val="22"/>
        </w:rPr>
        <w:t xml:space="preserve">Caseloads, contacts, documentation, and billing meet Part 508.</w:t>
      </w:r>
    </w:p>
    <w:p>
      <w:pPr>
        <w:pStyle w:val="Heading2"/>
        <w:spacing w:after="90" w:before="230"/>
      </w:pPr>
      <w:r>
        <w:rPr>
          <w:rFonts w:ascii="Calibri" w:cs="Calibri" w:eastAsia="Calibri" w:hAnsi="Calibri"/>
          <w:b/>
          <w:bCs/>
          <w:color w:val="2C523A"/>
          <w:sz w:val="24"/>
          <w:szCs w:val="24"/>
        </w:rPr>
        <w:t xml:space="preserve">4.05  Evidence-Based, Trauma-Informed and Recovery-Oriented Care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14 NYCRR 599.1; clinical best practice</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provide effective, person-centered, recovery-oriented treatment.</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uses evidence-based and generally accepted practices, delivers care that is trauma-informed and recovery-oriented, and serves as a clinical home that is person-centered and individualized.</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Treatment uses evidence-based practices and practices supported by research or accepted clinical guidelines, delivered by qualified staff.</w:t>
      </w:r>
    </w:p>
    <w:p>
      <w:pPr>
        <w:pStyle w:val="ListParagraph"/>
        <w:numPr>
          <w:ilvl w:val="0"/>
          <w:numId w:val="2"/>
        </w:numPr>
        <w:spacing w:after="70" w:line="274"/>
      </w:pPr>
      <w:r>
        <w:rPr>
          <w:rFonts w:ascii="Calibri" w:cs="Calibri" w:eastAsia="Calibri" w:hAnsi="Calibri"/>
          <w:color w:val="222222"/>
          <w:sz w:val="22"/>
          <w:szCs w:val="22"/>
        </w:rPr>
        <w:t xml:space="preserve">Care is trauma-informed — promoting safety, trust, choice, and collaboration and avoiding re-traumatization.</w:t>
      </w:r>
    </w:p>
    <w:p>
      <w:pPr>
        <w:pStyle w:val="ListParagraph"/>
        <w:numPr>
          <w:ilvl w:val="0"/>
          <w:numId w:val="2"/>
        </w:numPr>
        <w:spacing w:after="70" w:line="274"/>
      </w:pPr>
      <w:r>
        <w:rPr>
          <w:rFonts w:ascii="Calibri" w:cs="Calibri" w:eastAsia="Calibri" w:hAnsi="Calibri"/>
          <w:color w:val="222222"/>
          <w:sz w:val="22"/>
          <w:szCs w:val="22"/>
        </w:rPr>
        <w:t xml:space="preserve">Care is organized around the recipient's goals, strengths, and self-defined recovery, with the recipient as a partner in decisions.</w:t>
      </w:r>
    </w:p>
    <w:p>
      <w:pPr>
        <w:pStyle w:val="ListParagraph"/>
        <w:numPr>
          <w:ilvl w:val="0"/>
          <w:numId w:val="2"/>
        </w:numPr>
        <w:spacing w:after="70" w:line="274"/>
      </w:pPr>
      <w:r>
        <w:rPr>
          <w:rFonts w:ascii="Calibri" w:cs="Calibri" w:eastAsia="Calibri" w:hAnsi="Calibri"/>
          <w:color w:val="222222"/>
          <w:sz w:val="22"/>
          <w:szCs w:val="22"/>
        </w:rPr>
        <w:t xml:space="preserve">Treatment is individualized, culturally responsive, and adjusted as the recipient progresses.</w:t>
      </w:r>
    </w:p>
    <w:p>
      <w:pPr>
        <w:pStyle w:val="Heading2"/>
        <w:spacing w:after="90" w:before="230"/>
      </w:pPr>
      <w:r>
        <w:rPr>
          <w:rFonts w:ascii="Calibri" w:cs="Calibri" w:eastAsia="Calibri" w:hAnsi="Calibri"/>
          <w:b/>
          <w:bCs/>
          <w:color w:val="2C523A"/>
          <w:sz w:val="24"/>
          <w:szCs w:val="24"/>
        </w:rPr>
        <w:t xml:space="preserve">4.06  Co-Occurring Needs and Health Coordination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14 NYCRR 599; 42 CFR Part 2; integrated licensure options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address co-occurring substance use and physical health needs.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identifies co-occurring substance use and physical health needs and addresses them through integrated treatment where authorized or coordinated referral, protecting any substance use records under 42 CFR Part 2.</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Screening identifies co-occurring substance use and physical health needs.</w:t>
      </w:r>
    </w:p>
    <w:p>
      <w:pPr>
        <w:pStyle w:val="ListParagraph"/>
        <w:numPr>
          <w:ilvl w:val="0"/>
          <w:numId w:val="2"/>
        </w:numPr>
        <w:spacing w:after="70" w:line="274"/>
      </w:pPr>
      <w:r>
        <w:rPr>
          <w:rFonts w:ascii="Calibri" w:cs="Calibri" w:eastAsia="Calibri" w:hAnsi="Calibri"/>
          <w:color w:val="222222"/>
          <w:sz w:val="22"/>
          <w:szCs w:val="22"/>
        </w:rPr>
        <w:t xml:space="preserve">Needs are addressed through integrated care where the provider is authorized, or coordinated referral with consent.</w:t>
      </w:r>
    </w:p>
    <w:p>
      <w:pPr>
        <w:pStyle w:val="ListParagraph"/>
        <w:numPr>
          <w:ilvl w:val="0"/>
          <w:numId w:val="2"/>
        </w:numPr>
        <w:spacing w:after="70" w:line="274"/>
      </w:pPr>
      <w:r>
        <w:rPr>
          <w:rFonts w:ascii="Calibri" w:cs="Calibri" w:eastAsia="Calibri" w:hAnsi="Calibri"/>
          <w:color w:val="222222"/>
          <w:sz w:val="22"/>
          <w:szCs w:val="22"/>
        </w:rPr>
        <w:t xml:space="preserve">Any substance use disorder records the provider holds are protected under 42 CFR Part 2.</w:t>
      </w:r>
    </w:p>
    <w:p>
      <w:pPr>
        <w:pStyle w:val="ListParagraph"/>
        <w:numPr>
          <w:ilvl w:val="0"/>
          <w:numId w:val="2"/>
        </w:numPr>
        <w:spacing w:after="70" w:line="274"/>
      </w:pPr>
      <w:r>
        <w:rPr>
          <w:rFonts w:ascii="Calibri" w:cs="Calibri" w:eastAsia="Calibri" w:hAnsi="Calibri"/>
          <w:color w:val="222222"/>
          <w:sz w:val="22"/>
          <w:szCs w:val="22"/>
        </w:rPr>
        <w:t xml:space="preserve">Coordination with primary care and other providers occurs with consent and is documented.</w:t>
      </w:r>
    </w:p>
    <w:p>
      <w:pPr>
        <w:pStyle w:val="Heading2"/>
        <w:spacing w:after="90" w:before="230"/>
      </w:pPr>
      <w:r>
        <w:rPr>
          <w:rFonts w:ascii="Calibri" w:cs="Calibri" w:eastAsia="Calibri" w:hAnsi="Calibri"/>
          <w:b/>
          <w:bCs/>
          <w:color w:val="2C523A"/>
          <w:sz w:val="24"/>
          <w:szCs w:val="24"/>
        </w:rPr>
        <w:t xml:space="preserve">4.07  Peer Support Services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14 NYCRR 599.9; OMH peer credentials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use New York's credentialed peer workforce within recovery-oriented care.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Where the provider offers peer services, they are delivered by Certified Peer Specialists, Family Peer Advocates, or Youth Peer Advocates credentialed through OMH-approved programs, within their roles and supervision.</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Peer services are delivered by staff holding the applicable OMH-approved credential for their role.</w:t>
      </w:r>
    </w:p>
    <w:p>
      <w:pPr>
        <w:pStyle w:val="ListParagraph"/>
        <w:numPr>
          <w:ilvl w:val="0"/>
          <w:numId w:val="2"/>
        </w:numPr>
        <w:spacing w:after="70" w:line="274"/>
      </w:pPr>
      <w:r>
        <w:rPr>
          <w:rFonts w:ascii="Calibri" w:cs="Calibri" w:eastAsia="Calibri" w:hAnsi="Calibri"/>
          <w:color w:val="222222"/>
          <w:sz w:val="22"/>
          <w:szCs w:val="22"/>
        </w:rPr>
        <w:t xml:space="preserve">Peers work under appropriate supervision and within confidentiality requirements.</w:t>
      </w:r>
    </w:p>
    <w:p>
      <w:pPr>
        <w:pStyle w:val="ListParagraph"/>
        <w:numPr>
          <w:ilvl w:val="0"/>
          <w:numId w:val="2"/>
        </w:numPr>
        <w:spacing w:after="70" w:line="274"/>
      </w:pPr>
      <w:r>
        <w:rPr>
          <w:rFonts w:ascii="Calibri" w:cs="Calibri" w:eastAsia="Calibri" w:hAnsi="Calibri"/>
          <w:color w:val="222222"/>
          <w:sz w:val="22"/>
          <w:szCs w:val="22"/>
        </w:rPr>
        <w:t xml:space="preserve">Peer support is integrated with the treatment plan or IRP.</w:t>
      </w:r>
    </w:p>
    <w:p>
      <w:pPr>
        <w:pStyle w:val="ListParagraph"/>
        <w:numPr>
          <w:ilvl w:val="0"/>
          <w:numId w:val="2"/>
        </w:numPr>
        <w:spacing w:after="70" w:line="274"/>
      </w:pPr>
      <w:r>
        <w:rPr>
          <w:rFonts w:ascii="Calibri" w:cs="Calibri" w:eastAsia="Calibri" w:hAnsi="Calibri"/>
          <w:color w:val="222222"/>
          <w:sz w:val="22"/>
          <w:szCs w:val="22"/>
        </w:rPr>
        <w:t xml:space="preserve">Services are documented.</w:t>
      </w:r>
    </w:p>
    <w:p>
      <w:pPr>
        <w:pStyle w:val="Heading2"/>
        <w:spacing w:after="90" w:before="230"/>
      </w:pPr>
      <w:r>
        <w:rPr>
          <w:rFonts w:ascii="Calibri" w:cs="Calibri" w:eastAsia="Calibri" w:hAnsi="Calibri"/>
          <w:b/>
          <w:bCs/>
          <w:color w:val="2C523A"/>
          <w:sz w:val="24"/>
          <w:szCs w:val="24"/>
        </w:rPr>
        <w:t xml:space="preserve">4.08  Telehealth Service Delivery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OMH telehealth standards; payer policy</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deliver services by telehealth appropriately and securely.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Where the provider delivers services by telehealth, it does so under OMH's telehealth standards and payer policy, using secure technology and with recipient consent.</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Telehealth is used only as OMH standards and payer policy allow, by qualified staff, with any required OMH approval in place.</w:t>
      </w:r>
    </w:p>
    <w:p>
      <w:pPr>
        <w:pStyle w:val="ListParagraph"/>
        <w:numPr>
          <w:ilvl w:val="0"/>
          <w:numId w:val="2"/>
        </w:numPr>
        <w:spacing w:after="70" w:line="274"/>
      </w:pPr>
      <w:r>
        <w:rPr>
          <w:rFonts w:ascii="Calibri" w:cs="Calibri" w:eastAsia="Calibri" w:hAnsi="Calibri"/>
          <w:color w:val="222222"/>
          <w:sz w:val="22"/>
          <w:szCs w:val="22"/>
        </w:rPr>
        <w:t xml:space="preserve">Technology protects confidentiality, and the recipient consents to telehealth.</w:t>
      </w:r>
    </w:p>
    <w:p>
      <w:pPr>
        <w:pStyle w:val="ListParagraph"/>
        <w:numPr>
          <w:ilvl w:val="0"/>
          <w:numId w:val="2"/>
        </w:numPr>
        <w:spacing w:after="70" w:line="274"/>
      </w:pPr>
      <w:r>
        <w:rPr>
          <w:rFonts w:ascii="Calibri" w:cs="Calibri" w:eastAsia="Calibri" w:hAnsi="Calibri"/>
          <w:color w:val="222222"/>
          <w:sz w:val="22"/>
          <w:szCs w:val="22"/>
        </w:rPr>
        <w:t xml:space="preserve">Clinical appropriateness is assessed, and in-person care is arranged when needed, including for crisis.</w:t>
      </w:r>
    </w:p>
    <w:p>
      <w:pPr>
        <w:pStyle w:val="ListParagraph"/>
        <w:numPr>
          <w:ilvl w:val="0"/>
          <w:numId w:val="2"/>
        </w:numPr>
        <w:spacing w:after="70" w:line="274"/>
      </w:pPr>
      <w:r>
        <w:rPr>
          <w:rFonts w:ascii="Calibri" w:cs="Calibri" w:eastAsia="Calibri" w:hAnsi="Calibri"/>
          <w:color w:val="222222"/>
          <w:sz w:val="22"/>
          <w:szCs w:val="22"/>
        </w:rPr>
        <w:t xml:space="preserve">Telehealth services are documented like in-person services.</w:t>
      </w:r>
    </w:p>
    <w:p>
      <w:pPr>
        <w:pStyle w:val="Heading2"/>
        <w:spacing w:after="90" w:before="230"/>
      </w:pPr>
      <w:r>
        <w:rPr>
          <w:rFonts w:ascii="Calibri" w:cs="Calibri" w:eastAsia="Calibri" w:hAnsi="Calibri"/>
          <w:b/>
          <w:bCs/>
          <w:color w:val="2C523A"/>
          <w:sz w:val="24"/>
          <w:szCs w:val="24"/>
        </w:rPr>
        <w:t xml:space="preserve">4.09  Group and Family Therapy Standards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14 NYCRR 599.8; clinical standards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deliver group and family services to consistent standards.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delivers group and family therapy by qualified staff, protecting confidentiality and following clinical standards.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Group and family therapy are delivered by qualified staff under required supervision.</w:t>
      </w:r>
    </w:p>
    <w:p>
      <w:pPr>
        <w:pStyle w:val="ListParagraph"/>
        <w:numPr>
          <w:ilvl w:val="0"/>
          <w:numId w:val="2"/>
        </w:numPr>
        <w:spacing w:after="70" w:line="274"/>
      </w:pPr>
      <w:r>
        <w:rPr>
          <w:rFonts w:ascii="Calibri" w:cs="Calibri" w:eastAsia="Calibri" w:hAnsi="Calibri"/>
          <w:color w:val="222222"/>
          <w:sz w:val="22"/>
          <w:szCs w:val="22"/>
        </w:rPr>
        <w:t xml:space="preserve">Group composition, size, and content follow clinical standards.</w:t>
      </w:r>
    </w:p>
    <w:p>
      <w:pPr>
        <w:pStyle w:val="ListParagraph"/>
        <w:numPr>
          <w:ilvl w:val="0"/>
          <w:numId w:val="2"/>
        </w:numPr>
        <w:spacing w:after="70" w:line="274"/>
      </w:pPr>
      <w:r>
        <w:rPr>
          <w:rFonts w:ascii="Calibri" w:cs="Calibri" w:eastAsia="Calibri" w:hAnsi="Calibri"/>
          <w:color w:val="222222"/>
          <w:sz w:val="22"/>
          <w:szCs w:val="22"/>
        </w:rPr>
        <w:t xml:space="preserve">Confidentiality expectations, including among group members, are addressed.</w:t>
      </w:r>
    </w:p>
    <w:p>
      <w:pPr>
        <w:pStyle w:val="ListParagraph"/>
        <w:numPr>
          <w:ilvl w:val="0"/>
          <w:numId w:val="2"/>
        </w:numPr>
        <w:spacing w:after="70" w:line="274"/>
      </w:pPr>
      <w:r>
        <w:rPr>
          <w:rFonts w:ascii="Calibri" w:cs="Calibri" w:eastAsia="Calibri" w:hAnsi="Calibri"/>
          <w:color w:val="222222"/>
          <w:sz w:val="22"/>
          <w:szCs w:val="22"/>
        </w:rPr>
        <w:t xml:space="preserve">Services are documented and tied to the treatment plan.</w:t>
      </w:r>
    </w:p>
    <w:p>
      <w:pPr>
        <w:pStyle w:val="Heading2"/>
        <w:spacing w:after="90" w:before="230"/>
      </w:pPr>
      <w:r>
        <w:rPr>
          <w:rFonts w:ascii="Calibri" w:cs="Calibri" w:eastAsia="Calibri" w:hAnsi="Calibri"/>
          <w:b/>
          <w:bCs/>
          <w:color w:val="2C523A"/>
          <w:sz w:val="24"/>
          <w:szCs w:val="24"/>
        </w:rPr>
        <w:t xml:space="preserve">4.10  Crisis Services Within the Program</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14 NYCRR 599.8; program model</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respond to recipients in crisis within the program's role.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delivers the crisis services its program includes, responds to recipients in crisis, and connects recipients to the broader crisis system.</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Crisis services within the program — including crisis visits and safety planning — are delivered by qualified staff.</w:t>
      </w:r>
    </w:p>
    <w:p>
      <w:pPr>
        <w:pStyle w:val="ListParagraph"/>
        <w:numPr>
          <w:ilvl w:val="0"/>
          <w:numId w:val="2"/>
        </w:numPr>
        <w:spacing w:after="70" w:line="274"/>
      </w:pPr>
      <w:r>
        <w:rPr>
          <w:rFonts w:ascii="Calibri" w:cs="Calibri" w:eastAsia="Calibri" w:hAnsi="Calibri"/>
          <w:color w:val="222222"/>
          <w:sz w:val="22"/>
          <w:szCs w:val="22"/>
        </w:rPr>
        <w:t xml:space="preserve">Recipients in crisis are assessed and connected to the appropriate level of care, including emergency services when needed.</w:t>
      </w:r>
    </w:p>
    <w:p>
      <w:pPr>
        <w:pStyle w:val="ListParagraph"/>
        <w:numPr>
          <w:ilvl w:val="0"/>
          <w:numId w:val="2"/>
        </w:numPr>
        <w:spacing w:after="70" w:line="274"/>
      </w:pPr>
      <w:r>
        <w:rPr>
          <w:rFonts w:ascii="Calibri" w:cs="Calibri" w:eastAsia="Calibri" w:hAnsi="Calibri"/>
          <w:color w:val="222222"/>
          <w:sz w:val="22"/>
          <w:szCs w:val="22"/>
        </w:rPr>
        <w:t xml:space="preserve">The program coordinates with 988, mobile crisis, and local crisis programs.</w:t>
      </w:r>
    </w:p>
    <w:p>
      <w:pPr>
        <w:pStyle w:val="ListParagraph"/>
        <w:numPr>
          <w:ilvl w:val="0"/>
          <w:numId w:val="2"/>
        </w:numPr>
        <w:spacing w:after="70" w:line="274"/>
      </w:pPr>
      <w:r>
        <w:rPr>
          <w:rFonts w:ascii="Calibri" w:cs="Calibri" w:eastAsia="Calibri" w:hAnsi="Calibri"/>
          <w:color w:val="222222"/>
          <w:sz w:val="22"/>
          <w:szCs w:val="22"/>
        </w:rPr>
        <w:t xml:space="preserve">Crisis contacts are documented.</w:t>
      </w:r>
    </w:p>
    <w:p>
      <w:pPr>
        <w:pStyle w:val="Heading2"/>
        <w:spacing w:after="90" w:before="230"/>
      </w:pPr>
      <w:r>
        <w:rPr>
          <w:rFonts w:ascii="Calibri" w:cs="Calibri" w:eastAsia="Calibri" w:hAnsi="Calibri"/>
          <w:b/>
          <w:bCs/>
          <w:color w:val="2C523A"/>
          <w:sz w:val="24"/>
          <w:szCs w:val="24"/>
        </w:rPr>
        <w:t xml:space="preserve">4.11  Children, Youth and Family Services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14 NYCRR 599; children's service standards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serve children and youth appropriately where licensed to.</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Where the provider serves children and youth, services are family-driven and youth-guided, involve parents and caregivers appropriately, and coordinate with schools and child-serving systems.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Services for children and youth follow the applicable standards and involve parents and caregivers consistent with consent law.</w:t>
      </w:r>
    </w:p>
    <w:p>
      <w:pPr>
        <w:pStyle w:val="ListParagraph"/>
        <w:numPr>
          <w:ilvl w:val="0"/>
          <w:numId w:val="2"/>
        </w:numPr>
        <w:spacing w:after="70" w:line="274"/>
      </w:pPr>
      <w:r>
        <w:rPr>
          <w:rFonts w:ascii="Calibri" w:cs="Calibri" w:eastAsia="Calibri" w:hAnsi="Calibri"/>
          <w:color w:val="222222"/>
          <w:sz w:val="22"/>
          <w:szCs w:val="22"/>
        </w:rPr>
        <w:t xml:space="preserve">Family and Youth Peer Advocates support families and youth where available.</w:t>
      </w:r>
    </w:p>
    <w:p>
      <w:pPr>
        <w:pStyle w:val="ListParagraph"/>
        <w:numPr>
          <w:ilvl w:val="0"/>
          <w:numId w:val="2"/>
        </w:numPr>
        <w:spacing w:after="70" w:line="274"/>
      </w:pPr>
      <w:r>
        <w:rPr>
          <w:rFonts w:ascii="Calibri" w:cs="Calibri" w:eastAsia="Calibri" w:hAnsi="Calibri"/>
          <w:color w:val="222222"/>
          <w:sz w:val="22"/>
          <w:szCs w:val="22"/>
        </w:rPr>
        <w:t xml:space="preserve">Coordination with schools and child-serving systems occurs with consent.</w:t>
      </w:r>
    </w:p>
    <w:p>
      <w:pPr>
        <w:pStyle w:val="ListParagraph"/>
        <w:numPr>
          <w:ilvl w:val="0"/>
          <w:numId w:val="2"/>
        </w:numPr>
        <w:spacing w:after="70" w:line="274"/>
      </w:pPr>
      <w:r>
        <w:rPr>
          <w:rFonts w:ascii="Calibri" w:cs="Calibri" w:eastAsia="Calibri" w:hAnsi="Calibri"/>
          <w:color w:val="222222"/>
          <w:sz w:val="22"/>
          <w:szCs w:val="22"/>
        </w:rPr>
        <w:t xml:space="preserve">Services are documented in the plan.</w:t>
      </w:r>
    </w:p>
    <w:p>
      <w:pPr>
        <w:pStyle w:val="Heading2"/>
        <w:spacing w:after="90" w:before="230"/>
      </w:pPr>
      <w:r>
        <w:rPr>
          <w:rFonts w:ascii="Calibri" w:cs="Calibri" w:eastAsia="Calibri" w:hAnsi="Calibri"/>
          <w:b/>
          <w:bCs/>
          <w:color w:val="2C523A"/>
          <w:sz w:val="24"/>
          <w:szCs w:val="24"/>
        </w:rPr>
        <w:t xml:space="preserve">4.12  Continuity and Aftercare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14 NYCRR 599.10; clinical standards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support recovery after a level of care ends.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plans continuity and aftercare as recipients step down or complete services, with medication continuity where applicable.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 continuity plan with community supports and follow-up is developed at step-down or completion.</w:t>
      </w:r>
    </w:p>
    <w:p>
      <w:pPr>
        <w:pStyle w:val="ListParagraph"/>
        <w:numPr>
          <w:ilvl w:val="0"/>
          <w:numId w:val="2"/>
        </w:numPr>
        <w:spacing w:after="70" w:line="274"/>
      </w:pPr>
      <w:r>
        <w:rPr>
          <w:rFonts w:ascii="Calibri" w:cs="Calibri" w:eastAsia="Calibri" w:hAnsi="Calibri"/>
          <w:color w:val="222222"/>
          <w:sz w:val="22"/>
          <w:szCs w:val="22"/>
        </w:rPr>
        <w:t xml:space="preserve">Referrals and warm handoffs are made with consent.</w:t>
      </w:r>
    </w:p>
    <w:p>
      <w:pPr>
        <w:pStyle w:val="ListParagraph"/>
        <w:numPr>
          <w:ilvl w:val="0"/>
          <w:numId w:val="2"/>
        </w:numPr>
        <w:spacing w:after="70" w:line="274"/>
      </w:pPr>
      <w:r>
        <w:rPr>
          <w:rFonts w:ascii="Calibri" w:cs="Calibri" w:eastAsia="Calibri" w:hAnsi="Calibri"/>
          <w:color w:val="222222"/>
          <w:sz w:val="22"/>
          <w:szCs w:val="22"/>
        </w:rPr>
        <w:t xml:space="preserve">Medication continuity is arranged where applicable.</w:t>
      </w:r>
    </w:p>
    <w:p>
      <w:pPr>
        <w:pStyle w:val="ListParagraph"/>
        <w:numPr>
          <w:ilvl w:val="0"/>
          <w:numId w:val="2"/>
        </w:numPr>
        <w:spacing w:after="70" w:line="274"/>
      </w:pPr>
      <w:r>
        <w:rPr>
          <w:rFonts w:ascii="Calibri" w:cs="Calibri" w:eastAsia="Calibri" w:hAnsi="Calibri"/>
          <w:color w:val="222222"/>
          <w:sz w:val="22"/>
          <w:szCs w:val="22"/>
        </w:rPr>
        <w:t xml:space="preserve">Continuity and aftercare are documented.</w:t>
      </w:r>
    </w:p>
    <w:p>
      <w:pPr>
        <w:pStyle w:val="Heading2"/>
        <w:spacing w:after="90" w:before="230"/>
      </w:pPr>
      <w:r>
        <w:rPr>
          <w:rFonts w:ascii="Calibri" w:cs="Calibri" w:eastAsia="Calibri" w:hAnsi="Calibri"/>
          <w:b/>
          <w:bCs/>
          <w:color w:val="2C523A"/>
          <w:sz w:val="24"/>
          <w:szCs w:val="24"/>
        </w:rPr>
        <w:t xml:space="preserve">4.13  Rehabilitative and Skill-Building Services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14 NYCRR 599.8; rehabilitative-services option</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deliver the rehabilitative services the MHOTRS model provides.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delivers rehabilitative and skill-building services — psychiatric rehabilitation, community living skills, and related supports — consistent with the treatment plan and the regulations, on-site and off-site.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Rehabilitative services build daily living, social, and community skills tied to the recipient's goals.</w:t>
      </w:r>
    </w:p>
    <w:p>
      <w:pPr>
        <w:pStyle w:val="ListParagraph"/>
        <w:numPr>
          <w:ilvl w:val="0"/>
          <w:numId w:val="2"/>
        </w:numPr>
        <w:spacing w:after="70" w:line="274"/>
      </w:pPr>
      <w:r>
        <w:rPr>
          <w:rFonts w:ascii="Calibri" w:cs="Calibri" w:eastAsia="Calibri" w:hAnsi="Calibri"/>
          <w:color w:val="222222"/>
          <w:sz w:val="22"/>
          <w:szCs w:val="22"/>
        </w:rPr>
        <w:t xml:space="preserve">Services are delivered by qualified staff on-site or off-site as the recipient's needs indicate.</w:t>
      </w:r>
    </w:p>
    <w:p>
      <w:pPr>
        <w:pStyle w:val="ListParagraph"/>
        <w:numPr>
          <w:ilvl w:val="0"/>
          <w:numId w:val="2"/>
        </w:numPr>
        <w:spacing w:after="70" w:line="274"/>
      </w:pPr>
      <w:r>
        <w:rPr>
          <w:rFonts w:ascii="Calibri" w:cs="Calibri" w:eastAsia="Calibri" w:hAnsi="Calibri"/>
          <w:color w:val="222222"/>
          <w:sz w:val="22"/>
          <w:szCs w:val="22"/>
        </w:rPr>
        <w:t xml:space="preserve">Rehabilitative services are documented in the plan and progress notes.</w:t>
      </w:r>
    </w:p>
    <w:p>
      <w:pPr>
        <w:pStyle w:val="ListParagraph"/>
        <w:numPr>
          <w:ilvl w:val="0"/>
          <w:numId w:val="2"/>
        </w:numPr>
        <w:spacing w:after="70" w:line="274"/>
      </w:pPr>
      <w:r>
        <w:rPr>
          <w:rFonts w:ascii="Calibri" w:cs="Calibri" w:eastAsia="Calibri" w:hAnsi="Calibri"/>
          <w:color w:val="222222"/>
          <w:sz w:val="22"/>
          <w:szCs w:val="22"/>
        </w:rPr>
        <w:t xml:space="preserve">Effectiveness is reviewed and services adjusted.</w:t>
      </w:r>
    </w:p>
    <w:p>
      <w:pPr>
        <w:pStyle w:val="Heading2"/>
        <w:spacing w:after="90" w:before="230"/>
      </w:pPr>
      <w:r>
        <w:rPr>
          <w:rFonts w:ascii="Calibri" w:cs="Calibri" w:eastAsia="Calibri" w:hAnsi="Calibri"/>
          <w:b/>
          <w:bCs/>
          <w:color w:val="2C523A"/>
          <w:sz w:val="24"/>
          <w:szCs w:val="24"/>
        </w:rPr>
        <w:t xml:space="preserve">4.14  Employment, Education and Community Participation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recovery-oriented practice</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support recovery goals in work, school, and community life.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supports recipients' employment, education, and community-participation goals, directly or through coordinated referral.</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Employment, education, and community-participation goals are explored in assessment and planning.</w:t>
      </w:r>
    </w:p>
    <w:p>
      <w:pPr>
        <w:pStyle w:val="ListParagraph"/>
        <w:numPr>
          <w:ilvl w:val="0"/>
          <w:numId w:val="2"/>
        </w:numPr>
        <w:spacing w:after="70" w:line="274"/>
      </w:pPr>
      <w:r>
        <w:rPr>
          <w:rFonts w:ascii="Calibri" w:cs="Calibri" w:eastAsia="Calibri" w:hAnsi="Calibri"/>
          <w:color w:val="222222"/>
          <w:sz w:val="22"/>
          <w:szCs w:val="22"/>
        </w:rPr>
        <w:t xml:space="preserve">Recipients are connected to supported employment, vocational, and educational resources where desired.</w:t>
      </w:r>
    </w:p>
    <w:p>
      <w:pPr>
        <w:pStyle w:val="ListParagraph"/>
        <w:numPr>
          <w:ilvl w:val="0"/>
          <w:numId w:val="2"/>
        </w:numPr>
        <w:spacing w:after="70" w:line="274"/>
      </w:pPr>
      <w:r>
        <w:rPr>
          <w:rFonts w:ascii="Calibri" w:cs="Calibri" w:eastAsia="Calibri" w:hAnsi="Calibri"/>
          <w:color w:val="222222"/>
          <w:sz w:val="22"/>
          <w:szCs w:val="22"/>
        </w:rPr>
        <w:t xml:space="preserve">Progress is supported and documented in the plan.</w:t>
      </w:r>
    </w:p>
    <w:p>
      <w:pPr>
        <w:pStyle w:val="ListParagraph"/>
        <w:numPr>
          <w:ilvl w:val="0"/>
          <w:numId w:val="2"/>
        </w:numPr>
        <w:spacing w:after="70" w:line="274"/>
      </w:pPr>
      <w:r>
        <w:rPr>
          <w:rFonts w:ascii="Calibri" w:cs="Calibri" w:eastAsia="Calibri" w:hAnsi="Calibri"/>
          <w:color w:val="222222"/>
          <w:sz w:val="22"/>
          <w:szCs w:val="22"/>
        </w:rPr>
        <w:t xml:space="preserve">Community participation is treated as part of recovery, not an afterthought.</w:t>
      </w:r>
    </w:p>
    <w:p>
      <w:pPr>
        <w:pStyle w:val="Heading2"/>
        <w:spacing w:after="90" w:before="230"/>
      </w:pPr>
      <w:r>
        <w:rPr>
          <w:rFonts w:ascii="Calibri" w:cs="Calibri" w:eastAsia="Calibri" w:hAnsi="Calibri"/>
          <w:b/>
          <w:bCs/>
          <w:color w:val="2C523A"/>
          <w:sz w:val="24"/>
          <w:szCs w:val="24"/>
        </w:rPr>
        <w:t xml:space="preserve">4.15  Wellness, Tobacco and Physical Health Promotion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clinical standards; public health guidance</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support whole-health wellness alongside mental health treatment.</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promotes physical wellness — including tobacco cessation support and attention to metabolic health — as part of mental health care.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Wellness needs, including tobacco use and metabolic risk associated with psychiatric medication, are identified.</w:t>
      </w:r>
    </w:p>
    <w:p>
      <w:pPr>
        <w:pStyle w:val="ListParagraph"/>
        <w:numPr>
          <w:ilvl w:val="0"/>
          <w:numId w:val="2"/>
        </w:numPr>
        <w:spacing w:after="70" w:line="274"/>
      </w:pPr>
      <w:r>
        <w:rPr>
          <w:rFonts w:ascii="Calibri" w:cs="Calibri" w:eastAsia="Calibri" w:hAnsi="Calibri"/>
          <w:color w:val="222222"/>
          <w:sz w:val="22"/>
          <w:szCs w:val="22"/>
        </w:rPr>
        <w:t xml:space="preserve">Cessation and wellness supports are offered or coordinated with consent.</w:t>
      </w:r>
    </w:p>
    <w:p>
      <w:pPr>
        <w:pStyle w:val="ListParagraph"/>
        <w:numPr>
          <w:ilvl w:val="0"/>
          <w:numId w:val="2"/>
        </w:numPr>
        <w:spacing w:after="70" w:line="274"/>
      </w:pPr>
      <w:r>
        <w:rPr>
          <w:rFonts w:ascii="Calibri" w:cs="Calibri" w:eastAsia="Calibri" w:hAnsi="Calibri"/>
          <w:color w:val="222222"/>
          <w:sz w:val="22"/>
          <w:szCs w:val="22"/>
        </w:rPr>
        <w:t xml:space="preserve">Wellness goals the recipient chooses are reflected in the plan.</w:t>
      </w:r>
    </w:p>
    <w:p>
      <w:pPr>
        <w:pStyle w:val="ListParagraph"/>
        <w:numPr>
          <w:ilvl w:val="0"/>
          <w:numId w:val="2"/>
        </w:numPr>
        <w:spacing w:after="70" w:line="274"/>
      </w:pPr>
      <w:r>
        <w:rPr>
          <w:rFonts w:ascii="Calibri" w:cs="Calibri" w:eastAsia="Calibri" w:hAnsi="Calibri"/>
          <w:color w:val="222222"/>
          <w:sz w:val="22"/>
          <w:szCs w:val="22"/>
        </w:rPr>
        <w:t xml:space="preserve">Coordination with primary care supports whole health.</w:t>
      </w:r>
    </w:p>
    <w:p>
      <w:pPr>
        <w:pStyle w:val="Heading2"/>
        <w:spacing w:after="90" w:before="230"/>
      </w:pPr>
      <w:r>
        <w:rPr>
          <w:rFonts w:ascii="Calibri" w:cs="Calibri" w:eastAsia="Calibri" w:hAnsi="Calibri"/>
          <w:b/>
          <w:bCs/>
          <w:color w:val="2C523A"/>
          <w:sz w:val="24"/>
          <w:szCs w:val="24"/>
        </w:rPr>
        <w:t xml:space="preserve">4.16  Response to Decompensation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clinical best practice</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respond early when a recipient's condition worsens.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recognizes early signs of decompensation and responds with increased contact, medication review, crisis planning, and level-of-care changes as indicated — clinically, not punitively.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Staff monitor for early warning signs and act on them with the recipient.</w:t>
      </w:r>
    </w:p>
    <w:p>
      <w:pPr>
        <w:pStyle w:val="ListParagraph"/>
        <w:numPr>
          <w:ilvl w:val="0"/>
          <w:numId w:val="2"/>
        </w:numPr>
        <w:spacing w:after="70" w:line="274"/>
      </w:pPr>
      <w:r>
        <w:rPr>
          <w:rFonts w:ascii="Calibri" w:cs="Calibri" w:eastAsia="Calibri" w:hAnsi="Calibri"/>
          <w:color w:val="222222"/>
          <w:sz w:val="22"/>
          <w:szCs w:val="22"/>
        </w:rPr>
        <w:t xml:space="preserve">Response may include increased contact, prescriber review, safety planning, family involvement with consent, and referral to a higher level of care.</w:t>
      </w:r>
    </w:p>
    <w:p>
      <w:pPr>
        <w:pStyle w:val="ListParagraph"/>
        <w:numPr>
          <w:ilvl w:val="0"/>
          <w:numId w:val="2"/>
        </w:numPr>
        <w:spacing w:after="70" w:line="274"/>
      </w:pPr>
      <w:r>
        <w:rPr>
          <w:rFonts w:ascii="Calibri" w:cs="Calibri" w:eastAsia="Calibri" w:hAnsi="Calibri"/>
          <w:color w:val="222222"/>
          <w:sz w:val="22"/>
          <w:szCs w:val="22"/>
        </w:rPr>
        <w:t xml:space="preserve">Missed services during decompensation trigger outreach consistent with consent.</w:t>
      </w:r>
    </w:p>
    <w:p>
      <w:pPr>
        <w:pStyle w:val="ListParagraph"/>
        <w:numPr>
          <w:ilvl w:val="0"/>
          <w:numId w:val="2"/>
        </w:numPr>
        <w:spacing w:after="70" w:line="274"/>
      </w:pPr>
      <w:r>
        <w:rPr>
          <w:rFonts w:ascii="Calibri" w:cs="Calibri" w:eastAsia="Calibri" w:hAnsi="Calibri"/>
          <w:color w:val="222222"/>
          <w:sz w:val="22"/>
          <w:szCs w:val="22"/>
        </w:rPr>
        <w:t xml:space="preserve">The response is documented and the plan updated.</w:t>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5 — Personnel, Credentials &amp; Clinical Supervision</w:t>
      </w:r>
    </w:p>
    <w:p>
      <w:pPr>
        <w:spacing w:after="140" w:before="0" w:line="278"/>
      </w:pPr>
      <w:r>
        <w:rPr>
          <w:rFonts w:ascii="Calibri" w:cs="Calibri" w:eastAsia="Calibri" w:hAnsi="Calibri"/>
          <w:b w:val="false"/>
          <w:bCs w:val="false"/>
          <w:i w:val="false"/>
          <w:iCs w:val="false"/>
          <w:color w:val="222222"/>
          <w:sz w:val="22"/>
          <w:szCs w:val="22"/>
        </w:rPr>
        <w:t xml:space="preserve">This section governs who delivers and supervises services. Part 599.9 builds the MHOTRS workforce around professional staff and Licensed Practitioners of the Healing Arts — psychiatrists, psychologists, social workers, mental health counselors, nurses, and others within their licenses — alongside OMH's credentialed peer workforce. New York's screening regime applies with full force: criminal history information reviews under Mental Hygiene Law § 31.35 and Part 550, Statewide Central Register clearance for staff with recipient contact, the Justice Center's Staff Exclusion List, and the Code of Conduct. The section covers qualifications and scope, supervision, screening, training, and conduct.</w:t>
      </w:r>
    </w:p>
    <w:p>
      <w:pPr>
        <w:pStyle w:val="Heading2"/>
        <w:spacing w:after="90" w:before="230"/>
      </w:pPr>
      <w:r>
        <w:rPr>
          <w:rFonts w:ascii="Calibri" w:cs="Calibri" w:eastAsia="Calibri" w:hAnsi="Calibri"/>
          <w:b/>
          <w:bCs/>
          <w:color w:val="2C523A"/>
          <w:sz w:val="24"/>
          <w:szCs w:val="24"/>
        </w:rPr>
        <w:t xml:space="preserve">5.01  Staff Qualifications, Licensure and Scope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14 NYCRR 599.9; professional licensing law</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ensure services are delivered by appropriately qualified and licensed staff.</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assigns clinical functions only to staff qualified for them — licensed practitioners of the healing arts and other qualified staff working within the scope of their license, permit, or credential.</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Clinical services are delivered by LPHAs and other qualified staff as Part 599 and the applicable Part require.</w:t>
      </w:r>
    </w:p>
    <w:p>
      <w:pPr>
        <w:pStyle w:val="ListParagraph"/>
        <w:numPr>
          <w:ilvl w:val="0"/>
          <w:numId w:val="2"/>
        </w:numPr>
        <w:spacing w:after="70" w:line="274"/>
      </w:pPr>
      <w:r>
        <w:rPr>
          <w:rFonts w:ascii="Calibri" w:cs="Calibri" w:eastAsia="Calibri" w:hAnsi="Calibri"/>
          <w:color w:val="222222"/>
          <w:sz w:val="22"/>
          <w:szCs w:val="22"/>
        </w:rPr>
        <w:t xml:space="preserve">Practitioners under limited permits or pending licensure function under proper supervision as the regulations allow.</w:t>
      </w:r>
    </w:p>
    <w:p>
      <w:pPr>
        <w:pStyle w:val="ListParagraph"/>
        <w:numPr>
          <w:ilvl w:val="0"/>
          <w:numId w:val="2"/>
        </w:numPr>
        <w:spacing w:after="70" w:line="274"/>
      </w:pPr>
      <w:r>
        <w:rPr>
          <w:rFonts w:ascii="Calibri" w:cs="Calibri" w:eastAsia="Calibri" w:hAnsi="Calibri"/>
          <w:color w:val="222222"/>
          <w:sz w:val="22"/>
          <w:szCs w:val="22"/>
        </w:rPr>
        <w:t xml:space="preserve">Licenses, permits, and credentials are verified before assignment and monitored for renewal.</w:t>
      </w:r>
    </w:p>
    <w:p>
      <w:pPr>
        <w:pStyle w:val="ListParagraph"/>
        <w:numPr>
          <w:ilvl w:val="0"/>
          <w:numId w:val="2"/>
        </w:numPr>
        <w:spacing w:after="70" w:line="274"/>
      </w:pPr>
      <w:r>
        <w:rPr>
          <w:rFonts w:ascii="Calibri" w:cs="Calibri" w:eastAsia="Calibri" w:hAnsi="Calibri"/>
          <w:color w:val="222222"/>
          <w:sz w:val="22"/>
          <w:szCs w:val="22"/>
        </w:rPr>
        <w:t xml:space="preserve">Unlicensed staff work within defined roles and do not perform functions reserved to licensed practitioners.</w:t>
      </w:r>
    </w:p>
    <w:p>
      <w:pPr>
        <w:pStyle w:val="ListParagraph"/>
        <w:numPr>
          <w:ilvl w:val="0"/>
          <w:numId w:val="2"/>
        </w:numPr>
        <w:spacing w:after="70" w:line="274"/>
      </w:pPr>
      <w:r>
        <w:rPr>
          <w:rFonts w:ascii="Calibri" w:cs="Calibri" w:eastAsia="Calibri" w:hAnsi="Calibri"/>
          <w:color w:val="222222"/>
          <w:sz w:val="22"/>
          <w:szCs w:val="22"/>
        </w:rPr>
        <w:t xml:space="preserve">Verification is documented in the personnel record.</w:t>
      </w:r>
    </w:p>
    <w:p>
      <w:pPr>
        <w:pStyle w:val="Heading2"/>
        <w:spacing w:after="90" w:before="230"/>
      </w:pPr>
      <w:r>
        <w:rPr>
          <w:rFonts w:ascii="Calibri" w:cs="Calibri" w:eastAsia="Calibri" w:hAnsi="Calibri"/>
          <w:b/>
          <w:bCs/>
          <w:color w:val="2C523A"/>
          <w:sz w:val="24"/>
          <w:szCs w:val="24"/>
        </w:rPr>
        <w:t xml:space="preserve">5.02  Clinical Supervision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14 NYCRR 599.9; licensing boards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provide the clinical supervision the regulations and professions require.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Clinical work is supervised by qualified professional staff, and practitioners requiring supervision — including limited-permit holders — receive it as the regulations and their boards require.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Clinical supervision is provided by qualified supervisory staff consistent with the applicable Part.</w:t>
      </w:r>
    </w:p>
    <w:p>
      <w:pPr>
        <w:pStyle w:val="ListParagraph"/>
        <w:numPr>
          <w:ilvl w:val="0"/>
          <w:numId w:val="2"/>
        </w:numPr>
        <w:spacing w:after="70" w:line="274"/>
      </w:pPr>
      <w:r>
        <w:rPr>
          <w:rFonts w:ascii="Calibri" w:cs="Calibri" w:eastAsia="Calibri" w:hAnsi="Calibri"/>
          <w:color w:val="222222"/>
          <w:sz w:val="22"/>
          <w:szCs w:val="22"/>
        </w:rPr>
        <w:t xml:space="preserve">Supervision of limited-permit holders and clinicians pursuing licensure meets board requirements and is documented.</w:t>
      </w:r>
    </w:p>
    <w:p>
      <w:pPr>
        <w:pStyle w:val="ListParagraph"/>
        <w:numPr>
          <w:ilvl w:val="0"/>
          <w:numId w:val="2"/>
        </w:numPr>
        <w:spacing w:after="70" w:line="274"/>
      </w:pPr>
      <w:r>
        <w:rPr>
          <w:rFonts w:ascii="Calibri" w:cs="Calibri" w:eastAsia="Calibri" w:hAnsi="Calibri"/>
          <w:color w:val="222222"/>
          <w:sz w:val="22"/>
          <w:szCs w:val="22"/>
        </w:rPr>
        <w:t xml:space="preserve">The clinical supervisor reviews clinical work and documentation and ensures services meet the regulations and standards.</w:t>
      </w:r>
    </w:p>
    <w:p>
      <w:pPr>
        <w:pStyle w:val="ListParagraph"/>
        <w:numPr>
          <w:ilvl w:val="0"/>
          <w:numId w:val="2"/>
        </w:numPr>
        <w:spacing w:after="70" w:line="274"/>
      </w:pPr>
      <w:r>
        <w:rPr>
          <w:rFonts w:ascii="Calibri" w:cs="Calibri" w:eastAsia="Calibri" w:hAnsi="Calibri"/>
          <w:color w:val="222222"/>
          <w:sz w:val="22"/>
          <w:szCs w:val="22"/>
        </w:rPr>
        <w:t xml:space="preserve">Clinical supervision is documented.</w:t>
      </w:r>
    </w:p>
    <w:p>
      <w:pPr>
        <w:pStyle w:val="Heading2"/>
        <w:spacing w:after="90" w:before="230"/>
      </w:pPr>
      <w:r>
        <w:rPr>
          <w:rFonts w:ascii="Calibri" w:cs="Calibri" w:eastAsia="Calibri" w:hAnsi="Calibri"/>
          <w:b/>
          <w:bCs/>
          <w:color w:val="2C523A"/>
          <w:sz w:val="24"/>
          <w:szCs w:val="24"/>
        </w:rPr>
        <w:t xml:space="preserve">5.03  Screening: Criminal History, SCR and SEL</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MHL § 31.35; 14 NYCRR Part 550; SSL §§ 424-a, 495</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screen staff before they serve recipients.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completes required pre-employment screening — criminal history information review, Statewide Central Register clearance for staff with recipient contact, and the Justice Center Staff Exclusion List check — and does not employ a disqualified person.</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Criminal history information reviews under MHL § 31.35 and Part 550 are completed for prospective employees, contractors, and volunteers with the potential for regular and substantial unsupervised contact with recipients.</w:t>
      </w:r>
    </w:p>
    <w:p>
      <w:pPr>
        <w:pStyle w:val="ListParagraph"/>
        <w:numPr>
          <w:ilvl w:val="0"/>
          <w:numId w:val="2"/>
        </w:numPr>
        <w:spacing w:after="70" w:line="274"/>
      </w:pPr>
      <w:r>
        <w:rPr>
          <w:rFonts w:ascii="Calibri" w:cs="Calibri" w:eastAsia="Calibri" w:hAnsi="Calibri"/>
          <w:color w:val="222222"/>
          <w:sz w:val="22"/>
          <w:szCs w:val="22"/>
        </w:rPr>
        <w:t xml:space="preserve">Staff with the potential for regular and substantial contact with recipients are cleared by the Statewide Central Register before performing duties requiring contact.</w:t>
      </w:r>
    </w:p>
    <w:p>
      <w:pPr>
        <w:pStyle w:val="ListParagraph"/>
        <w:numPr>
          <w:ilvl w:val="0"/>
          <w:numId w:val="2"/>
        </w:numPr>
        <w:spacing w:after="70" w:line="274"/>
      </w:pPr>
      <w:r>
        <w:rPr>
          <w:rFonts w:ascii="Calibri" w:cs="Calibri" w:eastAsia="Calibri" w:hAnsi="Calibri"/>
          <w:color w:val="222222"/>
          <w:sz w:val="22"/>
          <w:szCs w:val="22"/>
        </w:rPr>
        <w:t xml:space="preserve">The Justice Center Staff Exclusion List is checked before hire, and a person on the list is not hired for a covered position.</w:t>
      </w:r>
    </w:p>
    <w:p>
      <w:pPr>
        <w:pStyle w:val="ListParagraph"/>
        <w:numPr>
          <w:ilvl w:val="0"/>
          <w:numId w:val="2"/>
        </w:numPr>
        <w:spacing w:after="70" w:line="274"/>
      </w:pPr>
      <w:r>
        <w:rPr>
          <w:rFonts w:ascii="Calibri" w:cs="Calibri" w:eastAsia="Calibri" w:hAnsi="Calibri"/>
          <w:color w:val="222222"/>
          <w:sz w:val="22"/>
          <w:szCs w:val="22"/>
        </w:rPr>
        <w:t xml:space="preserve">References and credentials are verified, screening documentation is retained, and disqualifying information arising during employment is acted on.</w:t>
      </w:r>
    </w:p>
    <w:p>
      <w:pPr>
        <w:pStyle w:val="Heading2"/>
        <w:spacing w:after="90" w:before="230"/>
      </w:pPr>
      <w:r>
        <w:rPr>
          <w:rFonts w:ascii="Calibri" w:cs="Calibri" w:eastAsia="Calibri" w:hAnsi="Calibri"/>
          <w:b/>
          <w:bCs/>
          <w:color w:val="2C523A"/>
          <w:sz w:val="24"/>
          <w:szCs w:val="24"/>
        </w:rPr>
        <w:t xml:space="preserve">5.04  Orientation, Training and the Code of Conduct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14 NYCRR 599.9; Justice Center Code of Conduct</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prepare staff for their duties and the conduct New York requires.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orients each staff person before independent duty, provides required training, and obtains acknowledgment of the Justice Center Code of Conduct for staff who are custodians.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Before independent duty, staff are oriented to recipient rights, confidentiality, their duties, incident and emergency procedures, and mandated-reporter obligations.</w:t>
      </w:r>
    </w:p>
    <w:p>
      <w:pPr>
        <w:pStyle w:val="ListParagraph"/>
        <w:numPr>
          <w:ilvl w:val="0"/>
          <w:numId w:val="2"/>
        </w:numPr>
        <w:spacing w:after="70" w:line="274"/>
      </w:pPr>
      <w:r>
        <w:rPr>
          <w:rFonts w:ascii="Calibri" w:cs="Calibri" w:eastAsia="Calibri" w:hAnsi="Calibri"/>
          <w:color w:val="222222"/>
          <w:sz w:val="22"/>
          <w:szCs w:val="22"/>
        </w:rPr>
        <w:t xml:space="preserve">Staff who are custodians under the Protection of People with Special Needs Act receive and acknowledge the Justice Center Code of Conduct at hire and as required thereafter.</w:t>
      </w:r>
    </w:p>
    <w:p>
      <w:pPr>
        <w:pStyle w:val="ListParagraph"/>
        <w:numPr>
          <w:ilvl w:val="0"/>
          <w:numId w:val="2"/>
        </w:numPr>
        <w:spacing w:after="70" w:line="274"/>
      </w:pPr>
      <w:r>
        <w:rPr>
          <w:rFonts w:ascii="Calibri" w:cs="Calibri" w:eastAsia="Calibri" w:hAnsi="Calibri"/>
          <w:color w:val="222222"/>
          <w:sz w:val="22"/>
          <w:szCs w:val="22"/>
        </w:rPr>
        <w:t xml:space="preserve">Required and role-appropriate training is provided and refreshed, including suicide-risk response and emergency procedures.</w:t>
      </w:r>
    </w:p>
    <w:p>
      <w:pPr>
        <w:pStyle w:val="ListParagraph"/>
        <w:numPr>
          <w:ilvl w:val="0"/>
          <w:numId w:val="2"/>
        </w:numPr>
        <w:spacing w:after="70" w:line="274"/>
      </w:pPr>
      <w:r>
        <w:rPr>
          <w:rFonts w:ascii="Calibri" w:cs="Calibri" w:eastAsia="Calibri" w:hAnsi="Calibri"/>
          <w:color w:val="222222"/>
          <w:sz w:val="22"/>
          <w:szCs w:val="22"/>
        </w:rPr>
        <w:t xml:space="preserve">Competency for assigned duties is verified before independent performance, and all of it is documented.</w:t>
      </w:r>
    </w:p>
    <w:p>
      <w:pPr>
        <w:pStyle w:val="Heading2"/>
        <w:spacing w:after="90" w:before="230"/>
      </w:pPr>
      <w:r>
        <w:rPr>
          <w:rFonts w:ascii="Calibri" w:cs="Calibri" w:eastAsia="Calibri" w:hAnsi="Calibri"/>
          <w:b/>
          <w:bCs/>
          <w:color w:val="2C523A"/>
          <w:sz w:val="24"/>
          <w:szCs w:val="24"/>
        </w:rPr>
        <w:t xml:space="preserve">5.05  Personnel Records, Conduct and Staffing Adequacy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14 NYCRR 599.6, 599.9</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document staff, hold them to professional conduct, and staff adequately.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maintains a complete personnel record for each staff person, holds staff to professional and ethical conduct, and staffs the program adequately for safe, effective care.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Each personnel record contains the application, license and credential verifications, screening results, references, orientation, training, acknowledgments, and supervision.</w:t>
      </w:r>
    </w:p>
    <w:p>
      <w:pPr>
        <w:pStyle w:val="ListParagraph"/>
        <w:numPr>
          <w:ilvl w:val="0"/>
          <w:numId w:val="2"/>
        </w:numPr>
        <w:spacing w:after="70" w:line="274"/>
      </w:pPr>
      <w:r>
        <w:rPr>
          <w:rFonts w:ascii="Calibri" w:cs="Calibri" w:eastAsia="Calibri" w:hAnsi="Calibri"/>
          <w:color w:val="222222"/>
          <w:sz w:val="22"/>
          <w:szCs w:val="22"/>
        </w:rPr>
        <w:t xml:space="preserve">Staff maintain professional boundaries, protect confidentiality, and do not exploit or harm recipients; violations are addressed and reported as required, including to the Justice Center where applicable.</w:t>
      </w:r>
    </w:p>
    <w:p>
      <w:pPr>
        <w:pStyle w:val="ListParagraph"/>
        <w:numPr>
          <w:ilvl w:val="0"/>
          <w:numId w:val="2"/>
        </w:numPr>
        <w:spacing w:after="70" w:line="274"/>
      </w:pPr>
      <w:r>
        <w:rPr>
          <w:rFonts w:ascii="Calibri" w:cs="Calibri" w:eastAsia="Calibri" w:hAnsi="Calibri"/>
          <w:color w:val="222222"/>
          <w:sz w:val="22"/>
          <w:szCs w:val="22"/>
        </w:rPr>
        <w:t xml:space="preserve">Staff do not work while impaired; an impaired or unsafe staff member is removed from recipient care pending review, with required reports made.</w:t>
      </w:r>
    </w:p>
    <w:p>
      <w:pPr>
        <w:pStyle w:val="ListParagraph"/>
        <w:numPr>
          <w:ilvl w:val="0"/>
          <w:numId w:val="2"/>
        </w:numPr>
        <w:spacing w:after="70" w:line="274"/>
      </w:pPr>
      <w:r>
        <w:rPr>
          <w:rFonts w:ascii="Calibri" w:cs="Calibri" w:eastAsia="Calibri" w:hAnsi="Calibri"/>
          <w:color w:val="222222"/>
          <w:sz w:val="22"/>
          <w:szCs w:val="22"/>
        </w:rPr>
        <w:t xml:space="preserve">Staffing is adjusted to census, acuity, and program requirements, with caseloads that allow services and documentation to be completed to standard.</w:t>
      </w:r>
    </w:p>
    <w:p>
      <w:pPr>
        <w:pStyle w:val="Heading2"/>
        <w:spacing w:after="90" w:before="230"/>
      </w:pPr>
      <w:r>
        <w:rPr>
          <w:rFonts w:ascii="Calibri" w:cs="Calibri" w:eastAsia="Calibri" w:hAnsi="Calibri"/>
          <w:b/>
          <w:bCs/>
          <w:color w:val="2C523A"/>
          <w:sz w:val="24"/>
          <w:szCs w:val="24"/>
        </w:rPr>
        <w:t xml:space="preserve">5.06  Continuing Education and License Renewal</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licensing boards; OMH credentials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keep staff current and licensed.</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ensures staff maintain required continuing education and renew licenses and credentials on time.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Staff maintain the continuing education their licenses and credentials require.</w:t>
      </w:r>
    </w:p>
    <w:p>
      <w:pPr>
        <w:pStyle w:val="ListParagraph"/>
        <w:numPr>
          <w:ilvl w:val="0"/>
          <w:numId w:val="2"/>
        </w:numPr>
        <w:spacing w:after="70" w:line="274"/>
      </w:pPr>
      <w:r>
        <w:rPr>
          <w:rFonts w:ascii="Calibri" w:cs="Calibri" w:eastAsia="Calibri" w:hAnsi="Calibri"/>
          <w:color w:val="222222"/>
          <w:sz w:val="22"/>
          <w:szCs w:val="22"/>
        </w:rPr>
        <w:t xml:space="preserve">The provider tracks expirations and confirms renewal, including peer credentials.</w:t>
      </w:r>
    </w:p>
    <w:p>
      <w:pPr>
        <w:pStyle w:val="ListParagraph"/>
        <w:numPr>
          <w:ilvl w:val="0"/>
          <w:numId w:val="2"/>
        </w:numPr>
        <w:spacing w:after="70" w:line="274"/>
      </w:pPr>
      <w:r>
        <w:rPr>
          <w:rFonts w:ascii="Calibri" w:cs="Calibri" w:eastAsia="Calibri" w:hAnsi="Calibri"/>
          <w:color w:val="222222"/>
          <w:sz w:val="22"/>
          <w:szCs w:val="22"/>
        </w:rPr>
        <w:t xml:space="preserve">Competency for assigned duties is refreshed as needed.</w:t>
      </w:r>
    </w:p>
    <w:p>
      <w:pPr>
        <w:pStyle w:val="ListParagraph"/>
        <w:numPr>
          <w:ilvl w:val="0"/>
          <w:numId w:val="2"/>
        </w:numPr>
        <w:spacing w:after="70" w:line="274"/>
      </w:pPr>
      <w:r>
        <w:rPr>
          <w:rFonts w:ascii="Calibri" w:cs="Calibri" w:eastAsia="Calibri" w:hAnsi="Calibri"/>
          <w:color w:val="222222"/>
          <w:sz w:val="22"/>
          <w:szCs w:val="22"/>
        </w:rPr>
        <w:t xml:space="preserve">Continuing education and renewals are documented.</w:t>
      </w:r>
    </w:p>
    <w:p>
      <w:pPr>
        <w:pStyle w:val="Heading2"/>
        <w:spacing w:after="90" w:before="230"/>
      </w:pPr>
      <w:r>
        <w:rPr>
          <w:rFonts w:ascii="Calibri" w:cs="Calibri" w:eastAsia="Calibri" w:hAnsi="Calibri"/>
          <w:b/>
          <w:bCs/>
          <w:color w:val="2C523A"/>
          <w:sz w:val="24"/>
          <w:szCs w:val="24"/>
        </w:rPr>
        <w:t xml:space="preserve">5.07  Volunteers, Students and Interns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MHL § 31.35; Part 550; screening requirements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use volunteers, students, and interns safely and within scope.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screens, orients, and supervises volunteers, students, and interns and limits their duties to their qualifications.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Volunteers, students, and interns with recipient contact complete required screening — including criminal history review and SCR clearance where applicable — and orientation before contact.</w:t>
      </w:r>
    </w:p>
    <w:p>
      <w:pPr>
        <w:pStyle w:val="ListParagraph"/>
        <w:numPr>
          <w:ilvl w:val="0"/>
          <w:numId w:val="2"/>
        </w:numPr>
        <w:spacing w:after="70" w:line="274"/>
      </w:pPr>
      <w:r>
        <w:rPr>
          <w:rFonts w:ascii="Calibri" w:cs="Calibri" w:eastAsia="Calibri" w:hAnsi="Calibri"/>
          <w:color w:val="222222"/>
          <w:sz w:val="22"/>
          <w:szCs w:val="22"/>
        </w:rPr>
        <w:t xml:space="preserve">They work within defined roles under supervision and do not perform clinical functions beyond their qualifications.</w:t>
      </w:r>
    </w:p>
    <w:p>
      <w:pPr>
        <w:pStyle w:val="ListParagraph"/>
        <w:numPr>
          <w:ilvl w:val="0"/>
          <w:numId w:val="2"/>
        </w:numPr>
        <w:spacing w:after="70" w:line="274"/>
      </w:pPr>
      <w:r>
        <w:rPr>
          <w:rFonts w:ascii="Calibri" w:cs="Calibri" w:eastAsia="Calibri" w:hAnsi="Calibri"/>
          <w:color w:val="222222"/>
          <w:sz w:val="22"/>
          <w:szCs w:val="22"/>
        </w:rPr>
        <w:t xml:space="preserve">Students and interns work within their training agreements.</w:t>
      </w:r>
    </w:p>
    <w:p>
      <w:pPr>
        <w:pStyle w:val="ListParagraph"/>
        <w:numPr>
          <w:ilvl w:val="0"/>
          <w:numId w:val="2"/>
        </w:numPr>
        <w:spacing w:after="70" w:line="274"/>
      </w:pPr>
      <w:r>
        <w:rPr>
          <w:rFonts w:ascii="Calibri" w:cs="Calibri" w:eastAsia="Calibri" w:hAnsi="Calibri"/>
          <w:color w:val="222222"/>
          <w:sz w:val="22"/>
          <w:szCs w:val="22"/>
        </w:rPr>
        <w:t xml:space="preserve">Roles and screening are documented.</w:t>
      </w:r>
    </w:p>
    <w:p>
      <w:pPr>
        <w:pStyle w:val="Heading2"/>
        <w:spacing w:after="90" w:before="230"/>
      </w:pPr>
      <w:r>
        <w:rPr>
          <w:rFonts w:ascii="Calibri" w:cs="Calibri" w:eastAsia="Calibri" w:hAnsi="Calibri"/>
          <w:b/>
          <w:bCs/>
          <w:color w:val="2C523A"/>
          <w:sz w:val="24"/>
          <w:szCs w:val="24"/>
        </w:rPr>
        <w:t xml:space="preserve">5.08  Performance Evaluation and Corrective Action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14 NYCRR 599.6; recipient rights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manage performance and protect recipients.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evaluates staff performance and addresses concerns through feedback, retraining, and corrective action, protecting recipients throughout.</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Performance is evaluated at appropriate intervals with documented feedback.</w:t>
      </w:r>
    </w:p>
    <w:p>
      <w:pPr>
        <w:pStyle w:val="ListParagraph"/>
        <w:numPr>
          <w:ilvl w:val="0"/>
          <w:numId w:val="2"/>
        </w:numPr>
        <w:spacing w:after="70" w:line="274"/>
      </w:pPr>
      <w:r>
        <w:rPr>
          <w:rFonts w:ascii="Calibri" w:cs="Calibri" w:eastAsia="Calibri" w:hAnsi="Calibri"/>
          <w:color w:val="222222"/>
          <w:sz w:val="22"/>
          <w:szCs w:val="22"/>
        </w:rPr>
        <w:t xml:space="preserve">Concerns affecting recipient safety trigger immediate protective steps.</w:t>
      </w:r>
    </w:p>
    <w:p>
      <w:pPr>
        <w:pStyle w:val="ListParagraph"/>
        <w:numPr>
          <w:ilvl w:val="0"/>
          <w:numId w:val="2"/>
        </w:numPr>
        <w:spacing w:after="70" w:line="274"/>
      </w:pPr>
      <w:r>
        <w:rPr>
          <w:rFonts w:ascii="Calibri" w:cs="Calibri" w:eastAsia="Calibri" w:hAnsi="Calibri"/>
          <w:color w:val="222222"/>
          <w:sz w:val="22"/>
          <w:szCs w:val="22"/>
        </w:rPr>
        <w:t xml:space="preserve">Corrective and disciplinary actions are applied consistently and documented.</w:t>
      </w:r>
    </w:p>
    <w:p>
      <w:pPr>
        <w:pStyle w:val="ListParagraph"/>
        <w:numPr>
          <w:ilvl w:val="0"/>
          <w:numId w:val="2"/>
        </w:numPr>
        <w:spacing w:after="70" w:line="274"/>
      </w:pPr>
      <w:r>
        <w:rPr>
          <w:rFonts w:ascii="Calibri" w:cs="Calibri" w:eastAsia="Calibri" w:hAnsi="Calibri"/>
          <w:color w:val="222222"/>
          <w:sz w:val="22"/>
          <w:szCs w:val="22"/>
        </w:rPr>
        <w:t xml:space="preserve">Substantiated abuse, neglect, or exploitation is reported as required, including to the Justice Center.</w:t>
      </w:r>
    </w:p>
    <w:p>
      <w:pPr>
        <w:pStyle w:val="Heading2"/>
        <w:spacing w:after="90" w:before="230"/>
      </w:pPr>
      <w:r>
        <w:rPr>
          <w:rFonts w:ascii="Calibri" w:cs="Calibri" w:eastAsia="Calibri" w:hAnsi="Calibri"/>
          <w:b/>
          <w:bCs/>
          <w:color w:val="2C523A"/>
          <w:sz w:val="24"/>
          <w:szCs w:val="24"/>
        </w:rPr>
        <w:t xml:space="preserve">5.09  Staff Wellness and Secondary Trauma</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sound clinical practice</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support staff who do demanding clinical work.</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supports staff wellness and addresses secondary traumatic stress to sustain safe, effective care.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Staff wellness is supported, and the risk of secondary traumatic stress is recognized.</w:t>
      </w:r>
    </w:p>
    <w:p>
      <w:pPr>
        <w:pStyle w:val="ListParagraph"/>
        <w:numPr>
          <w:ilvl w:val="0"/>
          <w:numId w:val="2"/>
        </w:numPr>
        <w:spacing w:after="70" w:line="274"/>
      </w:pPr>
      <w:r>
        <w:rPr>
          <w:rFonts w:ascii="Calibri" w:cs="Calibri" w:eastAsia="Calibri" w:hAnsi="Calibri"/>
          <w:color w:val="222222"/>
          <w:sz w:val="22"/>
          <w:szCs w:val="22"/>
        </w:rPr>
        <w:t xml:space="preserve">Supervision and resources address the impact of the work.</w:t>
      </w:r>
    </w:p>
    <w:p>
      <w:pPr>
        <w:pStyle w:val="ListParagraph"/>
        <w:numPr>
          <w:ilvl w:val="0"/>
          <w:numId w:val="2"/>
        </w:numPr>
        <w:spacing w:after="70" w:line="274"/>
      </w:pPr>
      <w:r>
        <w:rPr>
          <w:rFonts w:ascii="Calibri" w:cs="Calibri" w:eastAsia="Calibri" w:hAnsi="Calibri"/>
          <w:color w:val="222222"/>
          <w:sz w:val="22"/>
          <w:szCs w:val="22"/>
        </w:rPr>
        <w:t xml:space="preserve">Staff can raise wellness concerns without reprisal.</w:t>
      </w:r>
    </w:p>
    <w:p>
      <w:pPr>
        <w:pStyle w:val="ListParagraph"/>
        <w:numPr>
          <w:ilvl w:val="0"/>
          <w:numId w:val="2"/>
        </w:numPr>
        <w:spacing w:after="70" w:line="274"/>
      </w:pPr>
      <w:r>
        <w:rPr>
          <w:rFonts w:ascii="Calibri" w:cs="Calibri" w:eastAsia="Calibri" w:hAnsi="Calibri"/>
          <w:color w:val="222222"/>
          <w:sz w:val="22"/>
          <w:szCs w:val="22"/>
        </w:rPr>
        <w:t xml:space="preserve">Support is adjusted as needed.</w:t>
      </w:r>
    </w:p>
    <w:p>
      <w:pPr>
        <w:pStyle w:val="Heading2"/>
        <w:spacing w:after="90" w:before="230"/>
      </w:pPr>
      <w:r>
        <w:rPr>
          <w:rFonts w:ascii="Calibri" w:cs="Calibri" w:eastAsia="Calibri" w:hAnsi="Calibri"/>
          <w:b/>
          <w:bCs/>
          <w:color w:val="2C523A"/>
          <w:sz w:val="24"/>
          <w:szCs w:val="24"/>
        </w:rPr>
        <w:t xml:space="preserve">5.10  Cultural Competence and Workforce Development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civil-rights law; sound practice</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build a workforce that serves New York's communities well.</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builds cultural competence and language capacity into its workforce and services.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Staff cultural competence is supported through training and supervision.</w:t>
      </w:r>
    </w:p>
    <w:p>
      <w:pPr>
        <w:pStyle w:val="ListParagraph"/>
        <w:numPr>
          <w:ilvl w:val="0"/>
          <w:numId w:val="2"/>
        </w:numPr>
        <w:spacing w:after="70" w:line="274"/>
      </w:pPr>
      <w:r>
        <w:rPr>
          <w:rFonts w:ascii="Calibri" w:cs="Calibri" w:eastAsia="Calibri" w:hAnsi="Calibri"/>
          <w:color w:val="222222"/>
          <w:sz w:val="22"/>
          <w:szCs w:val="22"/>
        </w:rPr>
        <w:t xml:space="preserve">Language capacity and interpretation meet the needs of the populations served.</w:t>
      </w:r>
    </w:p>
    <w:p>
      <w:pPr>
        <w:pStyle w:val="ListParagraph"/>
        <w:numPr>
          <w:ilvl w:val="0"/>
          <w:numId w:val="2"/>
        </w:numPr>
        <w:spacing w:after="70" w:line="274"/>
      </w:pPr>
      <w:r>
        <w:rPr>
          <w:rFonts w:ascii="Calibri" w:cs="Calibri" w:eastAsia="Calibri" w:hAnsi="Calibri"/>
          <w:color w:val="222222"/>
          <w:sz w:val="22"/>
          <w:szCs w:val="22"/>
        </w:rPr>
        <w:t xml:space="preserve">Disparities in access or outcomes are reviewed and addressed.</w:t>
      </w:r>
    </w:p>
    <w:p>
      <w:pPr>
        <w:pStyle w:val="ListParagraph"/>
        <w:numPr>
          <w:ilvl w:val="0"/>
          <w:numId w:val="2"/>
        </w:numPr>
        <w:spacing w:after="70" w:line="274"/>
      </w:pPr>
      <w:r>
        <w:rPr>
          <w:rFonts w:ascii="Calibri" w:cs="Calibri" w:eastAsia="Calibri" w:hAnsi="Calibri"/>
          <w:color w:val="222222"/>
          <w:sz w:val="22"/>
          <w:szCs w:val="22"/>
        </w:rPr>
        <w:t xml:space="preserve">These efforts are part of quality management.</w:t>
      </w:r>
    </w:p>
    <w:p>
      <w:pPr>
        <w:pStyle w:val="Heading2"/>
        <w:spacing w:after="90" w:before="230"/>
      </w:pPr>
      <w:r>
        <w:rPr>
          <w:rFonts w:ascii="Calibri" w:cs="Calibri" w:eastAsia="Calibri" w:hAnsi="Calibri"/>
          <w:b/>
          <w:bCs/>
          <w:color w:val="2C523A"/>
          <w:sz w:val="24"/>
          <w:szCs w:val="24"/>
        </w:rPr>
        <w:t xml:space="preserve">5.11  Job Descriptions and Assignment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14 NYCRR 599.6, 599.9</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define roles and assign staff within their qualifications.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Each staff person works under a written job description and is assigned only duties within their license, credential, competency, and the applicable Part.</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Written job descriptions define qualifications, duties, and supervision for each position.</w:t>
      </w:r>
    </w:p>
    <w:p>
      <w:pPr>
        <w:pStyle w:val="ListParagraph"/>
        <w:numPr>
          <w:ilvl w:val="0"/>
          <w:numId w:val="2"/>
        </w:numPr>
        <w:spacing w:after="70" w:line="274"/>
      </w:pPr>
      <w:r>
        <w:rPr>
          <w:rFonts w:ascii="Calibri" w:cs="Calibri" w:eastAsia="Calibri" w:hAnsi="Calibri"/>
          <w:color w:val="222222"/>
          <w:sz w:val="22"/>
          <w:szCs w:val="22"/>
        </w:rPr>
        <w:t xml:space="preserve">Assignments respect license and credential scope, competency, and staffing requirements.</w:t>
      </w:r>
    </w:p>
    <w:p>
      <w:pPr>
        <w:pStyle w:val="ListParagraph"/>
        <w:numPr>
          <w:ilvl w:val="0"/>
          <w:numId w:val="2"/>
        </w:numPr>
        <w:spacing w:after="70" w:line="274"/>
      </w:pPr>
      <w:r>
        <w:rPr>
          <w:rFonts w:ascii="Calibri" w:cs="Calibri" w:eastAsia="Calibri" w:hAnsi="Calibri"/>
          <w:color w:val="222222"/>
          <w:sz w:val="22"/>
          <w:szCs w:val="22"/>
        </w:rPr>
        <w:t xml:space="preserve">Job descriptions are kept current.</w:t>
      </w:r>
    </w:p>
    <w:p>
      <w:pPr>
        <w:pStyle w:val="ListParagraph"/>
        <w:numPr>
          <w:ilvl w:val="0"/>
          <w:numId w:val="2"/>
        </w:numPr>
        <w:spacing w:after="70" w:line="274"/>
      </w:pPr>
      <w:r>
        <w:rPr>
          <w:rFonts w:ascii="Calibri" w:cs="Calibri" w:eastAsia="Calibri" w:hAnsi="Calibri"/>
          <w:color w:val="222222"/>
          <w:sz w:val="22"/>
          <w:szCs w:val="22"/>
        </w:rPr>
        <w:t xml:space="preserve">Assignment practices are reviewed.</w:t>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6 — Medication Management</w:t>
      </w:r>
    </w:p>
    <w:p>
      <w:pPr>
        <w:spacing w:after="140" w:before="0" w:line="278"/>
      </w:pPr>
      <w:r>
        <w:rPr>
          <w:rFonts w:ascii="Calibri" w:cs="Calibri" w:eastAsia="Calibri" w:hAnsi="Calibri"/>
          <w:b w:val="false"/>
          <w:bCs w:val="false"/>
          <w:i w:val="false"/>
          <w:iCs w:val="false"/>
          <w:color w:val="222222"/>
          <w:sz w:val="22"/>
          <w:szCs w:val="22"/>
        </w:rPr>
        <w:t xml:space="preserve">This section governs psychiatric medication in the licensed program. Medication treatment is a core MHOTRS service: prescribing and oversight rest with psychiatrists and other authorized prescribers, informed consent is obtained, and recipients are monitored for effect and side effects — with the twelve-month utilization review cycle for recipients receiving medication-only services. The section covers prescriber authority, consent, administration, monitoring, reconciliation, and safe storage.</w:t>
      </w:r>
    </w:p>
    <w:p>
      <w:pPr>
        <w:pStyle w:val="Heading2"/>
        <w:spacing w:after="90" w:before="230"/>
      </w:pPr>
      <w:r>
        <w:rPr>
          <w:rFonts w:ascii="Calibri" w:cs="Calibri" w:eastAsia="Calibri" w:hAnsi="Calibri"/>
          <w:b/>
          <w:bCs/>
          <w:color w:val="2C523A"/>
          <w:sz w:val="24"/>
          <w:szCs w:val="24"/>
        </w:rPr>
        <w:t xml:space="preserve">6.01  Prescriber Authority and Psychiatric Services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14 NYCRR 599.8, 599.9; medical practice law</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provide psychiatric medication under appropriate authority.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Psychiatric evaluation and medication treatment are provided by psychiatrists and other authorized prescribers within their scope, based on evaluation and the treatment plan.</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Prescribing is based on psychiatric evaluation and the treatment plan and is documented.</w:t>
      </w:r>
    </w:p>
    <w:p>
      <w:pPr>
        <w:pStyle w:val="ListParagraph"/>
        <w:numPr>
          <w:ilvl w:val="0"/>
          <w:numId w:val="2"/>
        </w:numPr>
        <w:spacing w:after="70" w:line="274"/>
      </w:pPr>
      <w:r>
        <w:rPr>
          <w:rFonts w:ascii="Calibri" w:cs="Calibri" w:eastAsia="Calibri" w:hAnsi="Calibri"/>
          <w:color w:val="222222"/>
          <w:sz w:val="22"/>
          <w:szCs w:val="22"/>
        </w:rPr>
        <w:t xml:space="preserve">The prescriber reviews medication at appropriate intervals and coordinates with the treatment team.</w:t>
      </w:r>
    </w:p>
    <w:p>
      <w:pPr>
        <w:pStyle w:val="ListParagraph"/>
        <w:numPr>
          <w:ilvl w:val="0"/>
          <w:numId w:val="2"/>
        </w:numPr>
        <w:spacing w:after="70" w:line="274"/>
      </w:pPr>
      <w:r>
        <w:rPr>
          <w:rFonts w:ascii="Calibri" w:cs="Calibri" w:eastAsia="Calibri" w:hAnsi="Calibri"/>
          <w:color w:val="222222"/>
          <w:sz w:val="22"/>
          <w:szCs w:val="22"/>
        </w:rPr>
        <w:t xml:space="preserve">Medication-only recipients receive the reviews the regulations require.</w:t>
      </w:r>
    </w:p>
    <w:p>
      <w:pPr>
        <w:pStyle w:val="ListParagraph"/>
        <w:numPr>
          <w:ilvl w:val="0"/>
          <w:numId w:val="2"/>
        </w:numPr>
        <w:spacing w:after="70" w:line="274"/>
      </w:pPr>
      <w:r>
        <w:rPr>
          <w:rFonts w:ascii="Calibri" w:cs="Calibri" w:eastAsia="Calibri" w:hAnsi="Calibri"/>
          <w:color w:val="222222"/>
          <w:sz w:val="22"/>
          <w:szCs w:val="22"/>
        </w:rPr>
        <w:t xml:space="preserve">Prescriber coverage is arranged so recipients' medication needs are met.</w:t>
      </w:r>
    </w:p>
    <w:p>
      <w:pPr>
        <w:pStyle w:val="Heading2"/>
        <w:spacing w:after="90" w:before="230"/>
      </w:pPr>
      <w:r>
        <w:rPr>
          <w:rFonts w:ascii="Calibri" w:cs="Calibri" w:eastAsia="Calibri" w:hAnsi="Calibri"/>
          <w:b/>
          <w:bCs/>
          <w:color w:val="2C523A"/>
          <w:sz w:val="24"/>
          <w:szCs w:val="24"/>
        </w:rPr>
        <w:t xml:space="preserve">6.02  Informed Consent to Medication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14 NYCRR 599.7; clinical standards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ensure medication is given with informed consent.</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obtains informed consent for psychiatric medication — purpose, risks, benefits, and alternatives — and honors the right to refuse consistent with law.</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recipient (or parent/guardian for a minor as law provides) is informed of the medication's purpose, risks, benefits, and alternatives, and consent is documented.</w:t>
      </w:r>
    </w:p>
    <w:p>
      <w:pPr>
        <w:pStyle w:val="ListParagraph"/>
        <w:numPr>
          <w:ilvl w:val="0"/>
          <w:numId w:val="2"/>
        </w:numPr>
        <w:spacing w:after="70" w:line="274"/>
      </w:pPr>
      <w:r>
        <w:rPr>
          <w:rFonts w:ascii="Calibri" w:cs="Calibri" w:eastAsia="Calibri" w:hAnsi="Calibri"/>
          <w:color w:val="222222"/>
          <w:sz w:val="22"/>
          <w:szCs w:val="22"/>
        </w:rPr>
        <w:t xml:space="preserve">Refusals are honored consistent with law, documented, and addressed clinically.</w:t>
      </w:r>
    </w:p>
    <w:p>
      <w:pPr>
        <w:pStyle w:val="ListParagraph"/>
        <w:numPr>
          <w:ilvl w:val="0"/>
          <w:numId w:val="2"/>
        </w:numPr>
        <w:spacing w:after="70" w:line="274"/>
      </w:pPr>
      <w:r>
        <w:rPr>
          <w:rFonts w:ascii="Calibri" w:cs="Calibri" w:eastAsia="Calibri" w:hAnsi="Calibri"/>
          <w:color w:val="222222"/>
          <w:sz w:val="22"/>
          <w:szCs w:val="22"/>
        </w:rPr>
        <w:t xml:space="preserve">Consent is revisited when medications change materially.</w:t>
      </w:r>
    </w:p>
    <w:p>
      <w:pPr>
        <w:pStyle w:val="ListParagraph"/>
        <w:numPr>
          <w:ilvl w:val="0"/>
          <w:numId w:val="2"/>
        </w:numPr>
        <w:spacing w:after="70" w:line="274"/>
      </w:pPr>
      <w:r>
        <w:rPr>
          <w:rFonts w:ascii="Calibri" w:cs="Calibri" w:eastAsia="Calibri" w:hAnsi="Calibri"/>
          <w:color w:val="222222"/>
          <w:sz w:val="22"/>
          <w:szCs w:val="22"/>
        </w:rPr>
        <w:t xml:space="preserve">Special consent considerations for minors and special populations are followed.</w:t>
      </w:r>
    </w:p>
    <w:p>
      <w:pPr>
        <w:pStyle w:val="Heading2"/>
        <w:spacing w:after="90" w:before="230"/>
      </w:pPr>
      <w:r>
        <w:rPr>
          <w:rFonts w:ascii="Calibri" w:cs="Calibri" w:eastAsia="Calibri" w:hAnsi="Calibri"/>
          <w:b/>
          <w:bCs/>
          <w:color w:val="2C523A"/>
          <w:sz w:val="24"/>
          <w:szCs w:val="24"/>
        </w:rPr>
        <w:t xml:space="preserve">6.03  Medication Monitoring and Reconciliation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clinical standards; 14 NYCRR 599</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monitor medication for effectiveness and safety and coordinate across prescribers.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monitors recipients on psychiatric medication for effect and side effects, supports required laboratory and metabolic monitoring, and reconciles medications across the recipient's prescribers.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Recipients are monitored for therapeutic effect and side effects, with laboratory and metabolic monitoring appropriate to the medication arranged or coordinated.</w:t>
      </w:r>
    </w:p>
    <w:p>
      <w:pPr>
        <w:pStyle w:val="ListParagraph"/>
        <w:numPr>
          <w:ilvl w:val="0"/>
          <w:numId w:val="2"/>
        </w:numPr>
        <w:spacing w:after="70" w:line="274"/>
      </w:pPr>
      <w:r>
        <w:rPr>
          <w:rFonts w:ascii="Calibri" w:cs="Calibri" w:eastAsia="Calibri" w:hAnsi="Calibri"/>
          <w:color w:val="222222"/>
          <w:sz w:val="22"/>
          <w:szCs w:val="22"/>
        </w:rPr>
        <w:t xml:space="preserve">A current medication list, including other prescribers' medications, is obtained and reconciled with consent.</w:t>
      </w:r>
    </w:p>
    <w:p>
      <w:pPr>
        <w:pStyle w:val="ListParagraph"/>
        <w:numPr>
          <w:ilvl w:val="0"/>
          <w:numId w:val="2"/>
        </w:numPr>
        <w:spacing w:after="70" w:line="274"/>
      </w:pPr>
      <w:r>
        <w:rPr>
          <w:rFonts w:ascii="Calibri" w:cs="Calibri" w:eastAsia="Calibri" w:hAnsi="Calibri"/>
          <w:color w:val="222222"/>
          <w:sz w:val="22"/>
          <w:szCs w:val="22"/>
        </w:rPr>
        <w:t xml:space="preserve">Concerns and adverse effects are communicated to the prescriber and addressed, and the recipient is educated about their medication.</w:t>
      </w:r>
    </w:p>
    <w:p>
      <w:pPr>
        <w:pStyle w:val="ListParagraph"/>
        <w:numPr>
          <w:ilvl w:val="0"/>
          <w:numId w:val="2"/>
        </w:numPr>
        <w:spacing w:after="70" w:line="274"/>
      </w:pPr>
      <w:r>
        <w:rPr>
          <w:rFonts w:ascii="Calibri" w:cs="Calibri" w:eastAsia="Calibri" w:hAnsi="Calibri"/>
          <w:color w:val="222222"/>
          <w:sz w:val="22"/>
          <w:szCs w:val="22"/>
        </w:rPr>
        <w:t xml:space="preserve">Monitoring and reconciliation are documented.</w:t>
      </w:r>
    </w:p>
    <w:p>
      <w:pPr>
        <w:pStyle w:val="Heading2"/>
        <w:spacing w:after="90" w:before="230"/>
      </w:pPr>
      <w:r>
        <w:rPr>
          <w:rFonts w:ascii="Calibri" w:cs="Calibri" w:eastAsia="Calibri" w:hAnsi="Calibri"/>
          <w:b/>
          <w:bCs/>
          <w:color w:val="2C523A"/>
          <w:sz w:val="24"/>
          <w:szCs w:val="24"/>
        </w:rPr>
        <w:t xml:space="preserve">6.04  Medication Storage, Errors and Accountability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clinical standards; DEA where applicable; Part 524</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handle medication safely and manage errors.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Where the provider stores or administers medication, it does so securely and accountably, and medication errors are addressed clinically, documented, reported as required, and reviewed.</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Medications on site are stored securely with limited access and appropriate controls; any controlled substances are handled per DEA requirements with accurate records.</w:t>
      </w:r>
    </w:p>
    <w:p>
      <w:pPr>
        <w:pStyle w:val="ListParagraph"/>
        <w:numPr>
          <w:ilvl w:val="0"/>
          <w:numId w:val="2"/>
        </w:numPr>
        <w:spacing w:after="70" w:line="274"/>
      </w:pPr>
      <w:r>
        <w:rPr>
          <w:rFonts w:ascii="Calibri" w:cs="Calibri" w:eastAsia="Calibri" w:hAnsi="Calibri"/>
          <w:color w:val="222222"/>
          <w:sz w:val="22"/>
          <w:szCs w:val="22"/>
        </w:rPr>
        <w:t xml:space="preserve">Administration and any assistance are documented.</w:t>
      </w:r>
    </w:p>
    <w:p>
      <w:pPr>
        <w:pStyle w:val="ListParagraph"/>
        <w:numPr>
          <w:ilvl w:val="0"/>
          <w:numId w:val="2"/>
        </w:numPr>
        <w:spacing w:after="70" w:line="274"/>
      </w:pPr>
      <w:r>
        <w:rPr>
          <w:rFonts w:ascii="Calibri" w:cs="Calibri" w:eastAsia="Calibri" w:hAnsi="Calibri"/>
          <w:color w:val="222222"/>
          <w:sz w:val="22"/>
          <w:szCs w:val="22"/>
        </w:rPr>
        <w:t xml:space="preserve">Errors and adverse reactions are addressed clinically with the prescriber notified, documented, reported as Part 524 requires where applicable, and reviewed for prevention.</w:t>
      </w:r>
    </w:p>
    <w:p>
      <w:pPr>
        <w:pStyle w:val="ListParagraph"/>
        <w:numPr>
          <w:ilvl w:val="0"/>
          <w:numId w:val="2"/>
        </w:numPr>
        <w:spacing w:after="70" w:line="274"/>
      </w:pPr>
      <w:r>
        <w:rPr>
          <w:rFonts w:ascii="Calibri" w:cs="Calibri" w:eastAsia="Calibri" w:hAnsi="Calibri"/>
          <w:color w:val="222222"/>
          <w:sz w:val="22"/>
          <w:szCs w:val="22"/>
        </w:rPr>
        <w:t xml:space="preserve">Trends feed quality management.</w:t>
      </w:r>
    </w:p>
    <w:p>
      <w:pPr>
        <w:pStyle w:val="Heading2"/>
        <w:spacing w:after="90" w:before="230"/>
      </w:pPr>
      <w:r>
        <w:rPr>
          <w:rFonts w:ascii="Calibri" w:cs="Calibri" w:eastAsia="Calibri" w:hAnsi="Calibri"/>
          <w:b/>
          <w:bCs/>
          <w:color w:val="2C523A"/>
          <w:sz w:val="24"/>
          <w:szCs w:val="24"/>
        </w:rPr>
        <w:t xml:space="preserve">6.05  Special Populations and Medication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clinical standards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prescribe safely for children, older adults, and pregnant persons.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prescriber gives special attention to medication for children and adolescents, older adults, and pregnant persons, with appropriate consent and monitoring.</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Medication for special populations receives the additional consideration the standards require.</w:t>
      </w:r>
    </w:p>
    <w:p>
      <w:pPr>
        <w:pStyle w:val="ListParagraph"/>
        <w:numPr>
          <w:ilvl w:val="0"/>
          <w:numId w:val="2"/>
        </w:numPr>
        <w:spacing w:after="70" w:line="274"/>
      </w:pPr>
      <w:r>
        <w:rPr>
          <w:rFonts w:ascii="Calibri" w:cs="Calibri" w:eastAsia="Calibri" w:hAnsi="Calibri"/>
          <w:color w:val="222222"/>
          <w:sz w:val="22"/>
          <w:szCs w:val="22"/>
        </w:rPr>
        <w:t xml:space="preserve">Consent for minors and for recipients with legal representatives is handled appropriately.</w:t>
      </w:r>
    </w:p>
    <w:p>
      <w:pPr>
        <w:pStyle w:val="ListParagraph"/>
        <w:numPr>
          <w:ilvl w:val="0"/>
          <w:numId w:val="2"/>
        </w:numPr>
        <w:spacing w:after="70" w:line="274"/>
      </w:pPr>
      <w:r>
        <w:rPr>
          <w:rFonts w:ascii="Calibri" w:cs="Calibri" w:eastAsia="Calibri" w:hAnsi="Calibri"/>
          <w:color w:val="222222"/>
          <w:sz w:val="22"/>
          <w:szCs w:val="22"/>
        </w:rPr>
        <w:t xml:space="preserve">Additional monitoring and coordination are provided and documented.</w:t>
      </w:r>
    </w:p>
    <w:p>
      <w:pPr>
        <w:pStyle w:val="ListParagraph"/>
        <w:numPr>
          <w:ilvl w:val="0"/>
          <w:numId w:val="2"/>
        </w:numPr>
        <w:spacing w:after="70" w:line="274"/>
      </w:pPr>
      <w:r>
        <w:rPr>
          <w:rFonts w:ascii="Calibri" w:cs="Calibri" w:eastAsia="Calibri" w:hAnsi="Calibri"/>
          <w:color w:val="222222"/>
          <w:sz w:val="22"/>
          <w:szCs w:val="22"/>
        </w:rPr>
        <w:t xml:space="preserve">Staff are aware of the special considerations.</w:t>
      </w:r>
    </w:p>
    <w:p>
      <w:pPr>
        <w:pStyle w:val="Heading2"/>
        <w:spacing w:after="90" w:before="230"/>
      </w:pPr>
      <w:r>
        <w:rPr>
          <w:rFonts w:ascii="Calibri" w:cs="Calibri" w:eastAsia="Calibri" w:hAnsi="Calibri"/>
          <w:b/>
          <w:bCs/>
          <w:color w:val="2C523A"/>
          <w:sz w:val="24"/>
          <w:szCs w:val="24"/>
        </w:rPr>
        <w:t xml:space="preserve">6.06  Psychiatric Emergencies and Medication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clinical standards; recipient rights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handle medication safely in psychiatric emergencies.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Medication in an emergency is provided only within prescriber authority and the recipient's rights, and is never used for convenience, discipline, or coercion.</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Emergency medication decisions rest with authorized prescribers consistent with law and rights.</w:t>
      </w:r>
    </w:p>
    <w:p>
      <w:pPr>
        <w:pStyle w:val="ListParagraph"/>
        <w:numPr>
          <w:ilvl w:val="0"/>
          <w:numId w:val="2"/>
        </w:numPr>
        <w:spacing w:after="70" w:line="274"/>
      </w:pPr>
      <w:r>
        <w:rPr>
          <w:rFonts w:ascii="Calibri" w:cs="Calibri" w:eastAsia="Calibri" w:hAnsi="Calibri"/>
          <w:color w:val="222222"/>
          <w:sz w:val="22"/>
          <w:szCs w:val="22"/>
        </w:rPr>
        <w:t xml:space="preserve">Medication is not used as a restraint for convenience, discipline, or coercion.</w:t>
      </w:r>
    </w:p>
    <w:p>
      <w:pPr>
        <w:pStyle w:val="ListParagraph"/>
        <w:numPr>
          <w:ilvl w:val="0"/>
          <w:numId w:val="2"/>
        </w:numPr>
        <w:spacing w:after="70" w:line="274"/>
      </w:pPr>
      <w:r>
        <w:rPr>
          <w:rFonts w:ascii="Calibri" w:cs="Calibri" w:eastAsia="Calibri" w:hAnsi="Calibri"/>
          <w:color w:val="222222"/>
          <w:sz w:val="22"/>
          <w:szCs w:val="22"/>
        </w:rPr>
        <w:t xml:space="preserve">Any emergency medication is documented and reviewed.</w:t>
      </w:r>
    </w:p>
    <w:p>
      <w:pPr>
        <w:pStyle w:val="ListParagraph"/>
        <w:numPr>
          <w:ilvl w:val="0"/>
          <w:numId w:val="2"/>
        </w:numPr>
        <w:spacing w:after="70" w:line="274"/>
      </w:pPr>
      <w:r>
        <w:rPr>
          <w:rFonts w:ascii="Calibri" w:cs="Calibri" w:eastAsia="Calibri" w:hAnsi="Calibri"/>
          <w:color w:val="222222"/>
          <w:sz w:val="22"/>
          <w:szCs w:val="22"/>
        </w:rPr>
        <w:t xml:space="preserve">Staff know when to summon emergency medical or psychiatric help.</w:t>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7 — Health, Safety &amp; Incident Management</w:t>
      </w:r>
    </w:p>
    <w:p>
      <w:pPr>
        <w:spacing w:after="140" w:before="0" w:line="278"/>
      </w:pPr>
      <w:r>
        <w:rPr>
          <w:rFonts w:ascii="Calibri" w:cs="Calibri" w:eastAsia="Calibri" w:hAnsi="Calibri"/>
          <w:b w:val="false"/>
          <w:bCs w:val="false"/>
          <w:i w:val="false"/>
          <w:iCs w:val="false"/>
          <w:color w:val="222222"/>
          <w:sz w:val="22"/>
          <w:szCs w:val="22"/>
        </w:rPr>
        <w:t xml:space="preserve">This section keeps recipients and staff safe. Part 524 requires an incident management system — timely reporting, investigation commensurate with seriousness, review, tracking and trending, and corrective action — with reporting through NIMRS, and because OMH-licensed programs fall under the Protection of People with Special Needs Act, allegations of abuse or neglect and significant incidents go to the Justice Center's Vulnerable Persons' Central Register with mandated-reporter duties. The section also covers suicide prevention, emergencies, premises safety under 599.12, and infection prevention.</w:t>
      </w:r>
    </w:p>
    <w:p>
      <w:pPr>
        <w:pStyle w:val="Heading2"/>
        <w:spacing w:after="90" w:before="230"/>
      </w:pPr>
      <w:r>
        <w:rPr>
          <w:rFonts w:ascii="Calibri" w:cs="Calibri" w:eastAsia="Calibri" w:hAnsi="Calibri"/>
          <w:b/>
          <w:bCs/>
          <w:color w:val="2C523A"/>
          <w:sz w:val="24"/>
          <w:szCs w:val="24"/>
        </w:rPr>
        <w:t xml:space="preserve">7.01  Incident Management Under Part 524 and the Justice Center</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14 NYCRR Part 524; Protection of People with Special Needs Act</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operate the incident management system New York requires.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maintains an incident management system under Part 524 — reporting through NIMRS, reporting reportable incidents to the Justice Center, investigating, reviewing, tracking and trending, and correcting — and protects recipients throughout.</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Staff respond immediately to protect recipients and report incidents to program leadership.</w:t>
      </w:r>
    </w:p>
    <w:p>
      <w:pPr>
        <w:pStyle w:val="ListParagraph"/>
        <w:numPr>
          <w:ilvl w:val="0"/>
          <w:numId w:val="2"/>
        </w:numPr>
        <w:spacing w:after="70" w:line="274"/>
      </w:pPr>
      <w:r>
        <w:rPr>
          <w:rFonts w:ascii="Calibri" w:cs="Calibri" w:eastAsia="Calibri" w:hAnsi="Calibri"/>
          <w:color w:val="222222"/>
          <w:sz w:val="22"/>
          <w:szCs w:val="22"/>
        </w:rPr>
        <w:t xml:space="preserve">Incidents are reported through NIMRS within required timeframes, and reportable incidents — including allegations of abuse or neglect and significant incidents — are reported to the Justice Center's Vulnerable Persons' Central Register.</w:t>
      </w:r>
    </w:p>
    <w:p>
      <w:pPr>
        <w:pStyle w:val="ListParagraph"/>
        <w:numPr>
          <w:ilvl w:val="0"/>
          <w:numId w:val="2"/>
        </w:numPr>
        <w:spacing w:after="70" w:line="274"/>
      </w:pPr>
      <w:r>
        <w:rPr>
          <w:rFonts w:ascii="Calibri" w:cs="Calibri" w:eastAsia="Calibri" w:hAnsi="Calibri"/>
          <w:color w:val="222222"/>
          <w:sz w:val="22"/>
          <w:szCs w:val="22"/>
        </w:rPr>
        <w:t xml:space="preserve">Staff are mandated reporters and are trained on what and how to report; retaliation for good-faith reporting is prohibited.</w:t>
      </w:r>
    </w:p>
    <w:p>
      <w:pPr>
        <w:pStyle w:val="ListParagraph"/>
        <w:numPr>
          <w:ilvl w:val="0"/>
          <w:numId w:val="2"/>
        </w:numPr>
        <w:spacing w:after="70" w:line="274"/>
      </w:pPr>
      <w:r>
        <w:rPr>
          <w:rFonts w:ascii="Calibri" w:cs="Calibri" w:eastAsia="Calibri" w:hAnsi="Calibri"/>
          <w:color w:val="222222"/>
          <w:sz w:val="22"/>
          <w:szCs w:val="22"/>
        </w:rPr>
        <w:t xml:space="preserve">Incidents are investigated commensurate with their seriousness, reviewed through the provider's incident review process, and tracked and trended.</w:t>
      </w:r>
    </w:p>
    <w:p>
      <w:pPr>
        <w:pStyle w:val="ListParagraph"/>
        <w:numPr>
          <w:ilvl w:val="0"/>
          <w:numId w:val="2"/>
        </w:numPr>
        <w:spacing w:after="70" w:line="274"/>
      </w:pPr>
      <w:r>
        <w:rPr>
          <w:rFonts w:ascii="Calibri" w:cs="Calibri" w:eastAsia="Calibri" w:hAnsi="Calibri"/>
          <w:color w:val="222222"/>
          <w:sz w:val="22"/>
          <w:szCs w:val="22"/>
        </w:rPr>
        <w:t xml:space="preserve">Corrective action plans protect recipients from future harm, and the provider cooperates fully with Justice Center and OMH investigations.</w:t>
      </w:r>
    </w:p>
    <w:p>
      <w:pPr>
        <w:pStyle w:val="Heading2"/>
        <w:spacing w:after="90" w:before="230"/>
      </w:pPr>
      <w:r>
        <w:rPr>
          <w:rFonts w:ascii="Calibri" w:cs="Calibri" w:eastAsia="Calibri" w:hAnsi="Calibri"/>
          <w:b/>
          <w:bCs/>
          <w:color w:val="2C523A"/>
          <w:sz w:val="24"/>
          <w:szCs w:val="24"/>
        </w:rPr>
        <w:t xml:space="preserve">7.02  Suicide and Self-Harm Prevention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clinical best practice; Part 524</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reduce suicide and self-harm among recipients.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assesses and responds to suicide and self-harm risk, maintains crisis response capability, and reviews suicide-related events.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Suicide and self-harm risk is assessed and reassessed, with safety planning for recipients at risk.</w:t>
      </w:r>
    </w:p>
    <w:p>
      <w:pPr>
        <w:pStyle w:val="ListParagraph"/>
        <w:numPr>
          <w:ilvl w:val="0"/>
          <w:numId w:val="2"/>
        </w:numPr>
        <w:spacing w:after="70" w:line="274"/>
      </w:pPr>
      <w:r>
        <w:rPr>
          <w:rFonts w:ascii="Calibri" w:cs="Calibri" w:eastAsia="Calibri" w:hAnsi="Calibri"/>
          <w:color w:val="222222"/>
          <w:sz w:val="22"/>
          <w:szCs w:val="22"/>
        </w:rPr>
        <w:t xml:space="preserve">Staff are trained to respond to suicidal crisis and to connect recipients to crisis services, including 988.</w:t>
      </w:r>
    </w:p>
    <w:p>
      <w:pPr>
        <w:pStyle w:val="ListParagraph"/>
        <w:numPr>
          <w:ilvl w:val="0"/>
          <w:numId w:val="2"/>
        </w:numPr>
        <w:spacing w:after="70" w:line="274"/>
      </w:pPr>
      <w:r>
        <w:rPr>
          <w:rFonts w:ascii="Calibri" w:cs="Calibri" w:eastAsia="Calibri" w:hAnsi="Calibri"/>
          <w:color w:val="222222"/>
          <w:sz w:val="22"/>
          <w:szCs w:val="22"/>
        </w:rPr>
        <w:t xml:space="preserve">Environmental risks in program spaces are identified and mitigated.</w:t>
      </w:r>
    </w:p>
    <w:p>
      <w:pPr>
        <w:pStyle w:val="ListParagraph"/>
        <w:numPr>
          <w:ilvl w:val="0"/>
          <w:numId w:val="2"/>
        </w:numPr>
        <w:spacing w:after="70" w:line="274"/>
      </w:pPr>
      <w:r>
        <w:rPr>
          <w:rFonts w:ascii="Calibri" w:cs="Calibri" w:eastAsia="Calibri" w:hAnsi="Calibri"/>
          <w:color w:val="222222"/>
          <w:sz w:val="22"/>
          <w:szCs w:val="22"/>
        </w:rPr>
        <w:t xml:space="preserve">Suicide-related events are documented, reported as required, and reviewed.</w:t>
      </w:r>
    </w:p>
    <w:p>
      <w:pPr>
        <w:pStyle w:val="Heading2"/>
        <w:spacing w:after="90" w:before="230"/>
      </w:pPr>
      <w:r>
        <w:rPr>
          <w:rFonts w:ascii="Calibri" w:cs="Calibri" w:eastAsia="Calibri" w:hAnsi="Calibri"/>
          <w:b/>
          <w:bCs/>
          <w:color w:val="2C523A"/>
          <w:sz w:val="24"/>
          <w:szCs w:val="24"/>
        </w:rPr>
        <w:t xml:space="preserve">7.03  Emergency Procedures and Crisis Response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14 NYCRR 599.6(l); clinical standards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respond safely to psychiatric and medical emergencies.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maintains emergency procedures — including an emergency evacuation plan staff know — and prepares staff to respond to psychiatric and medical emergencies and summon help without delay.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Written emergency procedures, including an evacuation plan, are maintained, and staff are knowledgeable about them.</w:t>
      </w:r>
    </w:p>
    <w:p>
      <w:pPr>
        <w:pStyle w:val="ListParagraph"/>
        <w:numPr>
          <w:ilvl w:val="0"/>
          <w:numId w:val="2"/>
        </w:numPr>
        <w:spacing w:after="70" w:line="274"/>
      </w:pPr>
      <w:r>
        <w:rPr>
          <w:rFonts w:ascii="Calibri" w:cs="Calibri" w:eastAsia="Calibri" w:hAnsi="Calibri"/>
          <w:color w:val="222222"/>
          <w:sz w:val="22"/>
          <w:szCs w:val="22"/>
        </w:rPr>
        <w:t xml:space="preserve">Staff are trained to recognize and respond to psychiatric and medical emergencies and acute decompensation.</w:t>
      </w:r>
    </w:p>
    <w:p>
      <w:pPr>
        <w:pStyle w:val="ListParagraph"/>
        <w:numPr>
          <w:ilvl w:val="0"/>
          <w:numId w:val="2"/>
        </w:numPr>
        <w:spacing w:after="70" w:line="274"/>
      </w:pPr>
      <w:r>
        <w:rPr>
          <w:rFonts w:ascii="Calibri" w:cs="Calibri" w:eastAsia="Calibri" w:hAnsi="Calibri"/>
          <w:color w:val="222222"/>
          <w:sz w:val="22"/>
          <w:szCs w:val="22"/>
        </w:rPr>
        <w:t xml:space="preserve">Emergencies are documented and required notifications made.</w:t>
      </w:r>
    </w:p>
    <w:p>
      <w:pPr>
        <w:pStyle w:val="ListParagraph"/>
        <w:numPr>
          <w:ilvl w:val="0"/>
          <w:numId w:val="2"/>
        </w:numPr>
        <w:spacing w:after="70" w:line="274"/>
      </w:pPr>
      <w:r>
        <w:rPr>
          <w:rFonts w:ascii="Calibri" w:cs="Calibri" w:eastAsia="Calibri" w:hAnsi="Calibri"/>
          <w:color w:val="222222"/>
          <w:sz w:val="22"/>
          <w:szCs w:val="22"/>
        </w:rPr>
        <w:t xml:space="preserve">Emergency and disaster plans are reviewed and exercised periodically.</w:t>
      </w:r>
    </w:p>
    <w:p>
      <w:pPr>
        <w:pStyle w:val="Heading2"/>
        <w:spacing w:after="90" w:before="230"/>
      </w:pPr>
      <w:r>
        <w:rPr>
          <w:rFonts w:ascii="Calibri" w:cs="Calibri" w:eastAsia="Calibri" w:hAnsi="Calibri"/>
          <w:b/>
          <w:bCs/>
          <w:color w:val="2C523A"/>
          <w:sz w:val="24"/>
          <w:szCs w:val="24"/>
        </w:rPr>
        <w:t xml:space="preserve">7.04  Premises Safety and Infection Prevention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14 NYCRR 599.12; public-health guidance</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maintain safe, sanitary premises for services.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maintains premises that meet Part 599's requirements and follows infection-prevention practices appropriate to its services.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Premises meet the applicable 599.12 requirements for space, safety, privacy, and maintenance, and required inspections are current.</w:t>
      </w:r>
    </w:p>
    <w:p>
      <w:pPr>
        <w:pStyle w:val="ListParagraph"/>
        <w:numPr>
          <w:ilvl w:val="0"/>
          <w:numId w:val="2"/>
        </w:numPr>
        <w:spacing w:after="70" w:line="274"/>
      </w:pPr>
      <w:r>
        <w:rPr>
          <w:rFonts w:ascii="Calibri" w:cs="Calibri" w:eastAsia="Calibri" w:hAnsi="Calibri"/>
          <w:color w:val="222222"/>
          <w:sz w:val="22"/>
          <w:szCs w:val="22"/>
        </w:rPr>
        <w:t xml:space="preserve">The environment is maintained safely and sanitarily, with attention to fire safety and hazards.</w:t>
      </w:r>
    </w:p>
    <w:p>
      <w:pPr>
        <w:pStyle w:val="ListParagraph"/>
        <w:numPr>
          <w:ilvl w:val="0"/>
          <w:numId w:val="2"/>
        </w:numPr>
        <w:spacing w:after="70" w:line="274"/>
      </w:pPr>
      <w:r>
        <w:rPr>
          <w:rFonts w:ascii="Calibri" w:cs="Calibri" w:eastAsia="Calibri" w:hAnsi="Calibri"/>
          <w:color w:val="222222"/>
          <w:sz w:val="22"/>
          <w:szCs w:val="22"/>
        </w:rPr>
        <w:t xml:space="preserve">Staff follow standard precautions and infection-prevention practices.</w:t>
      </w:r>
    </w:p>
    <w:p>
      <w:pPr>
        <w:pStyle w:val="ListParagraph"/>
        <w:numPr>
          <w:ilvl w:val="0"/>
          <w:numId w:val="2"/>
        </w:numPr>
        <w:spacing w:after="70" w:line="274"/>
      </w:pPr>
      <w:r>
        <w:rPr>
          <w:rFonts w:ascii="Calibri" w:cs="Calibri" w:eastAsia="Calibri" w:hAnsi="Calibri"/>
          <w:color w:val="222222"/>
          <w:sz w:val="22"/>
          <w:szCs w:val="22"/>
        </w:rPr>
        <w:t xml:space="preserve">Environmental and safety concerns are identified and corrected.</w:t>
      </w:r>
    </w:p>
    <w:p>
      <w:pPr>
        <w:pStyle w:val="Heading2"/>
        <w:spacing w:after="90" w:before="230"/>
      </w:pPr>
      <w:r>
        <w:rPr>
          <w:rFonts w:ascii="Calibri" w:cs="Calibri" w:eastAsia="Calibri" w:hAnsi="Calibri"/>
          <w:b/>
          <w:bCs/>
          <w:color w:val="2C523A"/>
          <w:sz w:val="24"/>
          <w:szCs w:val="24"/>
        </w:rPr>
        <w:t xml:space="preserve">7.05  Death Reporting and Review</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14 NYCRR Part 524; Justice Center</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report and review deaths as required.</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reports the death of a recipient as Part 524 and Justice Center requirements direct and reviews it to identify preventable factors.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 recipient death is reported within required timeframes to the required parties, including through NIMRS.</w:t>
      </w:r>
    </w:p>
    <w:p>
      <w:pPr>
        <w:pStyle w:val="ListParagraph"/>
        <w:numPr>
          <w:ilvl w:val="0"/>
          <w:numId w:val="2"/>
        </w:numPr>
        <w:spacing w:after="70" w:line="274"/>
      </w:pPr>
      <w:r>
        <w:rPr>
          <w:rFonts w:ascii="Calibri" w:cs="Calibri" w:eastAsia="Calibri" w:hAnsi="Calibri"/>
          <w:color w:val="222222"/>
          <w:sz w:val="22"/>
          <w:szCs w:val="22"/>
        </w:rPr>
        <w:t xml:space="preserve">The provider cooperates with any required review or investigation.</w:t>
      </w:r>
    </w:p>
    <w:p>
      <w:pPr>
        <w:pStyle w:val="ListParagraph"/>
        <w:numPr>
          <w:ilvl w:val="0"/>
          <w:numId w:val="2"/>
        </w:numPr>
        <w:spacing w:after="70" w:line="274"/>
      </w:pPr>
      <w:r>
        <w:rPr>
          <w:rFonts w:ascii="Calibri" w:cs="Calibri" w:eastAsia="Calibri" w:hAnsi="Calibri"/>
          <w:color w:val="222222"/>
          <w:sz w:val="22"/>
          <w:szCs w:val="22"/>
        </w:rPr>
        <w:t xml:space="preserve">The death is reviewed internally for contributing factors and prevention.</w:t>
      </w:r>
    </w:p>
    <w:p>
      <w:pPr>
        <w:pStyle w:val="ListParagraph"/>
        <w:numPr>
          <w:ilvl w:val="0"/>
          <w:numId w:val="2"/>
        </w:numPr>
        <w:spacing w:after="70" w:line="274"/>
      </w:pPr>
      <w:r>
        <w:rPr>
          <w:rFonts w:ascii="Calibri" w:cs="Calibri" w:eastAsia="Calibri" w:hAnsi="Calibri"/>
          <w:color w:val="222222"/>
          <w:sz w:val="22"/>
          <w:szCs w:val="22"/>
        </w:rPr>
        <w:t xml:space="preserve">Documentation is retained.</w:t>
      </w:r>
    </w:p>
    <w:p>
      <w:pPr>
        <w:pStyle w:val="Heading2"/>
        <w:spacing w:after="90" w:before="230"/>
      </w:pPr>
      <w:r>
        <w:rPr>
          <w:rFonts w:ascii="Calibri" w:cs="Calibri" w:eastAsia="Calibri" w:hAnsi="Calibri"/>
          <w:b/>
          <w:bCs/>
          <w:color w:val="2C523A"/>
          <w:sz w:val="24"/>
          <w:szCs w:val="24"/>
        </w:rPr>
        <w:t xml:space="preserve">7.06  Incident Review, Tracking and Trending</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14 NYCRR Part 524</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learn from incidents and prevent recurrence.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maintains an incident review process that investigates all incidents, tracks and trends them, and drives corrective action.</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Incidents are investigated commensurate with their seriousness and reviewed at the required frequency.</w:t>
      </w:r>
    </w:p>
    <w:p>
      <w:pPr>
        <w:pStyle w:val="ListParagraph"/>
        <w:numPr>
          <w:ilvl w:val="0"/>
          <w:numId w:val="2"/>
        </w:numPr>
        <w:spacing w:after="70" w:line="274"/>
      </w:pPr>
      <w:r>
        <w:rPr>
          <w:rFonts w:ascii="Calibri" w:cs="Calibri" w:eastAsia="Calibri" w:hAnsi="Calibri"/>
          <w:color w:val="222222"/>
          <w:sz w:val="22"/>
          <w:szCs w:val="22"/>
        </w:rPr>
        <w:t xml:space="preserve">Tracking and trending identify patterns, and corrective actions are implemented and tracked.</w:t>
      </w:r>
    </w:p>
    <w:p>
      <w:pPr>
        <w:pStyle w:val="ListParagraph"/>
        <w:numPr>
          <w:ilvl w:val="0"/>
          <w:numId w:val="2"/>
        </w:numPr>
        <w:spacing w:after="70" w:line="274"/>
      </w:pPr>
      <w:r>
        <w:rPr>
          <w:rFonts w:ascii="Calibri" w:cs="Calibri" w:eastAsia="Calibri" w:hAnsi="Calibri"/>
          <w:color w:val="222222"/>
          <w:sz w:val="22"/>
          <w:szCs w:val="22"/>
        </w:rPr>
        <w:t xml:space="preserve">Findings inform training, policy, and environmental changes.</w:t>
      </w:r>
    </w:p>
    <w:p>
      <w:pPr>
        <w:pStyle w:val="ListParagraph"/>
        <w:numPr>
          <w:ilvl w:val="0"/>
          <w:numId w:val="2"/>
        </w:numPr>
        <w:spacing w:after="70" w:line="274"/>
      </w:pPr>
      <w:r>
        <w:rPr>
          <w:rFonts w:ascii="Calibri" w:cs="Calibri" w:eastAsia="Calibri" w:hAnsi="Calibri"/>
          <w:color w:val="222222"/>
          <w:sz w:val="22"/>
          <w:szCs w:val="22"/>
        </w:rPr>
        <w:t xml:space="preserve">Review activity is documented.</w:t>
      </w:r>
    </w:p>
    <w:p>
      <w:pPr>
        <w:pStyle w:val="Heading2"/>
        <w:spacing w:after="90" w:before="230"/>
      </w:pPr>
      <w:r>
        <w:rPr>
          <w:rFonts w:ascii="Calibri" w:cs="Calibri" w:eastAsia="Calibri" w:hAnsi="Calibri"/>
          <w:b/>
          <w:bCs/>
          <w:color w:val="2C523A"/>
          <w:sz w:val="24"/>
          <w:szCs w:val="24"/>
        </w:rPr>
        <w:t xml:space="preserve">7.07  Transportation Safety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applicable law; program policy</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keep recipients safe when the provider transports them.</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Where the provider transports recipients, it does so safely and within applicable requirements, protecting confidentiality.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Vehicles and drivers meet applicable licensing, insurance, and safety requirements.</w:t>
      </w:r>
    </w:p>
    <w:p>
      <w:pPr>
        <w:pStyle w:val="ListParagraph"/>
        <w:numPr>
          <w:ilvl w:val="0"/>
          <w:numId w:val="2"/>
        </w:numPr>
        <w:spacing w:after="70" w:line="274"/>
      </w:pPr>
      <w:r>
        <w:rPr>
          <w:rFonts w:ascii="Calibri" w:cs="Calibri" w:eastAsia="Calibri" w:hAnsi="Calibri"/>
          <w:color w:val="222222"/>
          <w:sz w:val="22"/>
          <w:szCs w:val="22"/>
        </w:rPr>
        <w:t xml:space="preserve">Transportation is consistent with the program and the recipient's plan.</w:t>
      </w:r>
    </w:p>
    <w:p>
      <w:pPr>
        <w:pStyle w:val="ListParagraph"/>
        <w:numPr>
          <w:ilvl w:val="0"/>
          <w:numId w:val="2"/>
        </w:numPr>
        <w:spacing w:after="70" w:line="274"/>
      </w:pPr>
      <w:r>
        <w:rPr>
          <w:rFonts w:ascii="Calibri" w:cs="Calibri" w:eastAsia="Calibri" w:hAnsi="Calibri"/>
          <w:color w:val="222222"/>
          <w:sz w:val="22"/>
          <w:szCs w:val="22"/>
        </w:rPr>
        <w:t xml:space="preserve">Confidentiality is protected during transport.</w:t>
      </w:r>
    </w:p>
    <w:p>
      <w:pPr>
        <w:pStyle w:val="ListParagraph"/>
        <w:numPr>
          <w:ilvl w:val="0"/>
          <w:numId w:val="2"/>
        </w:numPr>
        <w:spacing w:after="70" w:line="274"/>
      </w:pPr>
      <w:r>
        <w:rPr>
          <w:rFonts w:ascii="Calibri" w:cs="Calibri" w:eastAsia="Calibri" w:hAnsi="Calibri"/>
          <w:color w:val="222222"/>
          <w:sz w:val="22"/>
          <w:szCs w:val="22"/>
        </w:rPr>
        <w:t xml:space="preserve">Transportation incidents are documented.</w:t>
      </w:r>
    </w:p>
    <w:p>
      <w:pPr>
        <w:pStyle w:val="Heading2"/>
        <w:spacing w:after="90" w:before="230"/>
      </w:pPr>
      <w:r>
        <w:rPr>
          <w:rFonts w:ascii="Calibri" w:cs="Calibri" w:eastAsia="Calibri" w:hAnsi="Calibri"/>
          <w:b/>
          <w:bCs/>
          <w:color w:val="2C523A"/>
          <w:sz w:val="24"/>
          <w:szCs w:val="24"/>
        </w:rPr>
        <w:t xml:space="preserve">7.08  Facility Safety Systems and Drills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14 NYCRR 599.12; fire safety codes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maintain safety systems and practice emergency response.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maintains fire and life-safety systems and conducts emergency drills appropriate to the program and setting.</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Fire safety, exits, and emergency systems are maintained and inspected as required.</w:t>
      </w:r>
    </w:p>
    <w:p>
      <w:pPr>
        <w:pStyle w:val="ListParagraph"/>
        <w:numPr>
          <w:ilvl w:val="0"/>
          <w:numId w:val="2"/>
        </w:numPr>
        <w:spacing w:after="70" w:line="274"/>
      </w:pPr>
      <w:r>
        <w:rPr>
          <w:rFonts w:ascii="Calibri" w:cs="Calibri" w:eastAsia="Calibri" w:hAnsi="Calibri"/>
          <w:color w:val="222222"/>
          <w:sz w:val="22"/>
          <w:szCs w:val="22"/>
        </w:rPr>
        <w:t xml:space="preserve">Drills appropriate to the setting are conducted and documented.</w:t>
      </w:r>
    </w:p>
    <w:p>
      <w:pPr>
        <w:pStyle w:val="ListParagraph"/>
        <w:numPr>
          <w:ilvl w:val="0"/>
          <w:numId w:val="2"/>
        </w:numPr>
        <w:spacing w:after="70" w:line="274"/>
      </w:pPr>
      <w:r>
        <w:rPr>
          <w:rFonts w:ascii="Calibri" w:cs="Calibri" w:eastAsia="Calibri" w:hAnsi="Calibri"/>
          <w:color w:val="222222"/>
          <w:sz w:val="22"/>
          <w:szCs w:val="22"/>
        </w:rPr>
        <w:t xml:space="preserve">Hazards are identified and corrected.</w:t>
      </w:r>
    </w:p>
    <w:p>
      <w:pPr>
        <w:pStyle w:val="ListParagraph"/>
        <w:numPr>
          <w:ilvl w:val="0"/>
          <w:numId w:val="2"/>
        </w:numPr>
        <w:spacing w:after="70" w:line="274"/>
      </w:pPr>
      <w:r>
        <w:rPr>
          <w:rFonts w:ascii="Calibri" w:cs="Calibri" w:eastAsia="Calibri" w:hAnsi="Calibri"/>
          <w:color w:val="222222"/>
          <w:sz w:val="22"/>
          <w:szCs w:val="22"/>
        </w:rPr>
        <w:t xml:space="preserve">Emergency plans are reviewed and updated.</w:t>
      </w:r>
    </w:p>
    <w:p>
      <w:pPr>
        <w:pStyle w:val="Heading2"/>
        <w:spacing w:after="90" w:before="230"/>
      </w:pPr>
      <w:r>
        <w:rPr>
          <w:rFonts w:ascii="Calibri" w:cs="Calibri" w:eastAsia="Calibri" w:hAnsi="Calibri"/>
          <w:b/>
          <w:bCs/>
          <w:color w:val="2C523A"/>
          <w:sz w:val="24"/>
          <w:szCs w:val="24"/>
        </w:rPr>
        <w:t xml:space="preserve">7.09  Response to a Missing or At-Risk Recipient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Part 524; program policy</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respond when a recipient at risk cannot be located or disengages in crisis.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responds promptly when a recipient believed to be at significant risk cannot be reached or located, taking protective steps consistent with law and confidentiality.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When an at-risk recipient cannot be reached, staff escalate per program procedure — outreach, collateral contacts as consent and law permit, and emergency services where risk warrants.</w:t>
      </w:r>
    </w:p>
    <w:p>
      <w:pPr>
        <w:pStyle w:val="ListParagraph"/>
        <w:numPr>
          <w:ilvl w:val="0"/>
          <w:numId w:val="2"/>
        </w:numPr>
        <w:spacing w:after="70" w:line="274"/>
      </w:pPr>
      <w:r>
        <w:rPr>
          <w:rFonts w:ascii="Calibri" w:cs="Calibri" w:eastAsia="Calibri" w:hAnsi="Calibri"/>
          <w:color w:val="222222"/>
          <w:sz w:val="22"/>
          <w:szCs w:val="22"/>
        </w:rPr>
        <w:t xml:space="preserve">Actions balance safety, confidentiality, and the recipient's rights.</w:t>
      </w:r>
    </w:p>
    <w:p>
      <w:pPr>
        <w:pStyle w:val="ListParagraph"/>
        <w:numPr>
          <w:ilvl w:val="0"/>
          <w:numId w:val="2"/>
        </w:numPr>
        <w:spacing w:after="70" w:line="274"/>
      </w:pPr>
      <w:r>
        <w:rPr>
          <w:rFonts w:ascii="Calibri" w:cs="Calibri" w:eastAsia="Calibri" w:hAnsi="Calibri"/>
          <w:color w:val="222222"/>
          <w:sz w:val="22"/>
          <w:szCs w:val="22"/>
        </w:rPr>
        <w:t xml:space="preserve">The event is documented and, where reportable, reported under Part 524.</w:t>
      </w:r>
    </w:p>
    <w:p>
      <w:pPr>
        <w:pStyle w:val="ListParagraph"/>
        <w:numPr>
          <w:ilvl w:val="0"/>
          <w:numId w:val="2"/>
        </w:numPr>
        <w:spacing w:after="70" w:line="274"/>
      </w:pPr>
      <w:r>
        <w:rPr>
          <w:rFonts w:ascii="Calibri" w:cs="Calibri" w:eastAsia="Calibri" w:hAnsi="Calibri"/>
          <w:color w:val="222222"/>
          <w:sz w:val="22"/>
          <w:szCs w:val="22"/>
        </w:rPr>
        <w:t xml:space="preserve">The response is reviewed for lessons.</w:t>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8 — Quality, Compliance &amp; Business Operations</w:t>
      </w:r>
    </w:p>
    <w:p>
      <w:pPr>
        <w:spacing w:after="140" w:before="0" w:line="278"/>
      </w:pPr>
      <w:r>
        <w:rPr>
          <w:rFonts w:ascii="Calibri" w:cs="Calibri" w:eastAsia="Calibri" w:hAnsi="Calibri"/>
          <w:b w:val="false"/>
          <w:bCs w:val="false"/>
          <w:i w:val="false"/>
          <w:iCs w:val="false"/>
          <w:color w:val="222222"/>
          <w:sz w:val="22"/>
          <w:szCs w:val="22"/>
        </w:rPr>
        <w:t xml:space="preserve">This section ties the manual together: quality management, readiness for OMH review, case records under 599.11, billing integrity under the Part 599 billing standards and New York's compliance-program requirements, data security, and continuity. OMH and the LGU monitor licensed programs, and the provider's standing rests on accurate records, honest billing, timely corrective action, and services that match the certificate.</w:t>
      </w:r>
    </w:p>
    <w:p>
      <w:pPr>
        <w:pStyle w:val="Heading2"/>
        <w:spacing w:after="90" w:before="230"/>
      </w:pPr>
      <w:r>
        <w:rPr>
          <w:rFonts w:ascii="Calibri" w:cs="Calibri" w:eastAsia="Calibri" w:hAnsi="Calibri"/>
          <w:b/>
          <w:bCs/>
          <w:color w:val="2C523A"/>
          <w:sz w:val="24"/>
          <w:szCs w:val="24"/>
        </w:rPr>
        <w:t xml:space="preserve">8.01  Quality Management and Improvement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14 NYCRR 599.6; OMH oversight</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monitor and improve the quality and safety of services.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maintains a quality management process that reviews outcomes, incidents, grievances, utilization, and compliance and drives improvement.</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Incidents, grievances, outcomes, documentation, utilization review, and review results are examined to identify and correct problems.</w:t>
      </w:r>
    </w:p>
    <w:p>
      <w:pPr>
        <w:pStyle w:val="ListParagraph"/>
        <w:numPr>
          <w:ilvl w:val="0"/>
          <w:numId w:val="2"/>
        </w:numPr>
        <w:spacing w:after="70" w:line="274"/>
      </w:pPr>
      <w:r>
        <w:rPr>
          <w:rFonts w:ascii="Calibri" w:cs="Calibri" w:eastAsia="Calibri" w:hAnsi="Calibri"/>
          <w:color w:val="222222"/>
          <w:sz w:val="22"/>
          <w:szCs w:val="22"/>
        </w:rPr>
        <w:t xml:space="preserve">Quality-improvement priorities are selected, acted on, and monitored for results.</w:t>
      </w:r>
    </w:p>
    <w:p>
      <w:pPr>
        <w:pStyle w:val="ListParagraph"/>
        <w:numPr>
          <w:ilvl w:val="0"/>
          <w:numId w:val="2"/>
        </w:numPr>
        <w:spacing w:after="70" w:line="274"/>
      </w:pPr>
      <w:r>
        <w:rPr>
          <w:rFonts w:ascii="Calibri" w:cs="Calibri" w:eastAsia="Calibri" w:hAnsi="Calibri"/>
          <w:color w:val="222222"/>
          <w:sz w:val="22"/>
          <w:szCs w:val="22"/>
        </w:rPr>
        <w:t xml:space="preserve">Findings and actions are documented and communicated to staff.</w:t>
      </w:r>
    </w:p>
    <w:p>
      <w:pPr>
        <w:pStyle w:val="ListParagraph"/>
        <w:numPr>
          <w:ilvl w:val="0"/>
          <w:numId w:val="2"/>
        </w:numPr>
        <w:spacing w:after="70" w:line="274"/>
      </w:pPr>
      <w:r>
        <w:rPr>
          <w:rFonts w:ascii="Calibri" w:cs="Calibri" w:eastAsia="Calibri" w:hAnsi="Calibri"/>
          <w:color w:val="222222"/>
          <w:sz w:val="22"/>
          <w:szCs w:val="22"/>
        </w:rPr>
        <w:t xml:space="preserve">Data and reports required by OMH, the LGU, and payers are submitted accurately.</w:t>
      </w:r>
    </w:p>
    <w:p>
      <w:pPr>
        <w:pStyle w:val="Heading2"/>
        <w:spacing w:after="90" w:before="230"/>
      </w:pPr>
      <w:r>
        <w:rPr>
          <w:rFonts w:ascii="Calibri" w:cs="Calibri" w:eastAsia="Calibri" w:hAnsi="Calibri"/>
          <w:b/>
          <w:bCs/>
          <w:color w:val="2C523A"/>
          <w:sz w:val="24"/>
          <w:szCs w:val="24"/>
        </w:rPr>
        <w:t xml:space="preserve">8.02  OMH Review and Corrective Action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MHL Article 31; OMH oversight</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be ready for review and to correct deficiencies promptly.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maintains continuous readiness for OMH review, cooperates fully, and corrects deficiencies through timely, sustained corrective action plans.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operating certificate, policies, case records, personnel records, and required documentation are kept current and organized for review.</w:t>
      </w:r>
    </w:p>
    <w:p>
      <w:pPr>
        <w:pStyle w:val="ListParagraph"/>
        <w:numPr>
          <w:ilvl w:val="0"/>
          <w:numId w:val="2"/>
        </w:numPr>
        <w:spacing w:after="70" w:line="274"/>
      </w:pPr>
      <w:r>
        <w:rPr>
          <w:rFonts w:ascii="Calibri" w:cs="Calibri" w:eastAsia="Calibri" w:hAnsi="Calibri"/>
          <w:color w:val="222222"/>
          <w:sz w:val="22"/>
          <w:szCs w:val="22"/>
        </w:rPr>
        <w:t xml:space="preserve">The provider cooperates fully with OMH and LGU reviews and investigations and provides records promptly.</w:t>
      </w:r>
    </w:p>
    <w:p>
      <w:pPr>
        <w:pStyle w:val="ListParagraph"/>
        <w:numPr>
          <w:ilvl w:val="0"/>
          <w:numId w:val="2"/>
        </w:numPr>
        <w:spacing w:after="70" w:line="274"/>
      </w:pPr>
      <w:r>
        <w:rPr>
          <w:rFonts w:ascii="Calibri" w:cs="Calibri" w:eastAsia="Calibri" w:hAnsi="Calibri"/>
          <w:color w:val="222222"/>
          <w:sz w:val="22"/>
          <w:szCs w:val="22"/>
        </w:rPr>
        <w:t xml:space="preserve">When deficiencies are cited, a corrective action plan is submitted and implemented within the required timeframe and sustained.</w:t>
      </w:r>
    </w:p>
    <w:p>
      <w:pPr>
        <w:pStyle w:val="ListParagraph"/>
        <w:numPr>
          <w:ilvl w:val="0"/>
          <w:numId w:val="2"/>
        </w:numPr>
        <w:spacing w:after="70" w:line="274"/>
      </w:pPr>
      <w:r>
        <w:rPr>
          <w:rFonts w:ascii="Calibri" w:cs="Calibri" w:eastAsia="Calibri" w:hAnsi="Calibri"/>
          <w:color w:val="222222"/>
          <w:sz w:val="22"/>
          <w:szCs w:val="22"/>
        </w:rPr>
        <w:t xml:space="preserve">Compliance is maintained to protect the provider's certificate and standing.</w:t>
      </w:r>
    </w:p>
    <w:p>
      <w:pPr>
        <w:pStyle w:val="Heading2"/>
        <w:spacing w:after="90" w:before="230"/>
      </w:pPr>
      <w:r>
        <w:rPr>
          <w:rFonts w:ascii="Calibri" w:cs="Calibri" w:eastAsia="Calibri" w:hAnsi="Calibri"/>
          <w:b/>
          <w:bCs/>
          <w:color w:val="2C523A"/>
          <w:sz w:val="24"/>
          <w:szCs w:val="24"/>
        </w:rPr>
        <w:t xml:space="preserve">8.03  Case Records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14 NYCRR 599.11; MHL § 33.13</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maintain accurate, confidential case records.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maintains a complete case record for each recipient meeting Part 599.11, documents services as required, and retains and protects records under confidentiality law.</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Each case record contains the assessment, diagnosis, treatment plan and reviews, progress notes and service documentation, medication records, incident documentation, and discharge summary.</w:t>
      </w:r>
    </w:p>
    <w:p>
      <w:pPr>
        <w:pStyle w:val="ListParagraph"/>
        <w:numPr>
          <w:ilvl w:val="0"/>
          <w:numId w:val="2"/>
        </w:numPr>
        <w:spacing w:after="70" w:line="274"/>
      </w:pPr>
      <w:r>
        <w:rPr>
          <w:rFonts w:ascii="Calibri" w:cs="Calibri" w:eastAsia="Calibri" w:hAnsi="Calibri"/>
          <w:color w:val="222222"/>
          <w:sz w:val="22"/>
          <w:szCs w:val="22"/>
        </w:rPr>
        <w:t xml:space="preserve">Documentation is accurate, timely, and signed, and supports the services delivered and billed.</w:t>
      </w:r>
    </w:p>
    <w:p>
      <w:pPr>
        <w:pStyle w:val="ListParagraph"/>
        <w:numPr>
          <w:ilvl w:val="0"/>
          <w:numId w:val="2"/>
        </w:numPr>
        <w:spacing w:after="70" w:line="274"/>
      </w:pPr>
      <w:r>
        <w:rPr>
          <w:rFonts w:ascii="Calibri" w:cs="Calibri" w:eastAsia="Calibri" w:hAnsi="Calibri"/>
          <w:color w:val="222222"/>
          <w:sz w:val="22"/>
          <w:szCs w:val="22"/>
        </w:rPr>
        <w:t xml:space="preserve">Records are retained for the required period and protected under MHL § 33.13, HIPAA, and Part 2 where applicable.</w:t>
      </w:r>
    </w:p>
    <w:p>
      <w:pPr>
        <w:pStyle w:val="ListParagraph"/>
        <w:numPr>
          <w:ilvl w:val="0"/>
          <w:numId w:val="2"/>
        </w:numPr>
        <w:spacing w:after="70" w:line="274"/>
      </w:pPr>
      <w:r>
        <w:rPr>
          <w:rFonts w:ascii="Calibri" w:cs="Calibri" w:eastAsia="Calibri" w:hAnsi="Calibri"/>
          <w:color w:val="222222"/>
          <w:sz w:val="22"/>
          <w:szCs w:val="22"/>
        </w:rPr>
        <w:t xml:space="preserve">Records are produced for OMH, the Justice Center, and auditors as permitted and required.</w:t>
      </w:r>
    </w:p>
    <w:p>
      <w:pPr>
        <w:pStyle w:val="Heading2"/>
        <w:spacing w:after="90" w:before="230"/>
      </w:pPr>
      <w:r>
        <w:rPr>
          <w:rFonts w:ascii="Calibri" w:cs="Calibri" w:eastAsia="Calibri" w:hAnsi="Calibri"/>
          <w:b/>
          <w:bCs/>
          <w:color w:val="2C523A"/>
          <w:sz w:val="24"/>
          <w:szCs w:val="24"/>
        </w:rPr>
        <w:t xml:space="preserve">8.04  Billing Integrity and the Compliance Program</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14 NYCRR 599.13–599.14; SSL § 363-d; OMIG</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bill accurately and maintain the compliance program New York requires.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bills only for delivered, documented services under the Part 599 billing standards and maintains an effective compliance program meeting New York Medicaid requirements.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Claims follow the Part 599 medical assistance billing standards and payer rules, for delivered and documented services only.</w:t>
      </w:r>
    </w:p>
    <w:p>
      <w:pPr>
        <w:pStyle w:val="ListParagraph"/>
        <w:numPr>
          <w:ilvl w:val="0"/>
          <w:numId w:val="2"/>
        </w:numPr>
        <w:spacing w:after="70" w:line="274"/>
      </w:pPr>
      <w:r>
        <w:rPr>
          <w:rFonts w:ascii="Calibri" w:cs="Calibri" w:eastAsia="Calibri" w:hAnsi="Calibri"/>
          <w:color w:val="222222"/>
          <w:sz w:val="22"/>
          <w:szCs w:val="22"/>
        </w:rPr>
        <w:t xml:space="preserve">A compliance program meeting applicable New York Medicaid compliance requirements is maintained, with standards of conduct, training, auditing and monitoring, and non-retaliation.</w:t>
      </w:r>
    </w:p>
    <w:p>
      <w:pPr>
        <w:pStyle w:val="ListParagraph"/>
        <w:numPr>
          <w:ilvl w:val="0"/>
          <w:numId w:val="2"/>
        </w:numPr>
        <w:spacing w:after="70" w:line="274"/>
      </w:pPr>
      <w:r>
        <w:rPr>
          <w:rFonts w:ascii="Calibri" w:cs="Calibri" w:eastAsia="Calibri" w:hAnsi="Calibri"/>
          <w:color w:val="222222"/>
          <w:sz w:val="22"/>
          <w:szCs w:val="22"/>
        </w:rPr>
        <w:t xml:space="preserve">Billing and documentation are reviewed for accuracy, and discrepancies are corrected and disclosed as required.</w:t>
      </w:r>
    </w:p>
    <w:p>
      <w:pPr>
        <w:pStyle w:val="ListParagraph"/>
        <w:numPr>
          <w:ilvl w:val="0"/>
          <w:numId w:val="2"/>
        </w:numPr>
        <w:spacing w:after="70" w:line="274"/>
      </w:pPr>
      <w:r>
        <w:rPr>
          <w:rFonts w:ascii="Calibri" w:cs="Calibri" w:eastAsia="Calibri" w:hAnsi="Calibri"/>
          <w:color w:val="222222"/>
          <w:sz w:val="22"/>
          <w:szCs w:val="22"/>
        </w:rPr>
        <w:t xml:space="preserve">The provider cooperates with OMIG, payer, and program-integrity audits.</w:t>
      </w:r>
    </w:p>
    <w:p>
      <w:pPr>
        <w:pStyle w:val="Heading2"/>
        <w:spacing w:after="90" w:before="230"/>
      </w:pPr>
      <w:r>
        <w:rPr>
          <w:rFonts w:ascii="Calibri" w:cs="Calibri" w:eastAsia="Calibri" w:hAnsi="Calibri"/>
          <w:b/>
          <w:bCs/>
          <w:color w:val="2C523A"/>
          <w:sz w:val="24"/>
          <w:szCs w:val="24"/>
        </w:rPr>
        <w:t xml:space="preserve">8.05  Data Security, Retention and Continuity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HIPAA; MHL § 33.13; applicable law</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protect records and sustain services through disruption.</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protects clinical data with safeguards meeting HIPAA and state law, retains records as required, and plans continuity so a disruption does not endanger recipients.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Electronic records are protected with access controls, audit trails, and encryption where appropriate.</w:t>
      </w:r>
    </w:p>
    <w:p>
      <w:pPr>
        <w:pStyle w:val="ListParagraph"/>
        <w:numPr>
          <w:ilvl w:val="0"/>
          <w:numId w:val="2"/>
        </w:numPr>
        <w:spacing w:after="70" w:line="274"/>
      </w:pPr>
      <w:r>
        <w:rPr>
          <w:rFonts w:ascii="Calibri" w:cs="Calibri" w:eastAsia="Calibri" w:hAnsi="Calibri"/>
          <w:color w:val="222222"/>
          <w:sz w:val="22"/>
          <w:szCs w:val="22"/>
        </w:rPr>
        <w:t xml:space="preserve">Records are retained for the required period and destroyed securely thereafter, consistent with confidentiality law.</w:t>
      </w:r>
    </w:p>
    <w:p>
      <w:pPr>
        <w:pStyle w:val="ListParagraph"/>
        <w:numPr>
          <w:ilvl w:val="0"/>
          <w:numId w:val="2"/>
        </w:numPr>
        <w:spacing w:after="70" w:line="274"/>
      </w:pPr>
      <w:r>
        <w:rPr>
          <w:rFonts w:ascii="Calibri" w:cs="Calibri" w:eastAsia="Calibri" w:hAnsi="Calibri"/>
          <w:color w:val="222222"/>
          <w:sz w:val="22"/>
          <w:szCs w:val="22"/>
        </w:rPr>
        <w:t xml:space="preserve">Continuity planning addresses staffing, records access, medication continuity, and crisis support during disruptions.</w:t>
      </w:r>
    </w:p>
    <w:p>
      <w:pPr>
        <w:pStyle w:val="ListParagraph"/>
        <w:numPr>
          <w:ilvl w:val="0"/>
          <w:numId w:val="2"/>
        </w:numPr>
        <w:spacing w:after="70" w:line="274"/>
      </w:pPr>
      <w:r>
        <w:rPr>
          <w:rFonts w:ascii="Calibri" w:cs="Calibri" w:eastAsia="Calibri" w:hAnsi="Calibri"/>
          <w:color w:val="222222"/>
          <w:sz w:val="22"/>
          <w:szCs w:val="22"/>
        </w:rPr>
        <w:t xml:space="preserve">Suspected breaches are investigated and handled as law requires.</w:t>
      </w:r>
    </w:p>
    <w:p>
      <w:pPr>
        <w:pStyle w:val="Heading2"/>
        <w:spacing w:after="90" w:before="230"/>
      </w:pPr>
      <w:r>
        <w:rPr>
          <w:rFonts w:ascii="Calibri" w:cs="Calibri" w:eastAsia="Calibri" w:hAnsi="Calibri"/>
          <w:b/>
          <w:bCs/>
          <w:color w:val="2C523A"/>
          <w:sz w:val="24"/>
          <w:szCs w:val="24"/>
        </w:rPr>
        <w:t xml:space="preserve">8.06  Marketing, Referral Integrity and Vendors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federal Anti-Kickback Statute; HIPAA; program integrity</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market lawfully and hold vendors to required standards.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markets truthfully, structures referral relationships to comply with anti-kickback law, and ensures vendors handling protected information meet HIPAA and applicable requirements.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Marketing accurately describes licensed services and does not mislead.</w:t>
      </w:r>
    </w:p>
    <w:p>
      <w:pPr>
        <w:pStyle w:val="ListParagraph"/>
        <w:numPr>
          <w:ilvl w:val="0"/>
          <w:numId w:val="2"/>
        </w:numPr>
        <w:spacing w:after="70" w:line="274"/>
      </w:pPr>
      <w:r>
        <w:rPr>
          <w:rFonts w:ascii="Calibri" w:cs="Calibri" w:eastAsia="Calibri" w:hAnsi="Calibri"/>
          <w:color w:val="222222"/>
          <w:sz w:val="22"/>
          <w:szCs w:val="22"/>
        </w:rPr>
        <w:t xml:space="preserve">The provider does not pay or receive unlawful remuneration for referrals, and referral relationships preserve recipient choice.</w:t>
      </w:r>
    </w:p>
    <w:p>
      <w:pPr>
        <w:pStyle w:val="ListParagraph"/>
        <w:numPr>
          <w:ilvl w:val="0"/>
          <w:numId w:val="2"/>
        </w:numPr>
        <w:spacing w:after="70" w:line="274"/>
      </w:pPr>
      <w:r>
        <w:rPr>
          <w:rFonts w:ascii="Calibri" w:cs="Calibri" w:eastAsia="Calibri" w:hAnsi="Calibri"/>
          <w:color w:val="222222"/>
          <w:sz w:val="22"/>
          <w:szCs w:val="22"/>
        </w:rPr>
        <w:t xml:space="preserve">Business associate agreements are executed with vendors handling protected information, and vendor compliance is monitored.</w:t>
      </w:r>
    </w:p>
    <w:p>
      <w:pPr>
        <w:pStyle w:val="ListParagraph"/>
        <w:numPr>
          <w:ilvl w:val="0"/>
          <w:numId w:val="2"/>
        </w:numPr>
        <w:spacing w:after="70" w:line="274"/>
      </w:pPr>
      <w:r>
        <w:rPr>
          <w:rFonts w:ascii="Calibri" w:cs="Calibri" w:eastAsia="Calibri" w:hAnsi="Calibri"/>
          <w:color w:val="222222"/>
          <w:sz w:val="22"/>
          <w:szCs w:val="22"/>
        </w:rPr>
        <w:t xml:space="preserve">Practices are reviewed for compliance.</w:t>
      </w:r>
    </w:p>
    <w:p>
      <w:pPr>
        <w:pStyle w:val="Heading2"/>
        <w:spacing w:after="90" w:before="230"/>
      </w:pPr>
      <w:r>
        <w:rPr>
          <w:rFonts w:ascii="Calibri" w:cs="Calibri" w:eastAsia="Calibri" w:hAnsi="Calibri"/>
          <w:b/>
          <w:bCs/>
          <w:color w:val="2C523A"/>
          <w:sz w:val="24"/>
          <w:szCs w:val="24"/>
        </w:rPr>
        <w:t xml:space="preserve">8.07  Manual Adoption and Staff Acknowledgment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14 NYCRR 599.6</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put the manual into force and confirm staff understanding.</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governing authority adopts this manual, the provider makes it available to staff, and staff acknowledge the policies relevant to their duties.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governing authority adopts the manual, and the adoption and effective date are recorded.</w:t>
      </w:r>
    </w:p>
    <w:p>
      <w:pPr>
        <w:pStyle w:val="ListParagraph"/>
        <w:numPr>
          <w:ilvl w:val="0"/>
          <w:numId w:val="2"/>
        </w:numPr>
        <w:spacing w:after="70" w:line="274"/>
      </w:pPr>
      <w:r>
        <w:rPr>
          <w:rFonts w:ascii="Calibri" w:cs="Calibri" w:eastAsia="Calibri" w:hAnsi="Calibri"/>
          <w:color w:val="222222"/>
          <w:sz w:val="22"/>
          <w:szCs w:val="22"/>
        </w:rPr>
        <w:t xml:space="preserve">The manual is available to staff and to OMH, and relevant policies are covered in orientation and training.</w:t>
      </w:r>
    </w:p>
    <w:p>
      <w:pPr>
        <w:pStyle w:val="ListParagraph"/>
        <w:numPr>
          <w:ilvl w:val="0"/>
          <w:numId w:val="2"/>
        </w:numPr>
        <w:spacing w:after="70" w:line="274"/>
      </w:pPr>
      <w:r>
        <w:rPr>
          <w:rFonts w:ascii="Calibri" w:cs="Calibri" w:eastAsia="Calibri" w:hAnsi="Calibri"/>
          <w:color w:val="222222"/>
          <w:sz w:val="22"/>
          <w:szCs w:val="22"/>
        </w:rPr>
        <w:t xml:space="preserve">Staff acknowledge in writing that they have received and understand the policies relevant to their duties.</w:t>
      </w:r>
    </w:p>
    <w:p>
      <w:pPr>
        <w:pStyle w:val="ListParagraph"/>
        <w:numPr>
          <w:ilvl w:val="0"/>
          <w:numId w:val="2"/>
        </w:numPr>
        <w:spacing w:after="70" w:line="274"/>
      </w:pPr>
      <w:r>
        <w:rPr>
          <w:rFonts w:ascii="Calibri" w:cs="Calibri" w:eastAsia="Calibri" w:hAnsi="Calibri"/>
          <w:color w:val="222222"/>
          <w:sz w:val="22"/>
          <w:szCs w:val="22"/>
        </w:rPr>
        <w:t xml:space="preserve">Material revisions are dated, communicated, and re-acknowledged where appropriate.</w:t>
      </w:r>
    </w:p>
    <w:p>
      <w:pPr>
        <w:pStyle w:val="Heading2"/>
        <w:spacing w:after="90" w:before="230"/>
      </w:pPr>
      <w:r>
        <w:rPr>
          <w:rFonts w:ascii="Calibri" w:cs="Calibri" w:eastAsia="Calibri" w:hAnsi="Calibri"/>
          <w:b/>
          <w:bCs/>
          <w:color w:val="2C523A"/>
          <w:sz w:val="24"/>
          <w:szCs w:val="24"/>
        </w:rPr>
        <w:t xml:space="preserve">8.08  Outcome Measurement and Recipient Satisfaction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OMH data requirements; payer quality programs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measure results and use recipient input to improve.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measures treatment outcomes and gathers recipient satisfaction, and uses both to improve services.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Outcome measures appropriate to the program and required by OMH and payers are tracked.</w:t>
      </w:r>
    </w:p>
    <w:p>
      <w:pPr>
        <w:pStyle w:val="ListParagraph"/>
        <w:numPr>
          <w:ilvl w:val="0"/>
          <w:numId w:val="2"/>
        </w:numPr>
        <w:spacing w:after="70" w:line="274"/>
      </w:pPr>
      <w:r>
        <w:rPr>
          <w:rFonts w:ascii="Calibri" w:cs="Calibri" w:eastAsia="Calibri" w:hAnsi="Calibri"/>
          <w:color w:val="222222"/>
          <w:sz w:val="22"/>
          <w:szCs w:val="22"/>
        </w:rPr>
        <w:t xml:space="preserve">Recipient and family satisfaction is gathered without reprisal and reviewed.</w:t>
      </w:r>
    </w:p>
    <w:p>
      <w:pPr>
        <w:pStyle w:val="ListParagraph"/>
        <w:numPr>
          <w:ilvl w:val="0"/>
          <w:numId w:val="2"/>
        </w:numPr>
        <w:spacing w:after="70" w:line="274"/>
      </w:pPr>
      <w:r>
        <w:rPr>
          <w:rFonts w:ascii="Calibri" w:cs="Calibri" w:eastAsia="Calibri" w:hAnsi="Calibri"/>
          <w:color w:val="222222"/>
          <w:sz w:val="22"/>
          <w:szCs w:val="22"/>
        </w:rPr>
        <w:t xml:space="preserve">Findings drive quality-improvement priorities.</w:t>
      </w:r>
    </w:p>
    <w:p>
      <w:pPr>
        <w:pStyle w:val="ListParagraph"/>
        <w:numPr>
          <w:ilvl w:val="0"/>
          <w:numId w:val="2"/>
        </w:numPr>
        <w:spacing w:after="70" w:line="274"/>
      </w:pPr>
      <w:r>
        <w:rPr>
          <w:rFonts w:ascii="Calibri" w:cs="Calibri" w:eastAsia="Calibri" w:hAnsi="Calibri"/>
          <w:color w:val="222222"/>
          <w:sz w:val="22"/>
          <w:szCs w:val="22"/>
        </w:rPr>
        <w:t xml:space="preserve">Results are shared with staff and reported as required.</w:t>
      </w:r>
    </w:p>
    <w:p>
      <w:pPr>
        <w:pStyle w:val="Heading2"/>
        <w:spacing w:after="90" w:before="230"/>
      </w:pPr>
      <w:r>
        <w:rPr>
          <w:rFonts w:ascii="Calibri" w:cs="Calibri" w:eastAsia="Calibri" w:hAnsi="Calibri"/>
          <w:b/>
          <w:bCs/>
          <w:color w:val="2C523A"/>
          <w:sz w:val="24"/>
          <w:szCs w:val="24"/>
        </w:rPr>
        <w:t xml:space="preserve">8.09  Utilization and Documentation Audits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14 NYCRR 599.6(m); payer requirements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ensure services and documentation support what is delivered and billed.</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reviews utilization and audits documentation to confirm services are appropriate, delivered, and supported.</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Utilization is reviewed against the plan and payer criteria through the required utilization review.</w:t>
      </w:r>
    </w:p>
    <w:p>
      <w:pPr>
        <w:pStyle w:val="ListParagraph"/>
        <w:numPr>
          <w:ilvl w:val="0"/>
          <w:numId w:val="2"/>
        </w:numPr>
        <w:spacing w:after="70" w:line="274"/>
      </w:pPr>
      <w:r>
        <w:rPr>
          <w:rFonts w:ascii="Calibri" w:cs="Calibri" w:eastAsia="Calibri" w:hAnsi="Calibri"/>
          <w:color w:val="222222"/>
          <w:sz w:val="22"/>
          <w:szCs w:val="22"/>
        </w:rPr>
        <w:t xml:space="preserve">Documentation is audited for completeness, accuracy, and support for billing.</w:t>
      </w:r>
    </w:p>
    <w:p>
      <w:pPr>
        <w:pStyle w:val="ListParagraph"/>
        <w:numPr>
          <w:ilvl w:val="0"/>
          <w:numId w:val="2"/>
        </w:numPr>
        <w:spacing w:after="70" w:line="274"/>
      </w:pPr>
      <w:r>
        <w:rPr>
          <w:rFonts w:ascii="Calibri" w:cs="Calibri" w:eastAsia="Calibri" w:hAnsi="Calibri"/>
          <w:color w:val="222222"/>
          <w:sz w:val="22"/>
          <w:szCs w:val="22"/>
        </w:rPr>
        <w:t xml:space="preserve">Deficiencies are corrected and inform training.</w:t>
      </w:r>
    </w:p>
    <w:p>
      <w:pPr>
        <w:pStyle w:val="ListParagraph"/>
        <w:numPr>
          <w:ilvl w:val="0"/>
          <w:numId w:val="2"/>
        </w:numPr>
        <w:spacing w:after="70" w:line="274"/>
      </w:pPr>
      <w:r>
        <w:rPr>
          <w:rFonts w:ascii="Calibri" w:cs="Calibri" w:eastAsia="Calibri" w:hAnsi="Calibri"/>
          <w:color w:val="222222"/>
          <w:sz w:val="22"/>
          <w:szCs w:val="22"/>
        </w:rPr>
        <w:t xml:space="preserve">Audit activity is documented.</w:t>
      </w:r>
    </w:p>
    <w:p>
      <w:pPr>
        <w:pStyle w:val="Heading2"/>
        <w:spacing w:after="90" w:before="230"/>
      </w:pPr>
      <w:r>
        <w:rPr>
          <w:rFonts w:ascii="Calibri" w:cs="Calibri" w:eastAsia="Calibri" w:hAnsi="Calibri"/>
          <w:b/>
          <w:bCs/>
          <w:color w:val="2C523A"/>
          <w:sz w:val="24"/>
          <w:szCs w:val="24"/>
        </w:rPr>
        <w:t xml:space="preserve">8.10  Indigent Care and Financial Access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14 NYCRR 599.15; program policy</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keep services financially accessible as the regulations provide.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applies the applicable indigent-care and financial-access provisions so recipients are not denied needed services solely for inability to pay, consistent with the regulations.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Financial-access and any sliding-fee policies are applied consistently and communicated to recipients.</w:t>
      </w:r>
    </w:p>
    <w:p>
      <w:pPr>
        <w:pStyle w:val="ListParagraph"/>
        <w:numPr>
          <w:ilvl w:val="0"/>
          <w:numId w:val="2"/>
        </w:numPr>
        <w:spacing w:after="70" w:line="274"/>
      </w:pPr>
      <w:r>
        <w:rPr>
          <w:rFonts w:ascii="Calibri" w:cs="Calibri" w:eastAsia="Calibri" w:hAnsi="Calibri"/>
          <w:color w:val="222222"/>
          <w:sz w:val="22"/>
          <w:szCs w:val="22"/>
        </w:rPr>
        <w:t xml:space="preserve">Applicable indigent-care provisions are followed.</w:t>
      </w:r>
    </w:p>
    <w:p>
      <w:pPr>
        <w:pStyle w:val="ListParagraph"/>
        <w:numPr>
          <w:ilvl w:val="0"/>
          <w:numId w:val="2"/>
        </w:numPr>
        <w:spacing w:after="70" w:line="274"/>
      </w:pPr>
      <w:r>
        <w:rPr>
          <w:rFonts w:ascii="Calibri" w:cs="Calibri" w:eastAsia="Calibri" w:hAnsi="Calibri"/>
          <w:color w:val="222222"/>
          <w:sz w:val="22"/>
          <w:szCs w:val="22"/>
        </w:rPr>
        <w:t xml:space="preserve">Billing practices are fair, transparent, and documented.</w:t>
      </w:r>
    </w:p>
    <w:p>
      <w:pPr>
        <w:pStyle w:val="ListParagraph"/>
        <w:numPr>
          <w:ilvl w:val="0"/>
          <w:numId w:val="2"/>
        </w:numPr>
        <w:spacing w:after="70" w:line="274"/>
      </w:pPr>
      <w:r>
        <w:rPr>
          <w:rFonts w:ascii="Calibri" w:cs="Calibri" w:eastAsia="Calibri" w:hAnsi="Calibri"/>
          <w:color w:val="222222"/>
          <w:sz w:val="22"/>
          <w:szCs w:val="22"/>
        </w:rPr>
        <w:t xml:space="preserve">Financial-access practices are reviewed.</w:t>
      </w:r>
    </w:p>
    <w:p>
      <w:pPr>
        <w:pStyle w:val="Heading2"/>
        <w:spacing w:after="90" w:before="230"/>
      </w:pPr>
      <w:r>
        <w:rPr>
          <w:rFonts w:ascii="Calibri" w:cs="Calibri" w:eastAsia="Calibri" w:hAnsi="Calibri"/>
          <w:b/>
          <w:bCs/>
          <w:color w:val="2C523A"/>
          <w:sz w:val="24"/>
          <w:szCs w:val="24"/>
        </w:rPr>
        <w:t xml:space="preserve">8.11  Emergency Operations and Disaster Continuity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14 NYCRR 599.6(l); continuity planning</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sustain essential care through emergencies and disasters.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maintains an emergency operations plan that sustains essential services — especially medication continuity and crisis support — through disruptions.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plan addresses staffing, records access, medication continuity, crisis support, and communication during disruptions.</w:t>
      </w:r>
    </w:p>
    <w:p>
      <w:pPr>
        <w:pStyle w:val="ListParagraph"/>
        <w:numPr>
          <w:ilvl w:val="0"/>
          <w:numId w:val="2"/>
        </w:numPr>
        <w:spacing w:after="70" w:line="274"/>
      </w:pPr>
      <w:r>
        <w:rPr>
          <w:rFonts w:ascii="Calibri" w:cs="Calibri" w:eastAsia="Calibri" w:hAnsi="Calibri"/>
          <w:color w:val="222222"/>
          <w:sz w:val="22"/>
          <w:szCs w:val="22"/>
        </w:rPr>
        <w:t xml:space="preserve">Staff know their roles, and the plan is exercised and reviewed.</w:t>
      </w:r>
    </w:p>
    <w:p>
      <w:pPr>
        <w:pStyle w:val="ListParagraph"/>
        <w:numPr>
          <w:ilvl w:val="0"/>
          <w:numId w:val="2"/>
        </w:numPr>
        <w:spacing w:after="70" w:line="274"/>
      </w:pPr>
      <w:r>
        <w:rPr>
          <w:rFonts w:ascii="Calibri" w:cs="Calibri" w:eastAsia="Calibri" w:hAnsi="Calibri"/>
          <w:color w:val="222222"/>
          <w:sz w:val="22"/>
          <w:szCs w:val="22"/>
        </w:rPr>
        <w:t xml:space="preserve">Continuity arrangements are documented.</w:t>
      </w:r>
    </w:p>
    <w:p>
      <w:pPr>
        <w:pStyle w:val="ListParagraph"/>
        <w:numPr>
          <w:ilvl w:val="0"/>
          <w:numId w:val="2"/>
        </w:numPr>
        <w:spacing w:after="70" w:line="274"/>
      </w:pPr>
      <w:r>
        <w:rPr>
          <w:rFonts w:ascii="Calibri" w:cs="Calibri" w:eastAsia="Calibri" w:hAnsi="Calibri"/>
          <w:color w:val="222222"/>
          <w:sz w:val="22"/>
          <w:szCs w:val="22"/>
        </w:rPr>
        <w:t xml:space="preserve">Actions during an emergency are documented.</w:t>
      </w:r>
    </w:p>
    <w:p>
      <w:pPr>
        <w:pStyle w:val="Heading2"/>
        <w:spacing w:after="90" w:before="230"/>
      </w:pPr>
      <w:r>
        <w:rPr>
          <w:rFonts w:ascii="Calibri" w:cs="Calibri" w:eastAsia="Calibri" w:hAnsi="Calibri"/>
          <w:b/>
          <w:bCs/>
          <w:color w:val="2C523A"/>
          <w:sz w:val="24"/>
          <w:szCs w:val="24"/>
        </w:rPr>
        <w:t xml:space="preserve">8.12  Financial Management and Continuity of Care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sound practice; OMH oversight</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operate on a sound financial footing that protects care.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manages its finances so it can meet obligations and continue services, and plans continuity so a disruption does not endanger recipients.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Sound financial practices are maintained, including timely payroll and obligations.</w:t>
      </w:r>
    </w:p>
    <w:p>
      <w:pPr>
        <w:pStyle w:val="ListParagraph"/>
        <w:numPr>
          <w:ilvl w:val="0"/>
          <w:numId w:val="2"/>
        </w:numPr>
        <w:spacing w:after="70" w:line="274"/>
      </w:pPr>
      <w:r>
        <w:rPr>
          <w:rFonts w:ascii="Calibri" w:cs="Calibri" w:eastAsia="Calibri" w:hAnsi="Calibri"/>
          <w:color w:val="222222"/>
          <w:sz w:val="22"/>
          <w:szCs w:val="22"/>
        </w:rPr>
        <w:t xml:space="preserve">Continuity planning protects recipients who depend on continued service.</w:t>
      </w:r>
    </w:p>
    <w:p>
      <w:pPr>
        <w:pStyle w:val="ListParagraph"/>
        <w:numPr>
          <w:ilvl w:val="0"/>
          <w:numId w:val="2"/>
        </w:numPr>
        <w:spacing w:after="70" w:line="274"/>
      </w:pPr>
      <w:r>
        <w:rPr>
          <w:rFonts w:ascii="Calibri" w:cs="Calibri" w:eastAsia="Calibri" w:hAnsi="Calibri"/>
          <w:color w:val="222222"/>
          <w:sz w:val="22"/>
          <w:szCs w:val="22"/>
        </w:rPr>
        <w:t xml:space="preserve">Financial records are maintained and available as required.</w:t>
      </w:r>
    </w:p>
    <w:p>
      <w:pPr>
        <w:pStyle w:val="ListParagraph"/>
        <w:numPr>
          <w:ilvl w:val="0"/>
          <w:numId w:val="2"/>
        </w:numPr>
        <w:spacing w:after="70" w:line="274"/>
      </w:pPr>
      <w:r>
        <w:rPr>
          <w:rFonts w:ascii="Calibri" w:cs="Calibri" w:eastAsia="Calibri" w:hAnsi="Calibri"/>
          <w:color w:val="222222"/>
          <w:sz w:val="22"/>
          <w:szCs w:val="22"/>
        </w:rPr>
        <w:t xml:space="preserve">Signs of financial distress prompt planning to protect continuity.</w:t>
      </w:r>
    </w:p>
    <w:p>
      <w:pPr>
        <w:pStyle w:val="Heading2"/>
        <w:spacing w:after="90" w:before="230"/>
      </w:pPr>
      <w:r>
        <w:rPr>
          <w:rFonts w:ascii="Calibri" w:cs="Calibri" w:eastAsia="Calibri" w:hAnsi="Calibri"/>
          <w:b/>
          <w:bCs/>
          <w:color w:val="2C523A"/>
          <w:sz w:val="24"/>
          <w:szCs w:val="24"/>
        </w:rPr>
        <w:t xml:space="preserve">8.13  Required Data Reporting</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OMH data requirements; payer requirements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report required data accurately and on time.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submits the data OMH, the LGU, and payers require — accurately, on time, and through the required systems.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Required data submissions are made within required timeframes through the required systems.</w:t>
      </w:r>
    </w:p>
    <w:p>
      <w:pPr>
        <w:pStyle w:val="ListParagraph"/>
        <w:numPr>
          <w:ilvl w:val="0"/>
          <w:numId w:val="2"/>
        </w:numPr>
        <w:spacing w:after="70" w:line="274"/>
      </w:pPr>
      <w:r>
        <w:rPr>
          <w:rFonts w:ascii="Calibri" w:cs="Calibri" w:eastAsia="Calibri" w:hAnsi="Calibri"/>
          <w:color w:val="222222"/>
          <w:sz w:val="22"/>
          <w:szCs w:val="22"/>
        </w:rPr>
        <w:t xml:space="preserve">Data accuracy is verified before submission, and corrections are made promptly.</w:t>
      </w:r>
    </w:p>
    <w:p>
      <w:pPr>
        <w:pStyle w:val="ListParagraph"/>
        <w:numPr>
          <w:ilvl w:val="0"/>
          <w:numId w:val="2"/>
        </w:numPr>
        <w:spacing w:after="70" w:line="274"/>
      </w:pPr>
      <w:r>
        <w:rPr>
          <w:rFonts w:ascii="Calibri" w:cs="Calibri" w:eastAsia="Calibri" w:hAnsi="Calibri"/>
          <w:color w:val="222222"/>
          <w:sz w:val="22"/>
          <w:szCs w:val="22"/>
        </w:rPr>
        <w:t xml:space="preserve">Staff responsible for reporting are trained.</w:t>
      </w:r>
    </w:p>
    <w:p>
      <w:pPr>
        <w:pStyle w:val="ListParagraph"/>
        <w:numPr>
          <w:ilvl w:val="0"/>
          <w:numId w:val="2"/>
        </w:numPr>
        <w:spacing w:after="70" w:line="274"/>
      </w:pPr>
      <w:r>
        <w:rPr>
          <w:rFonts w:ascii="Calibri" w:cs="Calibri" w:eastAsia="Calibri" w:hAnsi="Calibri"/>
          <w:color w:val="222222"/>
          <w:sz w:val="22"/>
          <w:szCs w:val="22"/>
        </w:rPr>
        <w:t xml:space="preserve">Submission records are retained.</w:t>
      </w:r>
    </w:p>
    <w:p>
      <w:r>
        <w:br w:type="page"/>
      </w:r>
    </w:p>
    <w:p>
      <w:pPr>
        <w:pStyle w:val="Heading1"/>
        <w:pBdr>
          <w:bottom w:val="single" w:color="1F3D2B" w:sz="10" w:space="6"/>
        </w:pBdr>
        <w:spacing w:after="170" w:before="320"/>
      </w:pPr>
      <w:r>
        <w:rPr>
          <w:rFonts w:ascii="Calibri" w:cs="Calibri" w:eastAsia="Calibri" w:hAnsi="Calibri"/>
          <w:b/>
          <w:bCs/>
          <w:color w:val="1F3D2B"/>
          <w:sz w:val="30"/>
          <w:szCs w:val="30"/>
        </w:rPr>
        <w:t xml:space="preserve">Appendix A — Regulatory Reference Map</w:t>
      </w:r>
    </w:p>
    <w:p>
      <w:pPr>
        <w:spacing w:after="140" w:before="0" w:line="278"/>
      </w:pPr>
      <w:r>
        <w:rPr>
          <w:rFonts w:ascii="Calibri" w:cs="Calibri" w:eastAsia="Calibri" w:hAnsi="Calibri"/>
          <w:b w:val="false"/>
          <w:bCs w:val="false"/>
          <w:i w:val="false"/>
          <w:iCs w:val="false"/>
          <w:color w:val="222222"/>
          <w:sz w:val="22"/>
          <w:szCs w:val="22"/>
        </w:rPr>
        <w:t xml:space="preserve">This appendix maps the sections of this manual to the New York and federal authorities on which they rest. Article 31 of the Mental Hygiene Law and the OMH regulations at 14 NYCRR govern licensed mental health programs. This is a starting reference, not a complete list — confirm current text with OMH and your field office.</w:t>
      </w:r>
    </w:p>
    <w:p>
      <w:pPr>
        <w:pStyle w:val="Heading2"/>
        <w:spacing w:after="90" w:before="230"/>
      </w:pPr>
      <w:r>
        <w:rPr>
          <w:rFonts w:ascii="Calibri" w:cs="Calibri" w:eastAsia="Calibri" w:hAnsi="Calibri"/>
          <w:b/>
          <w:bCs/>
          <w:color w:val="2C523A"/>
          <w:sz w:val="24"/>
          <w:szCs w:val="24"/>
        </w:rPr>
        <w:t xml:space="preserve">Governing authority</w:t>
      </w:r>
    </w:p>
    <w:p>
      <w:pPr>
        <w:pStyle w:val="ListParagraph"/>
        <w:numPr>
          <w:ilvl w:val="0"/>
          <w:numId w:val="3"/>
        </w:numPr>
        <w:spacing w:after="60" w:line="274"/>
      </w:pPr>
      <w:r>
        <w:rPr>
          <w:rFonts w:ascii="Calibri" w:cs="Calibri" w:eastAsia="Calibri" w:hAnsi="Calibri"/>
          <w:color w:val="222222"/>
          <w:sz w:val="22"/>
          <w:szCs w:val="22"/>
        </w:rPr>
        <w:t xml:space="preserve">Mental Hygiene Law Article 31 — licensing and regulation of mental health providers; Article 33 — rights and clinical records; Article 41 — local services planning.</w:t>
      </w:r>
    </w:p>
    <w:p>
      <w:pPr>
        <w:pStyle w:val="ListParagraph"/>
        <w:numPr>
          <w:ilvl w:val="0"/>
          <w:numId w:val="3"/>
        </w:numPr>
        <w:spacing w:after="60" w:line="274"/>
      </w:pPr>
      <w:r>
        <w:rPr>
          <w:rFonts w:ascii="Calibri" w:cs="Calibri" w:eastAsia="Calibri" w:hAnsi="Calibri"/>
          <w:color w:val="222222"/>
          <w:sz w:val="22"/>
          <w:szCs w:val="22"/>
        </w:rPr>
        <w:t xml:space="preserve">14 NYCRR Part 599 — Mental Health Outpatient Treatment and Rehabilitative Services (MHOTRS): 599.5 licensing, 599.6 organization and administration, 599.7 rights of recipients, 599.8 services, 599.9 staffing, 599.10 treatment planning, 599.11 case records, 599.12 premises, 599.13–599.14 Medicaid reimbursement and billing standards, 599.15 indigent care.</w:t>
      </w:r>
    </w:p>
    <w:p>
      <w:pPr>
        <w:pStyle w:val="ListParagraph"/>
        <w:numPr>
          <w:ilvl w:val="0"/>
          <w:numId w:val="3"/>
        </w:numPr>
        <w:spacing w:after="60" w:line="274"/>
      </w:pPr>
      <w:r>
        <w:rPr>
          <w:rFonts w:ascii="Calibri" w:cs="Calibri" w:eastAsia="Calibri" w:hAnsi="Calibri"/>
          <w:color w:val="222222"/>
          <w:sz w:val="22"/>
          <w:szCs w:val="22"/>
        </w:rPr>
        <w:t xml:space="preserve">14 NYCRR Part 512 — PROS; Part 508 — Assertive Community Treatment; Part 524 — incident management; Part 550 — criminal history reviews.</w:t>
      </w:r>
    </w:p>
    <w:p>
      <w:pPr>
        <w:pStyle w:val="ListParagraph"/>
        <w:numPr>
          <w:ilvl w:val="0"/>
          <w:numId w:val="3"/>
        </w:numPr>
        <w:spacing w:after="60" w:line="274"/>
      </w:pPr>
      <w:r>
        <w:rPr>
          <w:rFonts w:ascii="Calibri" w:cs="Calibri" w:eastAsia="Calibri" w:hAnsi="Calibri"/>
          <w:color w:val="222222"/>
          <w:sz w:val="22"/>
          <w:szCs w:val="22"/>
        </w:rPr>
        <w:t xml:space="preserve">MHL § 31.35 and SSL §§ 424-a, 495 — criminal history reviews, SCR clearance, and Justice Center screening.</w:t>
      </w:r>
    </w:p>
    <w:p>
      <w:pPr>
        <w:pStyle w:val="ListParagraph"/>
        <w:numPr>
          <w:ilvl w:val="0"/>
          <w:numId w:val="3"/>
        </w:numPr>
        <w:spacing w:after="60" w:line="274"/>
      </w:pPr>
      <w:r>
        <w:rPr>
          <w:rFonts w:ascii="Calibri" w:cs="Calibri" w:eastAsia="Calibri" w:hAnsi="Calibri"/>
          <w:color w:val="222222"/>
          <w:sz w:val="22"/>
          <w:szCs w:val="22"/>
        </w:rPr>
        <w:t xml:space="preserve">Protection of People with Special Needs Act — the Justice Center's jurisdiction, the Vulnerable Persons' Central Register, mandated reporting, and the Staff Exclusion List.</w:t>
      </w:r>
    </w:p>
    <w:p>
      <w:pPr>
        <w:pStyle w:val="ListParagraph"/>
        <w:numPr>
          <w:ilvl w:val="0"/>
          <w:numId w:val="3"/>
        </w:numPr>
        <w:spacing w:after="60" w:line="274"/>
      </w:pPr>
      <w:r>
        <w:rPr>
          <w:rFonts w:ascii="Calibri" w:cs="Calibri" w:eastAsia="Calibri" w:hAnsi="Calibri"/>
          <w:color w:val="222222"/>
          <w:sz w:val="22"/>
          <w:szCs w:val="22"/>
        </w:rPr>
        <w:t xml:space="preserve">HIPAA and MHL § 33.13 — confidentiality; 42 CFR Part 2 — applied to any co-occurring substance use records.</w:t>
      </w:r>
    </w:p>
    <w:p>
      <w:pPr>
        <w:pStyle w:val="Heading2"/>
        <w:spacing w:after="90" w:before="230"/>
      </w:pPr>
      <w:r>
        <w:rPr>
          <w:rFonts w:ascii="Calibri" w:cs="Calibri" w:eastAsia="Calibri" w:hAnsi="Calibri"/>
          <w:b/>
          <w:bCs/>
          <w:color w:val="2C523A"/>
          <w:sz w:val="24"/>
          <w:szCs w:val="24"/>
        </w:rPr>
        <w:t xml:space="preserve">Regulations by manual section</w:t>
      </w:r>
    </w:p>
    <w:p>
      <w:pPr>
        <w:pStyle w:val="ListParagraph"/>
        <w:numPr>
          <w:ilvl w:val="0"/>
          <w:numId w:val="3"/>
        </w:numPr>
        <w:spacing w:after="60" w:line="274"/>
      </w:pPr>
      <w:r>
        <w:rPr>
          <w:rFonts w:ascii="Calibri" w:cs="Calibri" w:eastAsia="Calibri" w:hAnsi="Calibri"/>
          <w:color w:val="222222"/>
          <w:sz w:val="22"/>
          <w:szCs w:val="22"/>
        </w:rPr>
        <w:t xml:space="preserve">Section 1 Administration, Licensure &amp; Governance — MHL Article 31; 599.5–599.6; Article 41.</w:t>
      </w:r>
    </w:p>
    <w:p>
      <w:pPr>
        <w:pStyle w:val="ListParagraph"/>
        <w:numPr>
          <w:ilvl w:val="0"/>
          <w:numId w:val="3"/>
        </w:numPr>
        <w:spacing w:after="60" w:line="274"/>
      </w:pPr>
      <w:r>
        <w:rPr>
          <w:rFonts w:ascii="Calibri" w:cs="Calibri" w:eastAsia="Calibri" w:hAnsi="Calibri"/>
          <w:color w:val="222222"/>
          <w:sz w:val="22"/>
          <w:szCs w:val="22"/>
        </w:rPr>
        <w:t xml:space="preserve">Section 2 Recipient Rights &amp; Confidentiality — 599.7; MHL §§ 33.13, 33.16; HIPAA; 42 CFR Part 2 (co-occurring).</w:t>
      </w:r>
    </w:p>
    <w:p>
      <w:pPr>
        <w:pStyle w:val="ListParagraph"/>
        <w:numPr>
          <w:ilvl w:val="0"/>
          <w:numId w:val="3"/>
        </w:numPr>
        <w:spacing w:after="60" w:line="274"/>
      </w:pPr>
      <w:r>
        <w:rPr>
          <w:rFonts w:ascii="Calibri" w:cs="Calibri" w:eastAsia="Calibri" w:hAnsi="Calibri"/>
          <w:color w:val="222222"/>
          <w:sz w:val="22"/>
          <w:szCs w:val="22"/>
        </w:rPr>
        <w:t xml:space="preserve">Section 3 Screening, Admission, Assessment &amp; Treatment Planning — 599.8, 599.10; 599.6(m) utilization review.</w:t>
      </w:r>
    </w:p>
    <w:p>
      <w:pPr>
        <w:pStyle w:val="ListParagraph"/>
        <w:numPr>
          <w:ilvl w:val="0"/>
          <w:numId w:val="3"/>
        </w:numPr>
        <w:spacing w:after="60" w:line="274"/>
      </w:pPr>
      <w:r>
        <w:rPr>
          <w:rFonts w:ascii="Calibri" w:cs="Calibri" w:eastAsia="Calibri" w:hAnsi="Calibri"/>
          <w:color w:val="222222"/>
          <w:sz w:val="22"/>
          <w:szCs w:val="22"/>
        </w:rPr>
        <w:t xml:space="preserve">Section 4 Clinical Services &amp; Treatment — 599.8; Part 512; Part 508.</w:t>
      </w:r>
    </w:p>
    <w:p>
      <w:pPr>
        <w:pStyle w:val="ListParagraph"/>
        <w:numPr>
          <w:ilvl w:val="0"/>
          <w:numId w:val="3"/>
        </w:numPr>
        <w:spacing w:after="60" w:line="274"/>
      </w:pPr>
      <w:r>
        <w:rPr>
          <w:rFonts w:ascii="Calibri" w:cs="Calibri" w:eastAsia="Calibri" w:hAnsi="Calibri"/>
          <w:color w:val="222222"/>
          <w:sz w:val="22"/>
          <w:szCs w:val="22"/>
        </w:rPr>
        <w:t xml:space="preserve">Section 5 Personnel, Credentials &amp; Supervision — 599.9; MHL § 31.35; Part 550; SCR; Justice Center screening.</w:t>
      </w:r>
    </w:p>
    <w:p>
      <w:pPr>
        <w:pStyle w:val="ListParagraph"/>
        <w:numPr>
          <w:ilvl w:val="0"/>
          <w:numId w:val="3"/>
        </w:numPr>
        <w:spacing w:after="60" w:line="274"/>
      </w:pPr>
      <w:r>
        <w:rPr>
          <w:rFonts w:ascii="Calibri" w:cs="Calibri" w:eastAsia="Calibri" w:hAnsi="Calibri"/>
          <w:color w:val="222222"/>
          <w:sz w:val="22"/>
          <w:szCs w:val="22"/>
        </w:rPr>
        <w:t xml:space="preserve">Section 6 Medication Management — 599.8; prescriber scope; clinical standards.</w:t>
      </w:r>
    </w:p>
    <w:p>
      <w:pPr>
        <w:pStyle w:val="ListParagraph"/>
        <w:numPr>
          <w:ilvl w:val="0"/>
          <w:numId w:val="3"/>
        </w:numPr>
        <w:spacing w:after="60" w:line="274"/>
      </w:pPr>
      <w:r>
        <w:rPr>
          <w:rFonts w:ascii="Calibri" w:cs="Calibri" w:eastAsia="Calibri" w:hAnsi="Calibri"/>
          <w:color w:val="222222"/>
          <w:sz w:val="22"/>
          <w:szCs w:val="22"/>
        </w:rPr>
        <w:t xml:space="preserve">Section 7 Health, Safety &amp; Incident Management — Part 524; NIMRS; the Justice Center; 599.12; 599.6(l).</w:t>
      </w:r>
    </w:p>
    <w:p>
      <w:pPr>
        <w:pStyle w:val="ListParagraph"/>
        <w:numPr>
          <w:ilvl w:val="0"/>
          <w:numId w:val="3"/>
        </w:numPr>
        <w:spacing w:after="60" w:line="274"/>
      </w:pPr>
      <w:r>
        <w:rPr>
          <w:rFonts w:ascii="Calibri" w:cs="Calibri" w:eastAsia="Calibri" w:hAnsi="Calibri"/>
          <w:color w:val="222222"/>
          <w:sz w:val="22"/>
          <w:szCs w:val="22"/>
        </w:rPr>
        <w:t xml:space="preserve">Section 8 Quality, Compliance &amp; Business Operations — 599.11, 599.13–599.15; SSL § 363-d; OMIG.</w:t>
      </w:r>
    </w:p>
    <w:p>
      <w:pPr>
        <w:spacing w:after="140" w:before="0" w:line="278"/>
      </w:pPr>
      <w:r>
        <w:rPr>
          <w:rFonts w:ascii="Calibri" w:cs="Calibri" w:eastAsia="Calibri" w:hAnsi="Calibri"/>
          <w:b w:val="false"/>
          <w:bCs w:val="false"/>
          <w:i w:val="false"/>
          <w:iCs w:val="false"/>
          <w:color w:val="222222"/>
          <w:sz w:val="22"/>
          <w:szCs w:val="22"/>
        </w:rPr>
        <w:t xml:space="preserve">Oversight roles: OMH licenses, monitors, and enforces through its central and field offices; the Local Governmental Unit conducts Article 41 local planning and participates in monitoring; the Justice Center receives and investigates reports of abuse, neglect, and significant incidents in covered programs; the professional licensing boards license clinical staff, and OMH-approved programs credential the peer workforce; and NY Medicaid, the managed care and HARP plans, and OMIG govern payment and program integrity.</w:t>
      </w:r>
    </w:p>
    <w:p>
      <w:r>
        <w:br w:type="page"/>
      </w:r>
    </w:p>
    <w:p>
      <w:pPr>
        <w:pStyle w:val="Heading1"/>
        <w:pBdr>
          <w:bottom w:val="single" w:color="1F3D2B" w:sz="10" w:space="6"/>
        </w:pBdr>
        <w:spacing w:after="170" w:before="320"/>
      </w:pPr>
      <w:r>
        <w:rPr>
          <w:rFonts w:ascii="Calibri" w:cs="Calibri" w:eastAsia="Calibri" w:hAnsi="Calibri"/>
          <w:b/>
          <w:bCs/>
          <w:color w:val="1F3D2B"/>
          <w:sz w:val="30"/>
          <w:szCs w:val="30"/>
        </w:rPr>
        <w:t xml:space="preserve">Appendix B — Required Records &amp; Reporting Quick-Reference</w:t>
      </w:r>
    </w:p>
    <w:p>
      <w:pPr>
        <w:spacing w:after="140" w:before="0" w:line="278"/>
      </w:pPr>
      <w:r>
        <w:rPr>
          <w:rFonts w:ascii="Calibri" w:cs="Calibri" w:eastAsia="Calibri" w:hAnsi="Calibri"/>
          <w:b w:val="false"/>
          <w:bCs w:val="false"/>
          <w:i w:val="false"/>
          <w:iCs w:val="false"/>
          <w:color w:val="222222"/>
          <w:sz w:val="22"/>
          <w:szCs w:val="22"/>
        </w:rPr>
        <w:t xml:space="preserve">This appendix summarizes what a New York OMH-licensed provider typically keeps and reports. Use it as a working checklist and confirm the specifics against the regulations and your field office; it does not replace them.</w:t>
      </w:r>
    </w:p>
    <w:p>
      <w:pPr>
        <w:pStyle w:val="Heading2"/>
        <w:spacing w:after="90" w:before="230"/>
      </w:pPr>
      <w:r>
        <w:rPr>
          <w:rFonts w:ascii="Calibri" w:cs="Calibri" w:eastAsia="Calibri" w:hAnsi="Calibri"/>
          <w:b/>
          <w:bCs/>
          <w:color w:val="2C523A"/>
          <w:sz w:val="24"/>
          <w:szCs w:val="24"/>
        </w:rPr>
        <w:t xml:space="preserve">Keep for the provider</w:t>
      </w:r>
    </w:p>
    <w:p>
      <w:pPr>
        <w:pStyle w:val="ListParagraph"/>
        <w:numPr>
          <w:ilvl w:val="0"/>
          <w:numId w:val="3"/>
        </w:numPr>
        <w:spacing w:after="60" w:line="274"/>
      </w:pPr>
      <w:r>
        <w:rPr>
          <w:rFonts w:ascii="Calibri" w:cs="Calibri" w:eastAsia="Calibri" w:hAnsi="Calibri"/>
          <w:color w:val="222222"/>
          <w:sz w:val="22"/>
          <w:szCs w:val="22"/>
        </w:rPr>
        <w:t xml:space="preserve">The operating certificate for each program and site.</w:t>
      </w:r>
    </w:p>
    <w:p>
      <w:pPr>
        <w:pStyle w:val="ListParagraph"/>
        <w:numPr>
          <w:ilvl w:val="0"/>
          <w:numId w:val="3"/>
        </w:numPr>
        <w:spacing w:after="60" w:line="274"/>
      </w:pPr>
      <w:r>
        <w:rPr>
          <w:rFonts w:ascii="Calibri" w:cs="Calibri" w:eastAsia="Calibri" w:hAnsi="Calibri"/>
          <w:color w:val="222222"/>
          <w:sz w:val="22"/>
          <w:szCs w:val="22"/>
        </w:rPr>
        <w:t xml:space="preserve">This policy and procedure manual, approved by the governing authority, with review dates.</w:t>
      </w:r>
    </w:p>
    <w:p>
      <w:pPr>
        <w:pStyle w:val="ListParagraph"/>
        <w:numPr>
          <w:ilvl w:val="0"/>
          <w:numId w:val="3"/>
        </w:numPr>
        <w:spacing w:after="60" w:line="274"/>
      </w:pPr>
      <w:r>
        <w:rPr>
          <w:rFonts w:ascii="Calibri" w:cs="Calibri" w:eastAsia="Calibri" w:hAnsi="Calibri"/>
          <w:color w:val="222222"/>
          <w:sz w:val="22"/>
          <w:szCs w:val="22"/>
        </w:rPr>
        <w:t xml:space="preserve">OMH review results and corrective action plans.</w:t>
      </w:r>
    </w:p>
    <w:p>
      <w:pPr>
        <w:pStyle w:val="ListParagraph"/>
        <w:numPr>
          <w:ilvl w:val="0"/>
          <w:numId w:val="3"/>
        </w:numPr>
        <w:spacing w:after="60" w:line="274"/>
      </w:pPr>
      <w:r>
        <w:rPr>
          <w:rFonts w:ascii="Calibri" w:cs="Calibri" w:eastAsia="Calibri" w:hAnsi="Calibri"/>
          <w:color w:val="222222"/>
          <w:sz w:val="22"/>
          <w:szCs w:val="22"/>
        </w:rPr>
        <w:t xml:space="preserve">Medicaid enrollment and managed care/HARP contracts and credentialing.</w:t>
      </w:r>
    </w:p>
    <w:p>
      <w:pPr>
        <w:pStyle w:val="ListParagraph"/>
        <w:numPr>
          <w:ilvl w:val="0"/>
          <w:numId w:val="3"/>
        </w:numPr>
        <w:spacing w:after="60" w:line="274"/>
      </w:pPr>
      <w:r>
        <w:rPr>
          <w:rFonts w:ascii="Calibri" w:cs="Calibri" w:eastAsia="Calibri" w:hAnsi="Calibri"/>
          <w:color w:val="222222"/>
          <w:sz w:val="22"/>
          <w:szCs w:val="22"/>
        </w:rPr>
        <w:t xml:space="preserve">Utilization review procedure and records.</w:t>
      </w:r>
    </w:p>
    <w:p>
      <w:pPr>
        <w:pStyle w:val="Heading2"/>
        <w:spacing w:after="90" w:before="230"/>
      </w:pPr>
      <w:r>
        <w:rPr>
          <w:rFonts w:ascii="Calibri" w:cs="Calibri" w:eastAsia="Calibri" w:hAnsi="Calibri"/>
          <w:b/>
          <w:bCs/>
          <w:color w:val="2C523A"/>
          <w:sz w:val="24"/>
          <w:szCs w:val="24"/>
        </w:rPr>
        <w:t xml:space="preserve">Keep on each recipient (case record, 599.11)</w:t>
      </w:r>
    </w:p>
    <w:p>
      <w:pPr>
        <w:pStyle w:val="ListParagraph"/>
        <w:numPr>
          <w:ilvl w:val="0"/>
          <w:numId w:val="3"/>
        </w:numPr>
        <w:spacing w:after="60" w:line="274"/>
      </w:pPr>
      <w:r>
        <w:rPr>
          <w:rFonts w:ascii="Calibri" w:cs="Calibri" w:eastAsia="Calibri" w:hAnsi="Calibri"/>
          <w:color w:val="222222"/>
          <w:sz w:val="22"/>
          <w:szCs w:val="22"/>
        </w:rPr>
        <w:t xml:space="preserve">Assessment, diagnosis, and risk assessment.</w:t>
      </w:r>
    </w:p>
    <w:p>
      <w:pPr>
        <w:pStyle w:val="ListParagraph"/>
        <w:numPr>
          <w:ilvl w:val="0"/>
          <w:numId w:val="3"/>
        </w:numPr>
        <w:spacing w:after="60" w:line="274"/>
      </w:pPr>
      <w:r>
        <w:rPr>
          <w:rFonts w:ascii="Calibri" w:cs="Calibri" w:eastAsia="Calibri" w:hAnsi="Calibri"/>
          <w:color w:val="222222"/>
          <w:sz w:val="22"/>
          <w:szCs w:val="22"/>
        </w:rPr>
        <w:t xml:space="preserve">Treatment plan and reviews (or IRP in PROS).</w:t>
      </w:r>
    </w:p>
    <w:p>
      <w:pPr>
        <w:pStyle w:val="ListParagraph"/>
        <w:numPr>
          <w:ilvl w:val="0"/>
          <w:numId w:val="3"/>
        </w:numPr>
        <w:spacing w:after="60" w:line="274"/>
      </w:pPr>
      <w:r>
        <w:rPr>
          <w:rFonts w:ascii="Calibri" w:cs="Calibri" w:eastAsia="Calibri" w:hAnsi="Calibri"/>
          <w:color w:val="222222"/>
          <w:sz w:val="22"/>
          <w:szCs w:val="22"/>
        </w:rPr>
        <w:t xml:space="preserve">Progress notes and service documentation, and medication records where applicable.</w:t>
      </w:r>
    </w:p>
    <w:p>
      <w:pPr>
        <w:pStyle w:val="ListParagraph"/>
        <w:numPr>
          <w:ilvl w:val="0"/>
          <w:numId w:val="3"/>
        </w:numPr>
        <w:spacing w:after="60" w:line="274"/>
      </w:pPr>
      <w:r>
        <w:rPr>
          <w:rFonts w:ascii="Calibri" w:cs="Calibri" w:eastAsia="Calibri" w:hAnsi="Calibri"/>
          <w:color w:val="222222"/>
          <w:sz w:val="22"/>
          <w:szCs w:val="22"/>
        </w:rPr>
        <w:t xml:space="preserve">Consents, rights acknowledgments, and authorizations.</w:t>
      </w:r>
    </w:p>
    <w:p>
      <w:pPr>
        <w:pStyle w:val="ListParagraph"/>
        <w:numPr>
          <w:ilvl w:val="0"/>
          <w:numId w:val="3"/>
        </w:numPr>
        <w:spacing w:after="60" w:line="274"/>
      </w:pPr>
      <w:r>
        <w:rPr>
          <w:rFonts w:ascii="Calibri" w:cs="Calibri" w:eastAsia="Calibri" w:hAnsi="Calibri"/>
          <w:color w:val="222222"/>
          <w:sz w:val="22"/>
          <w:szCs w:val="22"/>
        </w:rPr>
        <w:t xml:space="preserve">Incident documentation and the discharge summary and continuity plan.</w:t>
      </w:r>
    </w:p>
    <w:p>
      <w:pPr>
        <w:pStyle w:val="Heading2"/>
        <w:spacing w:after="90" w:before="230"/>
      </w:pPr>
      <w:r>
        <w:rPr>
          <w:rFonts w:ascii="Calibri" w:cs="Calibri" w:eastAsia="Calibri" w:hAnsi="Calibri"/>
          <w:b/>
          <w:bCs/>
          <w:color w:val="2C523A"/>
          <w:sz w:val="24"/>
          <w:szCs w:val="24"/>
        </w:rPr>
        <w:t xml:space="preserve">Keep on each staff person</w:t>
      </w:r>
    </w:p>
    <w:p>
      <w:pPr>
        <w:pStyle w:val="ListParagraph"/>
        <w:numPr>
          <w:ilvl w:val="0"/>
          <w:numId w:val="3"/>
        </w:numPr>
        <w:spacing w:after="60" w:line="274"/>
      </w:pPr>
      <w:r>
        <w:rPr>
          <w:rFonts w:ascii="Calibri" w:cs="Calibri" w:eastAsia="Calibri" w:hAnsi="Calibri"/>
          <w:color w:val="222222"/>
          <w:sz w:val="22"/>
          <w:szCs w:val="22"/>
        </w:rPr>
        <w:t xml:space="preserve">Application, job description, and references.</w:t>
      </w:r>
    </w:p>
    <w:p>
      <w:pPr>
        <w:pStyle w:val="ListParagraph"/>
        <w:numPr>
          <w:ilvl w:val="0"/>
          <w:numId w:val="3"/>
        </w:numPr>
        <w:spacing w:after="60" w:line="274"/>
      </w:pPr>
      <w:r>
        <w:rPr>
          <w:rFonts w:ascii="Calibri" w:cs="Calibri" w:eastAsia="Calibri" w:hAnsi="Calibri"/>
          <w:color w:val="222222"/>
          <w:sz w:val="22"/>
          <w:szCs w:val="22"/>
        </w:rPr>
        <w:t xml:space="preserve">License, permit, and credential verification (LPHA; peer credentials).</w:t>
      </w:r>
    </w:p>
    <w:p>
      <w:pPr>
        <w:pStyle w:val="ListParagraph"/>
        <w:numPr>
          <w:ilvl w:val="0"/>
          <w:numId w:val="3"/>
        </w:numPr>
        <w:spacing w:after="60" w:line="274"/>
      </w:pPr>
      <w:r>
        <w:rPr>
          <w:rFonts w:ascii="Calibri" w:cs="Calibri" w:eastAsia="Calibri" w:hAnsi="Calibri"/>
          <w:color w:val="222222"/>
          <w:sz w:val="22"/>
          <w:szCs w:val="22"/>
        </w:rPr>
        <w:t xml:space="preserve">Criminal history review, SCR clearance, and Staff Exclusion List check.</w:t>
      </w:r>
    </w:p>
    <w:p>
      <w:pPr>
        <w:pStyle w:val="ListParagraph"/>
        <w:numPr>
          <w:ilvl w:val="0"/>
          <w:numId w:val="3"/>
        </w:numPr>
        <w:spacing w:after="60" w:line="274"/>
      </w:pPr>
      <w:r>
        <w:rPr>
          <w:rFonts w:ascii="Calibri" w:cs="Calibri" w:eastAsia="Calibri" w:hAnsi="Calibri"/>
          <w:color w:val="222222"/>
          <w:sz w:val="22"/>
          <w:szCs w:val="22"/>
        </w:rPr>
        <w:t xml:space="preserve">Orientation, training, Code of Conduct acknowledgment, competency, and supervision records.</w:t>
      </w:r>
    </w:p>
    <w:p>
      <w:pPr>
        <w:pStyle w:val="Heading2"/>
        <w:spacing w:after="90" w:before="230"/>
      </w:pPr>
      <w:r>
        <w:rPr>
          <w:rFonts w:ascii="Calibri" w:cs="Calibri" w:eastAsia="Calibri" w:hAnsi="Calibri"/>
          <w:b/>
          <w:bCs/>
          <w:color w:val="2C523A"/>
          <w:sz w:val="24"/>
          <w:szCs w:val="24"/>
        </w:rPr>
        <w:t xml:space="preserve">Report</w:t>
      </w:r>
    </w:p>
    <w:p>
      <w:pPr>
        <w:pStyle w:val="ListParagraph"/>
        <w:numPr>
          <w:ilvl w:val="0"/>
          <w:numId w:val="3"/>
        </w:numPr>
        <w:spacing w:after="60" w:line="274"/>
      </w:pPr>
      <w:r>
        <w:rPr>
          <w:rFonts w:ascii="Calibri" w:cs="Calibri" w:eastAsia="Calibri" w:hAnsi="Calibri"/>
          <w:color w:val="222222"/>
          <w:sz w:val="22"/>
          <w:szCs w:val="22"/>
        </w:rPr>
        <w:t xml:space="preserve">Incidents through NIMRS under Part 524, and reportable incidents — abuse/neglect allegations and significant incidents — to the Justice Center's Vulnerable Persons' Central Register, within required timeframes.</w:t>
      </w:r>
    </w:p>
    <w:p>
      <w:pPr>
        <w:pStyle w:val="ListParagraph"/>
        <w:numPr>
          <w:ilvl w:val="0"/>
          <w:numId w:val="3"/>
        </w:numPr>
        <w:spacing w:after="60" w:line="274"/>
      </w:pPr>
      <w:r>
        <w:rPr>
          <w:rFonts w:ascii="Calibri" w:cs="Calibri" w:eastAsia="Calibri" w:hAnsi="Calibri"/>
          <w:color w:val="222222"/>
          <w:sz w:val="22"/>
          <w:szCs w:val="22"/>
        </w:rPr>
        <w:t xml:space="preserve">Deaths and other required events to the required parties.</w:t>
      </w:r>
    </w:p>
    <w:p>
      <w:pPr>
        <w:pStyle w:val="ListParagraph"/>
        <w:numPr>
          <w:ilvl w:val="0"/>
          <w:numId w:val="3"/>
        </w:numPr>
        <w:spacing w:after="60" w:line="274"/>
      </w:pPr>
      <w:r>
        <w:rPr>
          <w:rFonts w:ascii="Calibri" w:cs="Calibri" w:eastAsia="Calibri" w:hAnsi="Calibri"/>
          <w:color w:val="222222"/>
          <w:sz w:val="22"/>
          <w:szCs w:val="22"/>
        </w:rPr>
        <w:t xml:space="preserve">Data and reports required by OMH, the LGU, and payers.</w:t>
      </w:r>
    </w:p>
    <w:p>
      <w:pPr>
        <w:pStyle w:val="ListParagraph"/>
        <w:numPr>
          <w:ilvl w:val="0"/>
          <w:numId w:val="3"/>
        </w:numPr>
        <w:spacing w:after="60" w:line="274"/>
      </w:pPr>
      <w:r>
        <w:rPr>
          <w:rFonts w:ascii="Calibri" w:cs="Calibri" w:eastAsia="Calibri" w:hAnsi="Calibri"/>
          <w:color w:val="222222"/>
          <w:sz w:val="22"/>
          <w:szCs w:val="22"/>
        </w:rPr>
        <w:t xml:space="preserve">Suspected fraud, waste, and abuse through the compliance process, with OMIG obligations met.</w:t>
      </w:r>
    </w:p>
    <w:p>
      <w:r>
        <w:br w:type="page"/>
      </w:r>
    </w:p>
    <w:p>
      <w:pPr>
        <w:pStyle w:val="Heading1"/>
        <w:pBdr>
          <w:bottom w:val="single" w:color="1F3D2B" w:sz="10" w:space="6"/>
        </w:pBdr>
        <w:spacing w:after="170" w:before="320"/>
      </w:pPr>
      <w:r>
        <w:rPr>
          <w:rFonts w:ascii="Calibri" w:cs="Calibri" w:eastAsia="Calibri" w:hAnsi="Calibri"/>
          <w:b/>
          <w:bCs/>
          <w:color w:val="1F3D2B"/>
          <w:sz w:val="30"/>
          <w:szCs w:val="30"/>
        </w:rPr>
        <w:t xml:space="preserve">Appendix C — Compliance &amp; Review Calendar</w:t>
      </w:r>
    </w:p>
    <w:p>
      <w:pPr>
        <w:spacing w:after="140" w:before="0" w:line="278"/>
      </w:pPr>
      <w:r>
        <w:rPr>
          <w:rFonts w:ascii="Calibri" w:cs="Calibri" w:eastAsia="Calibri" w:hAnsi="Calibri"/>
          <w:b w:val="false"/>
          <w:bCs w:val="false"/>
          <w:i w:val="false"/>
          <w:iCs w:val="false"/>
          <w:color w:val="222222"/>
          <w:sz w:val="22"/>
          <w:szCs w:val="22"/>
        </w:rPr>
        <w:t xml:space="preserve">Use this as a template for the provider's compliance calendar. Enter due dates and the responsible person, and confirm completion. Intervals are general reminders — confirm the exact requirement for each item.</w:t>
      </w:r>
    </w:p>
    <w:p>
      <w:pPr>
        <w:pStyle w:val="Heading2"/>
        <w:spacing w:after="90" w:before="230"/>
      </w:pPr>
      <w:r>
        <w:rPr>
          <w:rFonts w:ascii="Calibri" w:cs="Calibri" w:eastAsia="Calibri" w:hAnsi="Calibri"/>
          <w:b/>
          <w:bCs/>
          <w:color w:val="2C523A"/>
          <w:sz w:val="24"/>
          <w:szCs w:val="24"/>
        </w:rPr>
        <w:t xml:space="preserve">Recurring obligations to schedule</w:t>
      </w:r>
    </w:p>
    <w:p>
      <w:pPr>
        <w:pStyle w:val="ListParagraph"/>
        <w:numPr>
          <w:ilvl w:val="0"/>
          <w:numId w:val="3"/>
        </w:numPr>
        <w:spacing w:after="60" w:line="274"/>
      </w:pPr>
      <w:r>
        <w:rPr>
          <w:rFonts w:ascii="Calibri" w:cs="Calibri" w:eastAsia="Calibri" w:hAnsi="Calibri"/>
          <w:color w:val="222222"/>
          <w:sz w:val="22"/>
          <w:szCs w:val="22"/>
        </w:rPr>
        <w:t xml:space="preserve">Operating certificate — track any term and renewal requirements with OMH.</w:t>
      </w:r>
    </w:p>
    <w:p>
      <w:pPr>
        <w:pStyle w:val="ListParagraph"/>
        <w:numPr>
          <w:ilvl w:val="0"/>
          <w:numId w:val="3"/>
        </w:numPr>
        <w:spacing w:after="60" w:line="274"/>
      </w:pPr>
      <w:r>
        <w:rPr>
          <w:rFonts w:ascii="Calibri" w:cs="Calibri" w:eastAsia="Calibri" w:hAnsi="Calibri"/>
          <w:color w:val="222222"/>
          <w:sz w:val="22"/>
          <w:szCs w:val="22"/>
        </w:rPr>
        <w:t xml:space="preserve">Policy and procedure manual review — at least annually and on regulatory change, with governing-authority approval.</w:t>
      </w:r>
    </w:p>
    <w:p>
      <w:pPr>
        <w:pStyle w:val="ListParagraph"/>
        <w:numPr>
          <w:ilvl w:val="0"/>
          <w:numId w:val="3"/>
        </w:numPr>
        <w:spacing w:after="60" w:line="274"/>
      </w:pPr>
      <w:r>
        <w:rPr>
          <w:rFonts w:ascii="Calibri" w:cs="Calibri" w:eastAsia="Calibri" w:hAnsi="Calibri"/>
          <w:color w:val="222222"/>
          <w:sz w:val="22"/>
          <w:szCs w:val="22"/>
        </w:rPr>
        <w:t xml:space="preserve">Staff license, permit, and credential renewals and continuing education — tracked and confirmed.</w:t>
      </w:r>
    </w:p>
    <w:p>
      <w:pPr>
        <w:pStyle w:val="ListParagraph"/>
        <w:numPr>
          <w:ilvl w:val="0"/>
          <w:numId w:val="3"/>
        </w:numPr>
        <w:spacing w:after="60" w:line="274"/>
      </w:pPr>
      <w:r>
        <w:rPr>
          <w:rFonts w:ascii="Calibri" w:cs="Calibri" w:eastAsia="Calibri" w:hAnsi="Calibri"/>
          <w:color w:val="222222"/>
          <w:sz w:val="22"/>
          <w:szCs w:val="22"/>
        </w:rPr>
        <w:t xml:space="preserve">Criminal history reviews, SCR clearances, SEL checks, and Code of Conduct acknowledgments — per policy and law.</w:t>
      </w:r>
    </w:p>
    <w:p>
      <w:pPr>
        <w:pStyle w:val="ListParagraph"/>
        <w:numPr>
          <w:ilvl w:val="0"/>
          <w:numId w:val="3"/>
        </w:numPr>
        <w:spacing w:after="60" w:line="274"/>
      </w:pPr>
      <w:r>
        <w:rPr>
          <w:rFonts w:ascii="Calibri" w:cs="Calibri" w:eastAsia="Calibri" w:hAnsi="Calibri"/>
          <w:color w:val="222222"/>
          <w:sz w:val="22"/>
          <w:szCs w:val="22"/>
        </w:rPr>
        <w:t xml:space="preserve">Orientation, training, and competency — per policy, including suicide-risk and emergency response.</w:t>
      </w:r>
    </w:p>
    <w:p>
      <w:pPr>
        <w:pStyle w:val="ListParagraph"/>
        <w:numPr>
          <w:ilvl w:val="0"/>
          <w:numId w:val="3"/>
        </w:numPr>
        <w:spacing w:after="60" w:line="274"/>
      </w:pPr>
      <w:r>
        <w:rPr>
          <w:rFonts w:ascii="Calibri" w:cs="Calibri" w:eastAsia="Calibri" w:hAnsi="Calibri"/>
          <w:color w:val="222222"/>
          <w:sz w:val="22"/>
          <w:szCs w:val="22"/>
        </w:rPr>
        <w:t xml:space="preserve">Medicaid revalidation and managed care/HARP recredentialing.</w:t>
      </w:r>
    </w:p>
    <w:p>
      <w:pPr>
        <w:pStyle w:val="ListParagraph"/>
        <w:numPr>
          <w:ilvl w:val="0"/>
          <w:numId w:val="3"/>
        </w:numPr>
        <w:spacing w:after="60" w:line="274"/>
      </w:pPr>
      <w:r>
        <w:rPr>
          <w:rFonts w:ascii="Calibri" w:cs="Calibri" w:eastAsia="Calibri" w:hAnsi="Calibri"/>
          <w:color w:val="222222"/>
          <w:sz w:val="22"/>
          <w:szCs w:val="22"/>
        </w:rPr>
        <w:t xml:space="preserve">Utilization review cycles — including the twelve-month review for medication-only recipients.</w:t>
      </w:r>
    </w:p>
    <w:p>
      <w:pPr>
        <w:pStyle w:val="ListParagraph"/>
        <w:numPr>
          <w:ilvl w:val="0"/>
          <w:numId w:val="3"/>
        </w:numPr>
        <w:spacing w:after="60" w:line="274"/>
      </w:pPr>
      <w:r>
        <w:rPr>
          <w:rFonts w:ascii="Calibri" w:cs="Calibri" w:eastAsia="Calibri" w:hAnsi="Calibri"/>
          <w:color w:val="222222"/>
          <w:sz w:val="22"/>
          <w:szCs w:val="22"/>
        </w:rPr>
        <w:t xml:space="preserve">Quality-management review of incidents (with Part 524 tracking and trending), grievances, outcomes, and audits — on a regular cycle.</w:t>
      </w:r>
    </w:p>
    <w:p>
      <w:pPr>
        <w:pStyle w:val="ListParagraph"/>
        <w:numPr>
          <w:ilvl w:val="0"/>
          <w:numId w:val="3"/>
        </w:numPr>
        <w:spacing w:after="60" w:line="274"/>
      </w:pPr>
      <w:r>
        <w:rPr>
          <w:rFonts w:ascii="Calibri" w:cs="Calibri" w:eastAsia="Calibri" w:hAnsi="Calibri"/>
          <w:color w:val="222222"/>
          <w:sz w:val="22"/>
          <w:szCs w:val="22"/>
        </w:rPr>
        <w:t xml:space="preserve">Documentation and billing audits — on a regular cycle, with compliance-program review and certification.</w:t>
      </w:r>
    </w:p>
    <w:p>
      <w:pPr>
        <w:pStyle w:val="ListParagraph"/>
        <w:numPr>
          <w:ilvl w:val="0"/>
          <w:numId w:val="3"/>
        </w:numPr>
        <w:spacing w:after="60" w:line="274"/>
      </w:pPr>
      <w:r>
        <w:rPr>
          <w:rFonts w:ascii="Calibri" w:cs="Calibri" w:eastAsia="Calibri" w:hAnsi="Calibri"/>
          <w:color w:val="222222"/>
          <w:sz w:val="22"/>
          <w:szCs w:val="22"/>
        </w:rPr>
        <w:t xml:space="preserve">Premises inspections and emergency drills — per 599.12 and the setting.</w:t>
      </w:r>
    </w:p>
    <w:p>
      <w:r>
        <w:br w:type="page"/>
      </w:r>
    </w:p>
    <w:p>
      <w:pPr>
        <w:pStyle w:val="Heading1"/>
        <w:pBdr>
          <w:bottom w:val="single" w:color="1F3D2B" w:sz="10" w:space="6"/>
        </w:pBdr>
        <w:spacing w:after="170" w:before="320"/>
      </w:pPr>
      <w:r>
        <w:rPr>
          <w:rFonts w:ascii="Calibri" w:cs="Calibri" w:eastAsia="Calibri" w:hAnsi="Calibri"/>
          <w:b/>
          <w:bCs/>
          <w:color w:val="1F3D2B"/>
          <w:sz w:val="30"/>
          <w:szCs w:val="30"/>
        </w:rPr>
        <w:t xml:space="preserve">Adoption &amp; Annual Review</w:t>
      </w:r>
    </w:p>
    <w:p>
      <w:pPr>
        <w:spacing w:after="140" w:before="0" w:line="278"/>
      </w:pPr>
      <w:r>
        <w:rPr>
          <w:rFonts w:ascii="Calibri" w:cs="Calibri" w:eastAsia="Calibri" w:hAnsi="Calibri"/>
          <w:b w:val="false"/>
          <w:bCs w:val="false"/>
          <w:i w:val="false"/>
          <w:iCs w:val="false"/>
          <w:color w:val="222222"/>
          <w:sz w:val="22"/>
          <w:szCs w:val="22"/>
        </w:rPr>
        <w:t xml:space="preserve">This manual was adopted by the provider on the effective date shown on the cover page and is reviewed at least annually and whenever the governing regulations change. It is a customizable framework based on New York regulations current at the time of preparation and is not legal advice. The provider is responsible for verifying current requirements with OMH and its field office, for confirming credentialing and payer rules with the applicable boards and plans, and for tailoring these policies to its licensed program and staffing before adoption.</w:t>
      </w:r>
    </w:p>
    <w:p>
      <w:pPr>
        <w:spacing w:after="130" w:before="240" w:line="278"/>
      </w:pPr>
      <w:r>
        <w:rPr>
          <w:rFonts w:ascii="Calibri" w:cs="Calibri" w:eastAsia="Calibri" w:hAnsi="Calibri"/>
          <w:b w:val="false"/>
          <w:bCs w:val="false"/>
          <w:i w:val="false"/>
          <w:iCs w:val="false"/>
          <w:color w:val="222222"/>
          <w:sz w:val="22"/>
          <w:szCs w:val="22"/>
        </w:rPr>
        <w:t xml:space="preserve">Administrator signature: _______________________________     Date: ____________</w:t>
      </w:r>
    </w:p>
    <w:p>
      <w:pPr>
        <w:spacing w:after="130" w:before="160" w:line="278"/>
      </w:pPr>
      <w:r>
        <w:rPr>
          <w:rFonts w:ascii="Calibri" w:cs="Calibri" w:eastAsia="Calibri" w:hAnsi="Calibri"/>
          <w:b w:val="false"/>
          <w:bCs w:val="false"/>
          <w:i w:val="false"/>
          <w:iCs w:val="false"/>
          <w:color w:val="222222"/>
          <w:sz w:val="22"/>
          <w:szCs w:val="22"/>
        </w:rPr>
        <w:t xml:space="preserve">Governing body / owner: ________________________________     Date: ____________</w:t>
      </w:r>
    </w:p>
    <w:p>
      <w:pPr>
        <w:spacing w:after="130" w:before="160" w:line="278"/>
      </w:pPr>
      <w:r>
        <w:rPr>
          <w:rFonts w:ascii="Calibri" w:cs="Calibri" w:eastAsia="Calibri" w:hAnsi="Calibri"/>
          <w:b w:val="false"/>
          <w:bCs w:val="false"/>
          <w:i w:val="false"/>
          <w:iCs w:val="false"/>
          <w:color w:val="222222"/>
          <w:sz w:val="22"/>
          <w:szCs w:val="22"/>
        </w:rPr>
        <w:t xml:space="preserve">Reviewed / revised: ______________________________________________________</w:t>
      </w:r>
    </w:p>
    <w:sectPr>
      <w:headerReference w:type="default" r:id="rId7"/>
      <w:footerReference w:type="default" r:id="rId8"/>
      <w:pgSz w:w="12240" w:h="15840" w:orient="portrait"/>
      <w:pgMar w:top="1180" w:right="1440" w:bottom="11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6"/>
        <w:szCs w:val="16"/>
      </w:rPr>
      <w:t xml:space="preserve">PolicyReady · Customizable framework, not legal advice · Page </w:t>
    </w:r>
    <w:r>
      <w:rPr>
        <w:rFonts w:ascii="Calibri" w:cs="Calibri" w:eastAsia="Calibri" w:hAnsi="Calibri"/>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2B0" w:sz="4" w:space="4"/>
      </w:pBdr>
      <w:jc w:val="right"/>
    </w:pPr>
    <w:r>
      <w:rPr>
        <w:rFonts w:ascii="Calibri" w:cs="Calibri" w:eastAsia="Calibri" w:hAnsi="Calibri"/>
        <w:color w:val="555555"/>
        <w:sz w:val="16"/>
        <w:szCs w:val="16"/>
      </w:rPr>
      <w:t xml:space="preserve">Mental Health Services P&amp;P Manual · New York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70" w:hanging="290"/>
      </w:pPr>
    </w:lvl>
  </w:abstractNum>
  <w:abstractNum w:abstractNumId="3" w15:restartNumberingAfterBreak="0">
    <w:multiLevelType w:val="hybridMultilevel"/>
    <w:lvl w:ilvl="0" w15:tentative="1">
      <w:start w:val="1"/>
      <w:numFmt w:val="bullet"/>
      <w:lvlText w:val="•"/>
      <w:lvlJc w:val="start"/>
      <w:pPr>
        <w:ind w:left="470" w:hanging="29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D2B"/>
      <w:sz w:val="30"/>
      <w:szCs w:val="30"/>
    </w:rPr>
  </w:style>
  <w:style w:type="paragraph" w:styleId="Heading2">
    <w:name w:val="Heading 2"/>
    <w:basedOn w:val="Normal"/>
    <w:next w:val="Normal"/>
    <w:qFormat/>
    <w:rPr>
      <w:rFonts w:ascii="Calibri" w:cs="Calibri" w:eastAsia="Calibri" w:hAnsi="Calibri"/>
      <w:b/>
      <w:bCs/>
      <w:color w:val="2C52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Mental Health Services Policy &amp; Procedure Manual — New York</dc:title>
  <dc:creator>PolicyReady</dc:creator>
  <cp:lastModifiedBy>Un-named</cp:lastModifiedBy>
  <cp:revision>1</cp:revision>
  <dcterms:created xsi:type="dcterms:W3CDTF">2026-07-19T21:02:41.501Z</dcterms:created>
  <dcterms:modified xsi:type="dcterms:W3CDTF">2026-07-19T21:02:41.517Z</dcterms:modified>
</cp:coreProperties>
</file>

<file path=docProps/custom.xml><?xml version="1.0" encoding="utf-8"?>
<Properties xmlns="http://schemas.openxmlformats.org/officeDocument/2006/custom-properties" xmlns:vt="http://schemas.openxmlformats.org/officeDocument/2006/docPropsVTypes"/>
</file>