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Substance Use Referral System</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lineRule="exact" w:line="268" w:before="0" w:after="60"/>
        <w:jc w:val="center"/>
        <w:rPr/>
      </w:pPr>
      <w:r>
        <w:rPr>
          <w:rFonts w:eastAsia="Calibri" w:cs="Calibri"/>
          <w:b w:val="false"/>
          <w:bCs w:val="false"/>
          <w:i/>
          <w:iCs/>
          <w:color w:val="3E5871"/>
          <w:sz w:val="22"/>
          <w:szCs w:val="22"/>
        </w:rPr>
        <w:t>How a Georgia licensed substance use treatment provider builds a steady stream of client referrals — the strategy, a verified directory of Georgia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Georgia licensed substance use treatment provider fills its caseload and beds through the systems that pay for and steer behavioral health care: the Georgia Medicaid Care Management Organizations (CMOs) that cover Medicaid members, the DBHDD provider network and Community Service Boards that serve the uninsured and underinsured, the Georgia Crisis and Access Line (GCAL) and the detox and withdrawal-management programs it refers to, hospitals and emergency departments, and the courts (including drug and accountability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Georgia,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Georgia: by being in-network, being known, and being reliable. Read it once start to finish, then use it as a checklist. Everything here is general educational information for Georgia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substance use provider, enroll as a Georgia Medicaid provider, and contract with your Medicaid CMOs and your DBHDD network so clients can be sent to you and you can be paid. Identify the sources that put clients in front of you — the Medicaid CMO and DBHDD network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Georgia Medicaid provider, and contract with your Medicaid CMOs and DBHDD network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CMO and DBHDD network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CMO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CMO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CMO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Georgia landscape of who puts behavioral health clients in front of a provider. Not all carry the same weight — the Medicaid CMOs, the DBHDD network and CSBs, and GCAL and the detox system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Georgia Medicaid Care Management Organizations (CMOs) — the biggest for Medicaid. </w:t>
      </w:r>
      <w:r>
        <w:rPr>
          <w:rFonts w:eastAsia="Calibri" w:cs="Calibri"/>
          <w:b w:val="false"/>
          <w:bCs w:val="false"/>
          <w:i w:val="false"/>
          <w:iCs w:val="false"/>
          <w:color w:val="1A1A1A"/>
          <w:sz w:val="20"/>
          <w:szCs w:val="20"/>
        </w:rPr>
        <w:t>Georgia's Medicaid behavioral health benefit is managed by regional Medicaid CMOs; their care coordinators refer members and authorize services. Being enrolled and in-network with your Medicaid CMOs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the CSBs &amp; GCAL — the public safety net. </w:t>
      </w:r>
      <w:r>
        <w:rPr>
          <w:rFonts w:eastAsia="Calibri" w:cs="Calibri"/>
          <w:b w:val="false"/>
          <w:bCs w:val="false"/>
          <w:i w:val="false"/>
          <w:iCs w:val="false"/>
          <w:color w:val="1A1A1A"/>
          <w:sz w:val="20"/>
          <w:szCs w:val="20"/>
        </w:rPr>
        <w:t>The DBHDD provider network and the Community Service Boards (CSBs) serve people without Medicaid; the Georgia Crisis and Access Line (GCAL) is the statewide access point that refers people to treatment. Being in the DBHDD network and known to GCAL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GCAL, detox &amp; withdrawal management. </w:t>
      </w:r>
      <w:r>
        <w:rPr>
          <w:rFonts w:eastAsia="Calibri" w:cs="Calibri"/>
          <w:b w:val="false"/>
          <w:bCs w:val="false"/>
          <w:i w:val="false"/>
          <w:iCs w:val="false"/>
          <w:color w:val="1A1A1A"/>
          <w:sz w:val="20"/>
          <w:szCs w:val="20"/>
        </w:rPr>
        <w:t>The Georgia Crisis and Access Line (GCAL, 1-800-715-4225) connects people to detox and treatment and dispatches mobile crisis; detox and withdrawal-management programs then step clients down to ongoing substance use treatment — a major source of referrals.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courts and accountability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CMOs and DBHDD network,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DCF license for the levels of care you provide (outpatient, residential, detoxification)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Georgia Medicaid provider and contract with your Medicaid CMOs, and join your DBHDD network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GCAL, the detox and withdrawal-management programs,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Georgia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CMO &amp; DBHDD network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CMOs and DBHDD network,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CMOs and DBHDD network,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[Medicaid CMO],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CMO, DBHDD network,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[Medicaid CMO] and contracted with [DBHDD network].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CMO and DBHDD network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CMOs, DBHDD network,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CMO, DBHDD network,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CMO or DBHDD network,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CMO, DBHDD network,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Georgia Medicaid enrollment, your Medicaid CMOs contract, and your DBHDD network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Georgia Substance Use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Georgia sources a substance use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Crisis and Access Line (GCAL) — the statewide access point. </w:t>
      </w:r>
      <w:r>
        <w:rPr>
          <w:rFonts w:eastAsia="Calibri" w:cs="Calibri"/>
          <w:b w:val="false"/>
          <w:bCs w:val="false"/>
          <w:i w:val="false"/>
          <w:iCs w:val="false"/>
          <w:color w:val="1A1A1A"/>
          <w:sz w:val="20"/>
          <w:szCs w:val="20"/>
        </w:rPr>
        <w:t>GCAL (1-800-715-4225 / mygcal.com / 988) connects Georgians to substance use and mental health treatment, dispatches mobile crisis, and refers to detox and stabilization. Its ReferralConnect directory lists providers — make sure GCAL knows what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Medicaid CMO — in-network first. </w:t>
      </w:r>
      <w:r>
        <w:rPr>
          <w:rFonts w:eastAsia="Calibri" w:cs="Calibri"/>
          <w:b w:val="false"/>
          <w:bCs w:val="false"/>
          <w:i w:val="false"/>
          <w:iCs w:val="false"/>
          <w:color w:val="1A1A1A"/>
          <w:sz w:val="20"/>
          <w:szCs w:val="20"/>
        </w:rPr>
        <w:t>Georgia Medicaid behavioral health is administered through four Care Management Organizations (CMOs): Amerigroup/Wellpoint, CareSource, Peach State Health Plan, and Humana. Enroll as a Georgia Medicaid provider and contract with the CMOs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&amp; the Community Service Boards (CSBs). </w:t>
      </w:r>
      <w:r>
        <w:rPr>
          <w:rFonts w:eastAsia="Calibri" w:cs="Calibri"/>
          <w:b w:val="false"/>
          <w:bCs w:val="false"/>
          <w:i w:val="false"/>
          <w:iCs w:val="false"/>
          <w:color w:val="1A1A1A"/>
          <w:sz w:val="20"/>
          <w:szCs w:val="20"/>
        </w:rPr>
        <w:t>DBHDD runs a tiered provider network; the Community Service Boards are the public safety net serving the uninsured and Medicaid members. Join the DBHDD network and build CSB relationships — they refer out what they cannot serve. dbhdd.georgia.gov.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DBHDD / DCH — licensing. </w:t>
      </w:r>
      <w:r>
        <w:rPr>
          <w:rFonts w:eastAsia="Calibri" w:cs="Calibri"/>
          <w:b w:val="false"/>
          <w:bCs w:val="false"/>
          <w:i w:val="false"/>
          <w:iCs w:val="false"/>
          <w:color w:val="1A1A1A"/>
          <w:sz w:val="20"/>
          <w:szCs w:val="20"/>
        </w:rPr>
        <w:t>Drug abuse (substance use) treatment programs are licensed under Rule 111-8-19; DBHDD oversees the public system. dbhdd.georgia.gov.</w:t>
      </w:r>
    </w:p>
    <w:p>
      <w:pPr>
        <w:pStyle w:val="Normal"/>
        <w:keepNext w:val="true"/>
        <w:spacing w:before="150" w:after="60"/>
        <w:rPr/>
      </w:pPr>
      <w:r>
        <w:rPr>
          <w:rFonts w:eastAsia="Calibri" w:cs="Calibri"/>
          <w:b/>
          <w:bCs/>
          <w:i w:val="false"/>
          <w:iCs w:val="false"/>
          <w:color w:val="3E5871"/>
          <w:sz w:val="20"/>
          <w:szCs w:val="20"/>
        </w:rPr>
        <w:t>Atlanta — verified named partners</w:t>
      </w:r>
    </w:p>
    <w:p>
      <w:pPr>
        <w:pStyle w:val="Normal"/>
        <w:spacing w:before="0" w:after="60"/>
        <w:rPr/>
      </w:pPr>
      <w:r>
        <w:rPr>
          <w:rFonts w:eastAsia="Calibri" w:cs="Calibri"/>
          <w:b/>
          <w:bCs/>
          <w:i w:val="false"/>
          <w:iCs w:val="false"/>
          <w:color w:val="1F3A5F"/>
          <w:sz w:val="19"/>
          <w:szCs w:val="19"/>
        </w:rPr>
        <w:t>Detox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Atlanta Detox Center</w:t>
      </w:r>
      <w:r>
        <w:rPr>
          <w:rFonts w:eastAsia="Calibri" w:cs="Calibri"/>
          <w:b w:val="false"/>
          <w:bCs w:val="false"/>
          <w:i w:val="false"/>
          <w:iCs w:val="false"/>
          <w:color w:val="555555"/>
          <w:sz w:val="18"/>
          <w:szCs w:val="18"/>
        </w:rPr>
        <w:t xml:space="preserve">  —  277 Medical Way, Riverdale, GA 30274</w:t>
      </w:r>
      <w:r>
        <w:rPr>
          <w:rFonts w:eastAsia="Calibri" w:cs="Calibri"/>
          <w:b w:val="false"/>
          <w:bCs w:val="false"/>
          <w:i w:val="false"/>
          <w:iCs w:val="false"/>
          <w:color w:val="3E5871"/>
          <w:sz w:val="18"/>
          <w:szCs w:val="18"/>
        </w:rPr>
        <w:t xml:space="preserve">  ·  470-450-2355</w:t>
      </w:r>
    </w:p>
    <w:p>
      <w:pPr>
        <w:pStyle w:val="ListParagraph"/>
        <w:numPr>
          <w:ilvl w:val="0"/>
          <w:numId w:val="1"/>
        </w:numPr>
        <w:spacing w:lineRule="exact" w:line="264" w:before="0" w:after="70"/>
        <w:rPr/>
      </w:pPr>
      <w:r>
        <w:rPr>
          <w:rFonts w:eastAsia="Calibri" w:cs="Calibri"/>
          <w:b/>
          <w:bCs/>
          <w:i w:val="false"/>
          <w:iCs w:val="false"/>
          <w:color w:val="1A1A1A"/>
          <w:sz w:val="19"/>
          <w:szCs w:val="19"/>
        </w:rPr>
        <w:t>Buckhead Behavioral Health</w:t>
      </w:r>
      <w:r>
        <w:rPr>
          <w:rFonts w:eastAsia="Calibri" w:cs="Calibri"/>
          <w:b w:val="false"/>
          <w:bCs w:val="false"/>
          <w:i w:val="false"/>
          <w:iCs w:val="false"/>
          <w:color w:val="555555"/>
          <w:sz w:val="18"/>
          <w:szCs w:val="18"/>
        </w:rPr>
        <w:t xml:space="preserve">  —  2285 Peachtree Rd NE, Atlanta, GA 30309</w:t>
      </w:r>
      <w:r>
        <w:rPr>
          <w:rFonts w:eastAsia="Calibri" w:cs="Calibri"/>
          <w:b w:val="false"/>
          <w:bCs w:val="false"/>
          <w:i w:val="false"/>
          <w:iCs w:val="false"/>
          <w:color w:val="3E5871"/>
          <w:sz w:val="18"/>
          <w:szCs w:val="18"/>
        </w:rPr>
        <w:t xml:space="preserve">  ·  470-460-5954</w:t>
      </w:r>
    </w:p>
    <w:p>
      <w:pPr>
        <w:pStyle w:val="ListParagraph"/>
        <w:numPr>
          <w:ilvl w:val="0"/>
          <w:numId w:val="1"/>
        </w:numPr>
        <w:spacing w:lineRule="exact" w:line="264" w:before="0" w:after="70"/>
        <w:rPr/>
      </w:pPr>
      <w:r>
        <w:rPr>
          <w:rFonts w:eastAsia="Calibri" w:cs="Calibri"/>
          <w:b/>
          <w:bCs/>
          <w:i w:val="false"/>
          <w:iCs w:val="false"/>
          <w:color w:val="1A1A1A"/>
          <w:sz w:val="19"/>
          <w:szCs w:val="19"/>
        </w:rPr>
        <w:t>Georgia Sky Outpatient Detox</w:t>
      </w:r>
      <w:r>
        <w:rPr>
          <w:rFonts w:eastAsia="Calibri" w:cs="Calibri"/>
          <w:b w:val="false"/>
          <w:bCs w:val="false"/>
          <w:i w:val="false"/>
          <w:iCs w:val="false"/>
          <w:color w:val="555555"/>
          <w:sz w:val="18"/>
          <w:szCs w:val="18"/>
        </w:rPr>
        <w:t xml:space="preserve">  —  1810 Water Pl SE Unit 180, Atlanta, GA 30339</w:t>
      </w:r>
      <w:r>
        <w:rPr>
          <w:rFonts w:eastAsia="Calibri" w:cs="Calibri"/>
          <w:b w:val="false"/>
          <w:bCs w:val="false"/>
          <w:i w:val="false"/>
          <w:iCs w:val="false"/>
          <w:color w:val="3E5871"/>
          <w:sz w:val="18"/>
          <w:szCs w:val="18"/>
        </w:rPr>
        <w:t xml:space="preserve">  ·  470-777-8373</w:t>
      </w:r>
    </w:p>
    <w:p>
      <w:pPr>
        <w:pStyle w:val="Normal"/>
        <w:keepNext w:val="true"/>
        <w:spacing w:before="150" w:after="60"/>
        <w:rPr/>
      </w:pPr>
      <w:r>
        <w:rPr>
          <w:rFonts w:eastAsia="Calibri" w:cs="Calibri"/>
          <w:b/>
          <w:bCs/>
          <w:i w:val="false"/>
          <w:iCs w:val="false"/>
          <w:color w:val="3E5871"/>
          <w:sz w:val="20"/>
          <w:szCs w:val="20"/>
        </w:rPr>
        <w:t>Macon / Central Georgia — verified named partners</w:t>
      </w:r>
    </w:p>
    <w:p>
      <w:pPr>
        <w:pStyle w:val="Normal"/>
        <w:spacing w:before="0" w:after="60"/>
        <w:rPr/>
      </w:pPr>
      <w:r>
        <w:rPr>
          <w:rFonts w:eastAsia="Calibri" w:cs="Calibri"/>
          <w:b/>
          <w:bCs/>
          <w:i w:val="false"/>
          <w:iCs w:val="false"/>
          <w:color w:val="1F3A5F"/>
          <w:sz w:val="19"/>
          <w:szCs w:val="19"/>
        </w:rPr>
        <w:t>Community service board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Behavioral Health (CSB — addictive disease services)</w:t>
      </w:r>
      <w:r>
        <w:rPr>
          <w:rFonts w:eastAsia="Calibri" w:cs="Calibri"/>
          <w:b w:val="false"/>
          <w:bCs w:val="false"/>
          <w:i w:val="false"/>
          <w:iCs w:val="false"/>
          <w:color w:val="555555"/>
          <w:sz w:val="18"/>
          <w:szCs w:val="18"/>
        </w:rPr>
        <w:t xml:space="preserve">  —  175 Emery Hwy, Macon, GA 31217</w:t>
      </w:r>
      <w:r>
        <w:rPr>
          <w:rFonts w:eastAsia="Calibri" w:cs="Calibri"/>
          <w:b w:val="false"/>
          <w:bCs w:val="false"/>
          <w:i w:val="false"/>
          <w:iCs w:val="false"/>
          <w:color w:val="3E5871"/>
          <w:sz w:val="18"/>
          <w:szCs w:val="18"/>
        </w:rPr>
        <w:t xml:space="preserve">  ·  478-803-7600</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Recovery Center</w:t>
      </w:r>
      <w:r>
        <w:rPr>
          <w:rFonts w:eastAsia="Calibri" w:cs="Calibri"/>
          <w:b w:val="false"/>
          <w:bCs w:val="false"/>
          <w:i w:val="false"/>
          <w:iCs w:val="false"/>
          <w:color w:val="555555"/>
          <w:sz w:val="18"/>
          <w:szCs w:val="18"/>
        </w:rPr>
        <w:t xml:space="preserve">  —  3575 Fulton Mill Rd, Macon, GA 31206</w:t>
      </w:r>
      <w:r>
        <w:rPr>
          <w:rFonts w:eastAsia="Calibri" w:cs="Calibri"/>
          <w:b w:val="false"/>
          <w:bCs w:val="false"/>
          <w:i w:val="false"/>
          <w:iCs w:val="false"/>
          <w:color w:val="3E5871"/>
          <w:sz w:val="18"/>
          <w:szCs w:val="18"/>
        </w:rPr>
        <w:t xml:space="preserve">  ·  478-803-8617</w:t>
      </w:r>
    </w:p>
    <w:p>
      <w:pPr>
        <w:pStyle w:val="Normal"/>
        <w:keepNext w:val="true"/>
        <w:spacing w:before="150" w:after="60"/>
        <w:rPr/>
      </w:pPr>
      <w:r>
        <w:rPr>
          <w:rFonts w:eastAsia="Calibri" w:cs="Calibri"/>
          <w:b/>
          <w:bCs/>
          <w:i w:val="false"/>
          <w:iCs w:val="false"/>
          <w:color w:val="3E5871"/>
          <w:sz w:val="20"/>
          <w:szCs w:val="20"/>
        </w:rPr>
        <w:t>Augusta — verified named partners</w:t>
      </w:r>
    </w:p>
    <w:p>
      <w:pPr>
        <w:pStyle w:val="Normal"/>
        <w:spacing w:before="0" w:after="60"/>
        <w:rPr/>
      </w:pPr>
      <w:r>
        <w:rPr>
          <w:rFonts w:eastAsia="Calibri" w:cs="Calibri"/>
          <w:b/>
          <w:bCs/>
          <w:i w:val="false"/>
          <w:iCs w:val="false"/>
          <w:color w:val="1F3A5F"/>
          <w:sz w:val="19"/>
          <w:szCs w:val="19"/>
        </w:rPr>
        <w:t>Community behavioral health &amp; substance use</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Behavioral Health Services (Augusta)</w:t>
      </w:r>
      <w:r>
        <w:rPr>
          <w:rFonts w:eastAsia="Calibri" w:cs="Calibri"/>
          <w:b w:val="false"/>
          <w:bCs w:val="false"/>
          <w:i w:val="false"/>
          <w:iCs w:val="false"/>
          <w:color w:val="555555"/>
          <w:sz w:val="18"/>
          <w:szCs w:val="18"/>
        </w:rPr>
        <w:t xml:space="preserve">  —  3421 Mike Padgett Hwy, Augusta, GA 30906</w:t>
      </w:r>
      <w:r>
        <w:rPr>
          <w:rFonts w:eastAsia="Calibri" w:cs="Calibri"/>
          <w:b w:val="false"/>
          <w:bCs w:val="false"/>
          <w:i w:val="false"/>
          <w:iCs w:val="false"/>
          <w:color w:val="3E5871"/>
          <w:sz w:val="18"/>
          <w:szCs w:val="18"/>
        </w:rPr>
        <w:t xml:space="preserve">  ·  706-787-8650</w:t>
      </w:r>
    </w:p>
    <w:p>
      <w:pPr>
        <w:pStyle w:val="Normal"/>
        <w:keepNext w:val="true"/>
        <w:spacing w:before="150" w:after="60"/>
        <w:rPr/>
      </w:pPr>
      <w:r>
        <w:rPr>
          <w:rFonts w:eastAsia="Calibri" w:cs="Calibri"/>
          <w:b/>
          <w:bCs/>
          <w:i w:val="false"/>
          <w:iCs w:val="false"/>
          <w:color w:val="3E5871"/>
          <w:sz w:val="20"/>
          <w:szCs w:val="20"/>
        </w:rPr>
        <w:t>Columbus — verified named partners</w:t>
      </w:r>
    </w:p>
    <w:p>
      <w:pPr>
        <w:pStyle w:val="Normal"/>
        <w:spacing w:before="0" w:after="60"/>
        <w:rPr/>
      </w:pPr>
      <w:r>
        <w:rPr>
          <w:rFonts w:eastAsia="Calibri" w:cs="Calibri"/>
          <w:b/>
          <w:bCs/>
          <w:i w:val="false"/>
          <w:iCs w:val="false"/>
          <w:color w:val="1F3A5F"/>
          <w:sz w:val="19"/>
          <w:szCs w:val="19"/>
        </w:rPr>
        <w:t>Community service board (SUD &amp; MH)</w:t>
      </w:r>
    </w:p>
    <w:p>
      <w:pPr>
        <w:pStyle w:val="ListParagraph"/>
        <w:numPr>
          <w:ilvl w:val="0"/>
          <w:numId w:val="1"/>
        </w:numPr>
        <w:spacing w:lineRule="exact" w:line="264" w:before="0" w:after="70"/>
        <w:rPr/>
      </w:pPr>
      <w:r>
        <w:rPr>
          <w:rFonts w:eastAsia="Calibri" w:cs="Calibri"/>
          <w:b/>
          <w:bCs/>
          <w:i w:val="false"/>
          <w:iCs w:val="false"/>
          <w:color w:val="1A1A1A"/>
          <w:sz w:val="19"/>
          <w:szCs w:val="19"/>
        </w:rPr>
        <w:t>New Horizons Behavioral Health (CSB)</w:t>
      </w:r>
      <w:r>
        <w:rPr>
          <w:rFonts w:eastAsia="Calibri" w:cs="Calibri"/>
          <w:b w:val="false"/>
          <w:bCs w:val="false"/>
          <w:i w:val="false"/>
          <w:iCs w:val="false"/>
          <w:color w:val="555555"/>
          <w:sz w:val="18"/>
          <w:szCs w:val="18"/>
        </w:rPr>
        <w:t xml:space="preserve">  —  2100 Comer Ave, Columbus, GA 31904</w:t>
      </w:r>
      <w:r>
        <w:rPr>
          <w:rFonts w:eastAsia="Calibri" w:cs="Calibri"/>
          <w:b w:val="false"/>
          <w:bCs w:val="false"/>
          <w:i w:val="false"/>
          <w:iCs w:val="false"/>
          <w:color w:val="3E5871"/>
          <w:sz w:val="18"/>
          <w:szCs w:val="18"/>
        </w:rPr>
        <w:t xml:space="preserve">  ·  706-596-5500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CMO / DBHDD network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CMO, DBHDD network,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Georgia behavioral health providers, not legal advice. Contacts, programs, and phone numbers change — verify each before you rely on it, and confirm the Anti-Kickback Statute, EKRA, and Georgia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Georgia Edition  —  PolicyReady.org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Georgia Edition  —  PolicyReady.org  —  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2026-07-16T01:14:54Z</dcterms:created>
  <dc:creator>PolicyReady.org</dc:creator>
  <dc:description/>
  <dc:language>en-US</dc:language>
  <cp:lastModifiedBy>Un-named</cp:lastModifiedBy>
  <dcterms:modified xsi:type="dcterms:W3CDTF">2026-07-16T01:14:54Z</dcterms:modified>
  <cp:revision>1</cp:revision>
  <dc:subject/>
  <dc:title>The Substance Use Referral System — Georgia Edition</dc:title>
</cp:coreProperties>
</file>