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lineRule="exact" w:line="276" w:before="0" w:after="80"/>
        <w:jc w:val="center"/>
        <w:rPr/>
      </w:pPr>
      <w:r>
        <w:rPr>
          <w:rFonts w:eastAsia="Calibri" w:cs="Calibri"/>
          <w:b/>
          <w:bCs/>
          <w:i w:val="false"/>
          <w:iCs w:val="false"/>
          <w:color w:val="3E5871"/>
          <w:sz w:val="30"/>
          <w:szCs w:val="30"/>
        </w:rPr>
        <w:t>[AGENCY NAME]</w:t>
      </w:r>
    </w:p>
    <w:p>
      <w:pPr>
        <w:pStyle w:val="Normal"/>
        <w:spacing w:lineRule="exact" w:line="276" w:before="0" w:after="60"/>
        <w:jc w:val="center"/>
        <w:rPr/>
      </w:pPr>
      <w:r>
        <w:rPr>
          <w:rFonts w:eastAsia="Calibri" w:cs="Calibri"/>
          <w:b/>
          <w:bCs/>
          <w:i w:val="false"/>
          <w:iCs w:val="false"/>
          <w:color w:val="1F3A5F"/>
          <w:sz w:val="52"/>
          <w:szCs w:val="52"/>
        </w:rPr>
        <w:t>Caregiver Handbook</w:t>
      </w:r>
    </w:p>
    <w:p>
      <w:pPr>
        <w:pStyle w:val="Normal"/>
        <w:spacing w:lineRule="exact" w:line="276" w:before="0" w:after="40"/>
        <w:jc w:val="center"/>
        <w:rPr/>
      </w:pPr>
      <w:r>
        <w:rPr>
          <w:rFonts w:eastAsia="Calibri" w:cs="Calibri"/>
          <w:b w:val="false"/>
          <w:bCs w:val="false"/>
          <w:i/>
          <w:iCs/>
          <w:color w:val="3E5871"/>
          <w:sz w:val="28"/>
          <w:szCs w:val="28"/>
        </w:rPr>
        <w:t>For Attendants</w:t>
      </w:r>
    </w:p>
    <w:p>
      <w:pPr>
        <w:pStyle w:val="Normal"/>
        <w:spacing w:lineRule="exact" w:line="276" w:before="0" w:after="220"/>
        <w:jc w:val="center"/>
        <w:rPr/>
      </w:pPr>
      <w:r>
        <w:rPr>
          <w:rFonts w:eastAsia="Calibri" w:cs="Calibri"/>
          <w:b w:val="false"/>
          <w:bCs w:val="false"/>
          <w:i w:val="false"/>
          <w:iCs w:val="false"/>
          <w:color w:val="555555"/>
          <w:sz w:val="22"/>
          <w:szCs w:val="22"/>
        </w:rPr>
        <w:t>Non-Medical Home Care (PAS) — Texas</w:t>
      </w:r>
    </w:p>
    <w:p>
      <w:pPr>
        <w:pStyle w:val="Normal"/>
        <w:pBdr>
          <w:bottom w:val="single" w:sz="8" w:space="1" w:color="9DB1C7"/>
        </w:pBdr>
        <w:spacing w:before="60" w:after="120"/>
        <w:rPr/>
      </w:pPr>
      <w:r>
        <w:rPr/>
      </w:r>
    </w:p>
    <w:p>
      <w:pPr>
        <w:pStyle w:val="Normal"/>
        <w:spacing w:lineRule="exact" w:line="276" w:before="0" w:after="120"/>
        <w:jc w:val="center"/>
        <w:rPr/>
      </w:pPr>
      <w:r>
        <w:rPr>
          <w:rFonts w:eastAsia="Calibri" w:cs="Calibri"/>
          <w:b w:val="false"/>
          <w:bCs w:val="false"/>
          <w:i w:val="false"/>
          <w:iCs w:val="false"/>
          <w:color w:val="1A1A1A"/>
          <w:sz w:val="21"/>
          <w:szCs w:val="21"/>
        </w:rPr>
        <w:t>A guide to your role, your responsibilities, and your rights as an attendant.</w:t>
      </w:r>
    </w:p>
    <w:p>
      <w:pPr>
        <w:pStyle w:val="Normal"/>
        <w:spacing w:lineRule="exact" w:line="276" w:before="0" w:after="90"/>
        <w:jc w:val="center"/>
        <w:rPr/>
      </w:pPr>
      <w:r>
        <w:rPr>
          <w:rFonts w:eastAsia="Calibri" w:cs="Calibri"/>
          <w:b w:val="false"/>
          <w:bCs w:val="false"/>
          <w:i/>
          <w:iCs/>
          <w:color w:val="555555"/>
          <w:sz w:val="18"/>
          <w:szCs w:val="18"/>
        </w:rPr>
        <w:t>This handbook is a template. Replace bracketed items with your agency’s details and adapt it to your operations and current Texas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28"/>
          <w:szCs w:val="28"/>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an attendant, you are the heart of what we do. Every day, you help people who are older, ill, recovering, or living with a disability stay safe and comfortable in their own homes — with dignity, and often with a kindness they may not get anywhere else. That work matters, and we’re glad you’re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explains what your job is, how we expect you to do it, how to keep yourself and your clients safe, and the rights you have as an employee in Texas. Please read it carefully and keep it as a reference. If anything is unclear, ask your supervisor — we would always rather you ask than guess.</w:t>
      </w:r>
    </w:p>
    <w:p>
      <w:pPr>
        <w:pStyle w:val="Normal"/>
        <w:spacing w:lineRule="exact" w:line="276" w:before="0" w:after="120"/>
        <w:jc w:val="start"/>
        <w:rPr/>
      </w:pPr>
      <w:r>
        <w:rPr>
          <w:rFonts w:eastAsia="Calibri" w:cs="Calibri"/>
          <w:b w:val="false"/>
          <w:bCs w:val="false"/>
          <w:i w:val="false"/>
          <w:iCs w:val="false"/>
          <w:color w:val="1A1A1A"/>
          <w:sz w:val="21"/>
          <w:szCs w:val="21"/>
        </w:rPr>
        <w:t xml:space="preserve">A quick but important note: we are a </w:t>
      </w:r>
      <w:r>
        <w:rPr>
          <w:rFonts w:eastAsia="Calibri" w:cs="Calibri"/>
          <w:b/>
          <w:bCs/>
          <w:i w:val="false"/>
          <w:iCs w:val="false"/>
          <w:color w:val="1A1A1A"/>
          <w:sz w:val="21"/>
          <w:szCs w:val="21"/>
        </w:rPr>
        <w:t>non-medical</w:t>
      </w:r>
      <w:r>
        <w:rPr>
          <w:rFonts w:eastAsia="Calibri" w:cs="Calibri"/>
          <w:b w:val="false"/>
          <w:bCs w:val="false"/>
          <w:i w:val="false"/>
          <w:iCs w:val="false"/>
          <w:color w:val="1A1A1A"/>
          <w:sz w:val="21"/>
          <w:szCs w:val="21"/>
        </w:rPr>
        <w:t xml:space="preserve"> home care agency. That shapes everything in this handbook — what you do, and just as importantly, what you must not do. When you’re unsure whether something is part of your role, stop and ask. That instinct will keep you, and your clients, safe.</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as an Attendant  </w:t>
      </w:r>
    </w:p>
    <w:p>
      <w:pPr>
        <w:pStyle w:val="Normal"/>
        <w:keepNext w:val="true"/>
        <w:spacing w:before="160" w:after="70"/>
        <w:rPr/>
      </w:pPr>
      <w:r>
        <w:rPr>
          <w:rFonts w:eastAsia="Calibri" w:cs="Calibri"/>
          <w:b/>
          <w:bCs/>
          <w:i w:val="false"/>
          <w:iCs w:val="false"/>
          <w:color w:val="3E5871"/>
          <w:sz w:val="22"/>
          <w:szCs w:val="22"/>
        </w:rPr>
        <w:t>What you do</w:t>
      </w:r>
    </w:p>
    <w:p>
      <w:pPr>
        <w:pStyle w:val="Normal"/>
        <w:spacing w:lineRule="exact" w:line="276" w:before="0" w:after="120"/>
        <w:jc w:val="start"/>
        <w:rPr/>
      </w:pPr>
      <w:r>
        <w:rPr>
          <w:rFonts w:eastAsia="Calibri" w:cs="Calibri"/>
          <w:b w:val="false"/>
          <w:bCs w:val="false"/>
          <w:i w:val="false"/>
          <w:iCs w:val="false"/>
          <w:color w:val="1A1A1A"/>
          <w:sz w:val="21"/>
          <w:szCs w:val="21"/>
        </w:rPr>
        <w:t>As an attendant, you provide non-medical home care — practical, hands-on help and companionship that lets clients live safely at home. Depending on each client’s care plan, your work includes:</w:t>
      </w:r>
    </w:p>
    <w:p>
      <w:pPr>
        <w:pStyle w:val="ListParagraph"/>
        <w:numPr>
          <w:ilvl w:val="0"/>
          <w:numId w:val="3"/>
        </w:numPr>
        <w:spacing w:lineRule="exact" w:line="276" w:before="0" w:after="70"/>
        <w:rPr/>
      </w:pPr>
      <w:r>
        <w:rPr>
          <w:rFonts w:eastAsia="Calibri" w:cs="Calibri"/>
          <w:b w:val="false"/>
          <w:bCs w:val="false"/>
          <w:i w:val="false"/>
          <w:iCs w:val="false"/>
          <w:color w:val="1A1A1A"/>
          <w:sz w:val="21"/>
          <w:szCs w:val="21"/>
        </w:rPr>
        <w:t>Personal care: help with bathing, showering, grooming, dressing, toileting, transferring, walking, and eating.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Homemaker help: meal preparation, light housekeeping, laundry, shopping, and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 support: supervision, safety monitoring, transportation and accompaniment, medication reminders, and companionship.</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Watching and reporting: noticing changes in how a client is doing and telling the agency.</w:t>
      </w:r>
    </w:p>
    <w:p>
      <w:pPr>
        <w:pStyle w:val="Normal"/>
        <w:keepNext w:val="true"/>
        <w:spacing w:before="160" w:after="70"/>
        <w:rPr/>
      </w:pPr>
      <w:r>
        <w:rPr>
          <w:rFonts w:eastAsia="Calibri" w:cs="Calibri"/>
          <w:b/>
          <w:bCs/>
          <w:i w:val="false"/>
          <w:iCs w:val="false"/>
          <w:color w:val="3E5871"/>
          <w:sz w:val="22"/>
          <w:szCs w:val="22"/>
        </w:rPr>
        <w:t>What you do NOT do — the non-medical line</w:t>
      </w:r>
    </w:p>
    <w:p>
      <w:pPr>
        <w:pStyle w:val="Normal"/>
        <w:spacing w:lineRule="exact" w:line="276" w:before="0" w:after="120"/>
        <w:jc w:val="start"/>
        <w:rPr/>
      </w:pPr>
      <w:r>
        <w:rPr>
          <w:rFonts w:eastAsia="Calibri" w:cs="Calibri"/>
          <w:b w:val="false"/>
          <w:bCs w:val="false"/>
          <w:i w:val="false"/>
          <w:iCs w:val="false"/>
          <w:color w:val="1A1A1A"/>
          <w:sz w:val="21"/>
          <w:szCs w:val="21"/>
        </w:rPr>
        <w:t>Because we are a non-medical agency, there are things you are not permitted to do, no matter how much you want to help or how much a client or family asks. You do not perform skilled nursing or medical tasks — no giving injections, no wound care, no administering medications, no medical assessments or treatments. Those require a licensed nurse or a home health agency. If a client needs that kind of care, tell your supervisor so we can help arrange it.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When in doubt, ask first</w:t>
            </w:r>
          </w:p>
          <w:p>
            <w:pPr>
              <w:pStyle w:val="Normal"/>
              <w:spacing w:lineRule="exact" w:line="270" w:before="0" w:after="0"/>
              <w:rPr/>
            </w:pPr>
            <w:r>
              <w:rPr>
                <w:rFonts w:eastAsia="Calibri" w:cs="Calibri"/>
                <w:b w:val="false"/>
                <w:bCs w:val="false"/>
                <w:i w:val="false"/>
                <w:iCs w:val="false"/>
                <w:color w:val="1A1A1A"/>
                <w:sz w:val="20"/>
                <w:szCs w:val="20"/>
              </w:rPr>
              <w:t xml:space="preserve">If you’re ever unsure whether a task is part of your job — especially anything involving medications, medical equipment, or a client’s health — </w:t>
            </w:r>
            <w:r>
              <w:rPr>
                <w:rFonts w:eastAsia="Calibri" w:cs="Calibri"/>
                <w:b/>
                <w:bCs/>
                <w:i w:val="false"/>
                <w:iCs w:val="false"/>
                <w:color w:val="1A1A1A"/>
                <w:sz w:val="20"/>
                <w:szCs w:val="20"/>
              </w:rPr>
              <w:t>stop and call your supervisor before you do it.</w:t>
            </w:r>
            <w:r>
              <w:rPr>
                <w:rFonts w:eastAsia="Calibri" w:cs="Calibri"/>
                <w:b w:val="false"/>
                <w:bCs w:val="false"/>
                <w:i w:val="false"/>
                <w:iCs w:val="false"/>
                <w:color w:val="1A1A1A"/>
                <w:sz w:val="20"/>
                <w:szCs w:val="20"/>
              </w:rPr>
              <w:t xml:space="preserve"> You will never be in trouble for asking. You could be in serious trouble, and could hurt a client, by guessing wrong.</w:t>
            </w:r>
          </w:p>
        </w:tc>
      </w:tr>
    </w:tbl>
    <w:p>
      <w:pPr>
        <w:pStyle w:val="Normal"/>
        <w:keepNext w:val="true"/>
        <w:spacing w:before="160" w:after="70"/>
        <w:rPr/>
      </w:pPr>
      <w:r>
        <w:rPr>
          <w:rFonts w:eastAsia="Calibri" w:cs="Calibri"/>
          <w:b/>
          <w:bCs/>
          <w:i w:val="false"/>
          <w:iCs w:val="false"/>
          <w:color w:val="3E5871"/>
          <w:sz w:val="22"/>
          <w:szCs w:val="22"/>
        </w:rPr>
        <w:t>Screening you must clear first</w:t>
      </w:r>
    </w:p>
    <w:p>
      <w:pPr>
        <w:pStyle w:val="Normal"/>
        <w:spacing w:lineRule="exact" w:line="276" w:before="0" w:after="120"/>
        <w:jc w:val="start"/>
        <w:rPr/>
      </w:pPr>
      <w:r>
        <w:rPr>
          <w:rFonts w:eastAsia="Calibri" w:cs="Calibri"/>
          <w:b w:val="false"/>
          <w:bCs w:val="false"/>
          <w:i w:val="false"/>
          <w:iCs w:val="false"/>
          <w:color w:val="1A1A1A"/>
          <w:sz w:val="21"/>
          <w:szCs w:val="21"/>
        </w:rPr>
        <w:t>Texas law requires you to be screened before you have any contact with a client. That means a fingerprint-based criminal background check through the Texas Department of Public Safety and the FBI, plus checks of the Employee Misconduct Registry and the Nurse Aide Registry. You must be cleared before your first shift, and you cannot work with clients if you have a disqualifying finding. We’ll guide you through this — it protects clients, and it protects you as a professional.</w:t>
      </w:r>
    </w:p>
    <w:p>
      <w:pPr>
        <w:pStyle w:val="Normal"/>
        <w:keepNext w:val="true"/>
        <w:spacing w:before="160" w:after="70"/>
        <w:rPr/>
      </w:pPr>
      <w:r>
        <w:rPr>
          <w:rFonts w:eastAsia="Calibri" w:cs="Calibri"/>
          <w:b/>
          <w:bCs/>
          <w:i w:val="false"/>
          <w:iCs w:val="false"/>
          <w:color w:val="3E5871"/>
          <w:sz w:val="22"/>
          <w:szCs w:val="22"/>
        </w:rPr>
        <w:t>You are an employee</w:t>
      </w:r>
    </w:p>
    <w:p>
      <w:pPr>
        <w:pStyle w:val="Normal"/>
        <w:spacing w:lineRule="exact" w:line="276" w:before="0" w:after="120"/>
        <w:jc w:val="start"/>
        <w:rPr/>
      </w:pPr>
      <w:r>
        <w:rPr>
          <w:rFonts w:eastAsia="Calibri" w:cs="Calibri"/>
          <w:b w:val="false"/>
          <w:bCs w:val="false"/>
          <w:i w:val="false"/>
          <w:iCs w:val="false"/>
          <w:color w:val="1A1A1A"/>
          <w:sz w:val="21"/>
          <w:szCs w:val="21"/>
        </w:rPr>
        <w:t>You are our employee — not an independent contractor. That means we handle your payroll taxes and follow the federal and Texas wage-and-hour laws that apply to you (Section 8). It also means you follow the agency’s policies, schedule, and care plans, and represent [Agency Name] professionally in every home you enter.</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Getting &amp; Staying Qualified  </w:t>
      </w:r>
    </w:p>
    <w:p>
      <w:pPr>
        <w:pStyle w:val="Normal"/>
        <w:spacing w:lineRule="exact" w:line="276" w:before="0" w:after="120"/>
        <w:jc w:val="start"/>
        <w:rPr/>
      </w:pPr>
      <w:r>
        <w:rPr>
          <w:rFonts w:eastAsia="Calibri" w:cs="Calibri"/>
          <w:b w:val="false"/>
          <w:bCs w:val="false"/>
          <w:i w:val="false"/>
          <w:iCs w:val="false"/>
          <w:color w:val="1A1A1A"/>
          <w:sz w:val="21"/>
          <w:szCs w:val="21"/>
        </w:rPr>
        <w:t>Before you can work with clients, and to keep working, you must meet a few requirements Texas law sets for attendants. We’ll help you with each one.</w:t>
      </w:r>
    </w:p>
    <w:p>
      <w:pPr>
        <w:pStyle w:val="Normal"/>
        <w:keepNext w:val="true"/>
        <w:spacing w:before="160" w:after="70"/>
        <w:rPr/>
      </w:pPr>
      <w:r>
        <w:rPr>
          <w:rFonts w:eastAsia="Calibri" w:cs="Calibri"/>
          <w:b/>
          <w:bCs/>
          <w:i w:val="false"/>
          <w:iCs w:val="false"/>
          <w:color w:val="3E5871"/>
          <w:sz w:val="22"/>
          <w:szCs w:val="22"/>
        </w:rPr>
        <w:t>Background checks and registry clearance</w:t>
      </w:r>
    </w:p>
    <w:p>
      <w:pPr>
        <w:pStyle w:val="Normal"/>
        <w:spacing w:lineRule="exact" w:line="276" w:before="0" w:after="120"/>
        <w:jc w:val="start"/>
        <w:rPr/>
      </w:pPr>
      <w:r>
        <w:rPr>
          <w:rFonts w:eastAsia="Calibri" w:cs="Calibri"/>
          <w:b w:val="false"/>
          <w:bCs w:val="false"/>
          <w:i w:val="false"/>
          <w:iCs w:val="false"/>
          <w:color w:val="1A1A1A"/>
          <w:sz w:val="21"/>
          <w:szCs w:val="21"/>
        </w:rPr>
        <w:t>You must complete a fingerprint-based criminal background check through the Texas Department of Public Safety and the FBI, and you must be checked against the Employee Misconduct Registry and the Nurse Aide Registry — all before you have contact with any client. Certain findings disqualify you from working with clients. Screening is ongoing, so keep us informed of any change, and understand that a later disqualifying finding means you can no longer work with clients.</w:t>
      </w:r>
    </w:p>
    <w:p>
      <w:pPr>
        <w:pStyle w:val="Normal"/>
        <w:keepNext w:val="true"/>
        <w:spacing w:before="160" w:after="70"/>
        <w:rPr/>
      </w:pPr>
      <w:r>
        <w:rPr>
          <w:rFonts w:eastAsia="Calibri" w:cs="Calibri"/>
          <w:b/>
          <w:bCs/>
          <w:i w:val="false"/>
          <w:iCs w:val="false"/>
          <w:color w:val="3E5871"/>
          <w:sz w:val="22"/>
          <w:szCs w:val="22"/>
        </w:rPr>
        <w:t>Health and communicable disease</w:t>
      </w:r>
    </w:p>
    <w:p>
      <w:pPr>
        <w:pStyle w:val="Normal"/>
        <w:spacing w:lineRule="exact" w:line="276" w:before="0" w:after="120"/>
        <w:jc w:val="start"/>
        <w:rPr/>
      </w:pPr>
      <w:r>
        <w:rPr>
          <w:rFonts w:eastAsia="Calibri" w:cs="Calibri"/>
          <w:b w:val="false"/>
          <w:bCs w:val="false"/>
          <w:i w:val="false"/>
          <w:iCs w:val="false"/>
          <w:color w:val="1A1A1A"/>
          <w:sz w:val="21"/>
          <w:szCs w:val="21"/>
        </w:rPr>
        <w:t>You must be able to provide care safely, and you must not work when you have a contagious illness. Follow our health and infection-control policies — they protect the clients you serve, who are often medically fragile, and they protect you.</w:t>
      </w:r>
    </w:p>
    <w:p>
      <w:pPr>
        <w:pStyle w:val="Normal"/>
        <w:keepNext w:val="true"/>
        <w:spacing w:before="160" w:after="70"/>
        <w:rPr/>
      </w:pPr>
      <w:r>
        <w:rPr>
          <w:rFonts w:eastAsia="Calibri" w:cs="Calibri"/>
          <w:b/>
          <w:bCs/>
          <w:i w:val="false"/>
          <w:iCs w:val="false"/>
          <w:color w:val="3E5871"/>
          <w:sz w:val="22"/>
          <w:szCs w:val="22"/>
        </w:rPr>
        <w:t>Training and competency</w:t>
      </w:r>
    </w:p>
    <w:p>
      <w:pPr>
        <w:pStyle w:val="Normal"/>
        <w:spacing w:lineRule="exact" w:line="276" w:before="0" w:after="120"/>
        <w:jc w:val="start"/>
        <w:rPr/>
      </w:pPr>
      <w:r>
        <w:rPr>
          <w:rFonts w:eastAsia="Calibri" w:cs="Calibri"/>
          <w:b w:val="false"/>
          <w:bCs w:val="false"/>
          <w:i w:val="false"/>
          <w:iCs w:val="false"/>
          <w:color w:val="1A1A1A"/>
          <w:sz w:val="21"/>
          <w:szCs w:val="21"/>
        </w:rPr>
        <w:t>Texas does not set a fixed number of training hours for attendants. Instead, you must be trained and shown to be competent for the tasks you perform before you perform them — client rights, confidentiality, infection control, emergencies, safe transfers, recognizing and reporting changes in a client’s condition and signs of abuse, and our documentation and EVV systems. We may provide additional training on dementia care and other topics because we want you confident and capable. Complete your training on time; it’s a condition of your employment.</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DPS and FBI background clearance — before first client contact.</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Employee Misconduct Registry and Nurse Aide Registry checks clear.</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Competency validated for your assigned tasks before first client contact.</w:t>
      </w:r>
    </w:p>
    <w:p>
      <w:pPr>
        <w:pStyle w:val="Normal"/>
        <w:spacing w:lineRule="exact" w:line="276" w:before="0" w:after="60"/>
        <w:ind w:hanging="280" w:start="320"/>
        <w:rPr/>
      </w:pPr>
      <w:r>
        <w:rPr>
          <w:rFonts w:eastAsia="Calibri" w:cs="Calibri"/>
          <w:b w:val="false"/>
          <w:bCs w:val="false"/>
          <w:i w:val="false"/>
          <w:iCs w:val="false"/>
          <w:color w:val="1A1A1A"/>
          <w:sz w:val="21"/>
          <w:szCs w:val="21"/>
        </w:rPr>
        <w:t xml:space="preserve">☐  </w:t>
      </w:r>
      <w:r>
        <w:rPr>
          <w:rFonts w:eastAsia="Calibri" w:cs="Calibri"/>
          <w:b w:val="false"/>
          <w:bCs w:val="false"/>
          <w:i w:val="false"/>
          <w:iCs w:val="false"/>
          <w:color w:val="1A1A1A"/>
          <w:sz w:val="21"/>
          <w:szCs w:val="21"/>
        </w:rPr>
        <w:t>Ongoing training kept current.</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Professional Conduct &amp; Boundaries  </w:t>
      </w:r>
    </w:p>
    <w:p>
      <w:pPr>
        <w:pStyle w:val="Normal"/>
        <w:spacing w:lineRule="exact" w:line="276" w:before="0" w:after="120"/>
        <w:jc w:val="start"/>
        <w:rPr/>
      </w:pPr>
      <w:r>
        <w:rPr>
          <w:rFonts w:eastAsia="Calibri" w:cs="Calibri"/>
          <w:b w:val="false"/>
          <w:bCs w:val="false"/>
          <w:i w:val="false"/>
          <w:iCs w:val="false"/>
          <w:color w:val="1A1A1A"/>
          <w:sz w:val="21"/>
          <w:szCs w:val="21"/>
        </w:rPr>
        <w:t>You work in people’s homes, often with vulnerable people, frequently alone. That trust is a privilege, and it comes with clear rules. Following them protects your clients, protects you from misunderstanding, and protects the agency.</w:t>
      </w:r>
    </w:p>
    <w:p>
      <w:pPr>
        <w:pStyle w:val="Normal"/>
        <w:keepNext w:val="true"/>
        <w:spacing w:before="160" w:after="70"/>
        <w:rPr/>
      </w:pPr>
      <w:r>
        <w:rPr>
          <w:rFonts w:eastAsia="Calibri" w:cs="Calibri"/>
          <w:b/>
          <w:bCs/>
          <w:i w:val="false"/>
          <w:iCs w:val="false"/>
          <w:color w:val="3E5871"/>
          <w:sz w:val="22"/>
          <w:szCs w:val="22"/>
        </w:rPr>
        <w:t>Treat every client with dignity and respect</w:t>
      </w:r>
    </w:p>
    <w:p>
      <w:pPr>
        <w:pStyle w:val="Normal"/>
        <w:spacing w:lineRule="exact" w:line="276" w:before="0" w:after="120"/>
        <w:jc w:val="start"/>
        <w:rPr/>
      </w:pPr>
      <w:r>
        <w:rPr>
          <w:rFonts w:eastAsia="Calibri" w:cs="Calibri"/>
          <w:b w:val="false"/>
          <w:bCs w:val="false"/>
          <w:i w:val="false"/>
          <w:iCs w:val="false"/>
          <w:color w:val="1A1A1A"/>
          <w:sz w:val="21"/>
          <w:szCs w:val="21"/>
        </w:rPr>
        <w:t>Clients have rights, and you are the person who makes those rights real every day. Treat every client with respect and courtesy. Protect their privacy and modesty during personal care. Support their choices and independence — do things with them, not just for them, and let them do what they can. It is their home and their life; you are a guest and a helper, never a boss.</w:t>
      </w:r>
    </w:p>
    <w:p>
      <w:pPr>
        <w:pStyle w:val="Normal"/>
        <w:keepNext w:val="true"/>
        <w:spacing w:before="160" w:after="70"/>
        <w:rPr/>
      </w:pPr>
      <w:r>
        <w:rPr>
          <w:rFonts w:eastAsia="Calibri" w:cs="Calibri"/>
          <w:b/>
          <w:bCs/>
          <w:i w:val="false"/>
          <w:iCs w:val="false"/>
          <w:color w:val="3E5871"/>
          <w:sz w:val="22"/>
          <w:szCs w:val="22"/>
        </w:rPr>
        <w:t>Professional boundaries</w:t>
      </w:r>
    </w:p>
    <w:p>
      <w:pPr>
        <w:pStyle w:val="Normal"/>
        <w:spacing w:lineRule="exact" w:line="276" w:before="0" w:after="120"/>
        <w:jc w:val="start"/>
        <w:rPr/>
      </w:pPr>
      <w:r>
        <w:rPr>
          <w:rFonts w:eastAsia="Calibri" w:cs="Calibri"/>
          <w:b w:val="false"/>
          <w:bCs w:val="false"/>
          <w:i w:val="false"/>
          <w:iCs w:val="false"/>
          <w:color w:val="1A1A1A"/>
          <w:sz w:val="21"/>
          <w:szCs w:val="21"/>
        </w:rPr>
        <w:t>Keep your relationship with clients professional. Specifically, you must not: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Borrow money from a client, lend money to a client, or accept gifts, tips, or money beyond what agency policy allows.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a client’s money, credit cards, or accounts — except for authorized shopping, with receipts and change returned.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Take, use, or borrow a client’s property.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Bring your own family or friends, or unauthorized people, into a client’s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personal business with a client, sell them anything, or involve them in your personal affairs.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alcohol or drugs, or work impaired — ever — while on duty or in a client’s home.</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Money and gifts — the bright line</w:t>
            </w:r>
          </w:p>
          <w:p>
            <w:pPr>
              <w:pStyle w:val="Normal"/>
              <w:spacing w:lineRule="exact" w:line="270" w:before="0" w:after="0"/>
              <w:rPr/>
            </w:pPr>
            <w:r>
              <w:rPr>
                <w:rFonts w:eastAsia="Calibri" w:cs="Calibri"/>
                <w:b w:val="false"/>
                <w:bCs w:val="false"/>
                <w:i w:val="false"/>
                <w:iCs w:val="false"/>
                <w:color w:val="1A1A1A"/>
                <w:sz w:val="20"/>
                <w:szCs w:val="20"/>
              </w:rPr>
              <w:t>Financial exploitation is one of the most serious harms in home care, and even the appearance of it can end your career and expose you to criminal charges. Never mix your money with a client’s. If a client offers you a gift or wants to give you money, thank them kindly, decline, and tell your supervisor.</w:t>
            </w:r>
          </w:p>
        </w:tc>
      </w:tr>
    </w:tbl>
    <w:p>
      <w:pPr>
        <w:pStyle w:val="Normal"/>
        <w:keepNext w:val="true"/>
        <w:spacing w:before="160" w:after="70"/>
        <w:rPr/>
      </w:pPr>
      <w:r>
        <w:rPr>
          <w:rFonts w:eastAsia="Calibri" w:cs="Calibri"/>
          <w:b/>
          <w:bCs/>
          <w:i w:val="false"/>
          <w:iCs w:val="false"/>
          <w:color w:val="3E5871"/>
          <w:sz w:val="22"/>
          <w:szCs w:val="22"/>
        </w:rPr>
        <w:t>Confidentiality and privacy (HIPAA)</w:t>
      </w:r>
    </w:p>
    <w:p>
      <w:pPr>
        <w:pStyle w:val="Normal"/>
        <w:spacing w:lineRule="exact" w:line="276" w:before="0" w:after="120"/>
        <w:jc w:val="start"/>
        <w:rPr/>
      </w:pPr>
      <w:r>
        <w:rPr>
          <w:rFonts w:eastAsia="Calibri" w:cs="Calibri"/>
          <w:b w:val="false"/>
          <w:bCs w:val="false"/>
          <w:i w:val="false"/>
          <w:iCs w:val="false"/>
          <w:color w:val="1A1A1A"/>
          <w:sz w:val="21"/>
          <w:szCs w:val="21"/>
        </w:rPr>
        <w:t>What you see, hear, and learn in a client’s home is private and confidential. Do not share it — not with other clients, not with friends or family, and never on social media. This includes a client’s health, finances, family matters, and even the fact that they are a client. If we handle health information for insurance or Texas Medicaid, HIPAA applies, and violations are serious. When in doubt, keep it to yourself and ask your supervisor.</w:t>
      </w:r>
    </w:p>
    <w:p>
      <w:pPr>
        <w:pStyle w:val="Normal"/>
        <w:keepNext w:val="true"/>
        <w:spacing w:before="160" w:after="70"/>
        <w:rPr/>
      </w:pPr>
      <w:r>
        <w:rPr>
          <w:rFonts w:eastAsia="Calibri" w:cs="Calibri"/>
          <w:b/>
          <w:bCs/>
          <w:i w:val="false"/>
          <w:iCs w:val="false"/>
          <w:color w:val="3E5871"/>
          <w:sz w:val="22"/>
          <w:szCs w:val="22"/>
        </w:rPr>
        <w:t>Non-discrimination and respect</w:t>
      </w:r>
    </w:p>
    <w:p>
      <w:pPr>
        <w:pStyle w:val="Normal"/>
        <w:spacing w:lineRule="exact" w:line="276" w:before="0" w:after="120"/>
        <w:jc w:val="start"/>
        <w:rPr/>
      </w:pPr>
      <w:r>
        <w:rPr>
          <w:rFonts w:eastAsia="Calibri" w:cs="Calibri"/>
          <w:b w:val="false"/>
          <w:bCs w:val="false"/>
          <w:i w:val="false"/>
          <w:iCs w:val="false"/>
          <w:color w:val="1A1A1A"/>
          <w:sz w:val="21"/>
          <w:szCs w:val="21"/>
        </w:rPr>
        <w:t>Treat every client, coworker, and family member without discrimination or harassment based on race, color, national origin, religion, sex, sexual orientation, gender identity, age, disability, or any other protected characteristic. We hold ourselves to that standard, and we hold you to it too.</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Providing Care  </w:t>
      </w:r>
    </w:p>
    <w:p>
      <w:pPr>
        <w:pStyle w:val="Normal"/>
        <w:keepNext w:val="true"/>
        <w:spacing w:before="160" w:after="70"/>
        <w:rPr/>
      </w:pPr>
      <w:r>
        <w:rPr>
          <w:rFonts w:eastAsia="Calibri" w:cs="Calibri"/>
          <w:b/>
          <w:bCs/>
          <w:i w:val="false"/>
          <w:iCs w:val="false"/>
          <w:color w:val="3E5871"/>
          <w:sz w:val="22"/>
          <w:szCs w:val="22"/>
        </w:rPr>
        <w:t>Follow the care plan</w:t>
      </w:r>
    </w:p>
    <w:p>
      <w:pPr>
        <w:pStyle w:val="Normal"/>
        <w:spacing w:lineRule="exact" w:line="276" w:before="0" w:after="120"/>
        <w:jc w:val="start"/>
        <w:rPr/>
      </w:pPr>
      <w:r>
        <w:rPr>
          <w:rFonts w:eastAsia="Calibri" w:cs="Calibri"/>
          <w:b w:val="false"/>
          <w:bCs w:val="false"/>
          <w:i w:val="false"/>
          <w:iCs w:val="false"/>
          <w:color w:val="1A1A1A"/>
          <w:sz w:val="21"/>
          <w:szCs w:val="21"/>
        </w:rPr>
        <w:t>Every client has a care plan that tells you what services to provide and how they like things done. Follow it. It exists so the client gets consistent care no matter who is on shift. If a client asks you to do something outside the plan — or if the plan no longer seems to fit what the client needs — don’t just improvise. Do what’s safe in the moment and call your supervisor so the plan can be updated properly.</w:t>
      </w:r>
    </w:p>
    <w:p>
      <w:pPr>
        <w:pStyle w:val="Normal"/>
        <w:keepNext w:val="true"/>
        <w:spacing w:before="160" w:after="70"/>
        <w:rPr/>
      </w:pPr>
      <w:r>
        <w:rPr>
          <w:rFonts w:eastAsia="Calibri" w:cs="Calibri"/>
          <w:b/>
          <w:bCs/>
          <w:i w:val="false"/>
          <w:iCs w:val="false"/>
          <w:color w:val="3E5871"/>
          <w:sz w:val="22"/>
          <w:szCs w:val="22"/>
        </w:rPr>
        <w:t>Personal care</w:t>
      </w:r>
    </w:p>
    <w:p>
      <w:pPr>
        <w:pStyle w:val="Normal"/>
        <w:spacing w:lineRule="exact" w:line="276" w:before="0" w:after="120"/>
        <w:jc w:val="start"/>
        <w:rPr/>
      </w:pPr>
      <w:r>
        <w:rPr>
          <w:rFonts w:eastAsia="Calibri" w:cs="Calibri"/>
          <w:b w:val="false"/>
          <w:bCs w:val="false"/>
          <w:i w:val="false"/>
          <w:iCs w:val="false"/>
          <w:color w:val="1A1A1A"/>
          <w:sz w:val="21"/>
          <w:szCs w:val="21"/>
        </w:rPr>
        <w:t>When you help with bathing, dressing, toileting, transferring, and other personal care, use safe technique, protect the client’s privacy and dignity, and go at their pace. Use any equipment the client has (grab bars, transfer belts, walkers) the way it’s meant to be used, and never lift beyond what’s safe for you or the client — ask for the right equipment or help instead. If you notice skin changes, pain, bruising, or new difficulty, report it.</w:t>
      </w:r>
    </w:p>
    <w:p>
      <w:pPr>
        <w:pStyle w:val="Normal"/>
        <w:keepNext w:val="true"/>
        <w:spacing w:before="160" w:after="70"/>
        <w:rPr/>
      </w:pPr>
      <w:r>
        <w:rPr>
          <w:rFonts w:eastAsia="Calibri" w:cs="Calibri"/>
          <w:b/>
          <w:bCs/>
          <w:i w:val="false"/>
          <w:iCs w:val="false"/>
          <w:color w:val="3E5871"/>
          <w:sz w:val="22"/>
          <w:szCs w:val="22"/>
        </w:rPr>
        <w:t>Companion and homemaker help</w:t>
      </w:r>
    </w:p>
    <w:p>
      <w:pPr>
        <w:pStyle w:val="Normal"/>
        <w:spacing w:lineRule="exact" w:line="276" w:before="0" w:after="120"/>
        <w:jc w:val="start"/>
        <w:rPr/>
      </w:pPr>
      <w:r>
        <w:rPr>
          <w:rFonts w:eastAsia="Calibri" w:cs="Calibri"/>
          <w:b w:val="false"/>
          <w:bCs w:val="false"/>
          <w:i w:val="false"/>
          <w:iCs w:val="false"/>
          <w:color w:val="1A1A1A"/>
          <w:sz w:val="21"/>
          <w:szCs w:val="21"/>
        </w:rPr>
        <w:t>Meals, light housekeeping, laundry, shopping, errands, transportation, and companionship are core parts of the job. Do them to the client’s preferences within the care plan. If you drive a client, make sure you’re authorized and properly insured, and drive safely. And remember that companionship itself — conversation, attention, a friendly presence — is real care for someone who may be alone most of the day.</w:t>
      </w:r>
    </w:p>
    <w:p>
      <w:pPr>
        <w:pStyle w:val="Normal"/>
        <w:keepNext w:val="true"/>
        <w:spacing w:before="160" w:after="70"/>
        <w:rPr/>
      </w:pPr>
      <w:r>
        <w:rPr>
          <w:rFonts w:eastAsia="Calibri" w:cs="Calibri"/>
          <w:b/>
          <w:bCs/>
          <w:i w:val="false"/>
          <w:iCs w:val="false"/>
          <w:color w:val="3E5871"/>
          <w:sz w:val="22"/>
          <w:szCs w:val="22"/>
        </w:rPr>
        <w:t>Medication reminders — what you can and can’t do</w:t>
      </w:r>
    </w:p>
    <w:p>
      <w:pPr>
        <w:pStyle w:val="Normal"/>
        <w:spacing w:lineRule="exact" w:line="276" w:before="0" w:after="120"/>
        <w:jc w:val="start"/>
        <w:rPr/>
      </w:pPr>
      <w:r>
        <w:rPr>
          <w:rFonts w:eastAsia="Calibri" w:cs="Calibri"/>
          <w:b w:val="false"/>
          <w:bCs w:val="false"/>
          <w:i w:val="false"/>
          <w:iCs w:val="false"/>
          <w:color w:val="1A1A1A"/>
          <w:sz w:val="21"/>
          <w:szCs w:val="21"/>
        </w:rPr>
        <w:t>You may remind a client to take their medication, bring them the medication and water, help open a container they can’t open, and observe — when the client manages their own medication and it’s in the care plan. You may NOT decide doses, administer medication, or give injections. You may perform a health-related task only if a nurse has delegated it to you — or determined it does not require delegation — under the Texas Board of Nursing rules, and only after you have been trained and found competent for it. If a task has not been delegated to you, do not do it. If a client can’t manage their own medications safely, tell your supervisor.</w:t>
      </w:r>
    </w:p>
    <w:p>
      <w:pPr>
        <w:pStyle w:val="Normal"/>
        <w:keepNext w:val="true"/>
        <w:spacing w:before="160" w:after="70"/>
        <w:rPr/>
      </w:pPr>
      <w:r>
        <w:rPr>
          <w:rFonts w:eastAsia="Calibri" w:cs="Calibri"/>
          <w:b/>
          <w:bCs/>
          <w:i w:val="false"/>
          <w:iCs w:val="false"/>
          <w:color w:val="3E5871"/>
          <w:sz w:val="22"/>
          <w:szCs w:val="22"/>
        </w:rPr>
        <w:t>Watch and report changes</w:t>
      </w:r>
    </w:p>
    <w:p>
      <w:pPr>
        <w:pStyle w:val="Normal"/>
        <w:spacing w:lineRule="exact" w:line="276" w:before="0" w:after="120"/>
        <w:jc w:val="start"/>
        <w:rPr/>
      </w:pPr>
      <w:r>
        <w:rPr>
          <w:rFonts w:eastAsia="Calibri" w:cs="Calibri"/>
          <w:b w:val="false"/>
          <w:bCs w:val="false"/>
          <w:i w:val="false"/>
          <w:iCs w:val="false"/>
          <w:color w:val="1A1A1A"/>
          <w:sz w:val="21"/>
          <w:szCs w:val="21"/>
        </w:rPr>
        <w:t>You often see clients more than anyone else does, so you are our eyes and ears. Tell your supervisor promptly if you notice a change — new confusion, a fall, less eating or drinking, new pain or bruising, mood or behavior changes, or anything that worries you. In an emergency, call 911 first, then call the agency. Reporting a change early can prevent a hospital stay.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Safety — Yours and Your Client’s  </w:t>
      </w:r>
    </w:p>
    <w:p>
      <w:pPr>
        <w:pStyle w:val="Normal"/>
        <w:keepNext w:val="true"/>
        <w:spacing w:before="160" w:after="70"/>
        <w:rPr/>
      </w:pPr>
      <w:r>
        <w:rPr>
          <w:rFonts w:eastAsia="Calibri" w:cs="Calibri"/>
          <w:b/>
          <w:bCs/>
          <w:i w:val="false"/>
          <w:iCs w:val="false"/>
          <w:color w:val="3E5871"/>
          <w:sz w:val="22"/>
          <w:szCs w:val="22"/>
        </w:rPr>
        <w:t>Infection prevention</w:t>
      </w:r>
    </w:p>
    <w:p>
      <w:pPr>
        <w:pStyle w:val="Normal"/>
        <w:spacing w:lineRule="exact" w:line="276" w:before="0" w:after="120"/>
        <w:jc w:val="start"/>
        <w:rPr/>
      </w:pPr>
      <w:r>
        <w:rPr>
          <w:rFonts w:eastAsia="Calibri" w:cs="Calibri"/>
          <w:b w:val="false"/>
          <w:bCs w:val="false"/>
          <w:i w:val="false"/>
          <w:iCs w:val="false"/>
          <w:color w:val="1A1A1A"/>
          <w:sz w:val="21"/>
          <w:szCs w:val="21"/>
        </w:rPr>
        <w:t>Wash your hands before and after care, use gloves and other protection when appropriate, handle soiled items safely, and keep things clean. If you are sick — fever, cough, stomach illness — do not go into a client’s home; call your supervisor. Many clients are fragile, and an infection you barely notice could seriously harm them.</w:t>
      </w:r>
    </w:p>
    <w:p>
      <w:pPr>
        <w:pStyle w:val="Normal"/>
        <w:keepNext w:val="true"/>
        <w:spacing w:before="160" w:after="70"/>
        <w:rPr/>
      </w:pPr>
      <w:r>
        <w:rPr>
          <w:rFonts w:eastAsia="Calibri" w:cs="Calibri"/>
          <w:b/>
          <w:bCs/>
          <w:i w:val="false"/>
          <w:iCs w:val="false"/>
          <w:color w:val="3E5871"/>
          <w:sz w:val="22"/>
          <w:szCs w:val="22"/>
        </w:rPr>
        <w:t>Safe transfers and fall prevention</w:t>
      </w:r>
    </w:p>
    <w:p>
      <w:pPr>
        <w:pStyle w:val="Normal"/>
        <w:spacing w:lineRule="exact" w:line="276" w:before="0" w:after="120"/>
        <w:jc w:val="start"/>
        <w:rPr/>
      </w:pPr>
      <w:r>
        <w:rPr>
          <w:rFonts w:eastAsia="Calibri" w:cs="Calibri"/>
          <w:b w:val="false"/>
          <w:bCs w:val="false"/>
          <w:i w:val="false"/>
          <w:iCs w:val="false"/>
          <w:color w:val="1A1A1A"/>
          <w:sz w:val="21"/>
          <w:szCs w:val="21"/>
        </w:rPr>
        <w:t>Falls are the biggest injury risk for home care clients, and lifting is the biggest injury risk for you. Use safe body mechanics and transfer technique, use the client’s equipment, and never attempt a transfer that isn’t safe — ask for training, equipment, or a two-person plan. Keep walkways clear and report hazards in the home.</w:t>
      </w:r>
    </w:p>
    <w:p>
      <w:pPr>
        <w:pStyle w:val="Normal"/>
        <w:keepNext w:val="true"/>
        <w:spacing w:before="160" w:after="70"/>
        <w:rPr/>
      </w:pPr>
      <w:r>
        <w:rPr>
          <w:rFonts w:eastAsia="Calibri" w:cs="Calibri"/>
          <w:b/>
          <w:bCs/>
          <w:i w:val="false"/>
          <w:iCs w:val="false"/>
          <w:color w:val="3E5871"/>
          <w:sz w:val="22"/>
          <w:szCs w:val="22"/>
        </w:rPr>
        <w:t>Your own safety in the field</w:t>
      </w:r>
    </w:p>
    <w:p>
      <w:pPr>
        <w:pStyle w:val="Normal"/>
        <w:spacing w:lineRule="exact" w:line="276" w:before="0" w:after="120"/>
        <w:jc w:val="start"/>
        <w:rPr/>
      </w:pPr>
      <w:r>
        <w:rPr>
          <w:rFonts w:eastAsia="Calibri" w:cs="Calibri"/>
          <w:b w:val="false"/>
          <w:bCs w:val="false"/>
          <w:i w:val="false"/>
          <w:iCs w:val="false"/>
          <w:color w:val="1A1A1A"/>
          <w:sz w:val="21"/>
          <w:szCs w:val="21"/>
        </w:rPr>
        <w:t>Your safety matters. If a situation in a home feels unsafe — threats, violence, weapons, unsafe conditions — you may leave, and you should. Get to safety, then call your supervisor and report it. We will never penalize you for protecting yourself, and we’ll address the situation. Report any injury you suffer on the job right away so we can care for you and handle it under our injury policy.</w:t>
      </w:r>
    </w:p>
    <w:p>
      <w:pPr>
        <w:pStyle w:val="Normal"/>
        <w:keepNext w:val="true"/>
        <w:spacing w:before="160" w:after="70"/>
        <w:rPr/>
      </w:pPr>
      <w:r>
        <w:rPr>
          <w:rFonts w:eastAsia="Calibri" w:cs="Calibri"/>
          <w:b/>
          <w:bCs/>
          <w:i w:val="false"/>
          <w:iCs w:val="false"/>
          <w:color w:val="3E5871"/>
          <w:sz w:val="22"/>
          <w:szCs w:val="22"/>
        </w:rPr>
        <w:t>Emergencies</w:t>
      </w:r>
    </w:p>
    <w:p>
      <w:pPr>
        <w:pStyle w:val="Normal"/>
        <w:spacing w:lineRule="exact" w:line="276" w:before="0" w:after="120"/>
        <w:jc w:val="start"/>
        <w:rPr/>
      </w:pPr>
      <w:r>
        <w:rPr>
          <w:rFonts w:eastAsia="Calibri" w:cs="Calibri"/>
          <w:b w:val="false"/>
          <w:bCs w:val="false"/>
          <w:i w:val="false"/>
          <w:iCs w:val="false"/>
          <w:color w:val="1A1A1A"/>
          <w:sz w:val="21"/>
          <w:szCs w:val="21"/>
        </w:rPr>
        <w:t>In any medical or safety emergency, call 911 first, then the agency. Know each client’s emergency information and exit routes. Stay calm, keep the client safe, and follow the emergency steps from your training.</w:t>
      </w:r>
    </w:p>
    <w:p>
      <w:pPr>
        <w:pStyle w:val="Normal"/>
        <w:keepNext w:val="true"/>
        <w:spacing w:before="160" w:after="70"/>
        <w:rPr/>
      </w:pPr>
      <w:r>
        <w:rPr>
          <w:rFonts w:eastAsia="Calibri" w:cs="Calibri"/>
          <w:b/>
          <w:bCs/>
          <w:i w:val="false"/>
          <w:iCs w:val="false"/>
          <w:color w:val="3E5871"/>
          <w:sz w:val="22"/>
          <w:szCs w:val="22"/>
        </w:rPr>
        <w:t>Client funds and property</w:t>
      </w:r>
    </w:p>
    <w:p>
      <w:pPr>
        <w:pStyle w:val="Normal"/>
        <w:spacing w:lineRule="exact" w:line="276" w:before="0" w:after="120"/>
        <w:jc w:val="start"/>
        <w:rPr/>
      </w:pPr>
      <w:r>
        <w:rPr>
          <w:rFonts w:eastAsia="Calibri" w:cs="Calibri"/>
          <w:b w:val="false"/>
          <w:bCs w:val="false"/>
          <w:i w:val="false"/>
          <w:iCs w:val="false"/>
          <w:color w:val="1A1A1A"/>
          <w:sz w:val="21"/>
          <w:szCs w:val="21"/>
        </w:rPr>
        <w:t>If you shop for a client, use only their authorized money, keep every receipt, and return the exact change. Never use a client’s money or property for yourself, and never let a client’s finances become tangled with yours. If you ever suspect someone — a family member, another worker, anyone — is stealing from or financially exploiting a client, report it to your supervisor immediately.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Your Reporting Duties  </w:t>
      </w:r>
    </w:p>
    <w:p>
      <w:pPr>
        <w:pStyle w:val="Normal"/>
        <w:keepNext w:val="true"/>
        <w:spacing w:before="160" w:after="70"/>
        <w:rPr/>
      </w:pPr>
      <w:r>
        <w:rPr>
          <w:rFonts w:eastAsia="Calibri" w:cs="Calibri"/>
          <w:b/>
          <w:bCs/>
          <w:i w:val="false"/>
          <w:iCs w:val="false"/>
          <w:color w:val="3E5871"/>
          <w:sz w:val="22"/>
          <w:szCs w:val="22"/>
        </w:rPr>
        <w:t>You are a mandated reporter</w:t>
      </w:r>
    </w:p>
    <w:p>
      <w:pPr>
        <w:pStyle w:val="Normal"/>
        <w:spacing w:lineRule="exact" w:line="276" w:before="0" w:after="120"/>
        <w:jc w:val="start"/>
        <w:rPr/>
      </w:pPr>
      <w:r>
        <w:rPr>
          <w:rFonts w:eastAsia="Calibri" w:cs="Calibri"/>
          <w:b w:val="false"/>
          <w:bCs w:val="false"/>
          <w:i w:val="false"/>
          <w:iCs w:val="false"/>
          <w:color w:val="1A1A1A"/>
          <w:sz w:val="21"/>
          <w:szCs w:val="21"/>
        </w:rPr>
        <w:t>As a home care worker, the law makes you a mandated reporter of abuse, neglect, and financial exploitation of an elder or dependent adult. If you see it or suspect it — whether the person harming the client is a family member, another caregiver, or anyone else — you must report it immediately by phone to the Texas Abuse Hotline at 1-800-252-5400 (or 911 if someone is in immediate danger), and tell your supervisor so the agency also reports as required. Do not wait, and do not investigate it yourself. Reporting is not betraying the client — it is protecting them.</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If you ever see signs of abuse</w:t>
            </w:r>
          </w:p>
          <w:p>
            <w:pPr>
              <w:pStyle w:val="Normal"/>
              <w:spacing w:lineRule="exact" w:line="270" w:before="0" w:after="0"/>
              <w:rPr/>
            </w:pPr>
            <w:r>
              <w:rPr>
                <w:rFonts w:eastAsia="Calibri" w:cs="Calibri"/>
                <w:b w:val="false"/>
                <w:bCs w:val="false"/>
                <w:i w:val="false"/>
                <w:iCs w:val="false"/>
                <w:color w:val="1A1A1A"/>
                <w:sz w:val="20"/>
                <w:szCs w:val="20"/>
              </w:rPr>
              <w:t xml:space="preserve">Signs can include unexplained bruises or injuries, fear of a particular person, sudden money problems or missing property, poor hygiene or weight loss, or a client who seems afraid or withdrawn. </w:t>
            </w:r>
            <w:r>
              <w:rPr>
                <w:rFonts w:eastAsia="Calibri" w:cs="Calibri"/>
                <w:b/>
                <w:bCs/>
                <w:i w:val="false"/>
                <w:iCs w:val="false"/>
                <w:color w:val="1A1A1A"/>
                <w:sz w:val="20"/>
                <w:szCs w:val="20"/>
              </w:rPr>
              <w:t>When in doubt, report.</w:t>
            </w:r>
            <w:r>
              <w:rPr>
                <w:rFonts w:eastAsia="Calibri" w:cs="Calibri"/>
                <w:b w:val="false"/>
                <w:bCs w:val="false"/>
                <w:i w:val="false"/>
                <w:iCs w:val="false"/>
                <w:color w:val="1A1A1A"/>
                <w:sz w:val="20"/>
                <w:szCs w:val="20"/>
              </w:rPr>
              <w:t xml:space="preserve"> You are protected from retaliation for making a good-faith report.</w:t>
            </w:r>
          </w:p>
        </w:tc>
      </w:tr>
    </w:tbl>
    <w:p>
      <w:pPr>
        <w:pStyle w:val="Normal"/>
        <w:keepNext w:val="true"/>
        <w:spacing w:before="160" w:after="70"/>
        <w:rPr/>
      </w:pPr>
      <w:r>
        <w:rPr>
          <w:rFonts w:eastAsia="Calibri" w:cs="Calibri"/>
          <w:b/>
          <w:bCs/>
          <w:i w:val="false"/>
          <w:iCs w:val="false"/>
          <w:color w:val="3E5871"/>
          <w:sz w:val="22"/>
          <w:szCs w:val="22"/>
        </w:rPr>
        <w:t>Incidents</w:t>
      </w:r>
    </w:p>
    <w:p>
      <w:pPr>
        <w:pStyle w:val="Normal"/>
        <w:spacing w:lineRule="exact" w:line="276" w:before="0" w:after="120"/>
        <w:jc w:val="start"/>
        <w:rPr/>
      </w:pPr>
      <w:r>
        <w:rPr>
          <w:rFonts w:eastAsia="Calibri" w:cs="Calibri"/>
          <w:b w:val="false"/>
          <w:bCs w:val="false"/>
          <w:i w:val="false"/>
          <w:iCs w:val="false"/>
          <w:color w:val="1A1A1A"/>
          <w:sz w:val="21"/>
          <w:szCs w:val="21"/>
        </w:rPr>
        <w:t>Report any incident — a fall, an injury, a medication problem, a client taken to the hospital, a missed visit, an accident, or anything unusual — to your supervisor right away, and complete an incident report if asked. Honest, prompt reporting helps us fix problems and protects everyone.</w:t>
      </w:r>
    </w:p>
    <w:p>
      <w:pPr>
        <w:pStyle w:val="Normal"/>
        <w:keepNext w:val="true"/>
        <w:spacing w:before="160" w:after="70"/>
        <w:rPr/>
      </w:pPr>
      <w:r>
        <w:rPr>
          <w:rFonts w:eastAsia="Calibri" w:cs="Calibri"/>
          <w:b/>
          <w:bCs/>
          <w:i w:val="false"/>
          <w:iCs w:val="false"/>
          <w:color w:val="3E5871"/>
          <w:sz w:val="22"/>
          <w:szCs w:val="22"/>
        </w:rPr>
        <w:t>Change in a client’s condition</w:t>
      </w:r>
    </w:p>
    <w:p>
      <w:pPr>
        <w:pStyle w:val="Normal"/>
        <w:spacing w:lineRule="exact" w:line="276" w:before="0" w:after="120"/>
        <w:jc w:val="start"/>
        <w:rPr/>
      </w:pPr>
      <w:r>
        <w:rPr>
          <w:rFonts w:eastAsia="Calibri" w:cs="Calibri"/>
          <w:b w:val="false"/>
          <w:bCs w:val="false"/>
          <w:i w:val="false"/>
          <w:iCs w:val="false"/>
          <w:color w:val="1A1A1A"/>
          <w:sz w:val="21"/>
          <w:szCs w:val="21"/>
        </w:rPr>
        <w:t>As covered in Section 4, tell us promptly when a client’s condition changes. It’s one of the most valuable things you do.</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Timekeeping, EVV &amp; Scheduling  </w:t>
      </w:r>
    </w:p>
    <w:p>
      <w:pPr>
        <w:pStyle w:val="Normal"/>
        <w:keepNext w:val="true"/>
        <w:spacing w:before="160" w:after="70"/>
        <w:rPr/>
      </w:pPr>
      <w:r>
        <w:rPr>
          <w:rFonts w:eastAsia="Calibri" w:cs="Calibri"/>
          <w:b/>
          <w:bCs/>
          <w:i w:val="false"/>
          <w:iCs w:val="false"/>
          <w:color w:val="3E5871"/>
          <w:sz w:val="22"/>
          <w:szCs w:val="22"/>
        </w:rPr>
        <w:t>Electronic Visit Verification (EVV)</w:t>
      </w:r>
    </w:p>
    <w:p>
      <w:pPr>
        <w:pStyle w:val="Normal"/>
        <w:spacing w:lineRule="exact" w:line="276" w:before="0" w:after="120"/>
        <w:jc w:val="start"/>
        <w:rPr/>
      </w:pPr>
      <w:r>
        <w:rPr>
          <w:rFonts w:eastAsia="Calibri" w:cs="Calibri"/>
          <w:b w:val="false"/>
          <w:bCs w:val="false"/>
          <w:i w:val="false"/>
          <w:iCs w:val="false"/>
          <w:color w:val="1A1A1A"/>
          <w:sz w:val="21"/>
          <w:szCs w:val="21"/>
        </w:rPr>
        <w:t>For many clients — especially those funded by Texas Medicaid — Texas requires Electronic Visit Verification through a system called HHAeXchange. That means you clock in when you arrive at the client’s home and clock out when you leave, using the system and method we show you, which records the time and location of each visit. Clock in and out accurately and on time, from the client’s home. Accurate EVV is how visits get verified and how the agency gets paid — and falsifying it is a serious offense.</w:t>
      </w:r>
    </w:p>
    <w:p>
      <w:pPr>
        <w:pStyle w:val="Normal"/>
        <w:keepNext w:val="true"/>
        <w:spacing w:before="160" w:after="70"/>
        <w:rPr/>
      </w:pPr>
      <w:r>
        <w:rPr>
          <w:rFonts w:eastAsia="Calibri" w:cs="Calibri"/>
          <w:b/>
          <w:bCs/>
          <w:i w:val="false"/>
          <w:iCs w:val="false"/>
          <w:color w:val="3E5871"/>
          <w:sz w:val="22"/>
          <w:szCs w:val="22"/>
        </w:rPr>
        <w:t>Visit documentation</w:t>
      </w:r>
    </w:p>
    <w:p>
      <w:pPr>
        <w:pStyle w:val="Normal"/>
        <w:spacing w:lineRule="exact" w:line="276" w:before="0" w:after="120"/>
        <w:jc w:val="start"/>
        <w:rPr/>
      </w:pPr>
      <w:r>
        <w:rPr>
          <w:rFonts w:eastAsia="Calibri" w:cs="Calibri"/>
          <w:b w:val="false"/>
          <w:bCs w:val="false"/>
          <w:i w:val="false"/>
          <w:iCs w:val="false"/>
          <w:color w:val="1A1A1A"/>
          <w:sz w:val="21"/>
          <w:szCs w:val="21"/>
        </w:rPr>
        <w:t>Record the care you provided each visit, accurately and completely, using our forms or app. Never document a task you didn’t do or a visit that didn’t happen as recorded. Your notes are part of the client’s record and can be reviewed by the agency and by inspectors or payers.</w:t>
      </w:r>
    </w:p>
    <w:p>
      <w:pPr>
        <w:pStyle w:val="Normal"/>
        <w:keepNext w:val="true"/>
        <w:spacing w:before="160" w:after="70"/>
        <w:rPr/>
      </w:pPr>
      <w:r>
        <w:rPr>
          <w:rFonts w:eastAsia="Calibri" w:cs="Calibri"/>
          <w:b/>
          <w:bCs/>
          <w:i w:val="false"/>
          <w:iCs w:val="false"/>
          <w:color w:val="3E5871"/>
          <w:sz w:val="22"/>
          <w:szCs w:val="22"/>
        </w:rPr>
        <w:t>Scheduling and attendance</w:t>
      </w:r>
    </w:p>
    <w:p>
      <w:pPr>
        <w:pStyle w:val="Normal"/>
        <w:spacing w:lineRule="exact" w:line="276" w:before="0" w:after="120"/>
        <w:jc w:val="start"/>
        <w:rPr/>
      </w:pPr>
      <w:r>
        <w:rPr>
          <w:rFonts w:eastAsia="Calibri" w:cs="Calibri"/>
          <w:b w:val="false"/>
          <w:bCs w:val="false"/>
          <w:i w:val="false"/>
          <w:iCs w:val="false"/>
          <w:color w:val="1A1A1A"/>
          <w:sz w:val="21"/>
          <w:szCs w:val="21"/>
        </w:rPr>
        <w:t>Clients depend on you showing up, on time, every scheduled shift — for many, you are the help that keeps them safe that day. If you will be late or cannot make a shift, notify the agency as far in advance as possible so we can arrange coverage; never simply not show up. Follow our call-off and time-off procedures. Reliability is the single most important quality in this work.</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Your Rights &amp; Pay (Texas)  </w:t>
      </w:r>
    </w:p>
    <w:p>
      <w:pPr>
        <w:pStyle w:val="Normal"/>
        <w:spacing w:lineRule="exact" w:line="276" w:before="0" w:after="120"/>
        <w:jc w:val="start"/>
        <w:rPr/>
      </w:pPr>
      <w:r>
        <w:rPr>
          <w:rFonts w:eastAsia="Calibri" w:cs="Calibri"/>
          <w:b w:val="false"/>
          <w:bCs w:val="false"/>
          <w:i w:val="false"/>
          <w:iCs w:val="false"/>
          <w:color w:val="1A1A1A"/>
          <w:sz w:val="21"/>
          <w:szCs w:val="21"/>
        </w:rPr>
        <w:t>You are paid fairly and legally under federal and Texas law. Here is a plain-language summary; our detailed pay practices and current rates are provided separately and always follow current law.</w:t>
      </w:r>
    </w:p>
    <w:p>
      <w:pPr>
        <w:pStyle w:val="Normal"/>
        <w:keepNext w:val="true"/>
        <w:spacing w:before="160" w:after="70"/>
        <w:rPr/>
      </w:pPr>
      <w:r>
        <w:rPr>
          <w:rFonts w:eastAsia="Calibri" w:cs="Calibri"/>
          <w:b/>
          <w:bCs/>
          <w:i w:val="false"/>
          <w:iCs w:val="false"/>
          <w:color w:val="3E5871"/>
          <w:sz w:val="22"/>
          <w:szCs w:val="22"/>
        </w:rPr>
        <w:t>Pay and overtime</w:t>
      </w:r>
    </w:p>
    <w:p>
      <w:pPr>
        <w:pStyle w:val="Normal"/>
        <w:spacing w:lineRule="exact" w:line="276" w:before="0" w:after="120"/>
        <w:jc w:val="start"/>
        <w:rPr/>
      </w:pPr>
      <w:r>
        <w:rPr>
          <w:rFonts w:eastAsia="Calibri" w:cs="Calibri"/>
          <w:b w:val="false"/>
          <w:bCs w:val="false"/>
          <w:i w:val="false"/>
          <w:iCs w:val="false"/>
          <w:color w:val="1A1A1A"/>
          <w:sz w:val="21"/>
          <w:szCs w:val="21"/>
        </w:rPr>
        <w:t>You are paid at least the applicable minimum wage for all hours worked, and you receive overtime pay — one and one-half times your regular rate — for hours worked over 40 in a workweek, under the federal Fair Labor Standards Act. Texas follows the federal rules and does not add a separate daily-overtime requirement, so overtime is based on your weekly hours. You are paid for all the time you are required to work, and you receive a wage statement each pay period.</w:t>
      </w:r>
    </w:p>
    <w:p>
      <w:pPr>
        <w:pStyle w:val="Normal"/>
        <w:keepNext w:val="true"/>
        <w:spacing w:before="160" w:after="70"/>
        <w:rPr/>
      </w:pPr>
      <w:r>
        <w:rPr>
          <w:rFonts w:eastAsia="Calibri" w:cs="Calibri"/>
          <w:b/>
          <w:bCs/>
          <w:i w:val="false"/>
          <w:iCs w:val="false"/>
          <w:color w:val="3E5871"/>
          <w:sz w:val="22"/>
          <w:szCs w:val="22"/>
        </w:rPr>
        <w:t>Time off, sick time, and breaks</w:t>
      </w:r>
    </w:p>
    <w:p>
      <w:pPr>
        <w:pStyle w:val="Normal"/>
        <w:spacing w:lineRule="exact" w:line="276" w:before="0" w:after="120"/>
        <w:jc w:val="start"/>
        <w:rPr/>
      </w:pPr>
      <w:r>
        <w:rPr>
          <w:rFonts w:eastAsia="Calibri" w:cs="Calibri"/>
          <w:b w:val="false"/>
          <w:bCs w:val="false"/>
          <w:i w:val="false"/>
          <w:iCs w:val="false"/>
          <w:color w:val="1A1A1A"/>
          <w:sz w:val="21"/>
          <w:szCs w:val="21"/>
        </w:rPr>
        <w:t>Any paid time off, sick time, or rest and meal breaks are provided under our agency policy. Texas does not require employers to provide meal breaks, rest breaks, or paid sick leave, so follow our policy — and if you are ever prevented from taking a break we do provide, tell your supervisor. Most important: if you are sick, tell us and stay home rather than risk the health of the fragile clients you serve.</w:t>
      </w:r>
    </w:p>
    <w:p>
      <w:pPr>
        <w:pStyle w:val="Normal"/>
        <w:keepNext w:val="true"/>
        <w:spacing w:before="160" w:after="70"/>
        <w:rPr/>
      </w:pPr>
      <w:r>
        <w:rPr>
          <w:rFonts w:eastAsia="Calibri" w:cs="Calibri"/>
          <w:b/>
          <w:bCs/>
          <w:i w:val="false"/>
          <w:iCs w:val="false"/>
          <w:color w:val="3E5871"/>
          <w:sz w:val="22"/>
          <w:szCs w:val="22"/>
        </w:rPr>
        <w:t>Travel time and expenses</w:t>
      </w:r>
    </w:p>
    <w:p>
      <w:pPr>
        <w:pStyle w:val="Normal"/>
        <w:spacing w:lineRule="exact" w:line="276" w:before="0" w:after="120"/>
        <w:jc w:val="start"/>
        <w:rPr/>
      </w:pPr>
      <w:r>
        <w:rPr>
          <w:rFonts w:eastAsia="Calibri" w:cs="Calibri"/>
          <w:b w:val="false"/>
          <w:bCs w:val="false"/>
          <w:i w:val="false"/>
          <w:iCs w:val="false"/>
          <w:color w:val="1A1A1A"/>
          <w:sz w:val="21"/>
          <w:szCs w:val="21"/>
        </w:rPr>
        <w:t>When your schedule requires you to travel between clients during the workday, that travel time is generally paid under federal law, and we reimburse authorized business expenses (such as mileage for approved driving) under our policy. Track and submit your time and expenses accurately.</w:t>
      </w:r>
    </w:p>
    <w:p>
      <w:pPr>
        <w:pStyle w:val="Normal"/>
        <w:keepNext w:val="true"/>
        <w:spacing w:before="160" w:after="70"/>
        <w:rPr/>
      </w:pPr>
      <w:r>
        <w:rPr>
          <w:rFonts w:eastAsia="Calibri" w:cs="Calibri"/>
          <w:b/>
          <w:bCs/>
          <w:i w:val="false"/>
          <w:iCs w:val="false"/>
          <w:color w:val="3E5871"/>
          <w:sz w:val="22"/>
          <w:szCs w:val="22"/>
        </w:rPr>
        <w:t>A safe workplace</w:t>
      </w:r>
    </w:p>
    <w:p>
      <w:pPr>
        <w:pStyle w:val="Normal"/>
        <w:spacing w:lineRule="exact" w:line="276" w:before="0" w:after="120"/>
        <w:jc w:val="start"/>
        <w:rPr/>
      </w:pPr>
      <w:r>
        <w:rPr>
          <w:rFonts w:eastAsia="Calibri" w:cs="Calibri"/>
          <w:b w:val="false"/>
          <w:bCs w:val="false"/>
          <w:i w:val="false"/>
          <w:iCs w:val="false"/>
          <w:color w:val="1A1A1A"/>
          <w:sz w:val="21"/>
          <w:szCs w:val="21"/>
        </w:rPr>
        <w:t>You have the right to a safe workplace under federal safety (OSHA) standards. We train you on safe practices, maintain a workplace-violence-prevention program, and want you to report hazards and injuries without fear. Report any on-the-job injury right away so we can care for you and handle it under our injury policy. Note that Texas does not require every employer to carry workers’ compensation — we will tell you clearly how work injuries are handled here.</w:t>
      </w:r>
    </w:p>
    <w:p>
      <w:pPr>
        <w:pStyle w:val="Normal"/>
        <w:keepNext w:val="true"/>
        <w:spacing w:before="160" w:after="70"/>
        <w:rPr/>
      </w:pPr>
      <w:r>
        <w:rPr>
          <w:rFonts w:eastAsia="Calibri" w:cs="Calibri"/>
          <w:b/>
          <w:bCs/>
          <w:i w:val="false"/>
          <w:iCs w:val="false"/>
          <w:color w:val="3E5871"/>
          <w:sz w:val="22"/>
          <w:szCs w:val="22"/>
        </w:rPr>
        <w:t>Freedom from harassment and retaliation</w:t>
      </w:r>
    </w:p>
    <w:p>
      <w:pPr>
        <w:pStyle w:val="Normal"/>
        <w:spacing w:lineRule="exact" w:line="276" w:before="0" w:after="120"/>
        <w:jc w:val="start"/>
        <w:rPr/>
      </w:pPr>
      <w:r>
        <w:rPr>
          <w:rFonts w:eastAsia="Calibri" w:cs="Calibri"/>
          <w:b w:val="false"/>
          <w:bCs w:val="false"/>
          <w:i w:val="false"/>
          <w:iCs w:val="false"/>
          <w:color w:val="1A1A1A"/>
          <w:sz w:val="21"/>
          <w:szCs w:val="21"/>
        </w:rPr>
        <w:t>You have the right to work free from unlawful harassment and discrimination, and free from retaliation for reporting a concern, an injury, abuse of a client, or a violation of the law. If you experience or witness any of these, report it to your supervisor or agency management; we take it seriously.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Employment Policies  </w:t>
      </w:r>
    </w:p>
    <w:p>
      <w:pPr>
        <w:pStyle w:val="Normal"/>
        <w:keepNext w:val="true"/>
        <w:spacing w:before="160" w:after="70"/>
        <w:rPr/>
      </w:pPr>
      <w:r>
        <w:rPr>
          <w:rFonts w:eastAsia="Calibri" w:cs="Calibri"/>
          <w:b/>
          <w:bCs/>
          <w:i w:val="false"/>
          <w:iCs w:val="false"/>
          <w:color w:val="3E5871"/>
          <w:sz w:val="22"/>
          <w:szCs w:val="22"/>
        </w:rPr>
        <w:t>At-will employment</w:t>
      </w:r>
    </w:p>
    <w:p>
      <w:pPr>
        <w:pStyle w:val="Normal"/>
        <w:spacing w:lineRule="exact" w:line="276" w:before="0" w:after="120"/>
        <w:jc w:val="start"/>
        <w:rPr/>
      </w:pPr>
      <w:r>
        <w:rPr>
          <w:rFonts w:eastAsia="Calibri" w:cs="Calibri"/>
          <w:b w:val="false"/>
          <w:bCs w:val="false"/>
          <w:i w:val="false"/>
          <w:iCs w:val="false"/>
          <w:color w:val="1A1A1A"/>
          <w:sz w:val="21"/>
          <w:szCs w:val="21"/>
        </w:rPr>
        <w:t>Unless you have a written agreement stating otherwise signed by agency management, your employment is at-will, meaning either you or the agency may end it at any time, with or without cause or notice, consistent with law. Nothing in this handbook is a contract or a promise of continued employment.</w:t>
      </w:r>
    </w:p>
    <w:p>
      <w:pPr>
        <w:pStyle w:val="Normal"/>
        <w:keepNext w:val="true"/>
        <w:spacing w:before="160" w:after="70"/>
        <w:rPr/>
      </w:pPr>
      <w:r>
        <w:rPr>
          <w:rFonts w:eastAsia="Calibri" w:cs="Calibri"/>
          <w:b/>
          <w:bCs/>
          <w:i w:val="false"/>
          <w:iCs w:val="false"/>
          <w:color w:val="3E5871"/>
          <w:sz w:val="22"/>
          <w:szCs w:val="22"/>
        </w:rPr>
        <w:t>Professional appearance and conduct</w:t>
      </w:r>
    </w:p>
    <w:p>
      <w:pPr>
        <w:pStyle w:val="Normal"/>
        <w:spacing w:lineRule="exact" w:line="276" w:before="0" w:after="120"/>
        <w:jc w:val="start"/>
        <w:rPr/>
      </w:pPr>
      <w:r>
        <w:rPr>
          <w:rFonts w:eastAsia="Calibri" w:cs="Calibri"/>
          <w:b w:val="false"/>
          <w:bCs w:val="false"/>
          <w:i w:val="false"/>
          <w:iCs w:val="false"/>
          <w:color w:val="1A1A1A"/>
          <w:sz w:val="21"/>
          <w:szCs w:val="21"/>
        </w:rPr>
        <w:t>Come to each shift clean, appropriately dressed for care work, wearing any required identification, and ready to work. Be punctual, courteous, and professional in every home and with every family.</w:t>
      </w:r>
    </w:p>
    <w:p>
      <w:pPr>
        <w:pStyle w:val="Normal"/>
        <w:keepNext w:val="true"/>
        <w:spacing w:before="160" w:after="70"/>
        <w:rPr/>
      </w:pPr>
      <w:r>
        <w:rPr>
          <w:rFonts w:eastAsia="Calibri" w:cs="Calibri"/>
          <w:b/>
          <w:bCs/>
          <w:i w:val="false"/>
          <w:iCs w:val="false"/>
          <w:color w:val="3E5871"/>
          <w:sz w:val="22"/>
          <w:szCs w:val="22"/>
        </w:rPr>
        <w:t>Attendance and dependability</w:t>
      </w:r>
    </w:p>
    <w:p>
      <w:pPr>
        <w:pStyle w:val="Normal"/>
        <w:spacing w:lineRule="exact" w:line="276" w:before="0" w:after="120"/>
        <w:jc w:val="start"/>
        <w:rPr/>
      </w:pPr>
      <w:r>
        <w:rPr>
          <w:rFonts w:eastAsia="Calibri" w:cs="Calibri"/>
          <w:b w:val="false"/>
          <w:bCs w:val="false"/>
          <w:i w:val="false"/>
          <w:iCs w:val="false"/>
          <w:color w:val="1A1A1A"/>
          <w:sz w:val="21"/>
          <w:szCs w:val="21"/>
        </w:rPr>
        <w:t>Reliable attendance is essential. Repeated lateness, no-call/no-shows, or leaving clients without coverage are serious and may lead to discipline up to termination.</w:t>
      </w:r>
    </w:p>
    <w:p>
      <w:pPr>
        <w:pStyle w:val="Normal"/>
        <w:keepNext w:val="true"/>
        <w:spacing w:before="160" w:after="70"/>
        <w:rPr/>
      </w:pPr>
      <w:r>
        <w:rPr>
          <w:rFonts w:eastAsia="Calibri" w:cs="Calibri"/>
          <w:b/>
          <w:bCs/>
          <w:i w:val="false"/>
          <w:iCs w:val="false"/>
          <w:color w:val="3E5871"/>
          <w:sz w:val="22"/>
          <w:szCs w:val="22"/>
        </w:rPr>
        <w:t>Social media</w:t>
      </w:r>
    </w:p>
    <w:p>
      <w:pPr>
        <w:pStyle w:val="Normal"/>
        <w:spacing w:lineRule="exact" w:line="276" w:before="0" w:after="120"/>
        <w:jc w:val="start"/>
        <w:rPr/>
      </w:pPr>
      <w:r>
        <w:rPr>
          <w:rFonts w:eastAsia="Calibri" w:cs="Calibri"/>
          <w:b w:val="false"/>
          <w:bCs w:val="false"/>
          <w:i w:val="false"/>
          <w:iCs w:val="false"/>
          <w:color w:val="1A1A1A"/>
          <w:sz w:val="21"/>
          <w:szCs w:val="21"/>
        </w:rPr>
        <w:t>Never post about clients, share photos taken in clients’ homes, or reveal any client information online — even without names. This protects client privacy and is a condition of your employment.</w:t>
      </w:r>
    </w:p>
    <w:p>
      <w:pPr>
        <w:pStyle w:val="Normal"/>
        <w:keepNext w:val="true"/>
        <w:spacing w:before="160" w:after="70"/>
        <w:rPr/>
      </w:pPr>
      <w:r>
        <w:rPr>
          <w:rFonts w:eastAsia="Calibri" w:cs="Calibri"/>
          <w:b/>
          <w:bCs/>
          <w:i w:val="false"/>
          <w:iCs w:val="false"/>
          <w:color w:val="3E5871"/>
          <w:sz w:val="22"/>
          <w:szCs w:val="22"/>
        </w:rPr>
        <w:t>Discipline</w:t>
      </w:r>
    </w:p>
    <w:p>
      <w:pPr>
        <w:pStyle w:val="Normal"/>
        <w:spacing w:lineRule="exact" w:line="276" w:before="0" w:after="120"/>
        <w:jc w:val="start"/>
        <w:rPr/>
      </w:pPr>
      <w:r>
        <w:rPr>
          <w:rFonts w:eastAsia="Calibri" w:cs="Calibri"/>
          <w:b w:val="false"/>
          <w:bCs w:val="false"/>
          <w:i w:val="false"/>
          <w:iCs w:val="false"/>
          <w:color w:val="1A1A1A"/>
          <w:sz w:val="21"/>
          <w:szCs w:val="21"/>
        </w:rPr>
        <w:t>We address performance and conduct problems fairly, which may include coaching, warnings, or termination depending on the situation. Some violations — abuse or neglect of a client, theft, working impaired, falsifying records or EVV, or breaching confidentiality — are grounds for immediate termination and may be reported to authorities.</w:t>
      </w:r>
    </w:p>
    <w:p>
      <w:pPr>
        <w:pStyle w:val="Normal"/>
        <w:keepNext w:val="true"/>
        <w:spacing w:before="160" w:after="70"/>
        <w:rPr/>
      </w:pPr>
      <w:r>
        <w:rPr>
          <w:rFonts w:eastAsia="Calibri" w:cs="Calibri"/>
          <w:b/>
          <w:bCs/>
          <w:i w:val="false"/>
          <w:iCs w:val="false"/>
          <w:color w:val="3E5871"/>
          <w:sz w:val="22"/>
          <w:szCs w:val="22"/>
        </w:rPr>
        <w:t>Open door — raising concerns</w:t>
      </w:r>
    </w:p>
    <w:p>
      <w:pPr>
        <w:pStyle w:val="Normal"/>
        <w:spacing w:lineRule="exact" w:line="276" w:before="0" w:after="120"/>
        <w:jc w:val="start"/>
        <w:rPr/>
      </w:pPr>
      <w:r>
        <w:rPr>
          <w:rFonts w:eastAsia="Calibri" w:cs="Calibri"/>
          <w:b w:val="false"/>
          <w:bCs w:val="false"/>
          <w:i w:val="false"/>
          <w:iCs w:val="false"/>
          <w:color w:val="1A1A1A"/>
          <w:sz w:val="21"/>
          <w:szCs w:val="21"/>
        </w:rPr>
        <w:t>If you have a concern, a question, a complaint, or an idea, tell your supervisor or agency management. We would always rather hear about a problem early. You will not be retaliated against for raising a good-faith concern.</w:t>
      </w:r>
    </w:p>
    <w:p>
      <w:pPr>
        <w:pStyle w:val="Normal"/>
        <w:rPr/>
      </w:pPr>
      <w:r>
        <w:rPr/>
      </w:r>
      <w:r>
        <w:br w:type="page"/>
      </w:r>
    </w:p>
    <w:p>
      <w:pPr>
        <w:pStyle w:val="Normal"/>
        <w:spacing w:before="0" w:after="140"/>
        <w:rPr/>
      </w:pPr>
      <w:r>
        <w:rPr>
          <w:rFonts w:eastAsia="Calibri" w:cs="Calibri"/>
          <w:b/>
          <w:bCs/>
          <w:i w:val="false"/>
          <w:iCs w:val="false"/>
          <w:color w:val="1F3A5F"/>
          <w:sz w:val="26"/>
          <w:szCs w:val="26"/>
        </w:rPr>
        <w:t>Acknowledgment of Receipt</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Please sign below and return this page to the agency. Keep the handbook for your reference.</w:t>
      </w:r>
    </w:p>
    <w:p>
      <w:pPr>
        <w:pStyle w:val="Normal"/>
        <w:spacing w:lineRule="exact" w:line="276" w:before="0" w:after="120"/>
        <w:jc w:val="start"/>
        <w:rPr/>
      </w:pPr>
      <w:r>
        <w:rPr>
          <w:rFonts w:eastAsia="Calibri" w:cs="Calibri"/>
          <w:b w:val="false"/>
          <w:bCs w:val="false"/>
          <w:i w:val="false"/>
          <w:iCs w:val="false"/>
          <w:color w:val="1A1A1A"/>
          <w:sz w:val="21"/>
          <w:szCs w:val="21"/>
        </w:rPr>
        <w:t>I acknowledge that I have received and read the [Agency Name] Caregiver Handbook. I understand my role as a non-medical attendant, my responsibilities to clients, my duty to report abuse and changes in condition, and the standards of conduct and confidentiality I must follow. I understand that this handbook is a guide, not a contract, that my employment is at-will unless otherwise agreed in writing, and that the agency may update these policies. I understand that if I am ever unsure whether a task is part of my role, I will ask my supervisor before acting.</w:t>
      </w:r>
    </w:p>
    <w:p>
      <w:pPr>
        <w:pStyle w:val="Normal"/>
        <w:spacing w:before="200" w:after="120"/>
        <w:rPr/>
      </w:pPr>
      <w:r>
        <w:rPr>
          <w:rFonts w:eastAsia="Calibri" w:cs="Calibri"/>
          <w:b/>
          <w:bCs/>
          <w:i w:val="false"/>
          <w:iCs w:val="false"/>
          <w:color w:val="3E5871"/>
          <w:sz w:val="21"/>
          <w:szCs w:val="21"/>
        </w:rPr>
        <w:t xml:space="preserve">Employee name (print): </w:t>
      </w:r>
      <w:r>
        <w:rPr>
          <w:rFonts w:eastAsia="Calibri" w:cs="Calibri"/>
          <w:b w:val="false"/>
          <w:bCs w:val="false"/>
          <w:i w:val="false"/>
          <w:iCs w:val="false"/>
          <w:color w:val="555555"/>
          <w:sz w:val="21"/>
          <w:szCs w:val="21"/>
        </w:rPr>
        <w:t>________________________________________</w:t>
      </w:r>
    </w:p>
    <w:p>
      <w:pPr>
        <w:pStyle w:val="Normal"/>
        <w:spacing w:before="0" w:after="160"/>
        <w:rPr/>
      </w:pPr>
      <w:r>
        <w:rPr>
          <w:rFonts w:eastAsia="Calibri" w:cs="Calibri"/>
          <w:b/>
          <w:bCs/>
          <w:i w:val="false"/>
          <w:iCs w:val="false"/>
          <w:color w:val="3E5871"/>
          <w:sz w:val="21"/>
          <w:szCs w:val="21"/>
        </w:rPr>
        <w:t xml:space="preserve">Employee signature: </w:t>
      </w:r>
      <w:r>
        <w:rPr>
          <w:rFonts w:eastAsia="Calibri" w:cs="Calibri"/>
          <w:b w:val="false"/>
          <w:bCs w:val="false"/>
          <w:i w:val="false"/>
          <w:iCs w:val="false"/>
          <w:color w:val="555555"/>
          <w:sz w:val="21"/>
          <w:szCs w:val="21"/>
        </w:rPr>
        <w:t>____________________________________</w:t>
      </w:r>
      <w:r>
        <w:rPr>
          <w:rFonts w:eastAsia="Calibri" w:cs="Calibri"/>
          <w:b/>
          <w:bCs/>
          <w:i w:val="false"/>
          <w:iCs w:val="false"/>
          <w:color w:val="3E5871"/>
          <w:sz w:val="21"/>
          <w:szCs w:val="21"/>
        </w:rPr>
        <w:t xml:space="preserve">   Date: </w:t>
      </w:r>
      <w:r>
        <w:rPr>
          <w:rFonts w:eastAsia="Calibri" w:cs="Calibri"/>
          <w:b w:val="false"/>
          <w:bCs w:val="false"/>
          <w:i w:val="false"/>
          <w:iCs w:val="false"/>
          <w:color w:val="555555"/>
          <w:sz w:val="21"/>
          <w:szCs w:val="21"/>
        </w:rPr>
        <w:t>______________</w:t>
      </w:r>
    </w:p>
    <w:p>
      <w:pPr>
        <w:pStyle w:val="Normal"/>
        <w:spacing w:before="0" w:after="120"/>
        <w:rPr/>
      </w:pPr>
      <w:r>
        <w:rPr>
          <w:rFonts w:eastAsia="Calibri" w:cs="Calibri"/>
          <w:b/>
          <w:bCs/>
          <w:i w:val="false"/>
          <w:iCs w:val="false"/>
          <w:color w:val="3E5871"/>
          <w:sz w:val="21"/>
          <w:szCs w:val="21"/>
        </w:rPr>
        <w:t xml:space="preserve">Supervisor: </w:t>
      </w:r>
      <w:r>
        <w:rPr>
          <w:rFonts w:eastAsia="Calibri" w:cs="Calibri"/>
          <w:b w:val="false"/>
          <w:bCs w:val="false"/>
          <w:i w:val="false"/>
          <w:iCs w:val="false"/>
          <w:color w:val="555555"/>
          <w:sz w:val="21"/>
          <w:szCs w:val="21"/>
        </w:rPr>
        <w:t>__________________________________________</w:t>
      </w:r>
      <w:r>
        <w:rPr>
          <w:rFonts w:eastAsia="Calibri" w:cs="Calibri"/>
          <w:b/>
          <w:bCs/>
          <w:i w:val="false"/>
          <w:iCs w:val="false"/>
          <w:color w:val="3E5871"/>
          <w:sz w:val="21"/>
          <w:szCs w:val="21"/>
        </w:rPr>
        <w:t xml:space="preserve">   Date: </w:t>
      </w:r>
      <w:r>
        <w:rPr>
          <w:rFonts w:eastAsia="Calibri" w:cs="Calibri"/>
          <w:b w:val="false"/>
          <w:bCs w:val="false"/>
          <w:i w:val="false"/>
          <w:iCs w:val="false"/>
          <w:color w:val="555555"/>
          <w:sz w:val="21"/>
          <w:szCs w:val="21"/>
        </w:rPr>
        <w:t>______________</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150" w:footer="708" w:bottom="115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5"/>
        <w:szCs w:val="15"/>
      </w:rPr>
      <w:t xml:space="preserve">Non-Medical Home Care (PAS) — Texas  —  Page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5"/>
        <w:szCs w:val="15"/>
      </w:rPr>
      <w:t xml:space="preserve">Non-Medical Home Care (PAS) — Texas  —  Page </w:t>
    </w:r>
    <w:r>
      <w:rPr/>
      <w:fldChar w:fldCharType="begin"/>
    </w:r>
    <w:r>
      <w:rPr/>
      <w:instrText xml:space="preserve">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5"/>
        <w:szCs w:val="15"/>
      </w:rPr>
      <w:t>[Agency Name]  •  Caregiver Handbook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5"/>
        <w:szCs w:val="15"/>
      </w:rPr>
      <w:t>[Agency Name]  •  Caregiver Handbook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2026-07-10T17:04:07Z</dcterms:created>
  <dc:creator>PolicyReady.org</dc:creator>
  <dc:description/>
  <dc:language>en-US</dc:language>
  <cp:lastModifiedBy>Un-named</cp:lastModifiedBy>
  <dcterms:modified xsi:type="dcterms:W3CDTF">2026-07-10T17:04:07Z</dcterms:modified>
  <cp:revision>1</cp:revision>
  <dc:subject/>
  <dc:title>Texas Non-Medical Home Care (PAS) — Caregiver (Attendant) Handbook</dc:title>
</cp:coreProperties>
</file>