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r>
        <w:rPr>
          <w:rFonts w:ascii="Calibri" w:cs="Calibri" w:eastAsia="Calibri" w:hAnsi="Calibri"/>
          <w:b w:val="false"/>
          <w:bCs w:val="false"/>
          <w:i w:val="false"/>
          <w:iCs w:val="false"/>
          <w:color w:val="1A1A1A"/>
          <w:sz w:val="21"/>
          <w:szCs w:val="21"/>
        </w:rPr>
        <w:t xml:space="preserve"/>
      </w:r>
    </w:p>
    <w:p>
      <w:pPr>
        <w:spacing w:after="60" w:before="0" w:line="276"/>
        <w:jc w:val="center"/>
      </w:pPr>
      <w:r>
        <w:rPr>
          <w:rFonts w:ascii="Calibri" w:cs="Calibri" w:eastAsia="Calibri" w:hAnsi="Calibri"/>
          <w:b/>
          <w:bCs/>
          <w:i w:val="false"/>
          <w:iCs w:val="false"/>
          <w:color w:val="3E5871"/>
          <w:sz w:val="26"/>
          <w:szCs w:val="26"/>
        </w:rPr>
        <w:t xml:space="preserve">[FACILITY NAME]</w:t>
      </w:r>
    </w:p>
    <w:p>
      <w:pPr>
        <w:spacing w:after="60" w:before="0" w:line="276"/>
        <w:jc w:val="center"/>
      </w:pPr>
      <w:r>
        <w:rPr>
          <w:rFonts w:ascii="Calibri" w:cs="Calibri" w:eastAsia="Calibri" w:hAnsi="Calibri"/>
          <w:b/>
          <w:bCs/>
          <w:i w:val="false"/>
          <w:iCs w:val="false"/>
          <w:color w:val="1F3A5F"/>
          <w:sz w:val="46"/>
          <w:szCs w:val="46"/>
        </w:rPr>
        <w:t xml:space="preserve">Policy &amp; Procedure Manual</w:t>
      </w:r>
    </w:p>
    <w:p>
      <w:pPr>
        <w:spacing w:after="20" w:before="0" w:line="276"/>
        <w:jc w:val="center"/>
      </w:pPr>
      <w:r>
        <w:rPr>
          <w:rFonts w:ascii="Calibri" w:cs="Calibri" w:eastAsia="Calibri" w:hAnsi="Calibri"/>
          <w:b w:val="false"/>
          <w:bCs w:val="false"/>
          <w:i/>
          <w:iCs/>
          <w:color w:val="3E5871"/>
          <w:sz w:val="24"/>
          <w:szCs w:val="24"/>
        </w:rPr>
        <w:t xml:space="preserve">Non-Medical Home Care Agency — PAS (Texas)</w:t>
      </w:r>
    </w:p>
    <w:p>
      <w:pPr>
        <w:spacing w:after="200" w:before="0" w:line="276"/>
        <w:jc w:val="center"/>
      </w:pPr>
      <w:r>
        <w:rPr>
          <w:rFonts w:ascii="Calibri" w:cs="Calibri" w:eastAsia="Calibri" w:hAnsi="Calibri"/>
          <w:b w:val="false"/>
          <w:bCs w:val="false"/>
          <w:i w:val="false"/>
          <w:iCs w:val="false"/>
          <w:color w:val="555555"/>
          <w:sz w:val="20"/>
          <w:szCs w:val="20"/>
        </w:rPr>
        <w:t xml:space="preserve">Built to Texas Health &amp; Safety Code Ch. 142 &amp; 26 TAC Chapter 558 (HCSSA — Personal Assistance Services)</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160" w:before="0" w:line="276"/>
        <w:jc w:val="center"/>
      </w:pPr>
      <w:r>
        <w:rPr>
          <w:rFonts w:ascii="Calibri" w:cs="Calibri" w:eastAsia="Calibri" w:hAnsi="Calibri"/>
          <w:b/>
          <w:bCs/>
          <w:i w:val="false"/>
          <w:iCs w:val="false"/>
          <w:color w:val="3E5871"/>
          <w:sz w:val="20"/>
          <w:szCs w:val="20"/>
        </w:rPr>
        <w:t xml:space="preserve">Regulatory basis: </w:t>
      </w:r>
      <w:r>
        <w:rPr>
          <w:rFonts w:ascii="Calibri" w:cs="Calibri" w:eastAsia="Calibri" w:hAnsi="Calibri"/>
          <w:b w:val="false"/>
          <w:bCs w:val="false"/>
          <w:i w:val="false"/>
          <w:iCs w:val="false"/>
          <w:color w:val="555555"/>
          <w:sz w:val="20"/>
          <w:szCs w:val="20"/>
        </w:rPr>
        <w:t xml:space="preserve">Texas Health and Safety Code Chapter 142 and its licensing standards at 26 Texas Administrative Code, Chapter 558 (Home and Community Support Services Agencies), Personal Assistance Services (PAS) category. Licensed and surveyed by the Texas Health and Human Services Commission (HHSC), Long-Term Care Regulatory.</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200" w:before="0" w:line="276"/>
        <w:jc w:val="center"/>
      </w:pPr>
      <w:r>
        <w:rPr>
          <w:rFonts w:ascii="Calibri" w:cs="Calibri" w:eastAsia="Calibri" w:hAnsi="Calibri"/>
          <w:b w:val="false"/>
          <w:bCs w:val="false"/>
          <w:i/>
          <w:iCs/>
          <w:color w:val="555555"/>
          <w:sz w:val="19"/>
          <w:szCs w:val="19"/>
        </w:rPr>
        <w:t xml:space="preserve">This manual is a customizable template. Replace every bracketed field with your organization’s details and adapt each policy to your operations before use.</w:t>
      </w:r>
    </w:p>
    <w:p>
      <w:pPr>
        <w:spacing w:after="20" w:before="0" w:line="276"/>
        <w:jc w:val="center"/>
      </w:pPr>
      <w:r>
        <w:rPr>
          <w:rFonts w:ascii="Calibri" w:cs="Calibri" w:eastAsia="Calibri" w:hAnsi="Calibri"/>
          <w:b w:val="false"/>
          <w:bCs w:val="false"/>
          <w:i w:val="false"/>
          <w:iCs w:val="false"/>
          <w:color w:val="1A1A1A"/>
          <w:sz w:val="21"/>
          <w:szCs w:val="21"/>
        </w:rPr>
        <w:t xml:space="preserve">Approved By: [Administrator Name], Administrator</w:t>
      </w:r>
    </w:p>
    <w:p>
      <w:pPr>
        <w:spacing w:after="90" w:before="0" w:line="276"/>
        <w:jc w:val="center"/>
      </w:pPr>
      <w:r>
        <w:rPr>
          <w:rFonts w:ascii="Calibri" w:cs="Calibri" w:eastAsia="Calibri" w:hAnsi="Calibri"/>
          <w:b w:val="false"/>
          <w:bCs w:val="false"/>
          <w:i w:val="false"/>
          <w:iCs w:val="false"/>
          <w:color w:val="555555"/>
          <w:sz w:val="18"/>
          <w:szCs w:val="18"/>
        </w:rPr>
        <w:t xml:space="preserve">Effective Date: [Date]        Version: 1.0        Review: Annual or upon rule change</w:t>
      </w:r>
    </w:p>
    <w:p>
      <w:r>
        <w:br w:type="page"/>
      </w:r>
    </w:p>
    <w:p>
      <w:pPr>
        <w:spacing w:after="120"/>
      </w:pPr>
      <w:r>
        <w:rPr>
          <w:rFonts w:ascii="Calibri" w:cs="Calibri" w:eastAsia="Calibri" w:hAnsi="Calibri"/>
          <w:b/>
          <w:bCs/>
          <w:i w:val="false"/>
          <w:iCs w:val="false"/>
          <w:color w:val="1F3A5F"/>
          <w:sz w:val="30"/>
          <w:szCs w:val="30"/>
        </w:rPr>
        <w:t xml:space="preserve">Front Matter — State Rules, Regulations &amp; Accreditation</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120" w:before="0" w:line="276"/>
        <w:jc w:val="left"/>
      </w:pPr>
      <w:r>
        <w:rPr>
          <w:rFonts w:ascii="Calibri" w:cs="Calibri" w:eastAsia="Calibri" w:hAnsi="Calibri"/>
          <w:b w:val="false"/>
          <w:bCs w:val="false"/>
          <w:i w:val="false"/>
          <w:iCs w:val="false"/>
          <w:color w:val="1A1A1A"/>
          <w:sz w:val="21"/>
          <w:szCs w:val="21"/>
        </w:rPr>
        <w:t xml:space="preserve">[Agency Name] operates in compliance with the following Texas authorities and aligns to the following accreditation framework, which form the basis for this manual:</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Texas Health and Safety Code, Chapter 142, and its licensing standards at 26 Texas Administrative Code, Chapter 558 (Home and Community Support Services Agencies), Personal Assistance Services (PAS) category.</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Regulated by the Texas Health and Human Services Commission (HHSC), Long-Term Care Regulatory; applications and reporting through the Texas Unified Licensure Information Portal (TULIP).</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Key requirements used here: administrator and alternate administrator (§ 558.243) with administrator qualifications and training (§§ 558.244, 558.259); DPS and FBI criminal background checks plus Employee Misconduct Registry and Nurse Aide Registry checks; the individualized service plan and PAS standards (§ 558.404); supervision and RN delegation to unlicensed personnel (22 TAC Chapter 225); client records (§ 558.301); abuse/neglect/exploitation reporting (§ 558.250); and a quality assurance and performance improvement (QAPI) program.</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PAS is NON-MEDICAL: attendants provide personal care and health-related tasks that a nurse may delegate or determine do not require delegation (22 TAC Ch. 225) — not skilled nursing. Medication administration requires a licensed nurse or a home health medication aide permit; attendants assist with self-administered medication.</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Texas labor law follows the federal Fair Labor Standards Act (overtime after 40 hours in a workweek) — Texas has no daily-overtime, no state paid-sick-leave mandate, and does not require workers’ compensation; plus the SB 240 workplace-violence-prevention requirement.</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Electronic Visit Verification through HHAeXchange (the Texas EVV aggregator) for Medicaid personal care services, and HIPAA privacy and security.</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Accreditation alignment (optional): § 558.2 recognizes the Joint Commission, CHAP, and ACHC — this manual is structured to align with those frameworks (aligned to, not reproducing, their proprietary standards), which payers and referral sources often prefer (see Section 6).</w:t>
      </w:r>
    </w:p>
    <w:p>
      <w:pPr>
        <w:pStyle w:val="ListParagraph"/>
        <w:numPr>
          <w:ilvl w:val="0"/>
          <w:numId w:val="2"/>
        </w:numPr>
        <w:spacing w:after="60" w:line="276"/>
      </w:pPr>
      <w:r>
        <w:rPr>
          <w:rFonts w:ascii="Calibri" w:cs="Calibri" w:eastAsia="Calibri" w:hAnsi="Calibri"/>
          <w:b w:val="false"/>
          <w:bCs w:val="false"/>
          <w:i w:val="false"/>
          <w:iCs w:val="false"/>
          <w:color w:val="1A1A1A"/>
          <w:sz w:val="21"/>
          <w:szCs w:val="21"/>
        </w:rPr>
        <w:t xml:space="preserve">Funding context (see the companion How-To Guide): private pay; Texas Medicaid personal attendant services — Primary Home Care, Community Attendant Services, Family Care, Community First Choice, and STAR+PLUS managed LTSS; Veterans’ benefits; and long-term-care insurance.</w:t>
      </w:r>
    </w:p>
    <w:p>
      <w:pPr>
        <w:spacing w:after="120" w:before="100" w:line="276"/>
        <w:jc w:val="left"/>
      </w:pPr>
      <w:r>
        <w:rPr>
          <w:rFonts w:ascii="Calibri" w:cs="Calibri" w:eastAsia="Calibri" w:hAnsi="Calibri"/>
          <w:b w:val="false"/>
          <w:bCs w:val="false"/>
          <w:i/>
          <w:iCs/>
          <w:color w:val="555555"/>
          <w:sz w:val="19"/>
          <w:szCs w:val="19"/>
        </w:rPr>
        <w:t xml:space="preserve">This manual provides general information and is not legal advice; verify current rule and accreditation standards before relying on any provision.</w:t>
      </w:r>
    </w:p>
    <w:p>
      <w:r>
        <w:br w:type="page"/>
      </w:r>
    </w:p>
    <w:p>
      <w:pPr>
        <w:spacing w:after="120"/>
      </w:pPr>
      <w:r>
        <w:rPr>
          <w:rFonts w:ascii="Calibri" w:cs="Calibri" w:eastAsia="Calibri" w:hAnsi="Calibri"/>
          <w:b/>
          <w:bCs/>
          <w:i w:val="false"/>
          <w:iCs w:val="false"/>
          <w:color w:val="1F3A5F"/>
          <w:sz w:val="30"/>
          <w:szCs w:val="30"/>
        </w:rPr>
        <w:t xml:space="preserve">Front Matter — Yearly Policy Review by Administrator</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120" w:before="0" w:line="276"/>
        <w:jc w:val="left"/>
      </w:pPr>
      <w:r>
        <w:rPr>
          <w:rFonts w:ascii="Calibri" w:cs="Calibri" w:eastAsia="Calibri" w:hAnsi="Calibri"/>
          <w:b w:val="false"/>
          <w:bCs w:val="false"/>
          <w:i w:val="false"/>
          <w:iCs w:val="false"/>
          <w:color w:val="1A1A1A"/>
          <w:sz w:val="21"/>
          <w:szCs w:val="21"/>
        </w:rPr>
        <w:t xml:space="preserve">The Administrator reviews this manual at least annually and upon any change to an applicable rule or accreditation standard, confirms each section remains current, and records the review below.</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3400"/>
        <w:gridCol w:w="1700"/>
        <w:gridCol w:w="2060"/>
        <w:gridCol w:w="2200"/>
      </w:tblGrid>
      <w:tr>
        <w:trPr>
          <w:tblHeader/>
        </w:trPr>
        <w:tc>
          <w:tcPr>
            <w:tcW w:type="dxa" w:w="3400"/>
            <w:shd w:fill="3E5871" w:val="clear"/>
            <w:tcMar>
              <w:top w:type="dxa" w:w="60"/>
              <w:left w:type="dxa" w:w="110"/>
              <w:bottom w:type="dxa" w:w="60"/>
              <w:right w:type="dxa" w:w="110"/>
            </w:tcMar>
          </w:tcPr>
          <w:p>
            <w:pPr>
              <w:spacing w:after="0" w:before="0" w:line="276"/>
              <w:jc w:val="left"/>
            </w:pPr>
            <w:r>
              <w:rPr>
                <w:rFonts w:ascii="Calibri" w:cs="Calibri" w:eastAsia="Calibri" w:hAnsi="Calibri"/>
                <w:b/>
                <w:bCs/>
                <w:i w:val="false"/>
                <w:iCs w:val="false"/>
                <w:color w:val="FFFFFF"/>
                <w:sz w:val="18"/>
                <w:szCs w:val="18"/>
              </w:rPr>
              <w:t xml:space="preserve">Section Reviewed</w:t>
            </w:r>
          </w:p>
        </w:tc>
        <w:tc>
          <w:tcPr>
            <w:tcW w:type="dxa" w:w="1700"/>
            <w:shd w:fill="3E5871" w:val="clear"/>
            <w:tcMar>
              <w:top w:type="dxa" w:w="60"/>
              <w:left w:type="dxa" w:w="110"/>
              <w:bottom w:type="dxa" w:w="60"/>
              <w:right w:type="dxa" w:w="110"/>
            </w:tcMar>
          </w:tcPr>
          <w:p>
            <w:pPr>
              <w:spacing w:after="0" w:before="0" w:line="276"/>
              <w:jc w:val="left"/>
            </w:pPr>
            <w:r>
              <w:rPr>
                <w:rFonts w:ascii="Calibri" w:cs="Calibri" w:eastAsia="Calibri" w:hAnsi="Calibri"/>
                <w:b/>
                <w:bCs/>
                <w:i w:val="false"/>
                <w:iCs w:val="false"/>
                <w:color w:val="FFFFFF"/>
                <w:sz w:val="18"/>
                <w:szCs w:val="18"/>
              </w:rPr>
              <w:t xml:space="preserve">Current? (Y/N)</w:t>
            </w:r>
          </w:p>
        </w:tc>
        <w:tc>
          <w:tcPr>
            <w:tcW w:type="dxa" w:w="2060"/>
            <w:shd w:fill="3E5871" w:val="clear"/>
            <w:tcMar>
              <w:top w:type="dxa" w:w="60"/>
              <w:left w:type="dxa" w:w="110"/>
              <w:bottom w:type="dxa" w:w="60"/>
              <w:right w:type="dxa" w:w="110"/>
            </w:tcMar>
          </w:tcPr>
          <w:p>
            <w:pPr>
              <w:spacing w:after="0" w:before="0" w:line="276"/>
              <w:jc w:val="left"/>
            </w:pPr>
            <w:r>
              <w:rPr>
                <w:rFonts w:ascii="Calibri" w:cs="Calibri" w:eastAsia="Calibri" w:hAnsi="Calibri"/>
                <w:b/>
                <w:bCs/>
                <w:i w:val="false"/>
                <w:iCs w:val="false"/>
                <w:color w:val="FFFFFF"/>
                <w:sz w:val="18"/>
                <w:szCs w:val="18"/>
              </w:rPr>
              <w:t xml:space="preserve">Notes / Change</w:t>
            </w:r>
          </w:p>
        </w:tc>
        <w:tc>
          <w:tcPr>
            <w:tcW w:type="dxa" w:w="2200"/>
            <w:shd w:fill="3E5871" w:val="clear"/>
            <w:tcMar>
              <w:top w:type="dxa" w:w="60"/>
              <w:left w:type="dxa" w:w="110"/>
              <w:bottom w:type="dxa" w:w="60"/>
              <w:right w:type="dxa" w:w="110"/>
            </w:tcMar>
          </w:tcPr>
          <w:p>
            <w:pPr>
              <w:spacing w:after="0" w:before="0" w:line="276"/>
              <w:jc w:val="left"/>
            </w:pPr>
            <w:r>
              <w:rPr>
                <w:rFonts w:ascii="Calibri" w:cs="Calibri" w:eastAsia="Calibri" w:hAnsi="Calibri"/>
                <w:b/>
                <w:bCs/>
                <w:i w:val="false"/>
                <w:iCs w:val="false"/>
                <w:color w:val="FFFFFF"/>
                <w:sz w:val="18"/>
                <w:szCs w:val="18"/>
              </w:rPr>
              <w:t xml:space="preserve">Reviewed By / Date</w:t>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1 — Administration &amp; Licensing</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2 — Attendant &amp; Personnel Management (Human Resources)</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3 — Client Services &amp; Care Planning</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4 — Health, Safety &amp; Emergency Management</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5 — Compliance, Billing &amp; Privacy</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r>
        <w:tc>
          <w:tcPr>
            <w:tcW w:type="dxa" w:w="34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Section 6 — Program Quality &amp; Outcomes</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c>
          <w:tcPr>
            <w:tcW w:type="dxa" w:w="22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
            </w:r>
          </w:p>
        </w:tc>
      </w:tr>
    </w:tbl>
    <w:p>
      <w:r>
        <w:br w:type="page"/>
      </w:r>
    </w:p>
    <w:p>
      <w:pPr>
        <w:spacing w:after="120"/>
      </w:pPr>
      <w:r>
        <w:rPr>
          <w:rFonts w:ascii="Calibri" w:cs="Calibri" w:eastAsia="Calibri" w:hAnsi="Calibri"/>
          <w:b/>
          <w:bCs/>
          <w:i w:val="false"/>
          <w:iCs w:val="false"/>
          <w:color w:val="1F3A5F"/>
          <w:sz w:val="30"/>
          <w:szCs w:val="30"/>
        </w:rPr>
        <w:t xml:space="preserve">Master Table of Contents</w:t>
      </w:r>
    </w:p>
    <w:p>
      <w:pPr>
        <w:pBdr>
          <w:bottom w:val="single" w:color="9DB1C7" w:sz="8" w:space="1"/>
        </w:pBdr>
        <w:spacing w:after="140" w:before="100"/>
      </w:pPr>
      <w:r>
        <w:rPr>
          <w:rFonts w:ascii="Calibri" w:cs="Calibri" w:eastAsia="Calibri" w:hAnsi="Calibri"/>
          <w:b w:val="false"/>
          <w:bCs w:val="false"/>
          <w:i w:val="false"/>
          <w:iCs w:val="false"/>
          <w:color w:val="1A1A1A"/>
          <w:sz w:val="2"/>
          <w:szCs w:val="2"/>
        </w:rPr>
        <w:t xml:space="preserve"/>
      </w:r>
    </w:p>
    <w:p>
      <w:pPr>
        <w:spacing w:after="60" w:before="140"/>
      </w:pPr>
      <w:r>
        <w:rPr>
          <w:rFonts w:ascii="Calibri" w:cs="Calibri" w:eastAsia="Calibri" w:hAnsi="Calibri"/>
          <w:b/>
          <w:bCs/>
          <w:i w:val="false"/>
          <w:iCs w:val="false"/>
          <w:color w:val="1F3A5F"/>
          <w:sz w:val="22"/>
          <w:szCs w:val="22"/>
        </w:rPr>
        <w:t xml:space="preserve">Section 1 — Administration &amp; Licensing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HCSSA Licensure and the Personal Assistance Services Category</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Scope of Personal Assistance Services and the Non-Medical Character of the Agency</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and Alternate Administrator</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Policies, Postings, and Required Notices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Insurance and Bonding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Client Service Agreement and Admission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1.07</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Complaints and Grievances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1.08</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Incident and Abuse/Neglect/Exploitation Reporting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1.09</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Client Records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1.10</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Quality Assurance and Performance Improvement (QAPI)</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1.11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Licensure Surveys and Enforcement</w:t>
            </w:r>
          </w:p>
        </w:tc>
      </w:tr>
    </w:tbl>
    <w:p>
      <w:pPr>
        <w:spacing w:after="60" w:before="140"/>
      </w:pPr>
      <w:r>
        <w:rPr>
          <w:rFonts w:ascii="Calibri" w:cs="Calibri" w:eastAsia="Calibri" w:hAnsi="Calibri"/>
          <w:b/>
          <w:bCs/>
          <w:i w:val="false"/>
          <w:iCs w:val="false"/>
          <w:color w:val="1F3A5F"/>
          <w:sz w:val="22"/>
          <w:szCs w:val="22"/>
        </w:rPr>
        <w:t xml:space="preserve">Section 2 — Attendant &amp; Personnel Management (Human Resources)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Attendant Qualifications and Hiring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Criminal Background Checks, Employee Misconduct Registry, and Nurse Aide Registry</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Employment and Personnel Records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Attendant Training and Competency</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Supervision of Attendants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Delegation of Health-Related Tasks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2.07</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Attendant Assignment</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2.08</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Labor Law Compliance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2.09</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Attendant Conduct and Professional Boundaries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2.10</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Mandated Abuse, Neglect, and Exploitation Reporting by Staff</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2.11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Workplace Violence Prevention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2.12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Workplace Safety and Injury Prevention</w:t>
            </w:r>
          </w:p>
        </w:tc>
      </w:tr>
    </w:tbl>
    <w:p>
      <w:pPr>
        <w:spacing w:after="60" w:before="140"/>
      </w:pPr>
      <w:r>
        <w:rPr>
          <w:rFonts w:ascii="Calibri" w:cs="Calibri" w:eastAsia="Calibri" w:hAnsi="Calibri"/>
          <w:b/>
          <w:bCs/>
          <w:i w:val="false"/>
          <w:iCs w:val="false"/>
          <w:color w:val="1F3A5F"/>
          <w:sz w:val="22"/>
          <w:szCs w:val="22"/>
        </w:rPr>
        <w:t xml:space="preserve">Section 3 — Client Services &amp; Care Planning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Intake, Assessment, and On-Site Determination of Services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Individualized Service Plan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Client Rights and Responsibilities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Personal Care Services (ADLs)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Instrumental, Homemaker, and Companion Services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Health-Related Tasks and Medication Assistance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3.07</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Change in Client Condition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3.08</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Coordination of Care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3.09</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Service Documentation and Electronic Visit Verification (EVV)</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3.10</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Service Reduction, Suspension, and Termination</w:t>
            </w:r>
          </w:p>
        </w:tc>
      </w:tr>
    </w:tbl>
    <w:p>
      <w:pPr>
        <w:spacing w:after="60" w:before="140"/>
      </w:pPr>
      <w:r>
        <w:rPr>
          <w:rFonts w:ascii="Calibri" w:cs="Calibri" w:eastAsia="Calibri" w:hAnsi="Calibri"/>
          <w:b/>
          <w:bCs/>
          <w:i w:val="false"/>
          <w:iCs w:val="false"/>
          <w:color w:val="1F3A5F"/>
          <w:sz w:val="22"/>
          <w:szCs w:val="22"/>
        </w:rPr>
        <w:t xml:space="preserve">Section 4 — Health, Safety &amp; Emergency Management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Infection Prevention and Control</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Emergency Preparedness and Response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Home and Client Safety</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Client Funds and Property Protection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Incident and Accident Response in the Home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Communicable Disease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4.07</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Attendant Field Safety</w:t>
            </w:r>
          </w:p>
        </w:tc>
      </w:tr>
    </w:tbl>
    <w:p>
      <w:pPr>
        <w:spacing w:after="60" w:before="140"/>
      </w:pPr>
      <w:r>
        <w:rPr>
          <w:rFonts w:ascii="Calibri" w:cs="Calibri" w:eastAsia="Calibri" w:hAnsi="Calibri"/>
          <w:b/>
          <w:bCs/>
          <w:i w:val="false"/>
          <w:iCs w:val="false"/>
          <w:color w:val="1F3A5F"/>
          <w:sz w:val="22"/>
          <w:szCs w:val="22"/>
        </w:rPr>
        <w:t xml:space="preserve">Section 5 — Compliance, Billing &amp; Privacy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HIPAA Privacy and Security</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Billing and Claims Integrity</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Fraud, Waste, and Abuse Prevention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Provider Enrollment and Contracting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Records Retention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Confidentiality of Client Information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5.07</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Non-Discrimination and Client Choice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5.08</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Regulatory Reporting and Cooperation</w:t>
            </w:r>
          </w:p>
        </w:tc>
      </w:tr>
    </w:tbl>
    <w:p>
      <w:pPr>
        <w:spacing w:after="60" w:before="140"/>
      </w:pPr>
      <w:r>
        <w:rPr>
          <w:rFonts w:ascii="Calibri" w:cs="Calibri" w:eastAsia="Calibri" w:hAnsi="Calibri"/>
          <w:b/>
          <w:bCs/>
          <w:i w:val="false"/>
          <w:iCs w:val="false"/>
          <w:color w:val="1F3A5F"/>
          <w:sz w:val="22"/>
          <w:szCs w:val="22"/>
        </w:rPr>
        <w:t xml:space="preserve">Section 6 — Program Quality &amp; Outcomes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300"/>
        <w:gridCol w:w="8060"/>
      </w:tblGrid>
      <w:tr>
        <w:trPr>
          <w:tblHeader/>
        </w:trPr>
        <w:tc>
          <w:tcPr>
            <w:tcW w:type="dxa" w:w="130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Policy</w:t>
            </w:r>
          </w:p>
        </w:tc>
        <w:tc>
          <w:tcPr>
            <w:tcW w:type="dxa" w:w="8060"/>
            <w:shd w:fill="EAF0F6" w:val="clear"/>
            <w:tcMar>
              <w:top w:type="dxa" w:w="40"/>
              <w:left w:type="dxa" w:w="110"/>
              <w:bottom w:type="dxa" w:w="40"/>
              <w:right w:type="dxa" w:w="110"/>
            </w:tcMar>
          </w:tcPr>
          <w:p>
            <w:pPr>
              <w:spacing w:after="0" w:before="0" w:line="276"/>
              <w:jc w:val="left"/>
            </w:pPr>
            <w:r>
              <w:rPr>
                <w:rFonts w:ascii="Calibri" w:cs="Calibri" w:eastAsia="Calibri" w:hAnsi="Calibri"/>
                <w:b/>
                <w:bCs/>
                <w:i w:val="false"/>
                <w:iCs w:val="false"/>
                <w:color w:val="3E5871"/>
                <w:sz w:val="18"/>
                <w:szCs w:val="18"/>
              </w:rPr>
              <w:t xml:space="preserve">Title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6.01</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Quality Assurance and Performance Improvement Program</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6.02</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Client Satisfaction</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6.03</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Attendant Competency and Performance</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6.04</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Supervisory Visits and Monitoring</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6.05</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Accreditation Readiness</w:t>
            </w:r>
          </w:p>
        </w:tc>
      </w:tr>
      <w:tr>
        <w:tc>
          <w:tcPr>
            <w:tcW w:type="dxa" w:w="1300"/>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18"/>
                <w:szCs w:val="18"/>
              </w:rPr>
              <w:t xml:space="preserve">6.06</w:t>
            </w:r>
          </w:p>
        </w:tc>
        <w:tc>
          <w:tcPr>
            <w:tcW w:type="dxa" w:w="80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Outcomes and Continuous Improvement</w:t>
            </w:r>
          </w:p>
        </w:tc>
      </w:tr>
    </w:tbl>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1 — ADMINISTRATION &amp; LICENSING</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Texas Health and Safety Code Chapter 142 and its licensing standards at 26 Texas Administrative Code, Chapter 558 (Home and Community Support Services Agencies), Personal Assistance Services (PAS) category. Licensed and surveyed by the Texas Health and Human Services Commission (HHSC), Long-Term Care Regulatory.</w:t>
      </w:r>
    </w:p>
    <w:p>
      <w:pPr>
        <w:keepNext/>
        <w:spacing w:after="100" w:before="240"/>
      </w:pPr>
      <w:r>
        <w:rPr>
          <w:rFonts w:ascii="Calibri" w:cs="Calibri" w:eastAsia="Calibri" w:hAnsi="Calibri"/>
          <w:b/>
          <w:bCs/>
          <w:i w:val="false"/>
          <w:iCs w:val="false"/>
          <w:color w:val="1F3A5F"/>
          <w:sz w:val="24"/>
          <w:szCs w:val="24"/>
        </w:rPr>
        <w:t xml:space="preserve">Policy 1.01 — HCSSA Licensure and the Personal Assistance Services Category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HCSSA Licensure and the Personal Assistance Services Category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Tex. H.S.C. Ch. 142; 26 TAC §§ 558.1, 558.11–558.31</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operate at all times under a current HCSSA license in the Personal Assistance Services (PAS) category, in compliance with Texas Health and Safety Code Chapter 142 and 26 TAC Chapter 558. Written to comply with 26 TAC § 558.1.</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HCSSA — </w:t>
      </w:r>
      <w:r>
        <w:rPr>
          <w:rFonts w:ascii="Calibri" w:cs="Calibri" w:eastAsia="Calibri" w:hAnsi="Calibri"/>
          <w:b w:val="false"/>
          <w:bCs w:val="false"/>
          <w:i w:val="false"/>
          <w:iCs w:val="false"/>
          <w:color w:val="1A1A1A"/>
          <w:sz w:val="21"/>
          <w:szCs w:val="21"/>
        </w:rPr>
        <w:t xml:space="preserve">a Home and Community Support Services Agency — a person who provides home health, hospice, or personal assistance services for pay in a client’s residence or independent living environment (26 TAC § 558.2).</w:t>
      </w:r>
    </w:p>
    <w:p>
      <w:pPr>
        <w:spacing w:after="70" w:line="276"/>
      </w:pPr>
      <w:r>
        <w:rPr>
          <w:rFonts w:ascii="Calibri" w:cs="Calibri" w:eastAsia="Calibri" w:hAnsi="Calibri"/>
          <w:b/>
          <w:bCs/>
          <w:i w:val="false"/>
          <w:iCs w:val="false"/>
          <w:color w:val="1A1A1A"/>
          <w:sz w:val="21"/>
          <w:szCs w:val="21"/>
        </w:rPr>
        <w:t xml:space="preserve">Personal Assistance Services (PAS) — </w:t>
      </w:r>
      <w:r>
        <w:rPr>
          <w:rFonts w:ascii="Calibri" w:cs="Calibri" w:eastAsia="Calibri" w:hAnsi="Calibri"/>
          <w:b w:val="false"/>
          <w:bCs w:val="false"/>
          <w:i w:val="false"/>
          <w:iCs w:val="false"/>
          <w:color w:val="1A1A1A"/>
          <w:sz w:val="21"/>
          <w:szCs w:val="21"/>
        </w:rPr>
        <w:t xml:space="preserve">the non-medical license category under which the agency provides personal care and delegable health-related tasks (26 TAC § 558.404).</w:t>
      </w:r>
    </w:p>
    <w:p>
      <w:pPr>
        <w:spacing w:after="70" w:line="276"/>
      </w:pPr>
      <w:r>
        <w:rPr>
          <w:rFonts w:ascii="Calibri" w:cs="Calibri" w:eastAsia="Calibri" w:hAnsi="Calibri"/>
          <w:b/>
          <w:bCs/>
          <w:i w:val="false"/>
          <w:iCs w:val="false"/>
          <w:color w:val="1A1A1A"/>
          <w:sz w:val="21"/>
          <w:szCs w:val="21"/>
        </w:rPr>
        <w:t xml:space="preserve">HHSC — </w:t>
      </w:r>
      <w:r>
        <w:rPr>
          <w:rFonts w:ascii="Calibri" w:cs="Calibri" w:eastAsia="Calibri" w:hAnsi="Calibri"/>
          <w:b w:val="false"/>
          <w:bCs w:val="false"/>
          <w:i w:val="false"/>
          <w:iCs w:val="false"/>
          <w:color w:val="1A1A1A"/>
          <w:sz w:val="21"/>
          <w:szCs w:val="21"/>
        </w:rPr>
        <w:t xml:space="preserve">the Texas Health and Human Services Commission, which licenses and surveys HCSSAs.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[Agency Name] holds a current HCSSA license in the Personal Assistance Services category, issued by HHSC for each place of business from which PAS is directed, and operates only within that authority, in compliance with Texas Health and Safety Code Chapter 142 and 26 TAC Chapter 558. No person may provide or advertise personal assistance services for pay without an HCSSA license (26 TAC § 558.1). The agency maintains a physical place of business (not a virtual address) registered in the Texas Unified Licensure Information Portal (TULIP).</w:t>
      </w:r>
    </w:p>
    <w:p>
      <w:pPr>
        <w:spacing w:after="120" w:before="0" w:line="276"/>
        <w:jc w:val="left"/>
      </w:pPr>
      <w:r>
        <w:rPr>
          <w:rFonts w:ascii="Calibri" w:cs="Calibri" w:eastAsia="Calibri" w:hAnsi="Calibri"/>
          <w:b w:val="false"/>
          <w:bCs w:val="false"/>
          <w:i w:val="false"/>
          <w:iCs w:val="false"/>
          <w:color w:val="1A1A1A"/>
          <w:sz w:val="21"/>
          <w:szCs w:val="21"/>
        </w:rPr>
        <w:t xml:space="preserve">Because Chapter 558 exists to protect clients by establishing minimum standards for quality of care and quality of life, the agency treats the license as a set of promises kept every day: attendants are screened and trained before serving clients, the agency’s policies match its actual practice, and the agency cooperates fully with HHSC surveys. Operating without a license, outside the license category, or from an unlicensed location is prohibited.</w:t>
      </w:r>
    </w:p>
    <w:p>
      <w:pPr>
        <w:spacing w:after="120" w:before="0" w:line="276"/>
        <w:jc w:val="left"/>
      </w:pPr>
      <w:r>
        <w:rPr>
          <w:rFonts w:ascii="Calibri" w:cs="Calibri" w:eastAsia="Calibri" w:hAnsi="Calibri"/>
          <w:b w:val="false"/>
          <w:bCs w:val="false"/>
          <w:i w:val="false"/>
          <w:iCs w:val="false"/>
          <w:color w:val="1A1A1A"/>
          <w:sz w:val="21"/>
          <w:szCs w:val="21"/>
        </w:rPr>
        <w:t xml:space="preserve">The agency submits license applications, renewals, and required reporting through TULIP, keeps its licensing record current, reports changes as Chapter 558 requires, and renews before expiration.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a current HCSSA (PAS) license for each place of business.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Maintain a physical place of business registered in TULIP (no virtual address).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Provide only services the PAS license authorizes.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Submit applications, renewals, and reports through TULIP.</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Report changes to HHSC and keep the licensing record current.</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Cooperate with HHSC surveys and renew before expiration.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HCSSA License Record · Licensing &amp; Renewal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1.02 — Scope of Personal Assistance Services and the Non-Medical Character of the Agency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Scope of Personal Assistance Services and the Non-Medical Character of the Agency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 558.404; 22 TAC Ch. 225</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define the personal assistance services the agency provides and to make clear that PAS is non-medical, so clients receive appropriate services and attendants work within the limits Chapter 558 sets. Written to comply with 26 TAC § 558.404.</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Personal care — </w:t>
      </w:r>
      <w:r>
        <w:rPr>
          <w:rFonts w:ascii="Calibri" w:cs="Calibri" w:eastAsia="Calibri" w:hAnsi="Calibri"/>
          <w:b w:val="false"/>
          <w:bCs w:val="false"/>
          <w:i w:val="false"/>
          <w:iCs w:val="false"/>
          <w:color w:val="1A1A1A"/>
          <w:sz w:val="21"/>
          <w:szCs w:val="21"/>
        </w:rPr>
        <w:t xml:space="preserve">assistance with activities of daily living and instrumental activities of daily living — bathing, grooming, dressing, toileting, transferring, mobility, eating, meal preparation, and housekeeping (26 TAC § 558.2).</w:t>
      </w:r>
    </w:p>
    <w:p>
      <w:pPr>
        <w:spacing w:after="70" w:line="276"/>
      </w:pPr>
      <w:r>
        <w:rPr>
          <w:rFonts w:ascii="Calibri" w:cs="Calibri" w:eastAsia="Calibri" w:hAnsi="Calibri"/>
          <w:b/>
          <w:bCs/>
          <w:i w:val="false"/>
          <w:iCs w:val="false"/>
          <w:color w:val="1A1A1A"/>
          <w:sz w:val="21"/>
          <w:szCs w:val="21"/>
        </w:rPr>
        <w:t xml:space="preserve">Health-related task — </w:t>
      </w:r>
      <w:r>
        <w:rPr>
          <w:rFonts w:ascii="Calibri" w:cs="Calibri" w:eastAsia="Calibri" w:hAnsi="Calibri"/>
          <w:b w:val="false"/>
          <w:bCs w:val="false"/>
          <w:i w:val="false"/>
          <w:iCs w:val="false"/>
          <w:color w:val="1A1A1A"/>
          <w:sz w:val="21"/>
          <w:szCs w:val="21"/>
        </w:rPr>
        <w:t xml:space="preserve">a task that a registered nurse may delegate to, or determine does not require delegation for, unlicensed personnel under the Texas Board of Nursing rules (22 TAC Chapter 225).</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[Agency Name] provides personal assistance services — personal care with activities of daily living and instrumental activities of daily living, and health-related tasks that a nurse may delegate or determine do not require delegation — delivered by attendants in clients’ homes and independent living environments (26 TAC § 558.404). PAS is non-medical: the agency does not provide skilled nursing or therapy as a home health service, and attendants do not administer medication as a nursing act. Medication administration requires a licensed nurse or a home health medication aide permit; attendants assist with self-administered medication.</w:t>
      </w:r>
    </w:p>
    <w:p>
      <w:pPr>
        <w:spacing w:after="120" w:before="0" w:line="276"/>
        <w:jc w:val="left"/>
      </w:pPr>
      <w:r>
        <w:rPr>
          <w:rFonts w:ascii="Calibri" w:cs="Calibri" w:eastAsia="Calibri" w:hAnsi="Calibri"/>
          <w:b w:val="false"/>
          <w:bCs w:val="false"/>
          <w:i w:val="false"/>
          <w:iCs w:val="false"/>
          <w:color w:val="1A1A1A"/>
          <w:sz w:val="21"/>
          <w:szCs w:val="21"/>
        </w:rPr>
        <w:t xml:space="preserve">The line between non-medical PAS and skilled care governs everything the agency does. Any health-related task performed by an attendant is either delegated by an RN or determined by an RN not to require delegation, under the agency’s written policy implementing 22 TAC Chapter 225; the agency does not have attendants perform tasks that are the practice of professional nursing outside that framework. Where a client’s needs exceed PAS, the agency coordinates with the client’s physician or a home health provider.</w:t>
      </w:r>
    </w:p>
    <w:p>
      <w:pPr>
        <w:spacing w:after="120" w:before="0" w:line="276"/>
        <w:jc w:val="left"/>
      </w:pPr>
      <w:r>
        <w:rPr>
          <w:rFonts w:ascii="Calibri" w:cs="Calibri" w:eastAsia="Calibri" w:hAnsi="Calibri"/>
          <w:b w:val="false"/>
          <w:bCs w:val="false"/>
          <w:i w:val="false"/>
          <w:iCs w:val="false"/>
          <w:color w:val="1A1A1A"/>
          <w:sz w:val="21"/>
          <w:szCs w:val="21"/>
        </w:rPr>
        <w:t xml:space="preserve">The scope of services is described to each client in the service agreement and reflected in the individualized service plan, and the agency does not represent or provide services beyond its PAS scope.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only PAS within the § 558.404 scope.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Perform health-related tasks only under RN delegation or an RN determination per 22 TAC Ch. 225 and agency policy.</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Assist with, but do not administer, medications (nurse or medication aide permit required to administer).</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Refer clients who need skilled nursing or therapy to a physician or home health provider.</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Describe the scope in the service agreement and the individualized service plan.</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Train attendants to recognize and hold the non-medical boundary.</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Scope of Services Statement · RN Delegation Policy</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1.03 — Administrator and Alternate Administrator</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Administrator and Alternate Administrator</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 558.243, 558.244, 558.259</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the agency is managed by a qualified administrator and alternate administrator accountable for its operation and compliance. Written to comply with 26 TAC §§ 558.243, 558.244, and 558.259.</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Administrator — </w:t>
      </w:r>
      <w:r>
        <w:rPr>
          <w:rFonts w:ascii="Calibri" w:cs="Calibri" w:eastAsia="Calibri" w:hAnsi="Calibri"/>
          <w:b w:val="false"/>
          <w:bCs w:val="false"/>
          <w:i w:val="false"/>
          <w:iCs w:val="false"/>
          <w:color w:val="1A1A1A"/>
          <w:sz w:val="21"/>
          <w:szCs w:val="21"/>
        </w:rPr>
        <w:t xml:space="preserve">the individual the license holder designates to be responsible for the agency’s daily operations and compliance (26 TAC § 558.243).</w:t>
      </w:r>
    </w:p>
    <w:p>
      <w:pPr>
        <w:spacing w:after="70" w:line="276"/>
      </w:pPr>
      <w:r>
        <w:rPr>
          <w:rFonts w:ascii="Calibri" w:cs="Calibri" w:eastAsia="Calibri" w:hAnsi="Calibri"/>
          <w:b/>
          <w:bCs/>
          <w:i w:val="false"/>
          <w:iCs w:val="false"/>
          <w:color w:val="1A1A1A"/>
          <w:sz w:val="21"/>
          <w:szCs w:val="21"/>
        </w:rPr>
        <w:t xml:space="preserve">Alternate administrator — </w:t>
      </w:r>
      <w:r>
        <w:rPr>
          <w:rFonts w:ascii="Calibri" w:cs="Calibri" w:eastAsia="Calibri" w:hAnsi="Calibri"/>
          <w:b w:val="false"/>
          <w:bCs w:val="false"/>
          <w:i w:val="false"/>
          <w:iCs w:val="false"/>
          <w:color w:val="1A1A1A"/>
          <w:sz w:val="21"/>
          <w:szCs w:val="21"/>
        </w:rPr>
        <w:t xml:space="preserve">the individual designated to act in the administrator’s absence (26 TAC § 558.243).</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designates one administrator and one alternate administrator (26 TAC § 558.243), each meeting the qualifications in § 558.244 and completing the administrator training and continuing education required by § 558.259. The administrator is responsible for daily operations and compliance with Chapter 558; the alternate administrator acts in the administrator’s absence. Both clear the required background checks before assuming their duties.</w:t>
      </w:r>
    </w:p>
    <w:p>
      <w:pPr>
        <w:spacing w:after="120" w:before="0" w:line="276"/>
        <w:jc w:val="left"/>
      </w:pPr>
      <w:r>
        <w:rPr>
          <w:rFonts w:ascii="Calibri" w:cs="Calibri" w:eastAsia="Calibri" w:hAnsi="Calibri"/>
          <w:b w:val="false"/>
          <w:bCs w:val="false"/>
          <w:i w:val="false"/>
          <w:iCs w:val="false"/>
          <w:color w:val="1A1A1A"/>
          <w:sz w:val="21"/>
          <w:szCs w:val="21"/>
        </w:rPr>
        <w:t xml:space="preserve">The administrator is accountable for the systems that keep clients safe and the agency compliant: verifying that every attendant is screened and competent before serving a client; ensuring accurate service agreements, individualized service plans, supervision, and documentation; maintaining insurance and any required bond; responding to complaints and reporting incidents and abuse; running the quality program; and cooperating with HHSC. The agency keeps the administrator and alternate administrator training and qualifications documented.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Designate one administrator and one alternate administrator (§ 558.243).</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Ensure each meets § 558.244 qualifications and completes § 558.259 training.</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Clear required background checks before they assume duties.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Make the administrator accountable for Chapter 558 compliance.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Have the alternate administrator act in the administrator’s absence.</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administrator and alternate administrator qualifications and training.</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Administrator &amp; Alternate Administrator Record · Training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1.04 — Policies, Postings, and Required Notices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Policies, Postings, and Required Notices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Ch. 558; § 558.301</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current written policies implementing Chapter 558 and to provide clients the information they are entitled to receive. Written to comply with 26 TAC Chapter 558.</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maintains written policies and procedures implementing Chapter 558 — including administrative, staffing, client-care, supervision, complaint, abuse-reporting, emergency, infection-control, and quality-management policies — keeps them accessible to staff, and reviews them at least annually and upon any change in law, rule, or accreditation standard. The agency provides each client the information required at the start of service, including client rights, the scope and terms of service, how to file a complaint with the agency and with HHSC, and the HHSC complaint and abuse-reporting information.</w:t>
      </w:r>
    </w:p>
    <w:p>
      <w:pPr>
        <w:spacing w:after="120" w:before="0" w:line="276"/>
        <w:jc w:val="left"/>
      </w:pPr>
      <w:r>
        <w:rPr>
          <w:rFonts w:ascii="Calibri" w:cs="Calibri" w:eastAsia="Calibri" w:hAnsi="Calibri"/>
          <w:b w:val="false"/>
          <w:bCs w:val="false"/>
          <w:i w:val="false"/>
          <w:iCs w:val="false"/>
          <w:color w:val="1A1A1A"/>
          <w:sz w:val="21"/>
          <w:szCs w:val="21"/>
        </w:rPr>
        <w:t xml:space="preserve">Policies are written so a new attendant — or an HHSC surveyor — can see exactly how the agency screens and trains attendants, plans and supervises care, protects clients, and reports abuse. The administrator records each review and revision and trains staff on new or revised policies.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a master policy manual implementing Chapter 558, accessible to all staff.</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Provide clients client rights, service terms, and complaint/abuse-reporting information at the start of service.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Review all policies at least annually and record the review.</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Update policies promptly after any change in law, rule, or standard.</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Train staff on new or revised policies and document it.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Yearly Policy Review Log · Required Notices Checklist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1.05 — Insurance and Bonding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Insurance and Bonding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Ch. 558; Texas Medicaid provider requirements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the insurance and bonding required for licensure and, where the agency participates in Medicaid, for provider enrollment. Written to comply with Chapter 558 and Texas Medicaid requirements.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maintains general and professional liability insurance appropriate to its operations, provided as part of the HCSSA application, and keeps coverage current with no lapse. Where the agency enrolls as a Texas Medicaid provider, it maintains the surety bond required in the Provider Enrollment and Management System (PEMS) and keeps it active. Texas does not require an agency to carry workers’ compensation insurance; the agency evaluates whether to carry it and, if it does not, complies with the notice requirements Texas law imposes on non-subscribers.</w:t>
      </w:r>
    </w:p>
    <w:p>
      <w:pPr>
        <w:spacing w:after="120" w:before="0" w:line="276"/>
        <w:jc w:val="left"/>
      </w:pPr>
      <w:r>
        <w:rPr>
          <w:rFonts w:ascii="Calibri" w:cs="Calibri" w:eastAsia="Calibri" w:hAnsi="Calibri"/>
          <w:b w:val="false"/>
          <w:bCs w:val="false"/>
          <w:i w:val="false"/>
          <w:iCs w:val="false"/>
          <w:color w:val="1A1A1A"/>
          <w:sz w:val="21"/>
          <w:szCs w:val="21"/>
        </w:rPr>
        <w:t xml:space="preserve">Because attendants work unsupervised in clients’ homes, adequate insurance and any required bond are core protections, not paperwork; the agency confirms coverage before an attendant serves a client, keeps certificates on file and available to HHSC, and treats a lapse as an operational emergency.</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general and professional liability insurance with no lapse.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Maintain the Medicaid surety bond in PEMS where enrolled as a Medicaid provider.</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Decide on workers’ compensation and comply with Texas non-subscriber notice rules if not carried.</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Confirm coverage before an attendant serves a client.</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Keep certificates on file and available to HHSC.</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Insurance &amp; Bond Verification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1.06 — Client Service Agreement and Admission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Client Service Agreement and Admission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Ch. 558; § 558.404</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establish a clear written service agreement with each client that discloses services, rates, and terms, so clients understand what they are buying. Written to comply with Chapter 558.</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enters into a written service agreement with each client (or the client’s representative) before or at the start of service, specifying the scope of PAS to be provided, the schedule, the rates and payment terms, the terms for changing or ending services, the client’s rights and responsibilities, and how to raise a concern or complaint with the agency and with HHSC. The agreement is signed, dated, provided to the client, and retained in the client record, and it is consistent with the client’s individualized service plan.</w:t>
      </w:r>
    </w:p>
    <w:p>
      <w:pPr>
        <w:spacing w:after="120" w:before="0" w:line="276"/>
        <w:jc w:val="left"/>
      </w:pPr>
      <w:r>
        <w:rPr>
          <w:rFonts w:ascii="Calibri" w:cs="Calibri" w:eastAsia="Calibri" w:hAnsi="Calibri"/>
          <w:b w:val="false"/>
          <w:bCs w:val="false"/>
          <w:i w:val="false"/>
          <w:iCs w:val="false"/>
          <w:color w:val="1A1A1A"/>
          <w:sz w:val="21"/>
          <w:szCs w:val="21"/>
        </w:rPr>
        <w:t xml:space="preserve">Clarity protects both the client and the agency: PAS clients are often older adults or people with disabilities arranging care in a stressful moment, so plain-language terms about services, rates, and cancellation prevent misunderstanding and complaints. The agency explains the agreement in accessible terms and honors it, and it confirms the client’s needs can be met within the agency’s PAS scope before admission.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and explain a written service agreement before or at the start of service.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Specify scope, schedule, rates, payment, and change/termination terms.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Include client rights and how to complain to the agency and HHSC.</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Confirm the client’s needs are within the agency’s PAS scope before admission.</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Obtain the client’s (or representative’s) signature and provide a copy.</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Keep the agreement consistent with the individualized service plan and retain it.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Client Service Agreement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1.07 — Complaints and Grievances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Complaints and Grievances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Ch. 558; § 558.250</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clients, families, and staff can raise concerns without reprisal and know how to reach HHSC. Written to comply with Chapter 558.</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informs each client how to raise a concern or complaint with the agency and with HHSC, investigates complaints promptly, documents the resolution, and takes no reprisal against anyone who complains. Clients are told they may contact HHSC directly, and the HHSC complaint and abuse-reporting information is provided at the start of service. Complaints alleging abuse, neglect, or exploitation are handled immediately under the abuse-reporting policy (§ 558.250).</w:t>
      </w:r>
    </w:p>
    <w:p>
      <w:pPr>
        <w:spacing w:after="120" w:before="0" w:line="276"/>
        <w:jc w:val="left"/>
      </w:pPr>
      <w:r>
        <w:rPr>
          <w:rFonts w:ascii="Calibri" w:cs="Calibri" w:eastAsia="Calibri" w:hAnsi="Calibri"/>
          <w:b w:val="false"/>
          <w:bCs w:val="false"/>
          <w:i w:val="false"/>
          <w:iCs w:val="false"/>
          <w:color w:val="1A1A1A"/>
          <w:sz w:val="21"/>
          <w:szCs w:val="21"/>
        </w:rPr>
        <w:t xml:space="preserve">The agency treats complaint patterns as quality data — recurring concerns about an attendant, timeliness, or billing point to a system to fix — and corrects underlying causes, not just the individual complaint.</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Inform each client how to complain to the agency and to HHSC.</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Provide HHSC complaint and abuse-reporting information at the start of service.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Investigate complaints promptly and document resolution.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Take no reprisal against anyone who complains.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Route abuse allegations to the abuse-reporting policy immediately.</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Analyze complaint patterns and correct underlying causes.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Complaint / Grievance Form &amp;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1.08 — Incident and Abuse/Neglect/Exploitation Reporting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Incident and Abuse/Neglect/Exploitation Reporting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 558.250</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report and document incidents and allegations of abuse, neglect, or exploitation as Chapter 558 requires. Written to comply with 26 TAC § 558.250.</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Abuse, neglect, or exploitation (ANE) — </w:t>
      </w:r>
      <w:r>
        <w:rPr>
          <w:rFonts w:ascii="Calibri" w:cs="Calibri" w:eastAsia="Calibri" w:hAnsi="Calibri"/>
          <w:b w:val="false"/>
          <w:bCs w:val="false"/>
          <w:i w:val="false"/>
          <w:iCs w:val="false"/>
          <w:color w:val="1A1A1A"/>
          <w:sz w:val="21"/>
          <w:szCs w:val="21"/>
        </w:rPr>
        <w:t xml:space="preserve">conduct as defined in Chapter 558 and Texas law that harms or risks harm to a client; the agency self-reports ANE allegations to HHSC.</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documents incidents affecting clients or attendants and reports allegations of abuse, neglect, or exploitation of a client to HHSC within the timeframe § 558.250 requires — through TULIP or by telephone to the HHSC intake line — investigates each incident to its cause, takes corrective action, and reviews incidents through its quality program. It also reports to law enforcement, Adult Protective Services, and the client’s payer or managed-care organization as applicable.</w:t>
      </w:r>
    </w:p>
    <w:p>
      <w:pPr>
        <w:spacing w:after="120" w:before="0" w:line="276"/>
        <w:jc w:val="left"/>
      </w:pPr>
      <w:r>
        <w:rPr>
          <w:rFonts w:ascii="Calibri" w:cs="Calibri" w:eastAsia="Calibri" w:hAnsi="Calibri"/>
          <w:b w:val="false"/>
          <w:bCs w:val="false"/>
          <w:i w:val="false"/>
          <w:iCs w:val="false"/>
          <w:color w:val="1A1A1A"/>
          <w:sz w:val="21"/>
          <w:szCs w:val="21"/>
        </w:rPr>
        <w:t xml:space="preserve">In PAS, the incidents that recur — falls, missed visits, medication problems, and allegations involving client funds — are often preventable through better assessment, service planning, and supervision, so the agency uses incident data to improve. Reporting promptly and honestly is central to the consumer-protection purpose of Chapter 558.</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for the client’s or attendant’s immediate safety and preserve evidence.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Report ANE allegations to HHSC within the § 558.250 timeframe (via TULIP or the HHSC intake line).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Report to law enforcement, APS, and the payer/MCO as applicable.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Investigate each incident to its cause and take corrective action.</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Review incidents through the quality program and adjust practice.</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all incidents and reports.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Incident &amp; ANE Report &amp;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1.09 — Client Records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Client Records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 558.301, § 558.404(f)</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complete, current, secure client records as Chapter 558 requires and HHSC surveys. Written to comply with 26 TAC §§ 558.301 and 558.404(f).</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maintains a client record for each client containing the elements Chapter 558 requires (§ 558.301), and for PAS clients the additional elements in § 558.404(f) — documentation of the determination of services based on an on-site visit by the supervisor where services are primarily delivered, the individualized service plan signed by the client or family and the agency, and records of supervisory visits. Records are kept secure, confidential, retained for the required period, and available to HHSC surveyors, including electronic records accessible during an inspection.</w:t>
      </w:r>
    </w:p>
    <w:p>
      <w:pPr>
        <w:spacing w:after="120" w:before="0" w:line="276"/>
        <w:jc w:val="left"/>
      </w:pPr>
      <w:r>
        <w:rPr>
          <w:rFonts w:ascii="Calibri" w:cs="Calibri" w:eastAsia="Calibri" w:hAnsi="Calibri"/>
          <w:b w:val="false"/>
          <w:bCs w:val="false"/>
          <w:i w:val="false"/>
          <w:iCs w:val="false"/>
          <w:color w:val="1A1A1A"/>
          <w:sz w:val="21"/>
          <w:szCs w:val="21"/>
        </w:rPr>
        <w:t xml:space="preserve">Good records are how the agency proves, on a survey or after an incident, that its attendants were screened and competent and that care was planned, delivered, and supervised as required; the agency secures paper and electronic records and limits access to authorized persons.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a client record with all § 558.301 elements for each client.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Include the on-site determination, the signed individualized service plan, and supervisory-visit records (§ 558.404(f)).</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Keep records secure, confidential, and retained for the required period.</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Make records — including electronic records — available to HHSC surveyors.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Limit access to authorized persons.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Client Record Checklist · Records Retention Schedule</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1.10 — Quality Assurance and Performance Improvement (QAPI)</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Quality Assurance and Performance Improvement (QAPI)</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Ch. 558; HHSC quality management requirement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operate the quality assurance and performance improvement program HHSC requires, continuously improving the agency’s services and outcomes. Written to comply with Chapter 558 and HHSC quality-management requirements.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maintains a written quality assurance and performance improvement (QAPI) program — a quality management plan is a specific HHSC requirement — that monitors service quality, client outcomes, complaints, incidents, missed and late visits, and supervisory findings; identifies trends; and implements and monitors corrective action, documented and reported to leadership on a defined schedule. QAPI covers both compliance and care quality.</w:t>
      </w:r>
    </w:p>
    <w:p>
      <w:pPr>
        <w:spacing w:after="120" w:before="0" w:line="276"/>
        <w:jc w:val="left"/>
      </w:pPr>
      <w:r>
        <w:rPr>
          <w:rFonts w:ascii="Calibri" w:cs="Calibri" w:eastAsia="Calibri" w:hAnsi="Calibri"/>
          <w:b w:val="false"/>
          <w:bCs w:val="false"/>
          <w:i w:val="false"/>
          <w:iCs w:val="false"/>
          <w:color w:val="1A1A1A"/>
          <w:sz w:val="21"/>
          <w:szCs w:val="21"/>
        </w:rPr>
        <w:t xml:space="preserve">The agency uses quality data to drive real change in hiring, training, scheduling, supervision, and service planning, and verifies that corrective actions worked, treating quality improvement as continuous rather than annual.</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a written QAPI / quality management plan.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Collect and analyze quality, outcome, complaint, incident, and visit data.</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Identify trends and implement written corrective-action plans.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Monitor and verify effectiveness of actions.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Report to leadership on a defined schedule.</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Feed findings into hiring, training, scheduling, supervision, and service planning.</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QAPI Plan · Quality Review Log · Corrective Action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1.11 — Licensure Surveys and Enforcement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Licensure Surveys and Enforcement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Administration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Ch. 558, Subchapters E &amp; F (§§ 558.601–558.604)</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cooperate fully with HHSC surveys and enforcement, maintaining continuous compliance with Chapter 558. Written to comply with 26 TAC Chapter 558, Subchapters E and F.</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cooperates fully with HHSC, providing access to its place of business, records, and staff for licensure surveys, and correcting any deficiencies through a plan of correction within the timeframe HHSC sets. The agency responds to enforcement actions under Subchapter F, pays any assessed penalties while pursuing available appeal rights, and does not obstruct or delay a survey.</w:t>
      </w:r>
    </w:p>
    <w:p>
      <w:pPr>
        <w:spacing w:after="120" w:before="0" w:line="276"/>
        <w:jc w:val="left"/>
      </w:pPr>
      <w:r>
        <w:rPr>
          <w:rFonts w:ascii="Calibri" w:cs="Calibri" w:eastAsia="Calibri" w:hAnsi="Calibri"/>
          <w:b w:val="false"/>
          <w:bCs w:val="false"/>
          <w:i w:val="false"/>
          <w:iCs w:val="false"/>
          <w:color w:val="1A1A1A"/>
          <w:sz w:val="21"/>
          <w:szCs w:val="21"/>
        </w:rPr>
        <w:t xml:space="preserve">Because a violation of a Chapter 558 minimum standard is a violation of law, the agency maintains continuous survey readiness — organized records, current screening and training, and practice that matches policy — so a survey confirms rather than surprises. A survey with no recommendation for enforcement is substantial compliance, which is the agency’s standard.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HHSC access to the place of business, records, and staff for surveys.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Correct deficiencies through a plan of correction within the required timeframe.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Respond to enforcement actions and pay penalties while pursuing appeals.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Maintain continuous survey readiness.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Do not obstruct or delay a survey.</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Survey &amp; Plan-of-Correction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2 — ATTENDANT &amp; PERSONNEL MANAGEMENT (HUMAN RESOURCES)</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Texas Health and Safety Code Chapter 142 and its licensing standards at 26 Texas Administrative Code, Chapter 558 (Home and Community Support Services Agencies), Personal Assistance Services (PAS) category. Licensed and surveyed by the Texas Health and Human Services Commission (HHSC), Long-Term Care Regulatory.</w:t>
      </w:r>
    </w:p>
    <w:p>
      <w:pPr>
        <w:keepNext/>
        <w:spacing w:after="100" w:before="240"/>
      </w:pPr>
      <w:r>
        <w:rPr>
          <w:rFonts w:ascii="Calibri" w:cs="Calibri" w:eastAsia="Calibri" w:hAnsi="Calibri"/>
          <w:b/>
          <w:bCs/>
          <w:i w:val="false"/>
          <w:iCs w:val="false"/>
          <w:color w:val="1F3A5F"/>
          <w:sz w:val="24"/>
          <w:szCs w:val="24"/>
        </w:rPr>
        <w:t xml:space="preserve">Policy 2.01 — Attendant Qualifications and Hiring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Attendant Qualifications and Hiring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Human Resources / Attendant Management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 558.404; § 558.245</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hire attendants who are qualified and competent to provide PAS, so clients receive appropriate care. Written to comply with 26 TAC §§ 558.404 and 558.245.</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Attendant — </w:t>
      </w:r>
      <w:r>
        <w:rPr>
          <w:rFonts w:ascii="Calibri" w:cs="Calibri" w:eastAsia="Calibri" w:hAnsi="Calibri"/>
          <w:b w:val="false"/>
          <w:bCs w:val="false"/>
          <w:i w:val="false"/>
          <w:iCs w:val="false"/>
          <w:color w:val="1A1A1A"/>
          <w:sz w:val="21"/>
          <w:szCs w:val="21"/>
        </w:rPr>
        <w:t xml:space="preserve">an unlicensed person employed by the agency to provide personal assistance services to clients.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[Agency Name] hires attendants who meet the agency’s qualifications and Chapter 558 requirements, verifies their eligibility and screening before they serve a client, and assigns only attendants who are competent for the tasks in the client’s service plan. An unlicensed person who is at least 18 — or who is under 18, is a high school graduate or enrolled in a vocational education program, and has demonstrated competency — may perform PAS (26 TAC § 558.404(c)). The agency follows written staffing policies (§ 558.245).</w:t>
      </w:r>
    </w:p>
    <w:p>
      <w:pPr>
        <w:spacing w:after="120" w:before="0" w:line="276"/>
        <w:jc w:val="left"/>
      </w:pPr>
      <w:r>
        <w:rPr>
          <w:rFonts w:ascii="Calibri" w:cs="Calibri" w:eastAsia="Calibri" w:hAnsi="Calibri"/>
          <w:b w:val="false"/>
          <w:bCs w:val="false"/>
          <w:i w:val="false"/>
          <w:iCs w:val="false"/>
          <w:color w:val="1A1A1A"/>
          <w:sz w:val="21"/>
          <w:szCs w:val="21"/>
        </w:rPr>
        <w:t xml:space="preserve">Because attendants work alone in clients’ homes, careful hiring is a front-line safeguard; the agency verifies identity, eligibility to work, screening clearance, and task competency before assignment, and documents each attendant’s qualifications.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Hire attendants meeting agency and Chapter 558 qualifications.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Verify identity, work eligibility, and screening clearance before client contact.</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Confirm competency for the tasks in the client’s service plan.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Follow written staffing policies (§ 558.245).</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Document each attendant’s qualifications.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Attendant Qualification &amp; Hiring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2.02 — Criminal Background Checks, Employee Misconduct Registry, and Nurse Aide Registry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Criminal Background Checks, Employee Misconduct Registry, and Nurse Aide Registry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Human Resources / Attendant Management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Tex. H.S.C. Ch. 250, 253; 26 TAC Ch. 558</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clients by screening every attendant and covered person through criminal background checks and the required registries before contact with clients. Written to comply with Texas Health and Safety Code Chapters 250 and 253 and Chapter 558.</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Employee Misconduct Registry (EMR) — </w:t>
      </w:r>
      <w:r>
        <w:rPr>
          <w:rFonts w:ascii="Calibri" w:cs="Calibri" w:eastAsia="Calibri" w:hAnsi="Calibri"/>
          <w:b w:val="false"/>
          <w:bCs w:val="false"/>
          <w:i w:val="false"/>
          <w:iCs w:val="false"/>
          <w:color w:val="1A1A1A"/>
          <w:sz w:val="21"/>
          <w:szCs w:val="21"/>
        </w:rPr>
        <w:t xml:space="preserve">the Texas registry of unlicensed personnel found to have abused, neglected, or exploited a client; an agency may not employ a person listed on it.</w:t>
      </w:r>
    </w:p>
    <w:p>
      <w:pPr>
        <w:spacing w:after="70" w:line="276"/>
      </w:pPr>
      <w:r>
        <w:rPr>
          <w:rFonts w:ascii="Calibri" w:cs="Calibri" w:eastAsia="Calibri" w:hAnsi="Calibri"/>
          <w:b/>
          <w:bCs/>
          <w:i w:val="false"/>
          <w:iCs w:val="false"/>
          <w:color w:val="1A1A1A"/>
          <w:sz w:val="21"/>
          <w:szCs w:val="21"/>
        </w:rPr>
        <w:t xml:space="preserve">Nurse Aide Registry (NAR) — </w:t>
      </w:r>
      <w:r>
        <w:rPr>
          <w:rFonts w:ascii="Calibri" w:cs="Calibri" w:eastAsia="Calibri" w:hAnsi="Calibri"/>
          <w:b w:val="false"/>
          <w:bCs w:val="false"/>
          <w:i w:val="false"/>
          <w:iCs w:val="false"/>
          <w:color w:val="1A1A1A"/>
          <w:sz w:val="21"/>
          <w:szCs w:val="21"/>
        </w:rPr>
        <w:t xml:space="preserve">the Texas registry of nurse aides, checked for findings that bar employment.</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Before an attendant, owner, administrator, or other covered person has contact with a client, that person completes a criminal background check — including DPS and FBI fingerprint-based checks — and the agency verifies the person is not listed on the Employee Misconduct Registry or barred by the Nurse Aide Registry (Texas Health and Safety Code Chapters 250 and 253). A person with a disqualifying finding is not employed in a role with client contact.</w:t>
      </w:r>
    </w:p>
    <w:p>
      <w:pPr>
        <w:spacing w:after="120" w:before="0" w:line="276"/>
        <w:jc w:val="left"/>
      </w:pPr>
      <w:r>
        <w:rPr>
          <w:rFonts w:ascii="Calibri" w:cs="Calibri" w:eastAsia="Calibri" w:hAnsi="Calibri"/>
          <w:b w:val="false"/>
          <w:bCs w:val="false"/>
          <w:i w:val="false"/>
          <w:iCs w:val="false"/>
          <w:color w:val="1A1A1A"/>
          <w:sz w:val="21"/>
          <w:szCs w:val="21"/>
        </w:rPr>
        <w:t xml:space="preserve">Because PAS attendants work alone with clients who may be frail, cognitively impaired, or unable to report mistreatment, rigorous screening is the agency’s primary safeguard; the agency checks the required registries at hire and re-checks as required, does not allow an unscreened person to serve a client, and keeps screening documentation on file.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Complete DPS and FBI criminal background checks before client contact.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Verify the person is not on the Employee Misconduct Registry.</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Verify the person is not barred by the Nurse Aide Registry.</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 not employ a person with a disqualifying finding in a client-contact role.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Re-check registries as required and act on any later finding.</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Keep screening documentation on file.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Background Check, EMR &amp; NAR Verification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2.03 — Employment and Personnel Records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Employment and Personnel Records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Human Resources / Attendant Management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 558.245, 558.301</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maintain a complete, current, confidential personnel record for each attendant and staff member. Written to comply with 26 TAC §§ 558.245 and 558.301.</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maintains a personnel record for each attendant, administrator, alternate administrator, supervisor, and staff member containing the elements Chapter 558 and agency policy require — identifying information, proof of eligibility, background-check and registry-verification results, training and competency documentation, job description, and employment dates — kept confidential, secured, and available to HHSC surveyors. The agency classifies attendants correctly and complies with applicable employment law.</w:t>
      </w:r>
    </w:p>
    <w:p>
      <w:pPr>
        <w:spacing w:after="120" w:before="0" w:line="276"/>
        <w:jc w:val="left"/>
      </w:pPr>
      <w:r>
        <w:rPr>
          <w:rFonts w:ascii="Calibri" w:cs="Calibri" w:eastAsia="Calibri" w:hAnsi="Calibri"/>
          <w:b w:val="false"/>
          <w:bCs w:val="false"/>
          <w:i w:val="false"/>
          <w:iCs w:val="false"/>
          <w:color w:val="1A1A1A"/>
          <w:sz w:val="21"/>
          <w:szCs w:val="21"/>
        </w:rPr>
        <w:t xml:space="preserve">Complete personnel documentation is how the agency proves each attendant was eligible, screened, and competent; the agency secures these records, limits access to authorized persons, and keeps them current as screening and training renew.</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a personnel record with every required element for each attendant and staff member.</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File background-check, EMR/NAR, training, and competency documentation.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Secure records and limit access to authorized persons.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Keep records current as screening and training renew.</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Make records available to HHSC surveyors.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Personnel File Checklist · Job Descriptions</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2.04 — Attendant Training and Competency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Attendant Training and Competency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Human Resources / Attendant Management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 558.404, 558.245; 22 TAC Ch. 225</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train attendants and verify their competency for the tasks they perform before they serve clients and on an ongoing basis. Written to comply with 26 TAC §§ 558.404 and 558.245.</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Each attendant completes agency training and demonstrates competency for the personal-care and health-related tasks assigned before providing those tasks to a client, consistent with the agency’s written policies and, for any delegated health-related task, the RN-delegation requirements of 22 TAC Chapter 225. Texas does not set a single statutory training-hour count for PAS attendants; the agency defines a competency-based training program covering client rights, confidentiality, infection control, emergency response, safe personal-care and transfer technique, recognizing and reporting change in condition and abuse, documentation and EVV, and any client-specific tasks, and validates competency — not just attendance.</w:t>
      </w:r>
    </w:p>
    <w:p>
      <w:pPr>
        <w:spacing w:after="120" w:before="0" w:line="276"/>
        <w:jc w:val="left"/>
      </w:pPr>
      <w:r>
        <w:rPr>
          <w:rFonts w:ascii="Calibri" w:cs="Calibri" w:eastAsia="Calibri" w:hAnsi="Calibri"/>
          <w:b w:val="false"/>
          <w:bCs w:val="false"/>
          <w:i w:val="false"/>
          <w:iCs w:val="false"/>
          <w:color w:val="1A1A1A"/>
          <w:sz w:val="21"/>
          <w:szCs w:val="21"/>
        </w:rPr>
        <w:t xml:space="preserve">Good training is both a safety measure and a selling point that clients, families, payers, and managed-care organizations expect; the agency trains beyond the minimum where the work requires it, re-trains after any performance concern, and documents each attendant’s training and competency validation.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competency-based training before an attendant performs assigned tasks.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Validate competency for each personal-care and health-related task (not just attendance).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Meet 22 TAC Ch. 225 requirements for any delegated health-related task.</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Cover client rights, infection control, emergencies, transfers, condition/abuse reporting, and documentation/EVV.</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Re-train after any performance concern and refresh on a schedule.</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training and competency validation for each attendant.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Attendant Training &amp; Competency Record · Orientation Checklist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2.05 — Supervision of Attendants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Supervision of Attendants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Human Resources / Attendant Management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 558.404(g)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supervise attendants so care is delivered as planned and problems are caught early, using qualified supervisors as Chapter 558 requires. Written to comply with 26 TAC § 558.404(g).</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Supervisor — </w:t>
      </w:r>
      <w:r>
        <w:rPr>
          <w:rFonts w:ascii="Calibri" w:cs="Calibri" w:eastAsia="Calibri" w:hAnsi="Calibri"/>
          <w:b w:val="false"/>
          <w:bCs w:val="false"/>
          <w:i w:val="false"/>
          <w:iCs w:val="false"/>
          <w:color w:val="1A1A1A"/>
          <w:sz w:val="21"/>
          <w:szCs w:val="21"/>
        </w:rPr>
        <w:t xml:space="preserve">a person who supervises the delivery of PAS and is a licensed nurse or has completed two years of full-time college study (with substitutions allowed as § 558.404(g) provides).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adopts and enforces a written policy on the supervision of personnel, with input from the client or family on the frequency of supervision (26 TAC § 558.404(g)). A supervisor must be a licensed nurse or have completed two years of full-time study at an accredited college or university (with the substitutions § 558.404(g) allows), except that a client in a client-managed attendant care program need not meet that supervision standard. Supervision — review of documentation and EVV, client feedback, supervisory contact, and supervisory visits — confirms care is delivered per the service plan, identifies training or performance needs, and catches change in a client’s condition, and is documented.</w:t>
      </w:r>
    </w:p>
    <w:p>
      <w:pPr>
        <w:spacing w:after="120" w:before="0" w:line="276"/>
        <w:jc w:val="left"/>
      </w:pPr>
      <w:r>
        <w:rPr>
          <w:rFonts w:ascii="Calibri" w:cs="Calibri" w:eastAsia="Calibri" w:hAnsi="Calibri"/>
          <w:b w:val="false"/>
          <w:bCs w:val="false"/>
          <w:i w:val="false"/>
          <w:iCs w:val="false"/>
          <w:color w:val="1A1A1A"/>
          <w:sz w:val="21"/>
          <w:szCs w:val="21"/>
        </w:rPr>
        <w:t xml:space="preserve">Because attendants work unsupervised in the home, active supervision by a qualified supervisor is how the agency maintains quality and safety at a distance; it uses supervisory findings to coach attendants, update service plans, and improve assignment, and responds promptly to any concern.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Adopt and enforce a written supervision policy with client/family input on frequency.</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Use supervisors who meet the § 558.404(g) qualifications.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Review documentation and EVV, gather client feedback, and conduct supervisory contact/visits.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Confirm care is delivered per the individualized service plan.</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Identify and address training and performance needs.</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supervision and act promptly on concerns.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Supervision Log · Supervisory Visit Note</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2.06 — Delegation of Health-Related Tasks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Delegation of Health-Related Tasks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Human Resources / Attendant Management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TAC Ch. 225; 26 TAC § 558.404(d)</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any health-related task an attendant performs is properly delegated or determined not to require delegation by an RN, protecting clients and keeping attendants within their scope. Written to comply with 22 TAC Chapter 225 and 26 TAC § 558.404(d).</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adopts, implements, and enforces a written policy ensuring that any health-related task an attendant performs is either delegated by a registered nurse or determined by an RN not to require delegation, in accordance with the Texas Board of Nursing rules on RN delegation to unlicensed personnel (22 TAC Chapter 225), or is a task delegated by a physician under Texas Occupations Code Chapter 157. Attendants do not perform tasks that are the practice of professional nursing outside that framework, and do not administer medication as a nursing act (a medication aide permit or licensed nurse is required to administer).</w:t>
      </w:r>
    </w:p>
    <w:p>
      <w:pPr>
        <w:spacing w:after="120" w:before="0" w:line="276"/>
        <w:jc w:val="left"/>
      </w:pPr>
      <w:r>
        <w:rPr>
          <w:rFonts w:ascii="Calibri" w:cs="Calibri" w:eastAsia="Calibri" w:hAnsi="Calibri"/>
          <w:b w:val="false"/>
          <w:bCs w:val="false"/>
          <w:i w:val="false"/>
          <w:iCs w:val="false"/>
          <w:color w:val="1A1A1A"/>
          <w:sz w:val="21"/>
          <w:szCs w:val="21"/>
        </w:rPr>
        <w:t xml:space="preserve">Delegation protects the client and the attendant: it ensures a nurse has judged the task appropriate for the specific client and attendant, with the required teaching and supervision; the agency documents each delegation or RN determination and the attendant’s competency for the task.</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a written RN-delegation policy implementing 22 TAC Ch. 225.</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Have an RN delegate, or determine no delegation is required for, each health-related task.</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Ensure attendant competency and required RN teaching/supervision for delegated tasks.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Keep attendants within scope — no professional nursing outside the framework.</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Do not administer medication without a nurse or medication aide permit.</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each delegation or RN determination.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RN Delegation / Determination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2.07 — Attendant Assignment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Attendant Assignment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Human Resources / Attendant Management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 558.404, 558.245</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assign competent attendants matched to each client’s service plan, so clients receive appropriate care. Written to comply with Chapter 558.</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assigns to each client an attendant who is screened, trained, and competent for the tasks in the client’s individualized service plan, matching the attendant’s skills to the client’s needs (personal care, delegated health-related tasks, language, continuity). The agency documents the assignment and reassigns when a match is not working, communicating changes to the client.</w:t>
      </w:r>
    </w:p>
    <w:p>
      <w:pPr>
        <w:spacing w:after="120" w:before="0" w:line="276"/>
        <w:jc w:val="left"/>
      </w:pPr>
      <w:r>
        <w:rPr>
          <w:rFonts w:ascii="Calibri" w:cs="Calibri" w:eastAsia="Calibri" w:hAnsi="Calibri"/>
          <w:b w:val="false"/>
          <w:bCs w:val="false"/>
          <w:i w:val="false"/>
          <w:iCs w:val="false"/>
          <w:color w:val="1A1A1A"/>
          <w:sz w:val="21"/>
          <w:szCs w:val="21"/>
        </w:rPr>
        <w:t xml:space="preserve">Matching the right attendant to the right client is both a quality and a safety decision; the agency does not assign an attendant to a task for which the attendant is not competent or, where required, not delegated.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Assign only screened, trained, competent attendants.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Match the attendant’s competency to the client’s service-plan tasks and needs.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Do not assign tasks for which the attendant is not competent or delegated.</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Document the assignment.</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Reassign when a match is not working and communicate changes to the client.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Attendant Assignment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2.08 — Labor Law Compliance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Labor Law Compliance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Human Resources / Attendant Management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Fair Labor Standards Act; Texas Payday Law; Texas Labor Code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comply with the employment laws that apply to the agency’s attendants in Texas. Written to comply with the Fair Labor Standards Act and Texas employment law.</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complies with the federal Fair Labor Standards Act — at least the federal minimum wage and overtime at one-and-one-half times the regular rate for hours worked over 40 in a workweek, applied correctly to home-care realities such as travel time between clients and live-in arrangements — and with the Texas Payday Law and applicable federal law (including FMLA where the agency meets the threshold). Texas does not impose daily overtime, a state minimum wage above the federal rate, a state paid-sick-leave mandate, or a Domestic Worker Bill of Rights, and Texas does not require workers’ compensation; the agency makes an informed decision on workers’ compensation and, if it does not subscribe, complies with the Texas non-subscriber notice and reporting requirements.</w:t>
      </w:r>
    </w:p>
    <w:p>
      <w:pPr>
        <w:spacing w:after="120" w:before="0" w:line="276"/>
        <w:jc w:val="left"/>
      </w:pPr>
      <w:r>
        <w:rPr>
          <w:rFonts w:ascii="Calibri" w:cs="Calibri" w:eastAsia="Calibri" w:hAnsi="Calibri"/>
          <w:b w:val="false"/>
          <w:bCs w:val="false"/>
          <w:i w:val="false"/>
          <w:iCs w:val="false"/>
          <w:color w:val="1A1A1A"/>
          <w:sz w:val="21"/>
          <w:szCs w:val="21"/>
        </w:rPr>
        <w:t xml:space="preserve">Wage-and-hour compliance is a real source of liability even under the federal framework — especially overtime, travel time, and correct worker classification — so the agency builds compliant timekeeping and payroll from the start and trains supervisors on the rules that most often cause errors.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Pay at least the federal minimum wage and FLSA overtime after 40 hours per workweek.</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Account for travel time between clients and live-in rules.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Comply with the Texas Payday Law and applicable federal law (e.g., FMLA where applicable).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Classify attendants correctly as employees.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Decide on workers’ compensation and meet non-subscriber requirements if not carried.</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Maintain accurate timekeeping and payroll records.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Timekeeping &amp; Wage Compliance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2.09 — Attendant Conduct and Professional Boundaries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Attendant Conduct and Professional Boundaries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Human Resources / Attendant Management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Ch. 558; agency code of conduct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hold attendants to clear standards of conduct and professional boundaries in the client’s home. Written to align with Chapter 558.</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Attendants follow the agency’s code of conduct: they respect client dignity, privacy, property, and choices; keep client information confidential; maintain professional boundaries (no borrowing or lending money, no accepting gifts beyond agency policy, no personal business with clients, no unauthorized persons in the home); do not use, possess, or work under the influence of alcohol or drugs; and never subject a client to abuse, neglect, exploitation, or mistreatment. Violations are grounds for discipline up to termination and, where required, reporting to HHSC and the Employee Misconduct Registry process.</w:t>
      </w:r>
    </w:p>
    <w:p>
      <w:pPr>
        <w:spacing w:after="120" w:before="0" w:line="276"/>
        <w:jc w:val="left"/>
      </w:pPr>
      <w:r>
        <w:rPr>
          <w:rFonts w:ascii="Calibri" w:cs="Calibri" w:eastAsia="Calibri" w:hAnsi="Calibri"/>
          <w:b w:val="false"/>
          <w:bCs w:val="false"/>
          <w:i w:val="false"/>
          <w:iCs w:val="false"/>
          <w:color w:val="1A1A1A"/>
          <w:sz w:val="21"/>
          <w:szCs w:val="21"/>
        </w:rPr>
        <w:t xml:space="preserve">Because attendants work alone in clients’ homes and often with vulnerable people, clear boundaries protect both the client and the attendant; the agency trains on boundaries, monitors through supervision and client feedback, and acts on any violation.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and train on the code of conduct and professional-boundary rules.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Require respect for client dignity, privacy, property, and choices.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Prohibit financial entanglement, unauthorized persons, and impairment.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Monitor through supervision and client feedback.</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Discipline violations up to termination and report where required.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Code of Conduct Acknowledgment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2.10 — Mandated Abuse, Neglect, and Exploitation Reporting by Staff</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Mandated Abuse, Neglect, and Exploitation Reporting by Staff</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Human Resources / Attendant Management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 558.250; Tex. Human Resources Code Ch. 48</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ensure the agency and its staff report known or suspected abuse, neglect, or exploitation of a client immediately. Written to comply with 26 TAC § 558.250 and Texas reporting law.</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and its staff report known or suspected abuse, neglect, or financial exploitation of a client immediately — to the Texas Department of Family and Protective Services / Adult Protective Services and, where a person is in immediate danger, to law enforcement (911) — and the agency self-reports allegations to HHSC as § 558.250 requires (through TULIP or the HHSC intake line). The agency protects the client, cooperates with investigations, and takes no reprisal against a reporter.</w:t>
      </w:r>
    </w:p>
    <w:p>
      <w:pPr>
        <w:spacing w:after="120" w:before="0" w:line="276"/>
        <w:jc w:val="left"/>
      </w:pPr>
      <w:r>
        <w:rPr>
          <w:rFonts w:ascii="Calibri" w:cs="Calibri" w:eastAsia="Calibri" w:hAnsi="Calibri"/>
          <w:b w:val="false"/>
          <w:bCs w:val="false"/>
          <w:i w:val="false"/>
          <w:iCs w:val="false"/>
          <w:color w:val="1A1A1A"/>
          <w:sz w:val="21"/>
          <w:szCs w:val="21"/>
        </w:rPr>
        <w:t xml:space="preserve">This duty is heightened in PAS because attendants may be the only outside person who sees a client regularly and may witness harm by a family member or another party; the agency trains and drills staff to recognize and immediately report abuse, neglect, and financial exploitation, and documents every report.</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Report known or suspected ANE immediately to DFPS/APS (and 911 if in immediate danger).</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Self-report allegations to HHSC per § 558.250 (via TULIP or the HHSC intake line).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Protect the client and cooperate fully with investigations.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Take no reprisal against a reporter.</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Train and drill staff to recognize and report ANE.</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every report.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ANE Reporting Form &amp;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2.11 — Workplace Violence Prevention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Workplace Violence Prevention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Human Resources / Attendant Management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Texas SB 240 (2023); agency workplace-violence policy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attendants and staff from workplace violence through a prevention program, consistent with Texas law. Written to comply with the Texas workplace-violence-prevention requirement (SB 240).</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maintains a workplace violence prevention program consistent with Texas SB 240, including a written plan, a means for employees to report workplace-violence incidents and concerns without retaliation, training on recognizing and responding to workplace violence, and procedures to address reported risks — applied to the realities of attendants who work alone in clients’ homes and the community. The agency reviews and updates the program as required and as HHSC finalizes related Chapter 558 rules.</w:t>
      </w:r>
    </w:p>
    <w:p>
      <w:pPr>
        <w:spacing w:after="120" w:before="0" w:line="276"/>
        <w:jc w:val="left"/>
      </w:pPr>
      <w:r>
        <w:rPr>
          <w:rFonts w:ascii="Calibri" w:cs="Calibri" w:eastAsia="Calibri" w:hAnsi="Calibri"/>
          <w:b w:val="false"/>
          <w:bCs w:val="false"/>
          <w:i w:val="false"/>
          <w:iCs w:val="false"/>
          <w:color w:val="1A1A1A"/>
          <w:sz w:val="21"/>
          <w:szCs w:val="21"/>
        </w:rPr>
        <w:t xml:space="preserve">Because attendants can face threats or violence in the field, a real prevention program protects them and supports retention; the agency trains attendants, encourages reporting, and acts on reported risks, including reassessing or ending an assignment where a safe environment cannot be maintained.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a written workplace violence prevention plan (SB 240).</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Provide a non-retaliatory way to report workplace-violence incidents and concerns.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Train staff to recognize and respond to workplace violence.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Address reported risks and unsafe assignments.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Review and update the program as required.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Workplace Violence Prevention Plan · Incident/Concern Report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2.12 — Workplace Safety and Injury Prevention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Workplace Safety and Injury Prevention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Human Resources / Attendant Management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OSHA; agency safety program</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attendants’ health and safety in the field. Written to align with OSHA and good practice.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provides safety training and safe-work procedures for attendants — safe transfers and body mechanics, infection prevention, home-hazard awareness, personal safety, and safe transportation — consistent with OSHA general-duty obligations, and provides a way to report injuries and unsafe conditions without reprisal. Because Texas does not require workers’ compensation, the agency communicates clearly how a work injury is handled under its chosen approach.</w:t>
      </w:r>
    </w:p>
    <w:p>
      <w:pPr>
        <w:spacing w:after="120" w:before="0" w:line="276"/>
        <w:jc w:val="left"/>
      </w:pPr>
      <w:r>
        <w:rPr>
          <w:rFonts w:ascii="Calibri" w:cs="Calibri" w:eastAsia="Calibri" w:hAnsi="Calibri"/>
          <w:b w:val="false"/>
          <w:bCs w:val="false"/>
          <w:i w:val="false"/>
          <w:iCs w:val="false"/>
          <w:color w:val="1A1A1A"/>
          <w:sz w:val="21"/>
          <w:szCs w:val="21"/>
        </w:rPr>
        <w:t xml:space="preserve">Attendants face real field hazards — lifting injuries, exposure, unsafe homes, and travel — and protecting them is both prudent and a retention strategy; the agency trains attendants, encourages reporting, and addresses reported hazards.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Train attendants on safe transfers, infection prevention, home hazards, and personal safety.</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Provide procedures to report injuries and unsafe conditions without reprisal.</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Communicate how work injuries are handled (workers’ comp or non-subscriber approach).</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Address reported hazards and injuries promptly.</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Document safety training and reports.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Safety Program · Injury / Hazard Report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3 — CLIENT SERVICES &amp; CARE PLANNING</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Texas Health and Safety Code Chapter 142 and its licensing standards at 26 Texas Administrative Code, Chapter 558 (Home and Community Support Services Agencies), Personal Assistance Services (PAS) category. Licensed and surveyed by the Texas Health and Human Services Commission (HHSC), Long-Term Care Regulatory.</w:t>
      </w:r>
    </w:p>
    <w:p>
      <w:pPr>
        <w:keepNext/>
        <w:spacing w:after="100" w:before="240"/>
      </w:pPr>
      <w:r>
        <w:rPr>
          <w:rFonts w:ascii="Calibri" w:cs="Calibri" w:eastAsia="Calibri" w:hAnsi="Calibri"/>
          <w:b/>
          <w:bCs/>
          <w:i w:val="false"/>
          <w:iCs w:val="false"/>
          <w:color w:val="1F3A5F"/>
          <w:sz w:val="24"/>
          <w:szCs w:val="24"/>
        </w:rPr>
        <w:t xml:space="preserve">Policy 3.01 — Intake, Assessment, and On-Site Determination of Services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Intake, Assessment, and On-Site Determination of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Client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 558.404(f)</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determine each client’s needs through intake and an on-site visit, so services and the service plan fit the client. Written to comply with 26 TAC § 558.404(f).</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On-site determination — </w:t>
      </w:r>
      <w:r>
        <w:rPr>
          <w:rFonts w:ascii="Calibri" w:cs="Calibri" w:eastAsia="Calibri" w:hAnsi="Calibri"/>
          <w:b w:val="false"/>
          <w:bCs w:val="false"/>
          <w:i w:val="false"/>
          <w:iCs w:val="false"/>
          <w:color w:val="1A1A1A"/>
          <w:sz w:val="21"/>
          <w:szCs w:val="21"/>
        </w:rPr>
        <w:t xml:space="preserve">the supervisor’s visit to where services will primarily be delivered, used to determine the services the client needs (26 TAC § 558.404(f)).</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Before or at the start of service, the agency determines the client’s needs through intake and, as § 558.404(f) requires, documents a determination of services based on an on-site visit by the supervisor where services will primarily be delivered. The determination considers the client’s personal-care and instrumental needs, any health-related tasks and whether they require RN delegation, the home environment and safety, the client’s goals and preferences, and any payer or managed-care authorization. It is the basis for the individualized service plan and is retained in the client record.</w:t>
      </w:r>
    </w:p>
    <w:p>
      <w:pPr>
        <w:spacing w:after="120" w:before="0" w:line="276"/>
        <w:jc w:val="left"/>
      </w:pPr>
      <w:r>
        <w:rPr>
          <w:rFonts w:ascii="Calibri" w:cs="Calibri" w:eastAsia="Calibri" w:hAnsi="Calibri"/>
          <w:b w:val="false"/>
          <w:bCs w:val="false"/>
          <w:i w:val="false"/>
          <w:iCs w:val="false"/>
          <w:color w:val="1A1A1A"/>
          <w:sz w:val="21"/>
          <w:szCs w:val="21"/>
        </w:rPr>
        <w:t xml:space="preserve">A real assessment in the actual home is what makes the service plan safe and workable: it surfaces the transfer risks, the medication situation, the equipment, and the household dynamics that determine what an attendant will face. The agency confirms the client’s needs can be met within its PAS scope, and reassesses when the client’s needs change.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Complete intake and confirm the client’s needs fit the agency’s PAS scope.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Conduct and document the supervisor’s on-site determination where services are primarily delivered (§ 558.404(f)).</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Assess personal-care and health-related needs, home safety, goals, and payer authorization.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Identify any health-related tasks requiring RN delegation.</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Use the determination to build the individualized service plan and retain it.</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Reassess when the client’s needs change.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Intake Form · On-Site Determination / Assessment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3.02 — Individualized Service Plan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Individualized Service Plan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Client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 558.404(f)</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develop, agree on, and follow an individualized service plan for each client. Written to comply with 26 TAC § 558.404(f).</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Individualized service plan (ISP) — </w:t>
      </w:r>
      <w:r>
        <w:rPr>
          <w:rFonts w:ascii="Calibri" w:cs="Calibri" w:eastAsia="Calibri" w:hAnsi="Calibri"/>
          <w:b w:val="false"/>
          <w:bCs w:val="false"/>
          <w:i w:val="false"/>
          <w:iCs w:val="false"/>
          <w:color w:val="1A1A1A"/>
          <w:sz w:val="21"/>
          <w:szCs w:val="21"/>
        </w:rPr>
        <w:t xml:space="preserve">the plan, developed and agreed upon and signed by the client or family and the agency, specifying the services, supplies, and equipment to be provided (26 TAC § 558.404(f)).</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develops an individualized service plan for each client that is agreed upon and signed by the client or family and the agency, and that includes the types of services, supplies, and equipment to be provided, as § 558.404(f) requires. Where the client is served through a Texas Medicaid managed-care program, the plan is consistent with the authorization in the member’s plan of care or service authorization. Attendants deliver services according to the plan, and the agency reviews and updates it when the client’s needs change and confirms it against any payer authorization.</w:t>
      </w:r>
    </w:p>
    <w:p>
      <w:pPr>
        <w:spacing w:after="120" w:before="0" w:line="276"/>
        <w:jc w:val="left"/>
      </w:pPr>
      <w:r>
        <w:rPr>
          <w:rFonts w:ascii="Calibri" w:cs="Calibri" w:eastAsia="Calibri" w:hAnsi="Calibri"/>
          <w:b w:val="false"/>
          <w:bCs w:val="false"/>
          <w:i w:val="false"/>
          <w:iCs w:val="false"/>
          <w:color w:val="1A1A1A"/>
          <w:sz w:val="21"/>
          <w:szCs w:val="21"/>
        </w:rPr>
        <w:t xml:space="preserve">The service plan is the agency’s promise to the client and the attendant’s instructions: it says what will be done, how often, and by whom, so care is consistent and accountable. The agency writes plans clients can understand, involves them in the plan, and keeps the plan current.</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Develop an ISP agreed upon and signed by the client or family and the agency.</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Include the types of services, supplies, and equipment to be provided.</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Keep the ISP consistent with any Medicaid/MCO authorization.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Have attendants deliver services per the ISP.</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Review and update the ISP when needs change and confirm against payer authorization.</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Retain the signed ISP in the client record.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Individualized Service Plan</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3.03 — Client Rights and Responsibilities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Client Rights and Responsibilities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Client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Ch. 558; § 558.404(e)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honor each client’s rights and communicate their responsibilities. Written to align with Chapter 558.</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provides each client a written statement of client rights at the start of service and honors those rights throughout: to be treated with dignity and respect; to privacy and confidentiality; to be informed about services, rates, and the service plan; to participate in decisions and to accept or refuse services; to a safe environment free from abuse, neglect, and exploitation; to voice complaints to the agency and to HHSC without reprisal; and to individual and family choice and control, functional need, and accessible and flexible services (§ 558.404(e)). Clients are also informed of their responsibilities, such as providing a safe work environment and accurate information.</w:t>
      </w:r>
    </w:p>
    <w:p>
      <w:pPr>
        <w:spacing w:after="120" w:before="0" w:line="276"/>
        <w:jc w:val="left"/>
      </w:pPr>
      <w:r>
        <w:rPr>
          <w:rFonts w:ascii="Calibri" w:cs="Calibri" w:eastAsia="Calibri" w:hAnsi="Calibri"/>
          <w:b w:val="false"/>
          <w:bCs w:val="false"/>
          <w:i w:val="false"/>
          <w:iCs w:val="false"/>
          <w:color w:val="1A1A1A"/>
          <w:sz w:val="21"/>
          <w:szCs w:val="21"/>
        </w:rPr>
        <w:t xml:space="preserve">Because attendants enter the client’s home and daily life, respecting rights — especially privacy, autonomy, and choice — is central to good PAS; the agency trains attendants on client rights, monitors through supervision and feedback, and corrects any violation.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written client rights at the start of service.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Honor dignity, privacy, information, participation, choice, safety, and complaint rights.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Build operations around individual/family choice and control and flexible services (§ 558.404(e)).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Inform clients of their responsibilities.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Train attendants on client rights and monitor compliance.</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Correct any violation of client rights.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Client Rights &amp; Responsibilities Statement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3.04 — Personal Care Services (ADLs)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Personal Care Services (ADLs)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Client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 558.2, 558.404</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deliver personal care with activities of daily living safely and respectfully. Written to comply with Chapter 558.</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Attendants assist clients with activities of daily living — bathing, grooming, dressing, toileting and incontinence care, transferring and mobility, positioning, and eating — as specified in the individualized service plan, using safe technique and respecting privacy and dignity. Attendants use safe transfer and body-mechanics practices, follow infection-prevention procedures, and report any change in the client’s condition or skin integrity to the supervisor.</w:t>
      </w:r>
    </w:p>
    <w:p>
      <w:pPr>
        <w:spacing w:after="120" w:before="0" w:line="276"/>
        <w:jc w:val="left"/>
      </w:pPr>
      <w:r>
        <w:rPr>
          <w:rFonts w:ascii="Calibri" w:cs="Calibri" w:eastAsia="Calibri" w:hAnsi="Calibri"/>
          <w:b w:val="false"/>
          <w:bCs w:val="false"/>
          <w:i w:val="false"/>
          <w:iCs w:val="false"/>
          <w:color w:val="1A1A1A"/>
          <w:sz w:val="21"/>
          <w:szCs w:val="21"/>
        </w:rPr>
        <w:t xml:space="preserve">ADL assistance is intimate and carries real risk — falls during transfers, skin breakdown, choking during feeding — so competency and attentiveness matter; the agency trains attendants in safe technique, matches assignments to competency, and expects prompt reporting of anything that changes.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Assist with ADLs as specified in the service plan.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Use safe transfer, body-mechanics, and positioning technique.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Protect privacy and dignity during personal care.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Follow infection-prevention procedures.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Report any change in condition or skin integrity to the supervisor.</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care and observations.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Personal Care Task Sheet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3.05 — Instrumental, Homemaker, and Companion Services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Instrumental, Homemaker, and Companion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Client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 558.2</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deliver instrumental, homemaker, and companion services that support the client’s independence and safety. Written to comply with Chapter 558.</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Attendants assist clients with instrumental activities of daily living and homemaker and companion services as specified in the service plan — meal preparation, light housekeeping, laundry, shopping and errands, medication reminders, escort and transportation support, and companionship — in a way that supports the client’s independence and preferences. Attendants perform these tasks within the non-medical scope and report concerns (unsafe home conditions, inadequate food, isolation, decline) to the supervisor.</w:t>
      </w:r>
    </w:p>
    <w:p>
      <w:pPr>
        <w:spacing w:after="120" w:before="0" w:line="276"/>
        <w:jc w:val="left"/>
      </w:pPr>
      <w:r>
        <w:rPr>
          <w:rFonts w:ascii="Calibri" w:cs="Calibri" w:eastAsia="Calibri" w:hAnsi="Calibri"/>
          <w:b w:val="false"/>
          <w:bCs w:val="false"/>
          <w:i w:val="false"/>
          <w:iCs w:val="false"/>
          <w:color w:val="1A1A1A"/>
          <w:sz w:val="21"/>
          <w:szCs w:val="21"/>
        </w:rPr>
        <w:t xml:space="preserve">These services keep clients safe at home and often prevent decline, and they give attendants a regular window into the client’s wellbeing; the agency has attendants perform them respectfully, honor client preferences, and escalate concerns they observe.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Provide IADL, homemaker, and companion services per the service plan.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Support the client’s independence and honor preferences.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Give medication reminders (not administration) within scope.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Report unsafe conditions, inadequate food, isolation, or decline to the supervisor.</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Document services and observations.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IADL / Homemaker Task Sheet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3.06 — Health-Related Tasks and Medication Assistance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Health-Related Tasks and Medication Assistance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Client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22 TAC Ch. 225; 26 TAC § 558.404(d); Tex. H.S.C. Ch. 142, Subch. B</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perform health-related tasks and assist with medication only within the non-medical PAS scope and the delegation framework. Written to comply with 22 TAC Chapter 225 and 26 TAC § 558.404(d).</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Attendants perform health-related tasks only when an RN has delegated the task or determined it does not require delegation under 22 TAC Chapter 225 (or a physician has delegated under Occupations Code Chapter 157), and they assist with — but do not administer — medication. Assistance with self-administered medication may include reminders, opening containers, and helping a client take medication the client directs; administration of medication requires a licensed nurse or a home health medication aide holding a permit under Chapter 142, Subchapter B. Attendants document assistance and report any medication problem or refusal to the supervisor.</w:t>
      </w:r>
    </w:p>
    <w:p>
      <w:pPr>
        <w:spacing w:after="120" w:before="0" w:line="276"/>
        <w:jc w:val="left"/>
      </w:pPr>
      <w:r>
        <w:rPr>
          <w:rFonts w:ascii="Calibri" w:cs="Calibri" w:eastAsia="Calibri" w:hAnsi="Calibri"/>
          <w:b w:val="false"/>
          <w:bCs w:val="false"/>
          <w:i w:val="false"/>
          <w:iCs w:val="false"/>
          <w:color w:val="1A1A1A"/>
          <w:sz w:val="21"/>
          <w:szCs w:val="21"/>
        </w:rPr>
        <w:t xml:space="preserve">Medication is where non-medical home care most often crosses into medical territory, and errors are dangerous, so the agency draws a bright line: attendants assist and remind within the client’s direction and any RN delegation, and never administer as a nursing act without the required nurse or permit.</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Perform health-related tasks only under RN delegation/determination (22 TAC Ch. 225) or physician delegation.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Assist with self-administered medication (reminders, opening, support) — do not administer.</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Require a licensed nurse or medication aide permit for medication administration.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Document medication assistance.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Report any medication problem, error, or refusal to the supervisor immediately.</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Medication Assistance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3.07 — Change in Client Condition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Change in Client Condition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Client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 558.404; agency policy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detect and respond to changes in a client’s condition so needs continue to be met safely. Written to align with Chapter 558.</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Attendants observe for and promptly report changes in a client’s physical, functional, cognitive, or emotional condition — new weakness, falls, skin changes, confusion, weight change, mood change, or signs of illness — to the supervisor, who assesses, updates the service plan, coordinates with the client’s physician or managed-care organization as needed, and refers to skilled care when the client’s needs exceed PAS. In an emergency, staff call 911 first.</w:t>
      </w:r>
    </w:p>
    <w:p>
      <w:pPr>
        <w:spacing w:after="120" w:before="0" w:line="276"/>
        <w:jc w:val="left"/>
      </w:pPr>
      <w:r>
        <w:rPr>
          <w:rFonts w:ascii="Calibri" w:cs="Calibri" w:eastAsia="Calibri" w:hAnsi="Calibri"/>
          <w:b w:val="false"/>
          <w:bCs w:val="false"/>
          <w:i w:val="false"/>
          <w:iCs w:val="false"/>
          <w:color w:val="1A1A1A"/>
          <w:sz w:val="21"/>
          <w:szCs w:val="21"/>
        </w:rPr>
        <w:t xml:space="preserve">Attendants are often the first to notice a client declining, and prompt reporting can prevent a hospitalization or catch a serious problem early; the agency trains attendants on what to watch for and expects same-day reporting of meaningful change.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Train attendants to recognize and report changes in condition.</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Require prompt (same-day) reporting to the supervisor; 911 first in emergencies.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Have the supervisor assess and update the service plan.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Coordinate with the physician or MCO and refer to skilled care when needs exceed PAS.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Document the change, the response, and any plan update.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Change-in-Condition Report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3.08 — Coordination of Care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Coordination of Care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Client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Ch. 558; agency policy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coordinate with the client’s other providers, family, and payers so care is consistent. Written to align with Chapter 558.</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With the client’s consent, the agency coordinates with the client’s physician, home health or hospice provider, managed-care organization or case manager, family, and other providers, sharing relevant information within HIPAA limits so services fit the client’s overall care. For Medicaid managed-care clients, the agency works from the authorized plan of care and communicates changes to the MCO or case manager. Coordination is documented in the client record.</w:t>
      </w:r>
    </w:p>
    <w:p>
      <w:pPr>
        <w:spacing w:after="120" w:before="0" w:line="276"/>
        <w:jc w:val="left"/>
      </w:pPr>
      <w:r>
        <w:rPr>
          <w:rFonts w:ascii="Calibri" w:cs="Calibri" w:eastAsia="Calibri" w:hAnsi="Calibri"/>
          <w:b w:val="false"/>
          <w:bCs w:val="false"/>
          <w:i w:val="false"/>
          <w:iCs w:val="false"/>
          <w:color w:val="1A1A1A"/>
          <w:sz w:val="21"/>
          <w:szCs w:val="21"/>
        </w:rPr>
        <w:t xml:space="preserve">Clients receiving PAS often have several providers, and gaps between them cause errors and hospitalizations; the agency communicates proactively — especially at hospital discharge and when the client’s condition changes — while respecting client consent and privacy.</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Obtain client consent to coordinate with other providers and family.</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Share relevant information within HIPAA limits.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Work from the MCO/case-manager authorized plan of care for Medicaid clients.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Communicate changes to the physician, MCO, or case manager.</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Coordinate proactively at discharge and on change of condition.</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coordination in the client record.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Care Coordination Note</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3.09 — Service Documentation and Electronic Visit Verification (EVV)</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Service Documentation and Electronic Visit Verification (EVV)</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Client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 558.301; Texas EVV (HHAeXchange)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document services accurately and comply with Electronic Visit Verification for Medicaid personal care. Written to comply with 26 TAC § 558.301 and Texas EVV requirements.</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Electronic Visit Verification (EVV) — </w:t>
      </w:r>
      <w:r>
        <w:rPr>
          <w:rFonts w:ascii="Calibri" w:cs="Calibri" w:eastAsia="Calibri" w:hAnsi="Calibri"/>
          <w:b w:val="false"/>
          <w:bCs w:val="false"/>
          <w:i w:val="false"/>
          <w:iCs w:val="false"/>
          <w:color w:val="1A1A1A"/>
          <w:sz w:val="21"/>
          <w:szCs w:val="21"/>
        </w:rPr>
        <w:t xml:space="preserve">the electronic system that verifies the date, time, location, and type of a Medicaid-funded personal-care visit; Texas uses HHAeXchange as the state aggregator.</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Attendants document the services they provide, and for Medicaid-funded personal care the agency complies with Texas Electronic Visit Verification, capturing each visit’s required elements through HHAeXchange (the Texas EVV aggregator) or through a proprietary system that integrates with HHAeXchange, and completing required EVV training. Documentation is accurate, timely, and consistent with the individualized service plan and any payer authorization, and is retained in the client record.</w:t>
      </w:r>
    </w:p>
    <w:p>
      <w:pPr>
        <w:spacing w:after="120" w:before="0" w:line="276"/>
        <w:jc w:val="left"/>
      </w:pPr>
      <w:r>
        <w:rPr>
          <w:rFonts w:ascii="Calibri" w:cs="Calibri" w:eastAsia="Calibri" w:hAnsi="Calibri"/>
          <w:b w:val="false"/>
          <w:bCs w:val="false"/>
          <w:i w:val="false"/>
          <w:iCs w:val="false"/>
          <w:color w:val="1A1A1A"/>
          <w:sz w:val="21"/>
          <w:szCs w:val="21"/>
        </w:rPr>
        <w:t xml:space="preserve">Accurate documentation and EVV are both a compliance requirement and the agency’s protection: EVV verifies that authorized visits actually happened as billed, and clean records are what withstand a payer audit or an HHSC survey. The agency trains attendants to use EVV correctly, monitors for exceptions, and corrects errors promptly through visit maintenance.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Document each visit accurately, timely, and consistent with the ISP.</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Capture EVV for Medicaid personal care through HHAeXchange (or an integrated proprietary system).</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Complete required EVV training.</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Monitor EVV exceptions and correct errors through visit maintenance.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Keep documentation consistent with payer authorization.</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Retain documentation in the client record.</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Visit Documentation · EVV Exception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3.10 — Service Reduction, Suspension, and Termination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Service Reduction, Suspension, and Termination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Client Services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Ch. 558; agency policy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change or end services in a way that is fair, safe, and communicated, protecting the client. Written to align with Chapter 558.</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changes, suspends, or ends services according to the service agreement and with appropriate notice to the client, arranging for continuity or referral where the client still needs care. Grounds may include the client’s needs exceeding the agency’s PAS scope, loss of eligibility or authorization, non-payment, an environment unsafe for attendants, or the client’s choice. The agency documents the reason, the notice, and any referral, and never abandons a client who is at risk.</w:t>
      </w:r>
    </w:p>
    <w:p>
      <w:pPr>
        <w:spacing w:after="120" w:before="0" w:line="276"/>
        <w:jc w:val="left"/>
      </w:pPr>
      <w:r>
        <w:rPr>
          <w:rFonts w:ascii="Calibri" w:cs="Calibri" w:eastAsia="Calibri" w:hAnsi="Calibri"/>
          <w:b w:val="false"/>
          <w:bCs w:val="false"/>
          <w:i w:val="false"/>
          <w:iCs w:val="false"/>
          <w:color w:val="1A1A1A"/>
          <w:sz w:val="21"/>
          <w:szCs w:val="21"/>
        </w:rPr>
        <w:t xml:space="preserve">Ending care abruptly can leave a vulnerable client without help, so the agency handles reductions and terminations carefully — with notice, an explanation, and referral to the MCO/case manager or another provider — and keeps serving until a safe transition is arranged where the client remains in need.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Follow the service agreement for changing, suspending, or ending services.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Give the client appropriate notice and an explanation.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Arrange continuity or referral (MCO/case manager or another provider) where care is still needed.</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 not abandon a client who is at risk.</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Document the reason, notice, and referral.</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Service Change / Termination Notice &amp;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4 — HEALTH, SAFETY &amp; EMERGENCY MANAGEMENT</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Texas Health and Safety Code Chapter 142 and its licensing standards at 26 Texas Administrative Code, Chapter 558 (Home and Community Support Services Agencies), Personal Assistance Services (PAS) category. Licensed and surveyed by the Texas Health and Human Services Commission (HHSC), Long-Term Care Regulatory.</w:t>
      </w:r>
    </w:p>
    <w:p>
      <w:pPr>
        <w:keepNext/>
        <w:spacing w:after="100" w:before="240"/>
      </w:pPr>
      <w:r>
        <w:rPr>
          <w:rFonts w:ascii="Calibri" w:cs="Calibri" w:eastAsia="Calibri" w:hAnsi="Calibri"/>
          <w:b/>
          <w:bCs/>
          <w:i w:val="false"/>
          <w:iCs w:val="false"/>
          <w:color w:val="1F3A5F"/>
          <w:sz w:val="24"/>
          <w:szCs w:val="24"/>
        </w:rPr>
        <w:t xml:space="preserve">Policy 4.01 — Infection Prevention and Control</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Infection Prevention and Control</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Health, Safety &amp; Emergency Management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Ch. 558; CDC guidance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prevent the transmission of infection between attendants and clients in the home. Written to align with Chapter 558 and CDC guidance.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maintains an infection-prevention program based on standard precautions — hand hygiene, use of gloves and other personal protective equipment as appropriate, safe handling of soiled items and waste, respiratory hygiene, and staying home when ill — trains attendants on it, and provides guidance for clients with known infections. Attendants follow these practices in every home and report suspected infections to the supervisor.</w:t>
      </w:r>
    </w:p>
    <w:p>
      <w:pPr>
        <w:spacing w:after="120" w:before="0" w:line="276"/>
        <w:jc w:val="left"/>
      </w:pPr>
      <w:r>
        <w:rPr>
          <w:rFonts w:ascii="Calibri" w:cs="Calibri" w:eastAsia="Calibri" w:hAnsi="Calibri"/>
          <w:b w:val="false"/>
          <w:bCs w:val="false"/>
          <w:i w:val="false"/>
          <w:iCs w:val="false"/>
          <w:color w:val="1A1A1A"/>
          <w:sz w:val="21"/>
          <w:szCs w:val="21"/>
        </w:rPr>
        <w:t xml:space="preserve">Home-care clients are often medically fragile, and an attendant who serves several clients can transmit infection between homes, so basic infection control protects everyone; the agency trains attendants, supplies appropriate protective equipment, and reinforces the practice through supervision, adjusting to public-health guidance during outbreaks.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an infection-prevention program based on standard precautions.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Train attendants on hand hygiene, PPE, and safe handling of soiled items and waste.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Provide appropriate protective equipment.</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Require attendants to stay home when ill and report suspected infections.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Adjust practices to public-health guidance during outbreaks.</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Document training and reported infections.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Infection Control Plan · Training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4.02 — Emergency Preparedness and Response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Emergency Preparedness and Response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Health, Safety &amp; Emergency Management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Ch. 558; agency emergency plan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prepare for and respond to emergencies and disasters that affect clients and attendants. Written to align with Chapter 558.</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maintains an emergency preparedness plan addressing the emergencies likely in its service area — severe weather, hurricanes, flooding, extreme heat, power outages, and fire — including how clients are prioritized by acuity, how the agency communicates with clients and attendants during an emergency, how services continue or are safely interrupted, and how attendants respond to an emergency in a client’s home. Attendants know how to call 911, respond to a client emergency, and reach the agency, and the agency reviews and drills the plan.</w:t>
      </w:r>
    </w:p>
    <w:p>
      <w:pPr>
        <w:spacing w:after="120" w:before="0" w:line="276"/>
        <w:jc w:val="left"/>
      </w:pPr>
      <w:r>
        <w:rPr>
          <w:rFonts w:ascii="Calibri" w:cs="Calibri" w:eastAsia="Calibri" w:hAnsi="Calibri"/>
          <w:b w:val="false"/>
          <w:bCs w:val="false"/>
          <w:i w:val="false"/>
          <w:iCs w:val="false"/>
          <w:color w:val="1A1A1A"/>
          <w:sz w:val="21"/>
          <w:szCs w:val="21"/>
        </w:rPr>
        <w:t xml:space="preserve">Because clients depend on attendants and many cannot evacuate or cope alone, an emergency plan can be life-saving; the agency identifies higher-risk clients in advance, keeps current contact information, and coordinates with clients and families on individual emergency plans.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an emergency preparedness plan for area-specific hazards.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Prioritize clients by acuity and identify higher-risk clients in advance.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Establish emergency communication with clients and attendants.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Train attendants to respond to in-home emergencies and call 911.</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Coordinate individual client emergency plans with clients and families.</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Review and drill the plan and document it.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Emergency Preparedness Plan · Client Acuity/Risk List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4.03 — Home and Client Safety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Home and Client Safety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Health, Safety &amp; Emergency Management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 558.404; agency policy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identify and address safety hazards in the client’s home to prevent injury. Written to align with Chapter 558.</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As part of the on-site determination and ongoing service, the agency identifies safety hazards in the client’s home — fall hazards, unsafe equipment, fire and carbon-monoxide risks, medication safety, and mobility barriers — and works with the client and family to reduce them within the client’s choices. Attendants report new hazards to the supervisor, and the agency addresses risks that threaten the client’s or an attendant’s safety.</w:t>
      </w:r>
    </w:p>
    <w:p>
      <w:pPr>
        <w:spacing w:after="120" w:before="0" w:line="276"/>
        <w:jc w:val="left"/>
      </w:pPr>
      <w:r>
        <w:rPr>
          <w:rFonts w:ascii="Calibri" w:cs="Calibri" w:eastAsia="Calibri" w:hAnsi="Calibri"/>
          <w:b w:val="false"/>
          <w:bCs w:val="false"/>
          <w:i w:val="false"/>
          <w:iCs w:val="false"/>
          <w:color w:val="1A1A1A"/>
          <w:sz w:val="21"/>
          <w:szCs w:val="21"/>
        </w:rPr>
        <w:t xml:space="preserve">Most home-care injuries are falls, and many are preventable through simple environmental fixes, so safety attention delivers real results; the agency respects that it is the client’s home and the client’s choices while advocating for changes that prevent injury, and escalates when a hazard is serious.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Identify home safety hazards at the on-site determination and during service.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Work with the client and family to reduce hazards within the client’s choices.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Have attendants report new hazards to the supervisor.</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Address risks that threaten client or attendant safety.</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Document hazards identified and actions taken.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Home Safety Checklist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4.04 — Client Funds and Property Protection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Client Funds and Property Protection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Health, Safety &amp; Emergency Management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Ch. 558; agency policy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clients’ money and property and prevent financial exploitation. Written to align with Chapter 558.</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Attendants do not borrow from, lend to, or accept gifts or bequests from clients, do not use client funds or property for themselves, and handle any authorized shopping or errand money only with documentation (receipts and change returned). The agency prohibits attendants from being named on client accounts, powers of attorney, or wills, monitors for signs of financial exploitation, and reports suspected exploitation immediately under the abuse-reporting policy.</w:t>
      </w:r>
    </w:p>
    <w:p>
      <w:pPr>
        <w:spacing w:after="120" w:before="0" w:line="276"/>
        <w:jc w:val="left"/>
      </w:pPr>
      <w:r>
        <w:rPr>
          <w:rFonts w:ascii="Calibri" w:cs="Calibri" w:eastAsia="Calibri" w:hAnsi="Calibri"/>
          <w:b w:val="false"/>
          <w:bCs w:val="false"/>
          <w:i w:val="false"/>
          <w:iCs w:val="false"/>
          <w:color w:val="1A1A1A"/>
          <w:sz w:val="21"/>
          <w:szCs w:val="21"/>
        </w:rPr>
        <w:t xml:space="preserve">Financial exploitation is a serious and common risk when an attendant has regular access to a vulnerable client’s home and finances, so clear rules and documentation protect both the client and the honest attendant; the agency trains on these rules, documents money handling, and treats violations as grounds for discipline and reporting.</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Prohibit borrowing, lending, gifts, and use of client funds or property.</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Prohibit attendants from being named on accounts, powers of attorney, or wills.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Document any authorized shopping/errand money (receipts, change returned).</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Monitor for signs of financial exploitation.</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Report suspected exploitation immediately.</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Discipline violations up to termination.</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Client Funds Handling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4.05 — Incident and Accident Response in the Home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Incident and Accident Response in the Home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Health, Safety &amp; Emergency Management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 558.250; agency policy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respond to accidents and incidents in the client’s home so the client is protected and events are reported. Written to align with 26 TAC § 558.250.</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When an accident or incident occurs during service — a fall, injury, medication error, medical emergency, or property damage — the attendant ensures the client’s immediate safety, calls 911 if warranted, notifies the supervisor promptly, and documents what happened. The agency investigates, takes corrective action, reports as required (including ANE allegations to HHSC under § 558.250), and reviews incidents through the quality program.</w:t>
      </w:r>
    </w:p>
    <w:p>
      <w:pPr>
        <w:spacing w:after="120" w:before="0" w:line="276"/>
        <w:jc w:val="left"/>
      </w:pPr>
      <w:r>
        <w:rPr>
          <w:rFonts w:ascii="Calibri" w:cs="Calibri" w:eastAsia="Calibri" w:hAnsi="Calibri"/>
          <w:b w:val="false"/>
          <w:bCs w:val="false"/>
          <w:i w:val="false"/>
          <w:iCs w:val="false"/>
          <w:color w:val="1A1A1A"/>
          <w:sz w:val="21"/>
          <w:szCs w:val="21"/>
        </w:rPr>
        <w:t xml:space="preserve">How an attendant responds in the first minutes after a fall or medical emergency can determine the outcome, so the agency trains attendants to act — safety first, 911 when needed, notify, document — and uses incident review to prevent recurrence.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Ensure the client’s immediate safety; call 911 if warranted.</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Notify the supervisor promptly and document the event.</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Investigate and take corrective action.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Report as required, including ANE allegations to HHSC (§ 558.250).</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Review incidents through the quality program to prevent recurrence.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In-Home Incident / Accident Report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4.06 — Communicable Disease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Communicable Disease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Health, Safety &amp; Emergency Management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Ch. 558; Texas DSHS guidance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clients and attendants from communicable disease. Written to align with Chapter 558 and Texas Department of State Health Services guidance.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follows public-health guidance on communicable disease: attendants who are ill do not work until they are no longer contagious; the agency uses standard precautions and appropriate protective equipment when a client has a communicable condition; and the agency follows Texas Department of State Health Services and local health-authority guidance during outbreaks, adjusting staffing and precautions as needed. Suspected communicable disease is reported to the supervisor and, where required, to public health.</w:t>
      </w:r>
    </w:p>
    <w:p>
      <w:pPr>
        <w:spacing w:after="120" w:before="0" w:line="276"/>
        <w:jc w:val="left"/>
      </w:pPr>
      <w:r>
        <w:rPr>
          <w:rFonts w:ascii="Calibri" w:cs="Calibri" w:eastAsia="Calibri" w:hAnsi="Calibri"/>
          <w:b w:val="false"/>
          <w:bCs w:val="false"/>
          <w:i w:val="false"/>
          <w:iCs w:val="false"/>
          <w:color w:val="1A1A1A"/>
          <w:sz w:val="21"/>
          <w:szCs w:val="21"/>
        </w:rPr>
        <w:t xml:space="preserve">An attendant who serves multiple homes can spread illness among vulnerable clients, so keeping sick staff home and using precautions protects clients and the workforce; the agency plans for outbreaks and communicates clearly with clients and staff.</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Keep ill attendants from working until no longer contagious.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Use standard precautions and PPE when a client has a communicable condition.</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Follow Texas DSHS and local health-authority guidance during outbreaks.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Report suspected communicable disease to the supervisor and public health as required.</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Adjust staffing and precautions as needed and document actions.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Communicable Disease Response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4.07 — Attendant Field Safety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Attendant Field Safety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Health, Safety &amp; Emergency Management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OSHA; agency safety program</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attendants’ safety as they travel to and work in clients’ homes and the community. Written to align with OSHA and good practice.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assesses and addresses risks to attendants in the field — unsafe neighborhoods or homes, aggressive persons or animals, hazardous conditions, and travel — provides personal-safety training and procedures, and supports an attendant’s decision to leave a situation that is unsafe. Where a client’s home cannot be made reasonably safe for an attendant, the agency reassesses or ends the assignment, coordinating alternatives for the client.</w:t>
      </w:r>
    </w:p>
    <w:p>
      <w:pPr>
        <w:spacing w:after="120" w:before="0" w:line="276"/>
        <w:jc w:val="left"/>
      </w:pPr>
      <w:r>
        <w:rPr>
          <w:rFonts w:ascii="Calibri" w:cs="Calibri" w:eastAsia="Calibri" w:hAnsi="Calibri"/>
          <w:b w:val="false"/>
          <w:bCs w:val="false"/>
          <w:i w:val="false"/>
          <w:iCs w:val="false"/>
          <w:color w:val="1A1A1A"/>
          <w:sz w:val="21"/>
          <w:szCs w:val="21"/>
        </w:rPr>
        <w:t xml:space="preserve">Attendant safety and client care are linked — an unsafe assignment endangers the worker and cannot be sustained — so the agency takes field-safety reports seriously, empowers attendants to protect themselves, and balances the client’s need for care with the attendant’s right to a safe workplace.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Assess field-safety risks at assignment and during service.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Provide personal-safety training and procedures.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Support an attendant leaving an unsafe situation.</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Reassess or end assignments where a home cannot be made reasonably safe.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Coordinate alternatives for the client and document actions.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Field Safety Assessment · Safety Concern Report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5 — COMPLIANCE, BILLING &amp; PRIVACY</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Texas Health and Safety Code Chapter 142 and its licensing standards at 26 Texas Administrative Code, Chapter 558 (Home and Community Support Services Agencies), Personal Assistance Services (PAS) category. Licensed and surveyed by the Texas Health and Human Services Commission (HHSC), Long-Term Care Regulatory.</w:t>
      </w:r>
    </w:p>
    <w:p>
      <w:pPr>
        <w:keepNext/>
        <w:spacing w:after="100" w:before="240"/>
      </w:pPr>
      <w:r>
        <w:rPr>
          <w:rFonts w:ascii="Calibri" w:cs="Calibri" w:eastAsia="Calibri" w:hAnsi="Calibri"/>
          <w:b/>
          <w:bCs/>
          <w:i w:val="false"/>
          <w:iCs w:val="false"/>
          <w:color w:val="1F3A5F"/>
          <w:sz w:val="24"/>
          <w:szCs w:val="24"/>
        </w:rPr>
        <w:t xml:space="preserve">Policy 5.01 — HIPAA Privacy and Security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HIPAA Privacy and Security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Compliance &amp; Privacy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45 CFR Parts 160 &amp; 164; 26 TAC § 558.301</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protect the privacy and security of client health information as HIPAA and Chapter 558 require. Written to comply with 45 CFR Parts 160 and 164 and 26 TAC § 558.301.</w:t>
      </w:r>
    </w:p>
    <w:p>
      <w:pPr>
        <w:spacing w:after="60" w:before="0" w:line="276"/>
        <w:jc w:val="left"/>
      </w:pPr>
      <w:r>
        <w:rPr>
          <w:rFonts w:ascii="Calibri" w:cs="Calibri" w:eastAsia="Calibri" w:hAnsi="Calibri"/>
          <w:b/>
          <w:bCs/>
          <w:i w:val="false"/>
          <w:iCs w:val="false"/>
          <w:color w:val="3E5871"/>
          <w:sz w:val="21"/>
          <w:szCs w:val="21"/>
        </w:rPr>
        <w:t xml:space="preserve">Definitions</w:t>
      </w:r>
    </w:p>
    <w:p>
      <w:pPr>
        <w:spacing w:after="70" w:line="276"/>
      </w:pPr>
      <w:r>
        <w:rPr>
          <w:rFonts w:ascii="Calibri" w:cs="Calibri" w:eastAsia="Calibri" w:hAnsi="Calibri"/>
          <w:b/>
          <w:bCs/>
          <w:i w:val="false"/>
          <w:iCs w:val="false"/>
          <w:color w:val="1A1A1A"/>
          <w:sz w:val="21"/>
          <w:szCs w:val="21"/>
        </w:rPr>
        <w:t xml:space="preserve">Protected health information (PHI) — </w:t>
      </w:r>
      <w:r>
        <w:rPr>
          <w:rFonts w:ascii="Calibri" w:cs="Calibri" w:eastAsia="Calibri" w:hAnsi="Calibri"/>
          <w:b w:val="false"/>
          <w:bCs w:val="false"/>
          <w:i w:val="false"/>
          <w:iCs w:val="false"/>
          <w:color w:val="1A1A1A"/>
          <w:sz w:val="21"/>
          <w:szCs w:val="21"/>
        </w:rPr>
        <w:t xml:space="preserve">individually identifiable health information the agency creates or receives, in any form.</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protects client health information under the HIPAA Privacy and Security Rules and Chapter 558: it uses and discloses PHI only as permitted, gives clients the notice of privacy practices and their access rights, limits disclosures to the minimum necessary, secures paper and electronic records, and enters business associate agreements where required. Attendants and staff are trained on privacy, access is limited to those who need it, and the agency responds to any suspected breach under its breach-response process.</w:t>
      </w:r>
    </w:p>
    <w:p>
      <w:pPr>
        <w:spacing w:after="120" w:before="0" w:line="276"/>
        <w:jc w:val="left"/>
      </w:pPr>
      <w:r>
        <w:rPr>
          <w:rFonts w:ascii="Calibri" w:cs="Calibri" w:eastAsia="Calibri" w:hAnsi="Calibri"/>
          <w:b w:val="false"/>
          <w:bCs w:val="false"/>
          <w:i w:val="false"/>
          <w:iCs w:val="false"/>
          <w:color w:val="1A1A1A"/>
          <w:sz w:val="21"/>
          <w:szCs w:val="21"/>
        </w:rPr>
        <w:t xml:space="preserve">Attendants see clients’ homes, families, and health up close, and casual disclosure — including through text or social media — is a real risk, so the agency trains on confidentiality, restricts access to client information, and holds staff accountable for protecting privacy in and out of the home.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Use and disclose PHI only as permitted; apply minimum necessary.</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Provide the notice of privacy practices and honor client access rights.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Secure paper and electronic records and limit access.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Enter business associate agreements where required.</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Train staff on privacy and confidentiality.</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Respond to suspected breaches under the breach-response process.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Notice of Privacy Practices · BAA Template · Breach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5.02 — Billing and Claims Integrity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Billing and Claims Integrity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Compliance &amp; Privacy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 277.11; TMHP/PEMS; STAR+PLUS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bill accurately and only for services actually authorized and delivered. Written to comply with Texas Medicaid billing requirements.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Where the agency bills Texas Medicaid — through the Texas Medicaid &amp; Healthcare Partnership (TMHP) for fee-for-service Primary Home Care and Community Attendant Services, or through the member’s managed-care organization for STAR+PLUS — it bills only for services that are authorized in the individualized service plan or MCO authorization, actually delivered, and verified through EVV, using the correct codes and modifiers from the current Long-Term Services and Supports (LTSS) Codes and Modifiers matrix. Claims are supported by documentation and EVV records, and the agency corrects and refunds any overpayment.</w:t>
      </w:r>
    </w:p>
    <w:p>
      <w:pPr>
        <w:spacing w:after="120" w:before="0" w:line="276"/>
        <w:jc w:val="left"/>
      </w:pPr>
      <w:r>
        <w:rPr>
          <w:rFonts w:ascii="Calibri" w:cs="Calibri" w:eastAsia="Calibri" w:hAnsi="Calibri"/>
          <w:b w:val="false"/>
          <w:bCs w:val="false"/>
          <w:i w:val="false"/>
          <w:iCs w:val="false"/>
          <w:color w:val="1A1A1A"/>
          <w:sz w:val="21"/>
          <w:szCs w:val="21"/>
        </w:rPr>
        <w:t xml:space="preserve">Personal-care billing is closely audited and is a frequent enforcement target, so the agency keeps billing tied to authorization, delivery, and EVV, trains billing staff on current codes and the shift to the Patient-Driven Payment Model, and never bills for time not worked or services not authorized.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Bill only for authorized, delivered, and EVV-verified services.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Bill STAR+PLUS through the member’s MCO and FFS PHC/CAS through TMHP.</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Use current LTSS Codes and Modifiers matrix codes and modifiers.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Support every claim with documentation and EVV records.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Correct and refund overpayments promptly.</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Train billing staff on current codes and payment-model changes.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Billing Integrity Checklist · Overpayment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5.03 — Fraud, Waste, and Abuse Prevention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Fraud, Waste, and Abuse Prevention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Compliance &amp; Privacy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Federal Anti-Kickback Statute; False Claims Act; Tex. H.R.C. Ch. 36</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prevent fraud, waste, and abuse, including illegal payments for referrals. Written to comply with federal and Texas fraud-and-abuse law.</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prohibits fraud, waste, and abuse: it does not bill for services not rendered or not authorized, does not falsify records or EVV, and does not offer, pay, solicit, or receive anything of value in exchange for referrals of Medicaid or Medicare clients, in compliance with the federal Anti-Kickback Statute, the False Claims Act, and the Texas Human Resources Code Chapter 36. Staff are trained to recognize and report fraud and abuse without reprisal, and the agency investigates and corrects any concern and cooperates with the HHSC Office of Inspector General.</w:t>
      </w:r>
    </w:p>
    <w:p>
      <w:pPr>
        <w:spacing w:after="120" w:before="0" w:line="276"/>
        <w:jc w:val="left"/>
      </w:pPr>
      <w:r>
        <w:rPr>
          <w:rFonts w:ascii="Calibri" w:cs="Calibri" w:eastAsia="Calibri" w:hAnsi="Calibri"/>
          <w:b w:val="false"/>
          <w:bCs w:val="false"/>
          <w:i w:val="false"/>
          <w:iCs w:val="false"/>
          <w:color w:val="1A1A1A"/>
          <w:sz w:val="21"/>
          <w:szCs w:val="21"/>
        </w:rPr>
        <w:t xml:space="preserve">Because personal-care services are a top fraud-enforcement priority — EVV falsification, billing for time not worked, and paying for referrals — the agency builds honest billing and referral practices from the start, trains staff on the anti-kickback line, and self-corrects promptly when it finds an error.</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Prohibit billing for services not rendered or authorized and falsifying records or EVV.</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Prohibit paying or receiving anything of value for Medicaid/Medicare referrals.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Train staff to recognize and report fraud and abuse without reprisal.</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Investigate and correct concerns; self-report and refund as required.</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Cooperate with the HHSC Office of Inspector General.</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Compliance Plan · Fraud/Abuse Report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5.04 — Provider Enrollment and Contracting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Provider Enrollment and Contracting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Compliance &amp; Privacy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 277.11; TMHP PEMS; STAR+PLUS contracts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meet the enrollment and contracting requirements needed to provide and bill for Medicaid personal attendant services. Written to comply with 26 TAC § 277.11 and Texas Medicaid enrollment requirements.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To provide Medicaid personal attendant services, the agency maintains its HCSSA (PAS) license, holds the required HHSC contract meeting the contracting requirements of 26 TAC § 277.11, enrolls in the Texas Medicaid &amp; Healthcare Partnership Provider Enrollment and Management System (PEMS) — maintaining the required surety bond — and, to serve STAR+PLUS members, contracts with the relevant managed-care organizations. The agency keeps each of these current, because missing any one means it cannot be paid.</w:t>
      </w:r>
    </w:p>
    <w:p>
      <w:pPr>
        <w:spacing w:after="120" w:before="0" w:line="276"/>
        <w:jc w:val="left"/>
      </w:pPr>
      <w:r>
        <w:rPr>
          <w:rFonts w:ascii="Calibri" w:cs="Calibri" w:eastAsia="Calibri" w:hAnsi="Calibri"/>
          <w:b w:val="false"/>
          <w:bCs w:val="false"/>
          <w:i w:val="false"/>
          <w:iCs w:val="false"/>
          <w:color w:val="1A1A1A"/>
          <w:sz w:val="21"/>
          <w:szCs w:val="21"/>
        </w:rPr>
        <w:t xml:space="preserve">Getting paid in Texas Medicaid requires three things done in sequence — license, HHSC contract, and TMHP/PEMS enrollment (plus MCO contracts for STAR+PLUS) — so the agency tracks each requirement, its renewals, and its revalidation deadlines, and does not deliver billable services before enrollment is complete.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the HCSSA (PAS) license.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Hold the required HHSC contract meeting 26 TAC § 277.11.</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Enroll in TMHP PEMS and maintain the required surety bond.</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Contract with the relevant MCOs to serve STAR+PLUS members.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Track renewals and revalidation deadlines.</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Do not deliver billable services before enrollment is complete.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Enrollment &amp; Contract Tracker</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5.05 — Records Retention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Records Retention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Compliance &amp; Privacy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 558.301; HIPAA</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retain and securely dispose of records as Chapter 558, payers, and HIPAA require. Written to comply with 26 TAC § 558.301.</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retains client, personnel, EVV, billing, and administrative records for at least the period required by Chapter 558, Texas Medicaid, and other applicable law, keeps them secure and available to HHSC and payers during that period, and disposes of them securely (shredding paper, wiping electronic media) when retention ends. Retention periods reflect the longest applicable requirement.</w:t>
      </w:r>
    </w:p>
    <w:p>
      <w:pPr>
        <w:spacing w:after="120" w:before="0" w:line="276"/>
        <w:jc w:val="left"/>
      </w:pPr>
      <w:r>
        <w:rPr>
          <w:rFonts w:ascii="Calibri" w:cs="Calibri" w:eastAsia="Calibri" w:hAnsi="Calibri"/>
          <w:b w:val="false"/>
          <w:bCs w:val="false"/>
          <w:i w:val="false"/>
          <w:iCs w:val="false"/>
          <w:color w:val="1A1A1A"/>
          <w:sz w:val="21"/>
          <w:szCs w:val="21"/>
        </w:rPr>
        <w:t xml:space="preserve">Records are the agency’s evidence of compliance and its protection in audits and disputes long after service ends, so the agency keeps a written retention schedule, secures archived records, and destroys them securely only when every applicable retention period has passed.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Retain client, personnel, EVV, billing, and administrative records for the required period.</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Apply the longest applicable retention requirement.</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Keep records secure and available to HHSC and payers.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Dispose of records securely when retention ends.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Maintain a written retention schedule.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Records Retention Schedule</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5.06 — Confidentiality of Client Information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Confidentiality of Client Information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Compliance &amp; Privacy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45 CFR Part 164; 26 TAC § 558.301</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keep client information confidential in every setting, including the field. Written to comply with HIPAA and 26 TAC § 558.301.</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All staff keep client information confidential, discussing it only with those who need it for the client’s care or agency operations, and never sharing client information on social media or with unauthorized persons. Attendants safeguard any documents or devices in the field, and the agency has staff sign confidentiality agreements and disciplines breaches.</w:t>
      </w:r>
    </w:p>
    <w:p>
      <w:pPr>
        <w:spacing w:after="120" w:before="0" w:line="276"/>
        <w:jc w:val="left"/>
      </w:pPr>
      <w:r>
        <w:rPr>
          <w:rFonts w:ascii="Calibri" w:cs="Calibri" w:eastAsia="Calibri" w:hAnsi="Calibri"/>
          <w:b w:val="false"/>
          <w:bCs w:val="false"/>
          <w:i w:val="false"/>
          <w:iCs w:val="false"/>
          <w:color w:val="1A1A1A"/>
          <w:sz w:val="21"/>
          <w:szCs w:val="21"/>
        </w:rPr>
        <w:t xml:space="preserve">Confidentiality is easy to breach in home care — an overheard call, a photo, a social-media post about a client — so the agency makes the rules concrete, trains attendants on real scenarios, and treats breaches as serious.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Discuss client information only with those who need it.</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Prohibit sharing client information on social media or with unauthorized persons.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Safeguard documents and devices in the field.</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Have staff sign confidentiality agreements.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Discipline breaches of confidentiality.</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Confidentiality Agreement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5.07 — Non-Discrimination and Client Choice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Non-Discrimination and Client Choice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Compliance &amp; Privacy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Civil rights laws; 26 TAC § 558.404(e)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provide services without unlawful discrimination and to honor client choice and control. Written to comply with civil rights law and 26 TAC § 558.404(e).</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does not unlawfully discriminate in admission or service on the basis of race, color, national origin, religion, sex, age, disability, or other protected characteristic, provides language access and reasonable accommodation as required, and builds its operations around individual and family choice and control, functional need, and accessible and flexible services (§ 558.404(e)). Clients participate in decisions about their care and may accept or refuse services.</w:t>
      </w:r>
    </w:p>
    <w:p>
      <w:pPr>
        <w:spacing w:after="120" w:before="0" w:line="276"/>
        <w:jc w:val="left"/>
      </w:pPr>
      <w:r>
        <w:rPr>
          <w:rFonts w:ascii="Calibri" w:cs="Calibri" w:eastAsia="Calibri" w:hAnsi="Calibri"/>
          <w:b w:val="false"/>
          <w:bCs w:val="false"/>
          <w:i w:val="false"/>
          <w:iCs w:val="false"/>
          <w:color w:val="1A1A1A"/>
          <w:sz w:val="21"/>
          <w:szCs w:val="21"/>
        </w:rPr>
        <w:t xml:space="preserve">Honoring choice and non-discrimination is both a legal duty and central to good PAS, where services are delivered in the client’s own home and life; the agency accommodates language and disability needs and respects the client’s right to direct their care within the service plan.</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Do not unlawfully discriminate in admission or service.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Provide language access and reasonable accommodation as required.</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Build operations around individual/family choice and control (§ 558.404(e)).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Involve clients in care decisions and honor accept/refuse rights.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Address any discrimination complaint promptly.</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Non-Discrimination Notice</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5.08 — Regulatory Reporting and Cooperation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Regulatory Reporting and Cooperation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Compliance &amp; Privacy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Ch. 558; § 558.250</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make required regulatory reports and cooperate with HHSC and other authorities. Written to comply with Chapter 558.</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makes the reports Chapter 558 and its payers require — abuse/neglect/exploitation reports (§ 558.250), incident and change reports, and licensing changes through TULIP — within required timeframes, and cooperates fully with HHSC, the HHSC Office of Inspector General, Adult Protective Services, law enforcement, and managed-care organizations. The agency tracks reporting obligations and deadlines so nothing is missed.</w:t>
      </w:r>
    </w:p>
    <w:p>
      <w:pPr>
        <w:spacing w:after="120" w:before="0" w:line="276"/>
        <w:jc w:val="left"/>
      </w:pPr>
      <w:r>
        <w:rPr>
          <w:rFonts w:ascii="Calibri" w:cs="Calibri" w:eastAsia="Calibri" w:hAnsi="Calibri"/>
          <w:b w:val="false"/>
          <w:bCs w:val="false"/>
          <w:i w:val="false"/>
          <w:iCs w:val="false"/>
          <w:color w:val="1A1A1A"/>
          <w:sz w:val="21"/>
          <w:szCs w:val="21"/>
        </w:rPr>
        <w:t xml:space="preserve">Timely, honest reporting is central to the consumer-protection purpose of Chapter 558 and to the agency’s standing with HHSC and payers, so the agency assigns responsibility for each reporting duty, tracks deadlines, and documents every report.</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Make required ANE, incident, change, and licensing reports within required timeframes.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Report through TULIP and to payers as applicable.</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Cooperate fully with HHSC, OIG, APS, law enforcement, and MCOs.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Assign responsibility for each reporting obligation and track deadlines.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Document every report.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Regulatory Reporting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SECTION 6 — PROGRAM QUALITY &amp; OUTCOMES</w:t>
      </w:r>
    </w:p>
    <w:p>
      <w:pPr>
        <w:spacing w:after="120" w:before="0" w:line="276"/>
        <w:jc w:val="left"/>
      </w:pPr>
      <w:r>
        <w:rPr>
          <w:rFonts w:ascii="Calibri" w:cs="Calibri" w:eastAsia="Calibri" w:hAnsi="Calibri"/>
          <w:b/>
          <w:bCs/>
          <w:i w:val="false"/>
          <w:iCs w:val="false"/>
          <w:color w:val="3E5871"/>
          <w:sz w:val="19"/>
          <w:szCs w:val="19"/>
        </w:rPr>
        <w:t xml:space="preserve">Regulatory basis: </w:t>
      </w:r>
      <w:r>
        <w:rPr>
          <w:rFonts w:ascii="Calibri" w:cs="Calibri" w:eastAsia="Calibri" w:hAnsi="Calibri"/>
          <w:b w:val="false"/>
          <w:bCs w:val="false"/>
          <w:i w:val="false"/>
          <w:iCs w:val="false"/>
          <w:color w:val="555555"/>
          <w:sz w:val="19"/>
          <w:szCs w:val="19"/>
        </w:rPr>
        <w:t xml:space="preserve">Texas Health and Safety Code Chapter 142 and its licensing standards at 26 Texas Administrative Code, Chapter 558 (Home and Community Support Services Agencies), Personal Assistance Services (PAS) category. Licensed and surveyed by the Texas Health and Human Services Commission (HHSC), Long-Term Care Regulatory.</w:t>
      </w:r>
    </w:p>
    <w:p>
      <w:pPr>
        <w:spacing w:after="120" w:before="0" w:line="276"/>
        <w:jc w:val="left"/>
      </w:pPr>
      <w:r>
        <w:rPr>
          <w:rFonts w:ascii="Calibri" w:cs="Calibri" w:eastAsia="Calibri" w:hAnsi="Calibri"/>
          <w:b w:val="false"/>
          <w:bCs w:val="false"/>
          <w:i/>
          <w:iCs/>
          <w:color w:val="555555"/>
          <w:sz w:val="20"/>
          <w:szCs w:val="20"/>
        </w:rPr>
        <w:t xml:space="preserve">This section places the agency’s quality work in one program. Chapter 558 and HHSC require a quality assurance and performance improvement (QAPI) program and a quality management plan; § 558.2 recognizes the Joint Commission, Community Health Accreditation Partner (CHAP), and Accreditation Commission for Health Care (ACHC) as accreditation organizations. The policies below are structured to align with those frameworks — aligned to, not reproducing, their proprietary standards — so an agency that later seeks accreditation, or that a payer or managed-care organization evaluates, is already operating the way those frameworks expect.</w:t>
      </w:r>
    </w:p>
    <w:p>
      <w:pPr>
        <w:keepNext/>
        <w:spacing w:after="100" w:before="240"/>
      </w:pPr>
      <w:r>
        <w:rPr>
          <w:rFonts w:ascii="Calibri" w:cs="Calibri" w:eastAsia="Calibri" w:hAnsi="Calibri"/>
          <w:b/>
          <w:bCs/>
          <w:i w:val="false"/>
          <w:iCs w:val="false"/>
          <w:color w:val="1F3A5F"/>
          <w:sz w:val="24"/>
          <w:szCs w:val="24"/>
        </w:rPr>
        <w:t xml:space="preserve">Policy 6.01 — Quality Assurance and Performance Improvement Program</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Quality Assurance and Performance Improvement Program</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Quality &amp; Outcomes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Ch. 558; HHSC quality management requirement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operate a program-level QAPI system that continuously improves services and outcomes. Written to comply with Chapter 558 and HHSC quality-management requirements.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operates a written QAPI program that sets measurable goals; collects data on service quality, client outcomes, complaints, incidents, missed and late visits, EVV exceptions, supervisory findings, and satisfaction; analyzes the data for trends; implements corrective and improvement actions; and monitors their effectiveness, with oversight by the administrator and reporting to leadership on a defined schedule. QAPI covers both regulatory compliance and the quality of care.</w:t>
      </w:r>
    </w:p>
    <w:p>
      <w:pPr>
        <w:spacing w:after="120" w:before="0" w:line="276"/>
        <w:jc w:val="left"/>
      </w:pPr>
      <w:r>
        <w:rPr>
          <w:rFonts w:ascii="Calibri" w:cs="Calibri" w:eastAsia="Calibri" w:hAnsi="Calibri"/>
          <w:b w:val="false"/>
          <w:bCs w:val="false"/>
          <w:i w:val="false"/>
          <w:iCs w:val="false"/>
          <w:color w:val="1A1A1A"/>
          <w:sz w:val="21"/>
          <w:szCs w:val="21"/>
        </w:rPr>
        <w:t xml:space="preserve">A real quality program turns scattered data into a small number of priorities that get fixed and stay fixed; the agency focuses on the issues that most affect clients and compliance, verifies that changes worked, and feeds findings back into hiring, training, scheduling, supervision, and service planning.</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Maintain a written QAPI program with measurable goals.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Collect quality, outcome, complaint, incident, visit, EVV, and satisfaction data.</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Analyze for trends and prioritize the highest-impact issues.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Implement corrective and improvement actions and monitor effectiveness.</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Report to leadership on a defined schedule.</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Feed findings into operations.</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QAPI Plan · Quality Dashboard · Corrective Action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6.02 — Client Satisfaction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Client Satisfaction</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Quality &amp; Outcomes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Ch. 558; agency policy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measure and act on client satisfaction. Written to align with Chapter 558 and accreditation frameworks.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regularly seeks client and family feedback — through surveys, supervisory contact, and follow-up on complaints — measures satisfaction with attendants, reliability, communication, and respect, analyzes results, and acts on what it learns. Dissatisfaction is addressed promptly, and patterns feed the QAPI program.</w:t>
      </w:r>
    </w:p>
    <w:p>
      <w:pPr>
        <w:spacing w:after="120" w:before="0" w:line="276"/>
        <w:jc w:val="left"/>
      </w:pPr>
      <w:r>
        <w:rPr>
          <w:rFonts w:ascii="Calibri" w:cs="Calibri" w:eastAsia="Calibri" w:hAnsi="Calibri"/>
          <w:b w:val="false"/>
          <w:bCs w:val="false"/>
          <w:i w:val="false"/>
          <w:iCs w:val="false"/>
          <w:color w:val="1A1A1A"/>
          <w:sz w:val="21"/>
          <w:szCs w:val="21"/>
        </w:rPr>
        <w:t xml:space="preserve">Satisfied clients stay, refer, and speak well of the agency, and dissatisfaction is an early warning of a problem to fix; the agency listens systematically, closes the loop with clients who raise concerns, and uses feedback to improve.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Seek client and family feedback regularly.</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Measure satisfaction with attendants, reliability, communication, and respect.</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Analyze results and act on findings.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Address dissatisfaction promptly and close the loop.</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Feed patterns into QAPI.</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Client Satisfaction Survey · Results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6.03 — Attendant Competency and Performance</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Attendant Competency and Performance</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Quality &amp; Outcomes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 558.404, 558.245</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monitor and strengthen attendant competency and performance over time. Written to comply with Chapter 558.</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monitors attendant performance through supervision, client feedback, documentation and EVV review, and competency validation; provides coaching and additional training where needed; recognizes strong performance; and addresses performance problems through progressive discipline up to termination, reporting to HHSC and the Employee Misconduct Registry process where required. Competency is validated at hire and reconfirmed over time and after any concern.</w:t>
      </w:r>
    </w:p>
    <w:p>
      <w:pPr>
        <w:spacing w:after="120" w:before="0" w:line="276"/>
        <w:jc w:val="left"/>
      </w:pPr>
      <w:r>
        <w:rPr>
          <w:rFonts w:ascii="Calibri" w:cs="Calibri" w:eastAsia="Calibri" w:hAnsi="Calibri"/>
          <w:b w:val="false"/>
          <w:bCs w:val="false"/>
          <w:i w:val="false"/>
          <w:iCs w:val="false"/>
          <w:color w:val="1A1A1A"/>
          <w:sz w:val="21"/>
          <w:szCs w:val="21"/>
        </w:rPr>
        <w:t xml:space="preserve">Attendant quality is the agency’s quality — clients experience the agency through their attendant — so the agency invests in competency and performance, addresses problems early, and keeps documentation that supports both development and, when needed, discipline.</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Monitor performance through supervision, feedback, and documentation/EVV review.</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Validate competency at hire and reconfirm over time and after concerns.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Provide coaching and additional training where needed.</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Recognize strong performance.</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Address performance problems through progressive discipline and required reporting.</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Performance Review · Competency Validation Log</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6.04 — Supervisory Visits and Monitoring</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Supervisory Visits and Monitoring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Quality &amp; Outcomes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 558.404(f)–(g)</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conduct supervisory visits and monitoring that verify care quality and safety. Written to comply with 26 TAC § 558.404(f)–(g).</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conducts supervisory visits and monitoring consistent with its supervision policy and § 558.404, verifying that care is delivered per the individualized service plan, that the client is safe and satisfied, and that the attendant is competent and compliant; it documents supervisory visits in the client record as § 558.404(f) requires and uses findings to update service plans, coach attendants, and improve. Frequency reflects client acuity and any client or family input.</w:t>
      </w:r>
    </w:p>
    <w:p>
      <w:pPr>
        <w:spacing w:after="120" w:before="0" w:line="276"/>
        <w:jc w:val="left"/>
      </w:pPr>
      <w:r>
        <w:rPr>
          <w:rFonts w:ascii="Calibri" w:cs="Calibri" w:eastAsia="Calibri" w:hAnsi="Calibri"/>
          <w:b w:val="false"/>
          <w:bCs w:val="false"/>
          <w:i w:val="false"/>
          <w:iCs w:val="false"/>
          <w:color w:val="1A1A1A"/>
          <w:sz w:val="21"/>
          <w:szCs w:val="21"/>
        </w:rPr>
        <w:t xml:space="preserve">Supervisory visits are the agency’s eyes in the home, catching problems that data alone misses — a struggling attendant, a changing client, an unsafe condition — so the agency treats them as a core quality activity, not a formality, and acts on what supervisors find.</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Conduct supervisory visits and monitoring per policy and § 558.404.</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Verify care matches the ISP and the client is safe and satisfied.</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Confirm attendant competency and compliance.</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Document supervisory visits in the client record (§ 558.404(f)).</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Use findings to update plans, coach attendants, and improve.</w:t>
      </w:r>
    </w:p>
    <w:p>
      <w:pPr>
        <w:spacing w:after="70" w:line="276"/>
        <w:ind w:left="460" w:hanging="300"/>
      </w:pPr>
      <w:r>
        <w:rPr>
          <w:rFonts w:ascii="Calibri" w:cs="Calibri" w:eastAsia="Calibri" w:hAnsi="Calibri"/>
          <w:b/>
          <w:bCs/>
          <w:i w:val="false"/>
          <w:iCs w:val="false"/>
          <w:color w:val="3E5871"/>
          <w:sz w:val="21"/>
          <w:szCs w:val="21"/>
        </w:rPr>
        <w:t xml:space="preserve">6.  </w:t>
      </w:r>
      <w:r>
        <w:rPr>
          <w:rFonts w:ascii="Calibri" w:cs="Calibri" w:eastAsia="Calibri" w:hAnsi="Calibri"/>
          <w:b w:val="false"/>
          <w:bCs w:val="false"/>
          <w:i w:val="false"/>
          <w:iCs w:val="false"/>
          <w:color w:val="1A1A1A"/>
          <w:sz w:val="21"/>
          <w:szCs w:val="21"/>
        </w:rPr>
        <w:t xml:space="preserve">Set frequency by acuity and client/family input.</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Supervisory Visit Record</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6.05 — Accreditation Readiness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Accreditation Readiness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Quality &amp; Outcomes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 558.2 (Joint Commission, CHAP, ACHC)</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keep the agency ready for accreditation by a recognized organization. Written to align with the accreditation organizations named in 26 TAC § 558.2.</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structures its policies and operations to align with the home-care accreditation frameworks HHSC recognizes — the Joint Commission, Community Health Accreditation Partner (CHAP), and Accreditation Commission for Health Care (ACHC) (§ 558.2) — aligned to, not reproducing, their proprietary standards, so it can pursue accreditation efficiently and can satisfy payers and managed-care organizations that prefer accredited providers. The agency periodically self-assesses against these frameworks and closes gaps through QAPI.</w:t>
      </w:r>
    </w:p>
    <w:p>
      <w:pPr>
        <w:spacing w:after="120" w:before="0" w:line="276"/>
        <w:jc w:val="left"/>
      </w:pPr>
      <w:r>
        <w:rPr>
          <w:rFonts w:ascii="Calibri" w:cs="Calibri" w:eastAsia="Calibri" w:hAnsi="Calibri"/>
          <w:b w:val="false"/>
          <w:bCs w:val="false"/>
          <w:i w:val="false"/>
          <w:iCs w:val="false"/>
          <w:color w:val="1A1A1A"/>
          <w:sz w:val="21"/>
          <w:szCs w:val="21"/>
        </w:rPr>
        <w:t xml:space="preserve">Accreditation opens payer and referral doors and signals quality, and an agency that already operates to these frameworks avoids a scramble later; the agency keeps documentation organized and practice consistent so accreditation — if pursued — confirms what it already does.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Structure policies to align with the Joint Commission, CHAP, and ACHC frameworks.</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Align to — not reproduce — their proprietary standards.</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Periodically self-assess against these frameworks.</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Close gaps through QAPI.</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Keep documentation organized for accreditation and payer review.</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Accreditation Readiness Self-Assessment</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keepNext/>
        <w:spacing w:after="100" w:before="240"/>
      </w:pPr>
      <w:r>
        <w:rPr>
          <w:rFonts w:ascii="Calibri" w:cs="Calibri" w:eastAsia="Calibri" w:hAnsi="Calibri"/>
          <w:b/>
          <w:bCs/>
          <w:i w:val="false"/>
          <w:iCs w:val="false"/>
          <w:color w:val="1F3A5F"/>
          <w:sz w:val="24"/>
          <w:szCs w:val="24"/>
        </w:rPr>
        <w:t xml:space="preserve">Policy 6.06 — Outcomes and Continuous Improvement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000"/>
        <w:gridCol w:w="7360"/>
      </w:tblGrid>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Subject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Outcomes and Continuous Improvement</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Department</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[Agency Name] — Quality &amp; Outcomes</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Reference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26 TAC Ch. 558; agency policy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Effective Date</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Revision Dates</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[MM/DD/YYYY]</w:t>
            </w:r>
          </w:p>
        </w:tc>
      </w:tr>
      <w:tr>
        <w:tc>
          <w:tcPr>
            <w:tcW w:type="dxa" w:w="2000"/>
            <w:shd w:fill="EAF0F6" w:color="auto" w:val="clear"/>
            <w:tcMar>
              <w:top w:type="dxa" w:w="60"/>
              <w:left w:type="dxa" w:w="110"/>
              <w:bottom w:type="dxa" w:w="60"/>
              <w:right w:type="dxa" w:w="110"/>
            </w:tcMar>
            <w:vAlign w:val="center"/>
          </w:tcPr>
          <w:p>
            <w:pPr>
              <w:spacing w:after="0" w:before="0" w:line="276"/>
              <w:jc w:val="left"/>
            </w:pPr>
            <w:r>
              <w:rPr>
                <w:rFonts w:ascii="Calibri" w:cs="Calibri" w:eastAsia="Calibri" w:hAnsi="Calibri"/>
                <w:b/>
                <w:bCs/>
                <w:i w:val="false"/>
                <w:iCs w:val="false"/>
                <w:color w:val="3E5871"/>
                <w:sz w:val="20"/>
                <w:szCs w:val="20"/>
              </w:rPr>
              <w:t xml:space="preserve">Approved By</w:t>
            </w:r>
          </w:p>
        </w:tc>
        <w:tc>
          <w:tcPr>
            <w:tcW w:type="dxa" w:w="73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20"/>
                <w:szCs w:val="20"/>
              </w:rPr>
              <w:t xml:space="preserve">____________________________   </w:t>
            </w:r>
            <w:r>
              <w:rPr>
                <w:rFonts w:ascii="Calibri" w:cs="Calibri" w:eastAsia="Calibri" w:hAnsi="Calibri"/>
                <w:b w:val="false"/>
                <w:bCs w:val="false"/>
                <w:i w:val="false"/>
                <w:iCs w:val="false"/>
                <w:color w:val="1A1A1A"/>
                <w:sz w:val="20"/>
                <w:szCs w:val="20"/>
              </w:rPr>
              <w:t xml:space="preserve">[Administrator Name], Administrator</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pPr>
        <w:spacing w:after="60" w:before="0" w:line="276"/>
        <w:jc w:val="left"/>
      </w:pPr>
      <w:r>
        <w:rPr>
          <w:rFonts w:ascii="Calibri" w:cs="Calibri" w:eastAsia="Calibri" w:hAnsi="Calibri"/>
          <w:b/>
          <w:bCs/>
          <w:i w:val="false"/>
          <w:iCs w:val="false"/>
          <w:color w:val="3E5871"/>
          <w:sz w:val="21"/>
          <w:szCs w:val="21"/>
        </w:rPr>
        <w:t xml:space="preserve">Purpose</w:t>
      </w:r>
    </w:p>
    <w:p>
      <w:pPr>
        <w:spacing w:after="120" w:before="0" w:line="276"/>
        <w:jc w:val="left"/>
      </w:pPr>
      <w:r>
        <w:rPr>
          <w:rFonts w:ascii="Calibri" w:cs="Calibri" w:eastAsia="Calibri" w:hAnsi="Calibri"/>
          <w:b w:val="false"/>
          <w:bCs w:val="false"/>
          <w:i w:val="false"/>
          <w:iCs w:val="false"/>
          <w:color w:val="1A1A1A"/>
          <w:sz w:val="21"/>
          <w:szCs w:val="21"/>
        </w:rPr>
        <w:t xml:space="preserve">To track outcomes and drive continuous improvement across the agency. Written to align with Chapter 558 and accreditation frameworks.</w:t>
      </w:r>
    </w:p>
    <w:p>
      <w:pPr>
        <w:spacing w:after="60" w:before="0" w:line="276"/>
        <w:jc w:val="left"/>
      </w:pPr>
      <w:r>
        <w:rPr>
          <w:rFonts w:ascii="Calibri" w:cs="Calibri" w:eastAsia="Calibri" w:hAnsi="Calibri"/>
          <w:b/>
          <w:bCs/>
          <w:i w:val="false"/>
          <w:iCs w:val="false"/>
          <w:color w:val="3E5871"/>
          <w:sz w:val="21"/>
          <w:szCs w:val="21"/>
        </w:rPr>
        <w:t xml:space="preserve">Policy</w:t>
      </w:r>
    </w:p>
    <w:p>
      <w:pPr>
        <w:spacing w:after="120" w:before="0" w:line="276"/>
        <w:jc w:val="left"/>
      </w:pPr>
      <w:r>
        <w:rPr>
          <w:rFonts w:ascii="Calibri" w:cs="Calibri" w:eastAsia="Calibri" w:hAnsi="Calibri"/>
          <w:b w:val="false"/>
          <w:bCs w:val="false"/>
          <w:i w:val="false"/>
          <w:iCs w:val="false"/>
          <w:color w:val="1A1A1A"/>
          <w:sz w:val="21"/>
          <w:szCs w:val="21"/>
        </w:rPr>
        <w:t xml:space="preserve">The agency defines and tracks outcomes that matter for PAS — client safety (falls and avoidable emergencies), service reliability (visits delivered as scheduled and EVV compliance), client satisfaction and retention, and attendant competency and retention — reviews them through QAPI, sets improvement targets, and acts to reach them. Outcome trends drive decisions about hiring, training, scheduling, supervision, and service design.</w:t>
      </w:r>
    </w:p>
    <w:p>
      <w:pPr>
        <w:spacing w:after="120" w:before="0" w:line="276"/>
        <w:jc w:val="left"/>
      </w:pPr>
      <w:r>
        <w:rPr>
          <w:rFonts w:ascii="Calibri" w:cs="Calibri" w:eastAsia="Calibri" w:hAnsi="Calibri"/>
          <w:b w:val="false"/>
          <w:bCs w:val="false"/>
          <w:i w:val="false"/>
          <w:iCs w:val="false"/>
          <w:color w:val="1A1A1A"/>
          <w:sz w:val="21"/>
          <w:szCs w:val="21"/>
        </w:rPr>
        <w:t xml:space="preserve">Tracking outcomes keeps the agency focused on results rather than activity, and steady improvement in reliability, safety, and satisfaction is what builds a durable agency and a strong reputation with clients, families, and payers.</w:t>
      </w:r>
    </w:p>
    <w:p>
      <w:pPr>
        <w:spacing w:after="60" w:before="0" w:line="276"/>
        <w:jc w:val="left"/>
      </w:pPr>
      <w:r>
        <w:rPr>
          <w:rFonts w:ascii="Calibri" w:cs="Calibri" w:eastAsia="Calibri" w:hAnsi="Calibri"/>
          <w:b/>
          <w:bCs/>
          <w:i w:val="false"/>
          <w:iCs w:val="false"/>
          <w:color w:val="3E5871"/>
          <w:sz w:val="21"/>
          <w:szCs w:val="21"/>
        </w:rPr>
        <w:t xml:space="preserve">Procedure</w:t>
      </w:r>
    </w:p>
    <w:p>
      <w:pPr>
        <w:spacing w:after="70" w:line="276"/>
        <w:ind w:left="460" w:hanging="300"/>
      </w:pPr>
      <w:r>
        <w:rPr>
          <w:rFonts w:ascii="Calibri" w:cs="Calibri" w:eastAsia="Calibri" w:hAnsi="Calibri"/>
          <w:b/>
          <w:bCs/>
          <w:i w:val="false"/>
          <w:iCs w:val="false"/>
          <w:color w:val="3E5871"/>
          <w:sz w:val="21"/>
          <w:szCs w:val="21"/>
        </w:rPr>
        <w:t xml:space="preserve">1.  </w:t>
      </w:r>
      <w:r>
        <w:rPr>
          <w:rFonts w:ascii="Calibri" w:cs="Calibri" w:eastAsia="Calibri" w:hAnsi="Calibri"/>
          <w:b w:val="false"/>
          <w:bCs w:val="false"/>
          <w:i w:val="false"/>
          <w:iCs w:val="false"/>
          <w:color w:val="1A1A1A"/>
          <w:sz w:val="21"/>
          <w:szCs w:val="21"/>
        </w:rPr>
        <w:t xml:space="preserve">Define outcome measures for safety, reliability, satisfaction/retention, and workforce.</w:t>
      </w:r>
    </w:p>
    <w:p>
      <w:pPr>
        <w:spacing w:after="70" w:line="276"/>
        <w:ind w:left="460" w:hanging="300"/>
      </w:pPr>
      <w:r>
        <w:rPr>
          <w:rFonts w:ascii="Calibri" w:cs="Calibri" w:eastAsia="Calibri" w:hAnsi="Calibri"/>
          <w:b/>
          <w:bCs/>
          <w:i w:val="false"/>
          <w:iCs w:val="false"/>
          <w:color w:val="3E5871"/>
          <w:sz w:val="21"/>
          <w:szCs w:val="21"/>
        </w:rPr>
        <w:t xml:space="preserve">2.  </w:t>
      </w:r>
      <w:r>
        <w:rPr>
          <w:rFonts w:ascii="Calibri" w:cs="Calibri" w:eastAsia="Calibri" w:hAnsi="Calibri"/>
          <w:b w:val="false"/>
          <w:bCs w:val="false"/>
          <w:i w:val="false"/>
          <w:iCs w:val="false"/>
          <w:color w:val="1A1A1A"/>
          <w:sz w:val="21"/>
          <w:szCs w:val="21"/>
        </w:rPr>
        <w:t xml:space="preserve">Track outcomes and review them through QAPI.</w:t>
      </w:r>
    </w:p>
    <w:p>
      <w:pPr>
        <w:spacing w:after="70" w:line="276"/>
        <w:ind w:left="460" w:hanging="300"/>
      </w:pPr>
      <w:r>
        <w:rPr>
          <w:rFonts w:ascii="Calibri" w:cs="Calibri" w:eastAsia="Calibri" w:hAnsi="Calibri"/>
          <w:b/>
          <w:bCs/>
          <w:i w:val="false"/>
          <w:iCs w:val="false"/>
          <w:color w:val="3E5871"/>
          <w:sz w:val="21"/>
          <w:szCs w:val="21"/>
        </w:rPr>
        <w:t xml:space="preserve">3.  </w:t>
      </w:r>
      <w:r>
        <w:rPr>
          <w:rFonts w:ascii="Calibri" w:cs="Calibri" w:eastAsia="Calibri" w:hAnsi="Calibri"/>
          <w:b w:val="false"/>
          <w:bCs w:val="false"/>
          <w:i w:val="false"/>
          <w:iCs w:val="false"/>
          <w:color w:val="1A1A1A"/>
          <w:sz w:val="21"/>
          <w:szCs w:val="21"/>
        </w:rPr>
        <w:t xml:space="preserve">Set improvement targets and act to reach them.</w:t>
      </w:r>
    </w:p>
    <w:p>
      <w:pPr>
        <w:spacing w:after="70" w:line="276"/>
        <w:ind w:left="460" w:hanging="300"/>
      </w:pPr>
      <w:r>
        <w:rPr>
          <w:rFonts w:ascii="Calibri" w:cs="Calibri" w:eastAsia="Calibri" w:hAnsi="Calibri"/>
          <w:b/>
          <w:bCs/>
          <w:i w:val="false"/>
          <w:iCs w:val="false"/>
          <w:color w:val="3E5871"/>
          <w:sz w:val="21"/>
          <w:szCs w:val="21"/>
        </w:rPr>
        <w:t xml:space="preserve">4.  </w:t>
      </w:r>
      <w:r>
        <w:rPr>
          <w:rFonts w:ascii="Calibri" w:cs="Calibri" w:eastAsia="Calibri" w:hAnsi="Calibri"/>
          <w:b w:val="false"/>
          <w:bCs w:val="false"/>
          <w:i w:val="false"/>
          <w:iCs w:val="false"/>
          <w:color w:val="1A1A1A"/>
          <w:sz w:val="21"/>
          <w:szCs w:val="21"/>
        </w:rPr>
        <w:t xml:space="preserve">Use outcome trends to guide hiring, training, scheduling, supervision, and service design.</w:t>
      </w:r>
    </w:p>
    <w:p>
      <w:pPr>
        <w:spacing w:after="70" w:line="276"/>
        <w:ind w:left="460" w:hanging="300"/>
      </w:pPr>
      <w:r>
        <w:rPr>
          <w:rFonts w:ascii="Calibri" w:cs="Calibri" w:eastAsia="Calibri" w:hAnsi="Calibri"/>
          <w:b/>
          <w:bCs/>
          <w:i w:val="false"/>
          <w:iCs w:val="false"/>
          <w:color w:val="3E5871"/>
          <w:sz w:val="21"/>
          <w:szCs w:val="21"/>
        </w:rPr>
        <w:t xml:space="preserve">5.  </w:t>
      </w:r>
      <w:r>
        <w:rPr>
          <w:rFonts w:ascii="Calibri" w:cs="Calibri" w:eastAsia="Calibri" w:hAnsi="Calibri"/>
          <w:b w:val="false"/>
          <w:bCs w:val="false"/>
          <w:i w:val="false"/>
          <w:iCs w:val="false"/>
          <w:color w:val="1A1A1A"/>
          <w:sz w:val="21"/>
          <w:szCs w:val="21"/>
        </w:rPr>
        <w:t xml:space="preserve">Document outcomes and improvement over time.</w:t>
      </w:r>
    </w:p>
    <w:p>
      <w:pPr>
        <w:spacing w:after="60" w:before="0" w:line="276"/>
        <w:jc w:val="left"/>
      </w:pPr>
      <w:r>
        <w:rPr>
          <w:rFonts w:ascii="Calibri" w:cs="Calibri" w:eastAsia="Calibri" w:hAnsi="Calibri"/>
          <w:b/>
          <w:bCs/>
          <w:i w:val="false"/>
          <w:iCs w:val="false"/>
          <w:color w:val="3E5871"/>
          <w:sz w:val="21"/>
          <w:szCs w:val="21"/>
        </w:rPr>
        <w:t xml:space="preserve">Related Forms</w:t>
      </w:r>
    </w:p>
    <w:p>
      <w:pPr>
        <w:spacing w:after="120" w:before="0" w:line="276"/>
        <w:jc w:val="left"/>
      </w:pPr>
      <w:r>
        <w:rPr>
          <w:rFonts w:ascii="Calibri" w:cs="Calibri" w:eastAsia="Calibri" w:hAnsi="Calibri"/>
          <w:b w:val="false"/>
          <w:bCs w:val="false"/>
          <w:i w:val="false"/>
          <w:iCs w:val="false"/>
          <w:color w:val="1A1A1A"/>
          <w:sz w:val="21"/>
          <w:szCs w:val="21"/>
        </w:rPr>
        <w:t xml:space="preserve">Outcomes Dashboard · Improvement Plan</w:t>
      </w:r>
    </w:p>
    <w:p>
      <w:pPr>
        <w:spacing w:after="60" w:before="0" w:line="276"/>
        <w:jc w:val="left"/>
      </w:pPr>
      <w:r>
        <w:rPr>
          <w:rFonts w:ascii="Calibri" w:cs="Calibri" w:eastAsia="Calibri" w:hAnsi="Calibri"/>
          <w:b/>
          <w:bCs/>
          <w:i w:val="false"/>
          <w:iCs w:val="false"/>
          <w:color w:val="3E5871"/>
          <w:sz w:val="21"/>
          <w:szCs w:val="21"/>
        </w:rPr>
        <w:t xml:space="preserve">Document History</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100"/>
        <w:gridCol w:w="1700"/>
        <w:gridCol w:w="4260"/>
        <w:gridCol w:w="2300"/>
      </w:tblGrid>
      <w:tr>
        <w:trPr>
          <w:tblHeader/>
        </w:trPr>
        <w:tc>
          <w:tcPr>
            <w:tcW w:type="dxa" w:w="11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Version</w:t>
            </w:r>
          </w:p>
        </w:tc>
        <w:tc>
          <w:tcPr>
            <w:tcW w:type="dxa" w:w="17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Date</w:t>
            </w:r>
          </w:p>
        </w:tc>
        <w:tc>
          <w:tcPr>
            <w:tcW w:type="dxa" w:w="426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Description</w:t>
            </w:r>
          </w:p>
        </w:tc>
        <w:tc>
          <w:tcPr>
            <w:tcW w:type="dxa" w:w="2300"/>
            <w:shd w:fill="3E5871" w:color="auto" w:val="clear"/>
            <w:tcMar>
              <w:top w:type="dxa" w:w="50"/>
              <w:left w:type="dxa" w:w="100"/>
              <w:bottom w:type="dxa" w:w="50"/>
              <w:right w:type="dxa" w:w="100"/>
            </w:tcMar>
          </w:tcPr>
          <w:p>
            <w:pPr>
              <w:spacing w:after="0" w:before="0" w:line="276"/>
              <w:jc w:val="left"/>
            </w:pPr>
            <w:r>
              <w:rPr>
                <w:rFonts w:ascii="Calibri" w:cs="Calibri" w:eastAsia="Calibri" w:hAnsi="Calibri"/>
                <w:b/>
                <w:bCs/>
                <w:i w:val="false"/>
                <w:iCs w:val="false"/>
                <w:color w:val="FFFFFF"/>
                <w:sz w:val="18"/>
                <w:szCs w:val="18"/>
              </w:rPr>
              <w:t xml:space="preserve">Approved By</w:t>
            </w:r>
          </w:p>
        </w:tc>
      </w:tr>
      <w:tr>
        <w:tc>
          <w:tcPr>
            <w:tcW w:type="dxa" w:w="11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1.0</w:t>
            </w:r>
          </w:p>
        </w:tc>
        <w:tc>
          <w:tcPr>
            <w:tcW w:type="dxa" w:w="17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[MM/DD/YYYY]</w:t>
            </w:r>
          </w:p>
        </w:tc>
        <w:tc>
          <w:tcPr>
            <w:tcW w:type="dxa" w:w="426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Initial policy</w:t>
            </w:r>
          </w:p>
        </w:tc>
        <w:tc>
          <w:tcPr>
            <w:tcW w:type="dxa" w:w="2300"/>
            <w:tcMar>
              <w:top w:type="dxa" w:w="60"/>
              <w:left w:type="dxa" w:w="110"/>
              <w:bottom w:type="dxa" w:w="60"/>
              <w:right w:type="dxa" w:w="110"/>
            </w:tcMar>
            <w:vAlign w:val="center"/>
          </w:tcPr>
          <w:p>
            <w:pPr>
              <w:spacing w:after="0" w:before="0" w:line="276"/>
              <w:jc w:val="left"/>
            </w:pPr>
            <w:r>
              <w:rPr>
                <w:rFonts w:ascii="Calibri" w:cs="Calibri" w:eastAsia="Calibri" w:hAnsi="Calibri"/>
                <w:b w:val="false"/>
                <w:bCs w:val="false"/>
                <w:i w:val="false"/>
                <w:iCs w:val="false"/>
                <w:color w:val="1A1A1A"/>
                <w:sz w:val="18"/>
                <w:szCs w:val="18"/>
              </w:rPr>
              <w:t xml:space="preserve">[Administrator Name]</w:t>
            </w:r>
          </w:p>
        </w:tc>
      </w:tr>
    </w:tbl>
    <w:p>
      <w:pPr>
        <w:spacing w:after="60" w:before="0" w:line="276"/>
        <w:jc w:val="left"/>
      </w:pPr>
      <w:r>
        <w:rPr>
          <w:rFonts w:ascii="Calibri" w:cs="Calibri" w:eastAsia="Calibri" w:hAnsi="Calibri"/>
          <w:b w:val="false"/>
          <w:bCs w:val="false"/>
          <w:i w:val="false"/>
          <w:iCs w:val="false"/>
          <w:color w:val="1A1A1A"/>
          <w:sz w:val="6"/>
          <w:szCs w:val="6"/>
        </w:rPr>
        <w:t xml:space="preserve"/>
      </w:r>
    </w:p>
    <w:p>
      <w:r>
        <w:br w:type="page"/>
      </w:r>
    </w:p>
    <w:p>
      <w:pPr>
        <w:shd w:fill="1F3A5F" w:color="auto" w:val="clear"/>
        <w:spacing w:after="60" w:before="60"/>
      </w:pPr>
      <w:r>
        <w:rPr>
          <w:rFonts w:ascii="Calibri" w:cs="Calibri" w:eastAsia="Calibri" w:hAnsi="Calibri"/>
          <w:b/>
          <w:bCs/>
          <w:i w:val="false"/>
          <w:iCs w:val="false"/>
          <w:color w:val="FFFFFF"/>
          <w:sz w:val="24"/>
          <w:szCs w:val="24"/>
        </w:rPr>
        <w:t xml:space="preserve">APPENDIX — REFERENCED FORMS</w:t>
      </w:r>
    </w:p>
    <w:p>
      <w:pPr>
        <w:spacing w:after="120" w:before="0" w:line="276"/>
        <w:jc w:val="left"/>
      </w:pPr>
      <w:r>
        <w:rPr>
          <w:rFonts w:ascii="Calibri" w:cs="Calibri" w:eastAsia="Calibri" w:hAnsi="Calibri"/>
          <w:b w:val="false"/>
          <w:bCs w:val="false"/>
          <w:i w:val="false"/>
          <w:iCs w:val="false"/>
          <w:color w:val="1A1A1A"/>
          <w:sz w:val="21"/>
          <w:szCs w:val="21"/>
        </w:rPr>
        <w:t xml:space="preserve">The following forms are referenced across this manual and are provided in the companion Forms Packet, ready to customize: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HCSSA License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Licensing &amp; Renewal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Scope of Services Statement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RN Delegation Policy</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Administrator &amp; Alternate Administrator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Training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Yearly Policy Review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Required Notices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Insurance &amp; Bond Verification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Client Service Agreement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Complaint / Grievance Form &amp;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Incident &amp; ANE Report &amp;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Client Record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Records Retention Schedule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QAPI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Quality Review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Corrective Action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Survey &amp; Plan-of-Correction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Attendant Qualification &amp; Hiring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Background Check, EMR &amp; NAR Verification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Personnel File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Job Descriptions</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Attendant Training &amp; Competency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Orientation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Supervision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Supervisory Visit Note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RN Delegation / Determination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Attendant Assignment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Timekeeping &amp; Wage Compliance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Code of Conduct Acknowledgment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ANE Reporting Form &amp;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Workplace Violence Prevention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Incident/Concern Report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Safety Program</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Injury / Hazard Report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Intake Form</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On-Site Determination / Assessment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Individualized Service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Client Rights &amp; Responsibilities Statement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Personal Care Task Sheet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IADL / Homemaker Task Sheet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Medication Assistance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Change-in-Condition Report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Care Coordination Note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Visit Documentation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EVV Exception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Service Change / Termination Notice &amp;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Infection Control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Training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Emergency Preparedness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Client Acuity/Risk 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Home Safety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Client Funds Handling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In-Home Incident / Accident Report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Communicable Disease Response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Field Safety Assessment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Safety Concern Report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Notice of Privacy Practices</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BAA Template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Breach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Billing Integrity Checklist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Overpayment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Compliance Plan</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Fraud/Abuse Report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Enrollment &amp; Contract Tracker</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Confidentiality Agreement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Non-Discrimination Notice</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Regulatory Reporting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Quality Dashboard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Corrective Action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Client Satisfaction Survey</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Results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Performance Review</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Competency Validation Log</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Supervisory Visit Record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Accreditation Readiness Self-Assessment</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Outcomes Dashboard</w:t>
      </w:r>
    </w:p>
    <w:p>
      <w:pPr>
        <w:pStyle w:val="ListParagraph"/>
        <w:numPr>
          <w:ilvl w:val="0"/>
          <w:numId w:val="2"/>
        </w:numPr>
        <w:spacing w:after="40" w:line="264"/>
      </w:pPr>
      <w:r>
        <w:rPr>
          <w:rFonts w:ascii="Calibri" w:cs="Calibri" w:eastAsia="Calibri" w:hAnsi="Calibri"/>
          <w:b w:val="false"/>
          <w:bCs w:val="false"/>
          <w:i w:val="false"/>
          <w:iCs w:val="false"/>
          <w:color w:val="1A1A1A"/>
          <w:sz w:val="19"/>
          <w:szCs w:val="19"/>
        </w:rPr>
        <w:t xml:space="preserve">Improvement Plan</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color w:val="555555"/>
        <w:sz w:val="16"/>
        <w:szCs w:val="16"/>
      </w:rPr>
      <w:t xml:space="preserve">Built to Tex. H.S.C. Ch. 142 &amp; 26 TAC Ch. 558  —  Ready to customize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val="false"/>
        <w:bCs w:val="false"/>
        <w:i w:val="false"/>
        <w:iCs w:val="false"/>
        <w:color w:val="555555"/>
        <w:sz w:val="16"/>
        <w:szCs w:val="16"/>
      </w:rPr>
      <w:t xml:space="preserve">[Agency Name]  •  Home &amp; Community Support Services Agency (PAS)  •  Texas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Texas Home &amp; Community Support Services Agency (PAS) — Policy &amp; Procedure Manual</dc:title>
  <dc:creator>PolicyReady.org</dc:creator>
  <cp:lastModifiedBy>Un-named</cp:lastModifiedBy>
  <cp:revision>1</cp:revision>
  <dcterms:created xsi:type="dcterms:W3CDTF">2026-07-10T14:45:44.771Z</dcterms:created>
  <dcterms:modified xsi:type="dcterms:W3CDTF">2026-07-10T14:45:44.771Z</dcterms:modified>
</cp:coreProperties>
</file>

<file path=docProps/custom.xml><?xml version="1.0" encoding="utf-8"?>
<Properties xmlns="http://schemas.openxmlformats.org/officeDocument/2006/custom-properties" xmlns:vt="http://schemas.openxmlformats.org/officeDocument/2006/docPropsVTypes"/>
</file>