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r>
        <w:rPr>
          <w:rFonts w:ascii="Calibri" w:cs="Calibri" w:eastAsia="Calibri" w:hAnsi="Calibri"/>
          <w:b w:val="false"/>
          <w:bCs w:val="false"/>
          <w:i w:val="false"/>
          <w:iCs w:val="false"/>
          <w:color w:val="1A1A1A"/>
          <w:sz w:val="21"/>
          <w:szCs w:val="21"/>
        </w:rPr>
        <w:t xml:space="preserve"/>
      </w:r>
    </w:p>
    <w:p>
      <w:pPr>
        <w:spacing w:after="60" w:before="0" w:line="276"/>
        <w:jc w:val="center"/>
      </w:pPr>
      <w:r>
        <w:rPr>
          <w:rFonts w:ascii="Calibri" w:cs="Calibri" w:eastAsia="Calibri" w:hAnsi="Calibri"/>
          <w:b/>
          <w:bCs/>
          <w:i w:val="false"/>
          <w:iCs w:val="false"/>
          <w:color w:val="3E5871"/>
          <w:sz w:val="26"/>
          <w:szCs w:val="26"/>
        </w:rPr>
        <w:t xml:space="preserve">[FACILITY NAME]</w:t>
      </w:r>
    </w:p>
    <w:p>
      <w:pPr>
        <w:spacing w:after="60" w:before="0" w:line="276"/>
        <w:jc w:val="center"/>
      </w:pPr>
      <w:r>
        <w:rPr>
          <w:rFonts w:ascii="Calibri" w:cs="Calibri" w:eastAsia="Calibri" w:hAnsi="Calibri"/>
          <w:b/>
          <w:bCs/>
          <w:i w:val="false"/>
          <w:iCs w:val="false"/>
          <w:color w:val="1F3A5F"/>
          <w:sz w:val="46"/>
          <w:szCs w:val="46"/>
        </w:rPr>
        <w:t xml:space="preserve">Policy &amp; Procedure Manual</w:t>
      </w:r>
    </w:p>
    <w:p>
      <w:pPr>
        <w:spacing w:after="20" w:before="0" w:line="276"/>
        <w:jc w:val="center"/>
      </w:pPr>
      <w:r>
        <w:rPr>
          <w:rFonts w:ascii="Calibri" w:cs="Calibri" w:eastAsia="Calibri" w:hAnsi="Calibri"/>
          <w:b w:val="false"/>
          <w:bCs w:val="false"/>
          <w:i/>
          <w:iCs/>
          <w:color w:val="3E5871"/>
          <w:sz w:val="24"/>
          <w:szCs w:val="24"/>
        </w:rPr>
        <w:t xml:space="preserve">Texas Assisted Living Facility — Type A / Type B</w:t>
      </w:r>
    </w:p>
    <w:p>
      <w:pPr>
        <w:spacing w:after="200" w:before="0" w:line="276"/>
        <w:jc w:val="center"/>
      </w:pPr>
      <w:r>
        <w:rPr>
          <w:rFonts w:ascii="Calibri" w:cs="Calibri" w:eastAsia="Calibri" w:hAnsi="Calibri"/>
          <w:b w:val="false"/>
          <w:bCs w:val="false"/>
          <w:i/>
          <w:iCs/>
          <w:color w:val="3E5871"/>
          <w:sz w:val="24"/>
          <w:szCs w:val="24"/>
        </w:rPr>
        <w:t xml:space="preserve">Brain Injury Residential</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160" w:before="0" w:line="276"/>
        <w:jc w:val="center"/>
      </w:pPr>
      <w:r>
        <w:rPr>
          <w:rFonts w:ascii="Calibri" w:cs="Calibri" w:eastAsia="Calibri" w:hAnsi="Calibri"/>
          <w:b/>
          <w:bCs/>
          <w:i w:val="false"/>
          <w:iCs w:val="false"/>
          <w:color w:val="3E5871"/>
          <w:sz w:val="20"/>
          <w:szCs w:val="20"/>
        </w:rPr>
        <w:t xml:space="preserve">Regulatory basis: </w:t>
      </w:r>
      <w:r>
        <w:rPr>
          <w:rFonts w:ascii="Calibri" w:cs="Calibri" w:eastAsia="Calibri" w:hAnsi="Calibri"/>
          <w:b w:val="false"/>
          <w:bCs w:val="false"/>
          <w:i w:val="false"/>
          <w:iCs w:val="false"/>
          <w:color w:val="555555"/>
          <w:sz w:val="20"/>
          <w:szCs w:val="20"/>
        </w:rPr>
        <w:t xml:space="preserve">26 TAC Chapter 553 (Licensing Standards for Assisted Living Facilities, amended Sept. 2024 — HB 1009, 1673, 4696); Texas Health &amp; Safety Code Chapter 247; 22 TAC Chapter 225 (RN Delegation); optional CRS pathway: CRS Standards for Providers and 1 TAC §355.9040.</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200" w:before="0" w:line="276"/>
        <w:jc w:val="center"/>
      </w:pPr>
      <w:r>
        <w:rPr>
          <w:rFonts w:ascii="Calibri" w:cs="Calibri" w:eastAsia="Calibri" w:hAnsi="Calibri"/>
          <w:b w:val="false"/>
          <w:bCs w:val="false"/>
          <w:i/>
          <w:iCs/>
          <w:color w:val="555555"/>
          <w:sz w:val="19"/>
          <w:szCs w:val="19"/>
        </w:rPr>
        <w:t xml:space="preserve">This manual is a customizable template. Replace every bracketed field with your organization’s details and adapt each policy to your operations before use.</w:t>
      </w:r>
    </w:p>
    <w:p>
      <w:pPr>
        <w:spacing w:after="20" w:before="0" w:line="276"/>
        <w:jc w:val="center"/>
      </w:pPr>
      <w:r>
        <w:rPr>
          <w:rFonts w:ascii="Calibri" w:cs="Calibri" w:eastAsia="Calibri" w:hAnsi="Calibri"/>
          <w:b w:val="false"/>
          <w:bCs w:val="false"/>
          <w:i w:val="false"/>
          <w:iCs w:val="false"/>
          <w:color w:val="1A1A1A"/>
          <w:sz w:val="21"/>
          <w:szCs w:val="21"/>
        </w:rPr>
        <w:t xml:space="preserve">Approved By: [Manager Name], Manager</w:t>
      </w:r>
    </w:p>
    <w:p>
      <w:pPr>
        <w:spacing w:after="90" w:before="0" w:line="276"/>
        <w:jc w:val="center"/>
      </w:pPr>
      <w:r>
        <w:rPr>
          <w:rFonts w:ascii="Calibri" w:cs="Calibri" w:eastAsia="Calibri" w:hAnsi="Calibri"/>
          <w:b w:val="false"/>
          <w:bCs w:val="false"/>
          <w:i w:val="false"/>
          <w:iCs w:val="false"/>
          <w:color w:val="555555"/>
          <w:sz w:val="18"/>
          <w:szCs w:val="18"/>
        </w:rPr>
        <w:t xml:space="preserve">Effective Date: [Date]        Version: 1.0        Review: Annual or upon rule change</w:t>
      </w:r>
    </w:p>
    <w:p>
      <w:r>
        <w:br w:type="page"/>
      </w:r>
    </w:p>
    <w:p>
      <w:pPr>
        <w:spacing w:after="120"/>
      </w:pPr>
      <w:r>
        <w:rPr>
          <w:rFonts w:ascii="Calibri" w:cs="Calibri" w:eastAsia="Calibri" w:hAnsi="Calibri"/>
          <w:b/>
          <w:bCs/>
          <w:i w:val="false"/>
          <w:iCs w:val="false"/>
          <w:color w:val="1F3A5F"/>
          <w:sz w:val="30"/>
          <w:szCs w:val="30"/>
        </w:rPr>
        <w:t xml:space="preserve">Front Matter — State Rules and Regulations</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120" w:before="0" w:line="276"/>
        <w:jc w:val="left"/>
      </w:pPr>
      <w:r>
        <w:rPr>
          <w:rFonts w:ascii="Calibri" w:cs="Calibri" w:eastAsia="Calibri" w:hAnsi="Calibri"/>
          <w:b w:val="false"/>
          <w:bCs w:val="false"/>
          <w:i w:val="false"/>
          <w:iCs w:val="false"/>
          <w:color w:val="1A1A1A"/>
          <w:sz w:val="21"/>
          <w:szCs w:val="21"/>
        </w:rPr>
        <w:t xml:space="preserve">[Facility Name] operates in compliance with the following Texas authorities, which form the regulatory basis for this manual:</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Texas Health &amp; Safety Code Chapter 247 — Assisted Living Facilities (enabling statute).</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26 TAC Chapter 553 — Licensing Standards for Assisted Living Facilities (amended Sept. 2024; HB 1009, 1673, 4696).</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26 TAC §553.5 — Types of Assisted Living Facilities (Type A / Type B).</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26 TAC §553.253 — Employee Qualifications, Training, and Staffing.</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26 TAC §553.254 / §553.255 — Cognitive Disorder / Alzheimer’s training and all-staff policy.</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26 TAC §553.257 — Human Resources and Employee Misconduct Registry.</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26 TAC §553.259 — Admission, Disclosure, and Aging in Place.</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26 TAC §553.261 — Coordination of Care (medication, food, infection control, emergency care).</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26 TAC §553.271 — Postings.  ·  26 TAC §553.329 — Abuse, Neglect, and Exploitation.</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26 TAC Chapter 553, Subchapter D — Facility Construction / NFPA 101.</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22 TAC Chapter 225 — RN Delegation to Unlicensed Personnel.</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Optional CRS pathway: CRS Standards for Providers (Ch. 1, 4, 6, 10, 13) and 1 TAC §355.9040.</w:t>
      </w:r>
    </w:p>
    <w:p>
      <w:pPr>
        <w:spacing w:after="120" w:before="100" w:line="276"/>
        <w:jc w:val="left"/>
      </w:pPr>
      <w:r>
        <w:rPr>
          <w:rFonts w:ascii="Calibri" w:cs="Calibri" w:eastAsia="Calibri" w:hAnsi="Calibri"/>
          <w:b w:val="false"/>
          <w:bCs w:val="false"/>
          <w:i/>
          <w:iCs/>
          <w:color w:val="555555"/>
          <w:sz w:val="19"/>
          <w:szCs w:val="19"/>
        </w:rPr>
        <w:t xml:space="preserve">This manual provides general information and is not legal advice; verify current rule text with HHSC before relying on any provision.</w:t>
      </w:r>
    </w:p>
    <w:p>
      <w:r>
        <w:br w:type="page"/>
      </w:r>
    </w:p>
    <w:p>
      <w:pPr>
        <w:spacing w:after="120"/>
      </w:pPr>
      <w:r>
        <w:rPr>
          <w:rFonts w:ascii="Calibri" w:cs="Calibri" w:eastAsia="Calibri" w:hAnsi="Calibri"/>
          <w:b/>
          <w:bCs/>
          <w:i w:val="false"/>
          <w:iCs w:val="false"/>
          <w:color w:val="1F3A5F"/>
          <w:sz w:val="30"/>
          <w:szCs w:val="30"/>
        </w:rPr>
        <w:t xml:space="preserve">Front Matter — Yearly Policy Check Report by Manager</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120" w:before="0" w:line="276"/>
        <w:jc w:val="left"/>
      </w:pPr>
      <w:r>
        <w:rPr>
          <w:rFonts w:ascii="Calibri" w:cs="Calibri" w:eastAsia="Calibri" w:hAnsi="Calibri"/>
          <w:b w:val="false"/>
          <w:bCs w:val="false"/>
          <w:i w:val="false"/>
          <w:iCs w:val="false"/>
          <w:color w:val="1A1A1A"/>
          <w:sz w:val="21"/>
          <w:szCs w:val="21"/>
        </w:rPr>
        <w:t xml:space="preserve">The Manager reviews this manual at least annually and upon any change to an applicable rule, confirms each section remains current, and records the review below.</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3400"/>
        <w:gridCol w:w="1700"/>
        <w:gridCol w:w="2060"/>
        <w:gridCol w:w="2200"/>
      </w:tblGrid>
      <w:tr>
        <w:trPr>
          <w:tblHeader/>
        </w:trPr>
        <w:tc>
          <w:tcPr>
            <w:tcW w:type="dxa" w:w="3400"/>
            <w:shd w:fill="3E5871" w:val="clear"/>
            <w:tcMar>
              <w:top w:type="dxa" w:w="60"/>
              <w:left w:type="dxa" w:w="110"/>
              <w:bottom w:type="dxa" w:w="60"/>
              <w:right w:type="dxa" w:w="110"/>
            </w:tcMar>
          </w:tcPr>
          <w:p>
            <w:pPr>
              <w:spacing w:after="0" w:before="0" w:line="276"/>
              <w:jc w:val="left"/>
            </w:pPr>
            <w:r>
              <w:rPr>
                <w:rFonts w:ascii="Calibri" w:cs="Calibri" w:eastAsia="Calibri" w:hAnsi="Calibri"/>
                <w:b/>
                <w:bCs/>
                <w:i w:val="false"/>
                <w:iCs w:val="false"/>
                <w:color w:val="FFFFFF"/>
                <w:sz w:val="18"/>
                <w:szCs w:val="18"/>
              </w:rPr>
              <w:t xml:space="preserve">Section Reviewed</w:t>
            </w:r>
          </w:p>
        </w:tc>
        <w:tc>
          <w:tcPr>
            <w:tcW w:type="dxa" w:w="1700"/>
            <w:shd w:fill="3E5871" w:val="clear"/>
            <w:tcMar>
              <w:top w:type="dxa" w:w="60"/>
              <w:left w:type="dxa" w:w="110"/>
              <w:bottom w:type="dxa" w:w="60"/>
              <w:right w:type="dxa" w:w="110"/>
            </w:tcMar>
          </w:tcPr>
          <w:p>
            <w:pPr>
              <w:spacing w:after="0" w:before="0" w:line="276"/>
              <w:jc w:val="left"/>
            </w:pPr>
            <w:r>
              <w:rPr>
                <w:rFonts w:ascii="Calibri" w:cs="Calibri" w:eastAsia="Calibri" w:hAnsi="Calibri"/>
                <w:b/>
                <w:bCs/>
                <w:i w:val="false"/>
                <w:iCs w:val="false"/>
                <w:color w:val="FFFFFF"/>
                <w:sz w:val="18"/>
                <w:szCs w:val="18"/>
              </w:rPr>
              <w:t xml:space="preserve">Current? (Y/N)</w:t>
            </w:r>
          </w:p>
        </w:tc>
        <w:tc>
          <w:tcPr>
            <w:tcW w:type="dxa" w:w="2060"/>
            <w:shd w:fill="3E5871" w:val="clear"/>
            <w:tcMar>
              <w:top w:type="dxa" w:w="60"/>
              <w:left w:type="dxa" w:w="110"/>
              <w:bottom w:type="dxa" w:w="60"/>
              <w:right w:type="dxa" w:w="110"/>
            </w:tcMar>
          </w:tcPr>
          <w:p>
            <w:pPr>
              <w:spacing w:after="0" w:before="0" w:line="276"/>
              <w:jc w:val="left"/>
            </w:pPr>
            <w:r>
              <w:rPr>
                <w:rFonts w:ascii="Calibri" w:cs="Calibri" w:eastAsia="Calibri" w:hAnsi="Calibri"/>
                <w:b/>
                <w:bCs/>
                <w:i w:val="false"/>
                <w:iCs w:val="false"/>
                <w:color w:val="FFFFFF"/>
                <w:sz w:val="18"/>
                <w:szCs w:val="18"/>
              </w:rPr>
              <w:t xml:space="preserve">Notes / Rule Change</w:t>
            </w:r>
          </w:p>
        </w:tc>
        <w:tc>
          <w:tcPr>
            <w:tcW w:type="dxa" w:w="2200"/>
            <w:shd w:fill="3E5871" w:val="clear"/>
            <w:tcMar>
              <w:top w:type="dxa" w:w="60"/>
              <w:left w:type="dxa" w:w="110"/>
              <w:bottom w:type="dxa" w:w="60"/>
              <w:right w:type="dxa" w:w="110"/>
            </w:tcMar>
          </w:tcPr>
          <w:p>
            <w:pPr>
              <w:spacing w:after="0" w:before="0" w:line="276"/>
              <w:jc w:val="left"/>
            </w:pPr>
            <w:r>
              <w:rPr>
                <w:rFonts w:ascii="Calibri" w:cs="Calibri" w:eastAsia="Calibri" w:hAnsi="Calibri"/>
                <w:b/>
                <w:bCs/>
                <w:i w:val="false"/>
                <w:iCs w:val="false"/>
                <w:color w:val="FFFFFF"/>
                <w:sz w:val="18"/>
                <w:szCs w:val="18"/>
              </w:rPr>
              <w:t xml:space="preserve">Reviewed By / Date</w:t>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1 — Administration &amp; Staff</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2 — Resident Rights, Admission &amp; Residency</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3 — Resident Services &amp; Care</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4 — Health, Records &amp; Medication</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5 — Food, Safety &amp; Environment</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6 — CRS Add-On (if contracted)</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bl>
    <w:p>
      <w:r>
        <w:br w:type="page"/>
      </w:r>
    </w:p>
    <w:p>
      <w:pPr>
        <w:spacing w:after="120"/>
      </w:pPr>
      <w:r>
        <w:rPr>
          <w:rFonts w:ascii="Calibri" w:cs="Calibri" w:eastAsia="Calibri" w:hAnsi="Calibri"/>
          <w:b/>
          <w:bCs/>
          <w:i w:val="false"/>
          <w:iCs w:val="false"/>
          <w:color w:val="1F3A5F"/>
          <w:sz w:val="30"/>
          <w:szCs w:val="30"/>
        </w:rPr>
        <w:t xml:space="preserve">Master Table of Contents</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60" w:before="140"/>
      </w:pPr>
      <w:r>
        <w:rPr>
          <w:rFonts w:ascii="Calibri" w:cs="Calibri" w:eastAsia="Calibri" w:hAnsi="Calibri"/>
          <w:b/>
          <w:bCs/>
          <w:i w:val="false"/>
          <w:iCs w:val="false"/>
          <w:color w:val="1F3A5F"/>
          <w:sz w:val="22"/>
          <w:szCs w:val="22"/>
        </w:rPr>
        <w:t xml:space="preserve">Section 1 — Administration &amp; Staff</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Governing Authority and Manager</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Scope of Services and License Type (Type A / Type B)</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Policies, Procedures, and Required Postings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Personnel: Qualifications, Job Descriptions, and Records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Staff Orientation and Training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Cognitive Disorder and Dementia Training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1.07</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Background Screening and Employee Misconduct Registry</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1.08</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Staffing and Night-Shift Coverage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1.09</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Quality Management and Incident Review</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1.10</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Contracted Services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1.11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Employee Complaints Regarding Resident Care</w:t>
            </w:r>
          </w:p>
        </w:tc>
      </w:tr>
    </w:tbl>
    <w:p>
      <w:pPr>
        <w:spacing w:after="60" w:before="140"/>
      </w:pPr>
      <w:r>
        <w:rPr>
          <w:rFonts w:ascii="Calibri" w:cs="Calibri" w:eastAsia="Calibri" w:hAnsi="Calibri"/>
          <w:b/>
          <w:bCs/>
          <w:i w:val="false"/>
          <w:iCs w:val="false"/>
          <w:color w:val="1F3A5F"/>
          <w:sz w:val="22"/>
          <w:szCs w:val="22"/>
        </w:rPr>
        <w:t xml:space="preserve">Section 2 — Resident Rights, Admission &amp; Residency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Resident Rights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Admission Criteria and Evacuation Capability</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Disclosure Statement</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Residency Agreement</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Aging in Place and Waiver Process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Transfer and Discharge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2.07</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Grievances and Complaints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2.08</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Abuse, Neglect, and Exploitation Reporting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2.09</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Confidentiality and Records Privacy</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2.10</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Management of Resident Funds and Property</w:t>
            </w:r>
          </w:p>
        </w:tc>
      </w:tr>
    </w:tbl>
    <w:p>
      <w:pPr>
        <w:spacing w:after="60" w:before="140"/>
      </w:pPr>
      <w:r>
        <w:rPr>
          <w:rFonts w:ascii="Calibri" w:cs="Calibri" w:eastAsia="Calibri" w:hAnsi="Calibri"/>
          <w:b/>
          <w:bCs/>
          <w:i w:val="false"/>
          <w:iCs w:val="false"/>
          <w:color w:val="1F3A5F"/>
          <w:sz w:val="22"/>
          <w:szCs w:val="22"/>
        </w:rPr>
        <w:t xml:space="preserve">Section 3 — Resident Services &amp; Care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Resident Assessment and Individual Service Plan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Personal Care and Activities of Daily Living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Brain-Injury Supports and Supervision Levels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Resident Whereabouts, Wandering, and Egress Safety</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Responding to Sudden or Escalated Behavior</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Behavioral Support and Health Coordination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3.07</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Coordination of Care and Change of Condition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3.08</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Restraints and Restrictive Interventions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3.09</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Activities and Community Engagement</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3.10</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Transport and Transfer</w:t>
            </w:r>
          </w:p>
        </w:tc>
      </w:tr>
    </w:tbl>
    <w:p>
      <w:pPr>
        <w:spacing w:after="60" w:before="140"/>
      </w:pPr>
      <w:r>
        <w:rPr>
          <w:rFonts w:ascii="Calibri" w:cs="Calibri" w:eastAsia="Calibri" w:hAnsi="Calibri"/>
          <w:b/>
          <w:bCs/>
          <w:i w:val="false"/>
          <w:iCs w:val="false"/>
          <w:color w:val="1F3A5F"/>
          <w:sz w:val="22"/>
          <w:szCs w:val="22"/>
        </w:rPr>
        <w:t xml:space="preserve">Section 4 — Health, Records &amp; Medication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Medical Records and Documentation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Medication Services: Administration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Medication Supervision and Assistance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Self-Administration of Medication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Medication Storage, Profile Records, and Disposal</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Medication Orders, Errors, and Adverse Reactions</w:t>
            </w:r>
          </w:p>
        </w:tc>
      </w:tr>
    </w:tbl>
    <w:p>
      <w:pPr>
        <w:spacing w:after="60" w:before="140"/>
      </w:pPr>
      <w:r>
        <w:rPr>
          <w:rFonts w:ascii="Calibri" w:cs="Calibri" w:eastAsia="Calibri" w:hAnsi="Calibri"/>
          <w:b/>
          <w:bCs/>
          <w:i w:val="false"/>
          <w:iCs w:val="false"/>
          <w:color w:val="1F3A5F"/>
          <w:sz w:val="22"/>
          <w:szCs w:val="22"/>
        </w:rPr>
        <w:t xml:space="preserve">Section 5 — Food, Safety &amp; Environment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Food and Nutrition Services and Therapeutic Diets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Emergency and Disaster Preparedness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Accident, Injury, and Emergency Medical Response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Fire Safety and Evacuation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Infection Prevention and Environmental Sanitation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Physical Plant and Resident Accommodations</w:t>
            </w:r>
          </w:p>
        </w:tc>
      </w:tr>
    </w:tbl>
    <w:p>
      <w:pPr>
        <w:spacing w:after="60" w:before="140"/>
      </w:pPr>
      <w:r>
        <w:rPr>
          <w:rFonts w:ascii="Calibri" w:cs="Calibri" w:eastAsia="Calibri" w:hAnsi="Calibri"/>
          <w:b/>
          <w:bCs/>
          <w:i w:val="false"/>
          <w:iCs w:val="false"/>
          <w:color w:val="1F3A5F"/>
          <w:sz w:val="22"/>
          <w:szCs w:val="22"/>
        </w:rPr>
        <w:t xml:space="preserve">Section 6 — CRS Post-Acute Rehabilitation Add-On (Optional Funding Path)</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Overview and Provider Licensure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Eligibility, Referral, and Benefit Coordination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Interdisciplinary Team and Individualized Program Plan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Tiered Core Therapy and the 180-Day Limit</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CRS Documentation, Reporting, and Billing</w:t>
            </w:r>
          </w:p>
        </w:tc>
      </w:tr>
    </w:tbl>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1 — ADMINISTRATION &amp; STAFF</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26 TAC Chapter 553 (Licensing Standards for Assisted Living Facilities, amended Sept. 2024 — HB 1009, 1673, 4696); Texas Health &amp; Safety Code Chapter 247; 22 TAC Chapter 225 (RN Delegation); optional CRS pathway: CRS Standards for Providers and 1 TAC §355.9040.</w:t>
      </w:r>
    </w:p>
    <w:p>
      <w:pPr>
        <w:keepNext/>
        <w:spacing w:after="100" w:before="240"/>
      </w:pPr>
      <w:r>
        <w:rPr>
          <w:rFonts w:ascii="Calibri" w:cs="Calibri" w:eastAsia="Calibri" w:hAnsi="Calibri"/>
          <w:b/>
          <w:bCs/>
          <w:i w:val="false"/>
          <w:iCs w:val="false"/>
          <w:color w:val="1F3A5F"/>
          <w:sz w:val="24"/>
          <w:szCs w:val="24"/>
        </w:rPr>
        <w:t xml:space="preserve">Policy 1.01 — Governing Authority and Manager</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Governing Authority and Manager</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§553.253(a); H&amp;S Code Ch. 247</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establish the facility’s governing authority and ensure a qualified manager directs operations and compliance at all times.</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Manager — </w:t>
      </w:r>
      <w:r>
        <w:rPr>
          <w:rFonts w:ascii="Calibri" w:cs="Calibri" w:eastAsia="Calibri" w:hAnsi="Calibri"/>
          <w:b w:val="false"/>
          <w:bCs w:val="false"/>
          <w:i w:val="false"/>
          <w:iCs w:val="false"/>
          <w:color w:val="1A1A1A"/>
          <w:sz w:val="21"/>
          <w:szCs w:val="21"/>
        </w:rPr>
        <w:t xml:space="preserve">the individual designated to direct the day-to-day operation of the facility and ensure compliance with 26 TAC Chapter 553.</w:t>
      </w:r>
    </w:p>
    <w:p>
      <w:pPr>
        <w:spacing w:after="70" w:line="276"/>
      </w:pPr>
      <w:r>
        <w:rPr>
          <w:rFonts w:ascii="Calibri" w:cs="Calibri" w:eastAsia="Calibri" w:hAnsi="Calibri"/>
          <w:b/>
          <w:bCs/>
          <w:i w:val="false"/>
          <w:iCs w:val="false"/>
          <w:color w:val="1A1A1A"/>
          <w:sz w:val="21"/>
          <w:szCs w:val="21"/>
        </w:rPr>
        <w:t xml:space="preserve">Resident — </w:t>
      </w:r>
      <w:r>
        <w:rPr>
          <w:rFonts w:ascii="Calibri" w:cs="Calibri" w:eastAsia="Calibri" w:hAnsi="Calibri"/>
          <w:b w:val="false"/>
          <w:bCs w:val="false"/>
          <w:i w:val="false"/>
          <w:iCs w:val="false"/>
          <w:color w:val="1A1A1A"/>
          <w:sz w:val="21"/>
          <w:szCs w:val="21"/>
        </w:rPr>
        <w:t xml:space="preserve">an individual living with brain injury who receives assisted living services at [Facility Name].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[Facility Name] operates under a defined governing authority that holds the assisted living license and is legally responsible for the facility’s operation and compliance with Texas Health &amp; Safety Code Chapter 247 and 26 TAC Chapter 553.</w:t>
      </w:r>
    </w:p>
    <w:p>
      <w:pPr>
        <w:spacing w:after="120" w:before="0" w:line="276"/>
        <w:jc w:val="left"/>
      </w:pPr>
      <w:r>
        <w:rPr>
          <w:rFonts w:ascii="Calibri" w:cs="Calibri" w:eastAsia="Calibri" w:hAnsi="Calibri"/>
          <w:b w:val="false"/>
          <w:bCs w:val="false"/>
          <w:i w:val="false"/>
          <w:iCs w:val="false"/>
          <w:color w:val="1A1A1A"/>
          <w:sz w:val="21"/>
          <w:szCs w:val="21"/>
        </w:rPr>
        <w:t xml:space="preserve">The facility is directed by a manager who is on duty at least 40 hours per week and manages only this facility, except that the manager of a small Type A facility may be responsible for no more than 16 residents in no more than four facilities and must be reachable by telephone or pager when conducting facility business off-site (§553.253(a)). A competent employee authorized to act in the manager’s absence is designated in writing.</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the current license, ownership disclosure, and organizational chart in the administrative file.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Ensure the manager meets the on-duty and single-facility requirements of §553.253(a).</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Designate in writing the employee authorized to act in the manager’s absence and post that designation.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Review the governance and delegation structure at least annually and upon any change of ownership or manager.</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Governing Authority / Ownership Disclosure · Organizational Chart · Manager Designation &amp; Absence Coverage Form</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1.02 — Scope of Services and License Type (Type A / Type B)</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Scope of Services and License Type (Type A / Type B)</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§553.5; §553.259</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define the services the facility provides and to operate strictly within the scope of its Type A or Type B license.</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Type A facility — </w:t>
      </w:r>
      <w:r>
        <w:rPr>
          <w:rFonts w:ascii="Calibri" w:cs="Calibri" w:eastAsia="Calibri" w:hAnsi="Calibri"/>
          <w:b w:val="false"/>
          <w:bCs w:val="false"/>
          <w:i w:val="false"/>
          <w:iCs w:val="false"/>
          <w:color w:val="1A1A1A"/>
          <w:sz w:val="21"/>
          <w:szCs w:val="21"/>
        </w:rPr>
        <w:t xml:space="preserve">serves residents who can evacuate without physical staff assistance, do not require routine attendance during nighttime sleeping hours, and can follow directions under emergency conditions.</w:t>
      </w:r>
    </w:p>
    <w:p>
      <w:pPr>
        <w:spacing w:after="70" w:line="276"/>
      </w:pPr>
      <w:r>
        <w:rPr>
          <w:rFonts w:ascii="Calibri" w:cs="Calibri" w:eastAsia="Calibri" w:hAnsi="Calibri"/>
          <w:b/>
          <w:bCs/>
          <w:i w:val="false"/>
          <w:iCs w:val="false"/>
          <w:color w:val="1A1A1A"/>
          <w:sz w:val="21"/>
          <w:szCs w:val="21"/>
        </w:rPr>
        <w:t xml:space="preserve">Type B facility — </w:t>
      </w:r>
      <w:r>
        <w:rPr>
          <w:rFonts w:ascii="Calibri" w:cs="Calibri" w:eastAsia="Calibri" w:hAnsi="Calibri"/>
          <w:b w:val="false"/>
          <w:bCs w:val="false"/>
          <w:i w:val="false"/>
          <w:iCs w:val="false"/>
          <w:color w:val="1A1A1A"/>
          <w:sz w:val="21"/>
          <w:szCs w:val="21"/>
        </w:rPr>
        <w:t xml:space="preserve">serves residents who may require staff assistance to evacuate and may require attendance during nighttime sleeping hours.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[Facility Name] is licensed as a Type [A/B] assisted living facility and provides residential care, supervision, personal care and ADL assistance, medication services, and coordination of care for adults living with brain injury, consistent with each resident’s service plan.</w:t>
      </w:r>
    </w:p>
    <w:p>
      <w:pPr>
        <w:spacing w:after="120" w:before="0" w:line="276"/>
        <w:jc w:val="left"/>
      </w:pPr>
      <w:r>
        <w:rPr>
          <w:rFonts w:ascii="Calibri" w:cs="Calibri" w:eastAsia="Calibri" w:hAnsi="Calibri"/>
          <w:b w:val="false"/>
          <w:bCs w:val="false"/>
          <w:i w:val="false"/>
          <w:iCs w:val="false"/>
          <w:color w:val="1A1A1A"/>
          <w:sz w:val="21"/>
          <w:szCs w:val="21"/>
        </w:rPr>
        <w:t xml:space="preserve">The facility admits and retains only residents whose needs and evacuation capability match its license type (§553.5, §553.259). Services requiring a different license type are not provided under this license.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State the license type and scope of services in the disclosure statement and admission materials.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Screen each prospective resident’s evacuation capability against the license type before admission.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Do not provide services or retain residents beyond the license type; refer or transfer when needs exceed scope.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Re-evaluate scope whenever the resident population or license type changes.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Scope of Services Statement · License Type Evacuation Screen</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1.03 — Policies, Procedures, and Required Postings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Policies, Procedures, and Required Postings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§553.271; Ch. 553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current written policies and to post all information required by rule where residents, families, and staff can see it.</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maintains written policies and procedures implementing 26 TAC Chapter 553 and reviews them at least annually and upon any rule change. Required information — including the normal 24-hour staffing pattern, resident rights, complaint and Ombudsman contacts, and the license — is posted as required by §553.271.</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Keep a master policy manual accessible to all staff at all times.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Post the 24-hour staffing pattern monthly and the resident rights and complaint information continuously (§553.271).</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Record annual policy review on the Yearly Policy Check Report signed by the manager.</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Update policies within a reasonable time after any applicable rule change and document the update.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Yearly Policy Check Report · Required Postings Checklist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1.04 — Personnel: Qualifications, Job Descriptions, and Records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Personnel: Qualifications, Job Descriptions, and Records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§553.253(b); §553.257</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staff meet minimum qualifications, understand their duties, and have complete, confidential personnel records.</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Attendant — </w:t>
      </w:r>
      <w:r>
        <w:rPr>
          <w:rFonts w:ascii="Calibri" w:cs="Calibri" w:eastAsia="Calibri" w:hAnsi="Calibri"/>
          <w:b w:val="false"/>
          <w:bCs w:val="false"/>
          <w:i w:val="false"/>
          <w:iCs w:val="false"/>
          <w:color w:val="1A1A1A"/>
          <w:sz w:val="21"/>
          <w:szCs w:val="21"/>
        </w:rPr>
        <w:t xml:space="preserve">a full-time facility attendant, who must be at least 18 years of age or a high-school graduate (§553.253(b)).</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Each position has a written job description. Full-time attendants are at least 18 years of age or high-school graduates. The facility maintains a confidential personnel record for each employee containing qualifications, screening and registry results, training documentation, and job description, available to HHSC on request.</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Verify age or education, identity, and references before hire.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Maintain a signed job description for each employee.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File all screening, registry, and training documentation; missing documentation is a common survey citation.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Store personnel records securely with access limited to authorized staff.</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Job Description Templates · Personnel File Checklist · Reference Verification Form</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1.05 — Staff Orientation and Training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Staff Orientation and Training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§553.253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staff are trained to meet resident needs before assuming duties and receive ongoing education.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manager completes at least one 24-hour educational course on assisted living management, including eight hours on the assisted living standards within the first three months of employment; the 24-hour requirement is met through formal coursework, not facility in-service (§553.253). Direct-care staff are oriented and trained on resident and provider rights, abuse and neglect, and confidentiality; recognizing and responding to common emergencies and sudden changes in condition; common mental disorders and related implications; and applicable federal laws including the ADA, the Rehabilitation Act, and the Fair Housing Act.</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Complete orientation before a new employee provides unsupervised care.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Track the manager’s 24-hour course and the 8-hour standards module within three months.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Deliver role-appropriate annual continuing education.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Document all training topics, dates, and hours in the personnel file.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Orientation Checklist · Staff Training and Competency Record · Annual In-Service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1.06 — Cognitive Disorder and Dementia Training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Cognitive Disorder and Dementia Training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§553.254 (HB 1673, eff. 12/31/2024); §553.255</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equip all staff to safely serve residents with cognitive impairment, which commonly accompanies brain injury.</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Because the facility provides personal care to residents who may have Alzheimer’s disease or a related disorder while not being an Alzheimer’s-certified facility, all staff complete competency-based training and annual continuing education on Alzheimer’s disease and related disorders as required by §553.254. The facility applies the same standard to the cognitive and behavioral effects of brain injury.</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Assign competency-based cognitive-care training on hire and annually.</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Cover communication, behavior support, wandering and elopement prevention, and environmental cueing.</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Verify competency, not merely attendance, and document the verification.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Adopt and follow an all-staff policy for residents with cognitive disorders (§553.255).</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Cognitive Care Competency Checklist · Annual Dementia/Brain-Injury Training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1.07 — Background Screening and Employee Misconduct Registry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Background Screening and Employee Misconduct Registry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§553.257 (HB 1009)</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residents through required screening and by acting on findings of reportable employee conduct.</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EMR — </w:t>
      </w:r>
      <w:r>
        <w:rPr>
          <w:rFonts w:ascii="Calibri" w:cs="Calibri" w:eastAsia="Calibri" w:hAnsi="Calibri"/>
          <w:b w:val="false"/>
          <w:bCs w:val="false"/>
          <w:i w:val="false"/>
          <w:iCs w:val="false"/>
          <w:color w:val="1A1A1A"/>
          <w:sz w:val="21"/>
          <w:szCs w:val="21"/>
        </w:rPr>
        <w:t xml:space="preserve">the Employee Misconduct Registry maintained by HHSC.</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Applicants and employees are screened through the required criminal-history, Nurse Aide Registry, and Employee Misconduct Registry checks before resident contact and on the schedule required by rule. When HHSC finds that an employee has engaged in reportable conduct and reports the employee to the EMR, the facility suspends that employee’s employment while the employee exhausts any appeals process, including informal and formal appeals and any hearing or judicial review (§553.257).</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Complete criminal-history, Nurse Aide Registry, and EMR checks before any resident contact.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Do not employ a person who is unemployable under the applicable screening rules.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Suspend an employee reported to the EMR for the duration of the appeals process and document the action.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Follow HHSC direction on reinstatement or separation based on the outcome.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Background Screening Log · Registry Check Record · EMR Suspension Documentation</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1.08 — Staffing and Night-Shift Coverage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Staffing and Night-Shift Coverage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§553.253(a)(3)–(4); §553.271</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sufficient staffing to meet resident needs and ensure safe evacuation, including at night.</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Texas does not set a fixed staff-to-resident ratio; the facility maintains enough qualified staff to meet each resident’s needs, prepare and serve meals per service plans, provide required supervision, and ensure safe evacuation (§553.253(a)(3)). Night-shift coverage follows license type: in a small Type A facility staff are immediately available; in a large Type A facility staff are immediately available and awake; in a Type B facility staff are immediately available and awake regardless of the number of licensed beds (§553.253(a)(4)).</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Schedule to acuity and license type, with attention to nighttime supervision for residents with brain injury.</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Meet the applicable night-shift availability/awake requirement for the license type.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Disclose the 24-hour staffing pattern before admission and post it monthly (§553.271).</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Maintain a written coverage plan for call-offs and emergencies.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Master Staffing Schedule · 24-Hour Staffing Pattern Posting · Call-Off / Coverage Plan</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1.09 — Quality Management and Incident Review</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Quality Management and Incident Review</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Ch. 553; H&amp;S Code Ch. 247</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monitor care quality, review incidents, and drive corrective action.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operates a quality management process that reviews incidents, accidents, medication errors, complaints, and survey findings, identifies trends, and implements corrective action to protect resident health and safety.</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Log and review incidents, accidents, and medication errors on a defined schedule.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Analyze trends and implement written corrective-action plans.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Track completion of corrective actions to closure.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Report quality findings to the governing authority at least annually.</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Incident/Accident Log · Corrective Action Plan · Quality Review Summary</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1.10 — Contracted Services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Contracted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Ch. 553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contracted providers meet the same standards as facility staff.</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When the facility uses contracted services — such as pharmacy, therapy, dietary, or maintenance — it verifies the contractor’s qualifications and licensure and holds contracted staff to the facility’s policies and applicable rules.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 current written agreement and proof of licensure for each contractor.</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Verify screening for any contractor with resident contact.</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Monitor contracted services for compliance and quality.</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Retain contracts and verifications in the administrative file.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Contracted Services Register · Contractor Credential Verification</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1.11 — Employee Complaints Regarding Resident Care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Employee Complaints Regarding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Ch. 553; H&amp;S Code Ch. 247</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allow staff to report care and safety concerns without retaliation.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Employees may report concerns about resident care or safety internally and to HHSC. The facility investigates such reports, takes corrective action, and does not retaliate against any employee for making a good-faith report.</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a written channel for employee care-related complaints.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Investigate and document each complaint and its resolution.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Prohibit and monitor for retaliation.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Inform staff of their right to report directly to HHSC.</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Employee Concern Report · Investigation &amp; Resolution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2 — RESIDENT RIGHTS, ADMISSION &amp; RESIDENCY</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26 TAC Chapter 553 (Licensing Standards for Assisted Living Facilities, amended Sept. 2024 — HB 1009, 1673, 4696); Texas Health &amp; Safety Code Chapter 247; 22 TAC Chapter 225 (RN Delegation); optional CRS pathway: CRS Standards for Providers and 1 TAC §355.9040.</w:t>
      </w:r>
    </w:p>
    <w:p>
      <w:pPr>
        <w:keepNext/>
        <w:spacing w:after="100" w:before="240"/>
      </w:pPr>
      <w:r>
        <w:rPr>
          <w:rFonts w:ascii="Calibri" w:cs="Calibri" w:eastAsia="Calibri" w:hAnsi="Calibri"/>
          <w:b/>
          <w:bCs/>
          <w:i w:val="false"/>
          <w:iCs w:val="false"/>
          <w:color w:val="1F3A5F"/>
          <w:sz w:val="24"/>
          <w:szCs w:val="24"/>
        </w:rPr>
        <w:t xml:space="preserve">Policy 2.01 — Resident Rights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Resident Rights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Texas H&amp;S Code Ch. 247; 26 TAC Ch. 553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each resident’s dignity, autonomy, privacy, and quality of life.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Each resident retains the rights guaranteed under Texas law, including dignity and respect; privacy; freedom from abuse, neglect, exploitation, and unnecessary restraint; to be informed of and participate in care and the service plan; to manage personal funds or delegate that responsibility; to voice grievances without retaliation; and to receive facility policies affecting residents.</w:t>
      </w:r>
    </w:p>
    <w:p>
      <w:pPr>
        <w:spacing w:after="120" w:before="0" w:line="276"/>
        <w:jc w:val="left"/>
      </w:pPr>
      <w:r>
        <w:rPr>
          <w:rFonts w:ascii="Calibri" w:cs="Calibri" w:eastAsia="Calibri" w:hAnsi="Calibri"/>
          <w:b w:val="false"/>
          <w:bCs w:val="false"/>
          <w:i w:val="false"/>
          <w:iCs w:val="false"/>
          <w:color w:val="1A1A1A"/>
          <w:sz w:val="21"/>
          <w:szCs w:val="21"/>
        </w:rPr>
        <w:t xml:space="preserve">The facility supports residents living with brain injury to exercise their rights using communication and cognitive accommodations appropriate to each person.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the written statement of rights on admission and explain it in an understandable manner.</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Post resident rights and HHSC complaint information (§553.271).</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Accommodate cognitive and communication needs so residents can exercise their rights.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Document delivery and acknowledgment of the rights statement.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Resident Rights Statement · Rights Acknowledgment · Rights Picture/Plain-Language Form</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2.02 — Admission Criteria and Evacuation Capability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Admission Criteria and Evacuation Capability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§553.259; §553.5</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admit only residents whose needs the facility can safely meet within its license type.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Before or upon admission the facility assesses each prospective resident and develops an individual service plan matching the care to be provided (§553.259). Evacuation capability must match the license type: Type A residents evacuate without physical staff assistance, do not require routine nighttime attendance, and can follow emergency directions; Type B residents may need evacuation assistance and nighttime attendance (§553.5). Residents whose needs exceed the license type are not admitted.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Complete the admission assessment and service plan before or upon admission.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Confirm evacuation capability aligns with the license type; do not admit beyond scope.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Provide and document the disclosure statement and rights statement.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Reassess when the resident’s condition changes.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Admission Assessment · Individual Service Plan · Evacuation Capability Determination</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2.03 — Disclosure Statement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Disclosure Statement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§553.259</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give prospective residents and families accurate information before admission.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provides prospective residents and their families a disclosure statement describing services, the normal 24-hour staffing pattern, and the aging-in-place policy, and notifies them of the waiver process for aging in place (§553.259).</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the disclosure statement before admission and document delivery.</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Include services, the 24-hour staffing pattern, and the aging-in-place and waiver policy.</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Update the disclosure statement whenever services or staffing change.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Retain a signed acknowledgment in the resident record.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Facility Disclosure Statement · Disclosure Acknowledgment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2.04 — Residency Agreement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Residency Agreement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H&amp;S Code Ch. 247; 26 TAC Ch. 553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document the terms of residency, services, and charges.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Each resident (or legally authorized representative) signs a residency agreement stating services provided, charges and refund terms, house rules, and the conditions for transfer or discharge, consistent with Texas law.</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Review the residency agreement with the resident or representative before or at admission.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Clearly state services, charges, refunds, and discharge conditions.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Provide a signed copy to the resident and retain one in the record.</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Amend in writing when terms change.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Residency Agreement · Fee Schedule &amp; Refund Terms</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2.05 — Aging in Place and Waiver Process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Aging in Place and Waiver Process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§553.259</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allow residents to remain in place when it can be done safely and lawfully.</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remains responsible for all care provided and for meeting NFPA 101 and physical-plant requirements based on each resident’s evacuation capabilities. Where a change of condition raises a placement question, the facility follows the disclosed waiver process and documents the written concurrence of the resident, attending physician, or legal representative before securing additional services (§553.259). The manager completes required annual HHSC training on aging in place and retaliation.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Evaluate change-of-condition situations against evacuation and physical-plant requirements.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Follow the disclosed aging-in-place waiver process and obtain required written concurrence.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Document the decision and any additional services secured.</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Ensure the manager completes the annual aging-in-place and retaliation training.</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Aging-in-Place Waiver · Change-of-Condition Evaluation</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2.06 — Transfer and Discharge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Transfer and Discharge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H&amp;S Code Ch. 247; 26 TAC §553.259</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manage transfers and discharges safely and with proper notice.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transfers or discharges a resident only for reasons permitted by rule, with appropriate notice and discharge planning, and arranges a safe transfer to an appropriate setting when the resident’s needs can no longer be met within the license type.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Document the reason for transfer or discharge and provide required notice.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Coordinate discharge planning with the resident, representative, and receiving provider.</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Release medications and belongings per policy against a signed receipt.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Retain discharge documentation in the resident record.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Transfer/Discharge Notice · Discharge Plan · Belongings &amp; Medication Release Receipt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2.07 — Grievances and Complaints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Grievances and Complaints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H&amp;S Code Ch. 247; 26 TAC §553.271</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residents can raise concerns and have them resolved without retaliation.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Residents and representatives may file grievances internally and with HHSC and the Long-Term Care Ombudsman. The facility does not retaliate for filing a complaint and posts the HHSC complaint line and Ombudsman information (§553.271).</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a written grievance procedure and assist residents in using it.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Log grievances, investigate, and document resolution and follow-up.</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Post HHSC complaint and Ombudsman contact information.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Monitor for and prohibit retaliation.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Grievance Form · Grievance Log · Ombudsman/HHSC Contact Posting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2.08 — Abuse, Neglect, and Exploitation Reporting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Abuse, Neglect, and Exploitation Reporting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§553.329; DFPS/HHSC MOU</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prevent and immediately report any abuse, neglect, or exploitation of a resident.</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Mandatory reporter — </w:t>
      </w:r>
      <w:r>
        <w:rPr>
          <w:rFonts w:ascii="Calibri" w:cs="Calibri" w:eastAsia="Calibri" w:hAnsi="Calibri"/>
          <w:b w:val="false"/>
          <w:bCs w:val="false"/>
          <w:i w:val="false"/>
          <w:iCs w:val="false"/>
          <w:color w:val="1A1A1A"/>
          <w:sz w:val="21"/>
          <w:szCs w:val="21"/>
        </w:rPr>
        <w:t xml:space="preserve">any person, including all facility staff, required by law to report suspected abuse, neglect, or exploitation.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All staff are mandatory reporters. Suspected abuse, neglect, or exploitation is reported immediately to the Texas Department of Family and Protective Services and to HHSC as required, and the facility cooperates fully with any HHSC investigation (§553.329). No retaliation is taken against a reporter.</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Report suspected abuse, neglect, or exploitation immediately — do not delay for internal review.</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Protect the resident’s safety and preserve any evidence.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Document the report, notifications, and internal follow-up.</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Cooperate fully with HHSC and DFPS and prohibit retaliation.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ANE Reporting Form · ANE Reporting Log · Investigation Cooperation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2.09 — Confidentiality and Records Privacy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Confidentiality and Records Privacy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H&amp;S Code Ch. 247; applicable privacy law</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the confidentiality of resident information.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Resident records and personal information are kept confidential and disclosed only as authorized by the resident or representative or as required by law. Paper and electronic records are secured against unauthorized access.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Limit access to resident records to authorized staff.</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Obtain written authorization before releasing information except where law requires disclosure.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Secure physical and electronic records.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Retain records for the period required by rule.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Authorization for Release of Information · Records Access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2.10 — Management of Resident Funds and Property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Management of Resident Funds and Property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H&amp;S Code Ch. 247; 26 TAC Ch. 553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safeguard resident funds and personal property.</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 resident may manage personal funds or delegate that responsibility. When the facility handles resident funds, it keeps them separate from facility funds, maintains an accurate accounting, and provides receipts and access consistent with Texas law.</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Document the resident’s choice regarding management of funds.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Keep any facility-held resident funds separate with a written accounting.</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Provide receipts and periodic statements.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Reconcile accounts and safeguard personal property inventories.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Resident Funds Ledger · Personal Property Inventory · Funds Delegation Form</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3 — RESIDENT SERVICES &amp; CARE</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26 TAC Chapter 553 (Licensing Standards for Assisted Living Facilities, amended Sept. 2024 — HB 1009, 1673, 4696); Texas Health &amp; Safety Code Chapter 247; 22 TAC Chapter 225 (RN Delegation); optional CRS pathway: CRS Standards for Providers and 1 TAC §355.9040.</w:t>
      </w:r>
    </w:p>
    <w:p>
      <w:pPr>
        <w:keepNext/>
        <w:spacing w:after="100" w:before="240"/>
      </w:pPr>
      <w:r>
        <w:rPr>
          <w:rFonts w:ascii="Calibri" w:cs="Calibri" w:eastAsia="Calibri" w:hAnsi="Calibri"/>
          <w:b/>
          <w:bCs/>
          <w:i w:val="false"/>
          <w:iCs w:val="false"/>
          <w:color w:val="1F3A5F"/>
          <w:sz w:val="24"/>
          <w:szCs w:val="24"/>
        </w:rPr>
        <w:t xml:space="preserve">Policy 3.01 — Resident Assessment and Individual Service Plan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Resident Assessment and Individual Service Plan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§553.259; §553.261</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match services to each resident’s assessed needs and keep the plan current.</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Each resident is assessed before or upon admission and an individual service plan identifies needs, the services the facility will provide (ADL support, medication service, supervision level), and how care matches the resident’s condition. The plan specifies which medication service the resident receives — administration, supervision/assistance, or self-administration (§553.261) — and is reviewed and updated on a change of condition.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Complete the assessment and service plan and obtain resident or representative acknowledgment.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Specify supervision level and medication service in the plan.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Review the plan on schedule and whenever condition changes.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Communicate the plan to all staff who provide care.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Resident Assessment · Individual Service Plan · Service Plan Review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3.02 — Personal Care and Activities of Daily Living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Personal Care and Activities of Daily Living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§553.261; service plan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provide ADL assistance consistent with each resident’s service plan while promoting independence.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provides the kind and amount of supervision and assistance with bathing, dressing, grooming, mobility, toileting, and eating required to meet each resident’s basic needs (§553.253(a)(3)(E)), with attention to the physical and cognitive effects of brain injury and to preserving each resident’s maximum independence.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ADL support per the service plan.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Use techniques that promote independence and dignity.</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Document assistance provided and changes in ability.</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Adjust support as function changes and update the plan.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ADL Support Record · Care Task Checklist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3.03 — Brain-Injury Supports and Supervision Levels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Brain-Injury Supports and Supervision Levels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Service plan; 26 TAC §§553.253, 553.261</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provide supervision and supports responsive to the cognitive, behavioral, and physical effects of brain injury.</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Supervision level — </w:t>
      </w:r>
      <w:r>
        <w:rPr>
          <w:rFonts w:ascii="Calibri" w:cs="Calibri" w:eastAsia="Calibri" w:hAnsi="Calibri"/>
          <w:b w:val="false"/>
          <w:bCs w:val="false"/>
          <w:i w:val="false"/>
          <w:iCs w:val="false"/>
          <w:color w:val="1A1A1A"/>
          <w:sz w:val="21"/>
          <w:szCs w:val="21"/>
        </w:rPr>
        <w:t xml:space="preserve">the individualized degree of oversight documented in the resident’s service plan, ranging from periodic checks to continuous supervision.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structures routines, environment, and supervision to support residents living with brain injury — including cueing and compensatory strategies, structured daily routines, fall and elopement prevention, and behavior support — consistent with each resident’s service plan and physician direction.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Set an individualized supervision level in the service plan.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Use structured routines, environmental cues, and compensatory strategies.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Coordinate supports with the physician and any rehabilitation providers.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Document supervision provided and reassess after any incident or change.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Supervision Level Determination · Brain-Injury Support Plan</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3.04 — Resident Whereabouts, Wandering, and Egress Safety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Resident Whereabouts, Wandering, and Egress Safety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Ch. 553; service plan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awareness of resident whereabouts and prevent unsafe wandering or elopement.</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maintains protective oversight of each resident’s whereabouts appropriate to the license type and the resident’s cognitive status, and uses individualized wandering- and elopement-prevention measures documented in the service plan while preserving each resident’s rights and least-restrictive supports.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Assess wandering and elopement risk on admission and after any change.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Document individualized prevention measures in the service plan.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Maintain protective oversight consistent with license type.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Follow a written response protocol for a missing resident and review each event.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Elopement Risk Assessment · Missing-Resident Response Protocol</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3.05 — Responding to Sudden or Escalated Behavior</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Responding to Sudden or Escalated Behavior</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Ch. 553; service plan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respond safely to sudden, intense, or escalated behavior while protecting the resident and others.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Staff respond to escalated behavior using trained de-escalation and least-restrictive approaches consistent with the resident’s service plan, seeking behavioral or medical assistance as needed, and avoiding any prohibited or unauthorized restraint.</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Use trained de-escalation and environmental strategies first.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Ensure the safety of the resident and others.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Seek behavioral-health or emergency medical support when indicated.</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Document the event and review it through quality management.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Behavior Incident Report · De-escalation Debrief</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3.06 — Behavioral Support and Health Coordination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Behavioral Support and Health Coordination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§553.261; service plan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coordinate behavioral support and behavioral-health services around each resident’s needs.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coordinates with behavioral-health and medical providers to implement positive behavioral supports for residents whose brain injury affects behavior, following physician orders and the service plan and documenting outcomes.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Identify behavioral supports in the service plan.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Coordinate referrals and follow provider recommendations.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Train staff on each resident’s behavioral support approach.</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Monitor and document effectiveness and adjust the plan.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Behavioral Support Plan · Referral &amp; Coordination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3.07 — Coordination of Care and Change of Condition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Coordination of Care and Change of Condition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§553.261</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coordinate medical services and respond promptly to changes in condition.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coordinates care with each resident’s physician and other providers, follows physician orders, and monitors residents for changes in physical or cognitive condition, taking timely action and notifying the physician and representative when changes occur (§553.261).</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current physician orders and contacts.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Monitor and document condition changes.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Notify the physician and representative of significant changes.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Arrange and document referrals and outside services.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Change-of-Condition Note · Physician Order Record · Communication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3.08 — Restraints and Restrictive Interventions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Restraints and Restrictive Interventions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H&amp;S Code Ch. 247; 26 TAC Ch. 553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residents from unnecessary restraint.</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does not use restraints for discipline or convenience. Any device or intervention that restricts movement is limited to what is authorized by rule and the service plan, with least-restrictive alternatives used first, and is monitored and documented.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Use least-restrictive supports and de-escalation first.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Limit any restrictive intervention to authorized, documented circumstances.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Monitor the resident during any such intervention.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Review each use through quality management.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Restrictive Intervention Authorization · Monitoring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3.09 — Activities and Community Engagement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Activities and Community Engagement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Ch. 553; service plan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support meaningful activity and community participation.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offers activities suited to residents’ interests and abilities and supports community engagement consistent with each resident’s service plan and rehabilitation goals.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Assess interests and abilities and plan activities accordingly.</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Offer a regular activity schedule and community opportunities.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Adapt activities to cognitive and physical needs.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Document participation and adjust offerings.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Activity Calendar · Participation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3.10 — Transport and Transfer</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Transport and Transfer</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Ch. 553; service plan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transport and transfer residents safely.</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arranges safe transport and transfer for appointments and outings, using equipment and staffing appropriate to each resident’s mobility and cognitive needs and following any seat-belt and safety provisions in the service plan.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Assess transport needs and document them in the service plan.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Use appropriate equipment, restraints, and trained staff.</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Verify insurance and driver qualifications for facility vehicles.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Document transports and any incidents.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Transport Authorization · Vehicle &amp; Driver Checklist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4 — HEALTH, RECORDS &amp; MEDICATION</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26 TAC Chapter 553 (Licensing Standards for Assisted Living Facilities, amended Sept. 2024 — HB 1009, 1673, 4696); Texas Health &amp; Safety Code Chapter 247; 22 TAC Chapter 225 (RN Delegation); optional CRS pathway: CRS Standards for Providers and 1 TAC §355.9040.</w:t>
      </w:r>
    </w:p>
    <w:p>
      <w:pPr>
        <w:keepNext/>
        <w:spacing w:after="100" w:before="240"/>
      </w:pPr>
      <w:r>
        <w:rPr>
          <w:rFonts w:ascii="Calibri" w:cs="Calibri" w:eastAsia="Calibri" w:hAnsi="Calibri"/>
          <w:b/>
          <w:bCs/>
          <w:i w:val="false"/>
          <w:iCs w:val="false"/>
          <w:color w:val="1F3A5F"/>
          <w:sz w:val="24"/>
          <w:szCs w:val="24"/>
        </w:rPr>
        <w:t xml:space="preserve">Policy 4.01 — Medical Records and Documentation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Medical Records and Documentation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§553.261; Ch. 553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accurate, current, and confidential resident health records.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maintains a health record for each resident containing the assessment and service plan, physician orders, the medication profile record, progress and change-of-condition notes, and incident documentation, kept confidential and available to authorized parties and HHSC.</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 complete, current record for each resident.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Document care, observations, and changes contemporaneously.</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Secure records and limit access to authorized staff.</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Retain records for the period required by rule.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Resident Health Record Index · Progress Note Template</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4.02 — Medication Services: Administration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Medication Services: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§553.261(a); 22 TAC Ch. 225</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medications are administered safely and only by authorized personnel.</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Medication administration — </w:t>
      </w:r>
      <w:r>
        <w:rPr>
          <w:rFonts w:ascii="Calibri" w:cs="Calibri" w:eastAsia="Calibri" w:hAnsi="Calibri"/>
          <w:b w:val="false"/>
          <w:bCs w:val="false"/>
          <w:i w:val="false"/>
          <w:iCs w:val="false"/>
          <w:color w:val="1A1A1A"/>
          <w:sz w:val="21"/>
          <w:szCs w:val="21"/>
        </w:rPr>
        <w:t xml:space="preserve">placing medication in a resident’s mouth or applying it to the body, or otherwise giving medication per physician order.</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 resident who cannot or chooses not to self-administer has medication administered according to physician orders only by a person who holds a current license authorizing administration, holds a current medication aide permit acting under a licensed nurse’s supervision, or is a facility employee to whom a registered nurse has delegated the task under 22 TAC Chapter 225 (§553.261(a)). Each medication is dispensed through a pharmacy or by the treating physician or dentist and listed on the resident’s medication profile record.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Confirm the administering person meets one of the three authorized categories.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Administer per physician orders and the medication profile record.</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Document each dose, including missed or refused doses.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Maintain RN delegation documentation where applicable (22 TAC Ch. 225).</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Medication Administration Record (MAR) · Medication Profile Record · RN Delegation Form</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4.03 — Medication Supervision and Assistance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Medication Supervision and Assistance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§553.261(a)</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support residents who need help short of administration.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Where the service plan calls for supervision or assistance rather than administration, staff may remind the resident to take medication at the prescribed time, open containers and replace lids, pour the prescribed dose per the medication profile record, hand poured medication to the resident, and return medications to locked storage. Staff observe the resident taking the medication and document any missed dose (§553.261(a)).</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only the supervision/assistance defined by rule and the service plan.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Observe the resident taking the medication and document missed doses.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Return medications to proper locked storage after each use.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Refer changes in capability for reassessment.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Medication Supervision Log · Missed-Dose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4.04 — Self-Administration of Medication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Self-Administration of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§553.261(a)</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support safe self-administration where appropriate.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 resident who self-administers and keeps medication locked in their room is counseled by staff at least monthly to confirm continued capability and secure storage, with a written record of each counseling. A resident may be permitted access to centrally stored medication for the purpose of self-administration (§553.261(a)).</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Assess and document self-administration capability in the service plan.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Provide secure, lockable storage.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Conduct and document monthly counseling.</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Reassess capability on any change of condition.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Self-Administration Assessment · Monthly Counseling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4.05 — Medication Storage, Profile Records, and Disposal</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Medication Storage, Profile Records, and Disposal</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§553.261(a); 25 TAC §§1.131–1.137</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control, record, and properly dispose of medications.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Medications are stored securely and listed on each resident’s medication profile record. Discontinued, expired, or post-mortem medications and sharps are disposed of as required, and centrally stored medications are released to a discharged resident only against a signed receipt (§553.261(a); 25 TAC §§1.131–1.137).</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 current medication profile record for each resident.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Store medications in secure, appropriately controlled areas.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Dispose of medications and sharps per rule and document disposal.</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Obtain signed receipts when releasing medications to a discharged resident.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Medication Storage Audit · Disposal Log · Discharge Medication Release Receipt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4.06 — Medication Orders, Errors, and Adverse Reactions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Medication Orders, Errors, and Adverse Reactions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§553.261; service plan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respond to and reduce medication errors and adverse reactions.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Medication orders are followed as written; changes require a physician order. Medication errors and suspected adverse reactions are addressed immediately, reported to the physician, documented, and reviewed to prevent recurrence.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Follow current physician orders; obtain orders for any change.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Respond to the resident’s immediate safety first and contact the physician.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Document the error or reaction and notify the representative as appropriate.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Review trends and take corrective action through quality management.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Medication Error Report · Adverse Reaction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5 — FOOD, SAFETY &amp; ENVIRONMENT</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26 TAC Chapter 553 (Licensing Standards for Assisted Living Facilities, amended Sept. 2024 — HB 1009, 1673, 4696); Texas Health &amp; Safety Code Chapter 247; 22 TAC Chapter 225 (RN Delegation); optional CRS pathway: CRS Standards for Providers and 1 TAC §355.9040.</w:t>
      </w:r>
    </w:p>
    <w:p>
      <w:pPr>
        <w:keepNext/>
        <w:spacing w:after="100" w:before="240"/>
      </w:pPr>
      <w:r>
        <w:rPr>
          <w:rFonts w:ascii="Calibri" w:cs="Calibri" w:eastAsia="Calibri" w:hAnsi="Calibri"/>
          <w:b/>
          <w:bCs/>
          <w:i w:val="false"/>
          <w:iCs w:val="false"/>
          <w:color w:val="1F3A5F"/>
          <w:sz w:val="24"/>
          <w:szCs w:val="24"/>
        </w:rPr>
        <w:t xml:space="preserve">Policy 5.01 — Food and Nutrition Services and Therapeutic Diets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Food and Nutrition Services and Therapeutic Diets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Services / Dietary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§553.253(a)(3)(C); §553.261; 25 TAC Ch. 228</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meet each resident’s nutritional and special dietary needs safely.</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prepares and serves meals meeting the daily nutritional and special dietary needs of each resident per the service plan, including texture-modified and therapeutic diets where indicated for brain-injury residents. A facility housing 17 or more residents complies with the retail food rules (25 TAC Chapter 228) and local health ordinances for storage, preparation, service, and waste.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Plan menus to meet nutritional and therapeutic diet needs.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Document special and texture-modified diets in the service plan and menus.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Store, prepare, and serve food safely; sanitize dishes and work areas.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Follow retail food rules where the facility houses 17 or more residents.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Menu &amp; Diet Plan · Therapeutic Diet Order · Kitchen Sanitation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5.02 — Emergency and Disaster Preparedness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Emergency and Disaster Preparedness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Services / Dietary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Ch. 553; HHSC emergency preparedness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prepare for and respond to emergencies and disasters.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maintains a written Emergency Preparedness and Response Plan addressing fire, severe weather, utility loss, medical emergencies, and evacuation or shelter-in-place, individualized to residents whose brain injury affects mobility, cognition, safety awareness, or medication needs. The facility registers with the 2-1-1 Texas disaster system and informs residents and families of that registration.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Review and update the written plan at least annually and after any activation.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Register and keep current with the 2-1-1 Texas disaster system; notify families.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Individualize shelter/evacuation for each resident and communicate to all staff.</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Conduct and document required drills across shifts.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Emergency Preparedness Plan · Individualized Evacuation Plan · Drill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5.03 — Accident, Injury, and Emergency Medical Response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Accident, Injury, and Emergency Medical Response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Services / Dietary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§553.261</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respond promptly to accident, injury, illness, or apparent death.</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In the event of an accident or injury requiring emergency medical, dental, or nursing care, or apparent death, the facility arranges emergency care or transfer to an appropriate treatment setting, immediately notifies the resident’s physician and next of kin, responsible party, or placing agency, and documents the event on a separate report (§553.261).</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Initiate emergency care or transfer without delay.</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Notify physician and next of kin/responsible party immediately.</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Document the injury, accident, or illness on a separate incident report.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Review the event through quality management.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Incident/Accident Report · Emergency Notification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5.04 — Fire Safety and Evacuation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Fire Safety and Evacuation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Services / Dietary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Ch. 553, Subchapter D; NFPA 101; §553.5</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residents can be safely evacuated consistent with the license type.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meets the NFPA 101 Life Safety Code and physical-plant requirements for its license type and size (Subchapter D). Evacuation planning reflects each resident’s evacuation capability and the license type, staff are trained on routes and roles, and drills verify safe evacuation of all residents.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fire-protection systems, alarms, and emergency lighting in working order.</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Post evacuation routes and maintain resident-specific evacuation needs.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Train all staff on fire response and assigned duties.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Conduct fire drills on the required schedule and document results.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Fire Drill Log · Life-Safety Inspection Record · Evacuation Route Diagram</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5.05 — Infection Prevention and Environmental Sanitation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Infection Prevention and Environmental Sanitation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Services / Dietary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§553.261; 25 TAC Ch. 1 Subch. K; 25 TAC Ch. 97</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provide a sanitary environment and prevent transmission of disease.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establishes, implements, and maintains an infection prevention and control program, complies with special-waste rules for health-care facilities, and immediately reports any resident with a reportable communicable disease as required (§553.261; 25 TAC Ch. 1 Subch. K; 25 TAC Ch. 97).</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hand-hygiene, cleaning, and standard-precaution practices.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Handle and dispose of special waste and sharps per rule.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Report reportable diseases immediately as required.</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Follow cleaning and laundry schedules and document them.</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Infection Control Plan · Cleaning &amp; Laundry Schedule · Reportable Disease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5.06 — Physical Plant and Resident Accommodations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Physical Plant and Resident Accommodations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Services / Dietary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Ch. 553, Subchapter D</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a safe, accessible physical environment suited to residents with brain injury.</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maintains the building, equipment, and grounds in safe, sanitary, operating condition, meeting the physical-plant and construction requirements of Subchapter D for its license type, with accommodations appropriate to residents who may have mobility, sensory, or cognitive impairments.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Inspect the physical plant routinely and correct hazards promptly.</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Maintain safe water temperatures, lighting, and comfortable temperatures.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Remove trip, burn, and wandering hazards relevant to brain-injury residents.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Document maintenance and repairs.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Physical Plant Inspection Checklist · Maintenance Log · Water-Temperature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6 — CRS POST-ACUTE REHABILITATION ADD-ON (OPTIONAL FUNDING PATH)</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26 TAC Chapter 553 (Licensing Standards for Assisted Living Facilities, amended Sept. 2024 — HB 1009, 1673, 4696); Texas Health &amp; Safety Code Chapter 247; 22 TAC Chapter 225 (RN Delegation); optional CRS pathway: CRS Standards for Providers and 1 TAC §355.9040.</w:t>
      </w:r>
    </w:p>
    <w:p>
      <w:pPr>
        <w:spacing w:after="120" w:before="0" w:line="276"/>
        <w:jc w:val="left"/>
      </w:pPr>
      <w:r>
        <w:rPr>
          <w:rFonts w:ascii="Calibri" w:cs="Calibri" w:eastAsia="Calibri" w:hAnsi="Calibri"/>
          <w:b w:val="false"/>
          <w:bCs w:val="false"/>
          <w:i/>
          <w:iCs/>
          <w:color w:val="555555"/>
          <w:sz w:val="20"/>
          <w:szCs w:val="20"/>
        </w:rPr>
        <w:t xml:space="preserve">This section applies only if the facility contracts with the HHSC Comprehensive Rehabilitation Services (CRS) program to provide Post-Acute Rehabilitation Residential Services for traumatic brain injury. It is an optional funding path that layers on top of the assisted living license. Within this section the person served is a “participant,” consistent with CRS terminology.</w:t>
      </w:r>
    </w:p>
    <w:p>
      <w:pPr>
        <w:keepNext/>
        <w:spacing w:after="100" w:before="240"/>
      </w:pPr>
      <w:r>
        <w:rPr>
          <w:rFonts w:ascii="Calibri" w:cs="Calibri" w:eastAsia="Calibri" w:hAnsi="Calibri"/>
          <w:b/>
          <w:bCs/>
          <w:i w:val="false"/>
          <w:iCs w:val="false"/>
          <w:color w:val="1F3A5F"/>
          <w:sz w:val="24"/>
          <w:szCs w:val="24"/>
        </w:rPr>
        <w:t xml:space="preserve">Policy 6.01 — Overview and Provider Licensure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Overview and Provider Licensure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CRS Program (Optional)</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CRS Standards for Providers, Ch. 13 (§13.6.1); 26 TAC Ch. 553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describe the CRS post-acute rehabilitation residential pathway and its licensure prerequisite.</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PARS — </w:t>
      </w:r>
      <w:r>
        <w:rPr>
          <w:rFonts w:ascii="Calibri" w:cs="Calibri" w:eastAsia="Calibri" w:hAnsi="Calibri"/>
          <w:b w:val="false"/>
          <w:bCs w:val="false"/>
          <w:i w:val="false"/>
          <w:iCs w:val="false"/>
          <w:color w:val="1A1A1A"/>
          <w:sz w:val="21"/>
          <w:szCs w:val="21"/>
        </w:rPr>
        <w:t xml:space="preserve">Post-Acute Rehabilitation Services for traumatic brain injury (TBI), or TBI with traumatic spinal cord injury, provided through an interdisciplinary team.</w:t>
      </w:r>
    </w:p>
    <w:p>
      <w:pPr>
        <w:spacing w:after="70" w:line="276"/>
      </w:pPr>
      <w:r>
        <w:rPr>
          <w:rFonts w:ascii="Calibri" w:cs="Calibri" w:eastAsia="Calibri" w:hAnsi="Calibri"/>
          <w:b/>
          <w:bCs/>
          <w:i w:val="false"/>
          <w:iCs w:val="false"/>
          <w:color w:val="1A1A1A"/>
          <w:sz w:val="21"/>
          <w:szCs w:val="21"/>
        </w:rPr>
        <w:t xml:space="preserve">Participant — </w:t>
      </w:r>
      <w:r>
        <w:rPr>
          <w:rFonts w:ascii="Calibri" w:cs="Calibri" w:eastAsia="Calibri" w:hAnsi="Calibri"/>
          <w:b w:val="false"/>
          <w:bCs w:val="false"/>
          <w:i w:val="false"/>
          <w:iCs w:val="false"/>
          <w:color w:val="1A1A1A"/>
          <w:sz w:val="21"/>
          <w:szCs w:val="21"/>
        </w:rPr>
        <w:t xml:space="preserve">an individual served under the CRS program.</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CRS PARS for TBI, or brain injury with spinal cord injury, are advanced interdisciplinary rehabilitation services provided in a residential setting to achieve independence in the home and community. A provider delivering PARS in a residential setting must be licensed by HHSC as an assisted living facility (§13.6.1). A new facility provider has up to two years from the date of its CRS contract to obtain the required accreditation.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the assisted living license as the foundation for the CRS residential contract.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Obtain and maintain the required accreditation within the allowed window.</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Comply with the current CRS Standards for Providers, which govern by contract.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Keep the CRS contract and accreditation documentation on file.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CRS Contract Record · Accreditation Tracking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6.02 — Eligibility, Referral, and Benefit Coordination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Eligibility, Referral, and Benefit Coordination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CRS Program (Optional)</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CRS Standards for Providers, Ch. 1 &amp; Ch. 13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confirm participant eligibility and apply the CRS payer-of-last-resort rule.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For residential services the participant must have a TBI, or a TBI with a traumatic spinal cord injury, caused by external physical force. Referrals are managed through CRS, and the CRS counselor and participant develop an Individualized Written Rehabilitation Plan. Participants must first use all available personal medical benefits — private insurance, Medicare, or Medicaid — before CRS funds services; CRS pays required copays or coinsurance as provided by rule.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Verify CRS eligibility determination and service authorization before delivering services.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Confirm other benefits are applied first.</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Coordinate with the CRS counselor on the rehabilitation plan and goals.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Document authorizations and benefit coordination.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Eligibility &amp; Authorization Verification · Benefit Coordination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6.03 — Interdisciplinary Team and Individualized Program Plan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Interdisciplinary Team and Individualized Program Plan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CRS Program (Optional)</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CRS Standards for Providers, Ch. 10 &amp; Ch. 13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deliver services through an interdisciplinary team and a documented plan.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Services are provided by an interdisciplinary team based on an assessment of the participant’s deficits. The provider uses the Mayo-Portland Adaptability Inventory (MPAI-4) or the Functional Independence Measure (FIM), as applicable, and completes an assessment and an Individualized Program Plan (IPP) documenting measurable goals and the participant’s progress or lack of progress.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Complete the assessment (MPAI-4 or FIM) and IPP for each participant.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Document measurable goals and review progress through the interdisciplinary team.</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Update the plan and notify the CRS counselor of changes.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Maintain assessment and IPP documentation in the participant record.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MPAI-4 / FIM Assessment · Individualized Program Plan · IDT Meeting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6.04 — Tiered Core Therapy and the 180-Day Limit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Tiered Core Therapy and the 180-Day Limit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CRS Program (Optional)</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CRS Standards for Providers, Ch. 13 (§13.6.7); 1 TAC §355.9040</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deliver preauthorized tiered core therapy within program limits.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Residential PARS are authorized on a tiered structure; each tier is a preauthorized number of core-therapy hours per week (Sunday through Saturday). Core therapies include physical, occupational, speech, and cognitive therapy and behavior management; group therapy is limited to ten participants. Residential PARS are limited to 180 days from the first day of services, and all services must be preauthorized by the CRS counselor (§13.6.7).</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Deliver only preauthorized core therapy within the approved tier and weekly hour cap.</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Track the 180-day residential limit from the first day of services.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Keep group therapy within the ten-participant limit.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Obtain preauthorization for all services before delivery.</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Tier Authorization Tracking · 180-Day Timeline · Core Therapy Schedule</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6.05 — CRS Documentation, Reporting, and Billing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CRS Documentation, Reporting, and Billing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CRS Program (Optional)</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CRS Standards for Providers, Ch. 4, 6 &amp; 13; 1 TAC §355.9040</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meet CRS reporting and billing requirements.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provider records the tier level and core-therapy services provided each day, submits service-record details into the CRS Data Reporting System by the tenth working day of the month following service delivery, and bills monthly with supporting data. HHSC negotiates provider contracts and reimburses in accordance with 1 TAC §355.9040; specific tier rates are set by HHSC Provider Finance and confirmed in the provider contract. The facility includes verified figures only — no estimated rates.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Record daily tier level and services and reconcile weekly hours against the approved tier.</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Upload service records to the CRS Data Reporting System by the tenth working day of the following month.</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Submit monthly invoices with supporting documentation.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Confirm current tier rates against the HHSC schedule and the executed contract before billing.</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CRS Service Record · Monthly Invoice &amp; Summary · Tier Rate Confirmation</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APPENDIX — REFERENCED FORMS</w:t>
      </w:r>
    </w:p>
    <w:p>
      <w:pPr>
        <w:spacing w:after="120" w:before="0" w:line="276"/>
        <w:jc w:val="left"/>
      </w:pPr>
      <w:r>
        <w:rPr>
          <w:rFonts w:ascii="Calibri" w:cs="Calibri" w:eastAsia="Calibri" w:hAnsi="Calibri"/>
          <w:b w:val="false"/>
          <w:bCs w:val="false"/>
          <w:i w:val="false"/>
          <w:iCs w:val="false"/>
          <w:color w:val="1A1A1A"/>
          <w:sz w:val="21"/>
          <w:szCs w:val="21"/>
        </w:rPr>
        <w:t xml:space="preserve">The following forms are referenced across this manual and are provided in the companion Forms Packet, ready to customize: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Governing Authority / Ownership Disclosure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Organizational Chart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Manager Designation &amp; Absence Coverage Form</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Scope of Services Statement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License Type Evacuation Screen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Yearly Policy Check Report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Required Postings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Job Description Templates</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Personnel File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Reference Verification Form</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Orientation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Staff Training and Competency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Annual In-Service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Cognitive Care Competency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Annual Dementia/Brain-Injury Training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Background Screening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Registry Check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EMR Suspension Documentation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Master Staffing Schedule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24-Hour Staffing Pattern Posting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Call-Off / Coverage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Incident/Accident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Corrective Action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Quality Review Summary</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Contracted Services Register</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Contractor Credential Verification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Employee Concern Report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Investigation &amp; Resolution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Resident Rights Statement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Rights Acknowledgment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Rights Picture/Plain-Language Form</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Admission Assessment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Individual Service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Evacuation Capability Determination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Facility Disclosure Statement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Disclosure Acknowledgment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Residency Agreement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Fee Schedule &amp; Refund Terms</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Aging-in-Place Waiver</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Change-of-Condition Evaluation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Transfer/Discharge Notice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Discharge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Belongings &amp; Medication Release Receipt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Grievance Form</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Grievance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Ombudsman/HHSC Contact Posting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ANE Reporting Form</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ANE Reporting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Investigation Cooperation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Authorization for Release of Information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Records Access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Resident Funds Ledger</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Personal Property Inventory</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Funds Delegation Form</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Resident Assessment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Service Plan Review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ADL Support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Care Task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Supervision Level Determination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Brain-Injury Support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Elopement Risk Assessment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Missing-Resident Response Protocol</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Behavior Incident Report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De-escalation Debrief</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Behavioral Support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Referral &amp; Coordination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Change-of-Condition Note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Physician Order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Communication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Restrictive Intervention Authorization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Monitoring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Activity Calendar</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Participation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Transport Authorization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Vehicle &amp; Driver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Resident Health Record Index</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Progress Note Template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Medication Administration Record (MAR)</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Medication Profile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RN Delegation Form</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Medication Supervision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Missed-Dose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Self-Administration Assessment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Monthly Counseling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Medication Storage Audit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Disposal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Discharge Medication Release Receipt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Medication Error Report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Adverse Reaction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Menu &amp; Diet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Therapeutic Diet Order</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Kitchen Sanitation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Emergency Preparedness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Individualized Evacuation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Drill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Incident/Accident Report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Emergency Notification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Fire Drill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Life-Safety Inspection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Evacuation Route Diagram</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Infection Control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Cleaning &amp; Laundry Schedule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Reportable Disease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Physical Plant Inspection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Maintenance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Water-Temperature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CRS Contract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Accreditation Tracking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Eligibility &amp; Authorization Verification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Benefit Coordination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MPAI-4 / FIM Assessment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Individualized Program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IDT Meeting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Tier Authorization Tracking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180-Day Timeline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Core Therapy Schedule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CRS Service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Monthly Invoice &amp; Summary</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Tier Rate Confirmation</w:t>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7 — ACCREDITATION ALIGNMENT &amp; PROGRAM OUTCOMES</w:t>
      </w:r>
    </w:p>
    <w:p>
      <w:pPr>
        <w:spacing w:after="140" w:before="0" w:line="276"/>
        <w:jc w:val="left"/>
      </w:pPr>
      <w:r>
        <w:rPr>
          <w:rFonts w:ascii="Calibri" w:cs="Calibri" w:eastAsia="Calibri" w:hAnsi="Calibri"/>
          <w:b/>
          <w:bCs/>
          <w:i w:val="false"/>
          <w:iCs w:val="false"/>
          <w:color w:val="3E5871"/>
          <w:sz w:val="20"/>
          <w:szCs w:val="20"/>
        </w:rPr>
        <w:t xml:space="preserve">Accreditation alignment (optional, but market-relevant): </w:t>
      </w:r>
      <w:r>
        <w:rPr>
          <w:rFonts w:ascii="Calibri" w:cs="Calibri" w:eastAsia="Calibri" w:hAnsi="Calibri"/>
          <w:b w:val="false"/>
          <w:bCs w:val="false"/>
          <w:i w:val="false"/>
          <w:iCs w:val="false"/>
          <w:color w:val="555555"/>
          <w:sz w:val="20"/>
          <w:szCs w:val="20"/>
        </w:rPr>
        <w:t xml:space="preserve">this section aligns the facility’s brain-injury rehabilitation program to nationally recognized accreditation frameworks — the Joint Commission and CARF (Commission on Accreditation of Rehabilitation Facilities) — which Texas managed-care plans (STAR+PLUS) and other payers often require or prefer for brain-injury providers. It aligns the facility’s practices to these frameworks and does not reproduce their proprietary standards; obtain current standards directly from the accreditor.</w:t>
      </w:r>
    </w:p>
    <w:p>
      <w:pPr>
        <w:keepNext/>
        <w:spacing w:after="100" w:before="240"/>
      </w:pPr>
      <w:r>
        <w:rPr>
          <w:rFonts w:ascii="Calibri" w:cs="Calibri" w:eastAsia="Calibri" w:hAnsi="Calibri"/>
          <w:b/>
          <w:bCs/>
          <w:i w:val="false"/>
          <w:iCs w:val="false"/>
          <w:color w:val="1F3A5F"/>
          <w:sz w:val="24"/>
          <w:szCs w:val="24"/>
        </w:rPr>
        <w:t xml:space="preserve">Policy 7.01 — Community Re-Entry and Reintegration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Community Re-Entry and Reintegration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Program Evaluation / Quality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Ch. 553; national rehabilitation accreditation standards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plan from admission for supported community reintegration and a safe transition to greater independence.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From admission, each resident’s record includes a community re-entry / reintegration plan identifying the anticipated discharge or step-down setting, home and environmental modification needs, community support services, and follow-up plans, with supported community-integration activities and documented outcomes. This complements the facility’s transfer and discharge policy by adding the community-reintegration focus.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Begin community re-entry / reintegration planning at admission.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Identify the discharge/step-down setting, home modifications, and community supports.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Coordinate graduated, supervised community-integration activities and document outcomes.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Arrange follow-up services and communicate the plan to the resident and supports.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Community Re-Entry / Reintegration Plan · Community-Integration Outcome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7.02 — Outcome Measurement and Program Evaluation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Outcome Measurement and Program Evaluation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Program Evaluation / Quality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National rehabilitation accreditation standards; facility quality program</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measure program-level outcomes, not only individual results.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collects and analyzes program-level outcome data, which may include aggregate functional-gain data (such as FIM or Mayo-Portland Adaptability Inventory change scores), length-of-stay tracking, and discharge-disposition tracking, and uses the analysis to improve the program.</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Define outcome measures and data-collection methods.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Collect and aggregate functional-gain, length-of-stay, and disposition data.</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Analyze results and set improvement targets.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Report outcomes to leadership and use them to improve services.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Outcome Measures Dashboard · Program Evaluation Report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7.03 — Post-Discharge Follow-Up and Benchmarking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Post-Discharge Follow-Up and Benchmarking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Program Evaluation / Quality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National rehabilitation accreditation standards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track outcomes after discharge and support sustained community integration.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conducts post-discharge follow-up at defined intervals (such as 90 days and one year), tracks community-integration outcomes, and, where applicable, participates in a national outcomes/benchmarking database to compare its performance.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Establish a follow-up schedule and method for each resident.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Collect community-integration outcome data at defined intervals.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Benchmark against comparable programs where data are available.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Use follow-up findings to improve discharge and re-entry planning.</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Follow-Up Contact Log · Community-Integration Outcome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7.04 — Accreditation Readiness and Person-Centered Practice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Accreditation Readiness and Person-Centered Practice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Program Evaluation / Quality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National rehabilitation accreditation standards; 26 TAC Ch. 553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[Manager Name], Manager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accessible, person-centered services and continuous readiness for the HHSC survey and accreditation review.</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facility identifies and reduces architectural, attitudinal, and communication barriers; delivers person-centered services reflecting each resident’s goals and preferences; and maintains continuous conformance with licensure requirements and national accreditation standards through periodic self-assessment, mock tracers, evidence organization, and correction of identified gaps, so it is prepared for the HHSC survey and any accreditation review.</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Conduct periodic self-assessment against licensure and national accreditation standards.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Reflect resident goals and preferences in the plan and provide communication accommodations.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Run mock tracers and correct identified gaps.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Maintain organized evidence (policies, records, outcome data) and track readiness through quality improvement.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Self-Assessment Checklist · Mock Tracer Record · Accessibility Review &amp; Plan</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[Manager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olor w:val="555555"/>
        <w:sz w:val="16"/>
        <w:szCs w:val="16"/>
      </w:rPr>
      <w:t xml:space="preserve">Built to 26 TAC Ch. 553  —  Ready to customize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val="false"/>
        <w:bCs w:val="false"/>
        <w:i w:val="false"/>
        <w:iCs w:val="false"/>
        <w:color w:val="555555"/>
        <w:sz w:val="16"/>
        <w:szCs w:val="16"/>
      </w:rPr>
      <w:t xml:space="preserve">[Facility Name]  •  Brain Injury Residential  •  Texas ALF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Texas Brain Injury Residential Care — Policy &amp; Procedure Manual</dc:title>
  <dc:creator>PolicyReady.org</dc:creator>
  <cp:lastModifiedBy>Un-named</cp:lastModifiedBy>
  <cp:revision>1</cp:revision>
  <dcterms:created xsi:type="dcterms:W3CDTF">2026-07-06T10:57:19.651Z</dcterms:created>
  <dcterms:modified xsi:type="dcterms:W3CDTF">2026-07-06T10:57:19.663Z</dcterms:modified>
</cp:coreProperties>
</file>

<file path=docProps/custom.xml><?xml version="1.0" encoding="utf-8"?>
<Properties xmlns="http://schemas.openxmlformats.org/officeDocument/2006/custom-properties" xmlns:vt="http://schemas.openxmlformats.org/officeDocument/2006/docPropsVTypes"/>
</file>