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California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California care provider needs to build a steady stream of referrals — the strategy, a verified local resource directory, and the worksheets to run it week to week.</w:t>
      </w:r>
    </w:p>
    <w:p>
      <w:pPr>
        <w:pStyle w:val="Normal"/>
        <w:spacing w:lineRule="exact" w:line="268" w:before="0" w:after="160"/>
        <w:jc w:val="center"/>
        <w:rPr/>
      </w:pPr>
      <w:r>
        <w:rPr>
          <w:rFonts w:eastAsia="Calibri" w:cs="Calibri"/>
          <w:b/>
          <w:bCs/>
          <w:i w:val="false"/>
          <w:iCs w:val="false"/>
          <w:color w:val="3E5871"/>
          <w:sz w:val="18"/>
          <w:szCs w:val="18"/>
        </w:rPr>
        <w:t>For home care, residential care, brain-injury, behavioral-health, and other care providers</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California Referral Directory (verified contacts). Part Three — The Worksheets &amp; Tracker (run it weekly). General business guidance, not legal advice; follow all applicable anti-kickback and referral laws.</w:t>
      </w:r>
    </w:p>
    <w:p>
      <w:pPr>
        <w:pStyle w:val="Normal"/>
        <w:pBdr>
          <w:bottom w:val="single" w:sz="8" w:space="1" w:color="9DB1C7"/>
        </w:pBdr>
        <w:spacing w:before="80" w:after="120"/>
        <w:rPr/>
      </w:pPr>
      <w:r>
        <w:rPr/>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keepNext w:val="true"/>
        <w:spacing w:before="220" w:after="90"/>
        <w:rPr/>
      </w:pPr>
      <w:r>
        <w:rPr>
          <w:rFonts w:eastAsia="Calibri" w:cs="Calibri"/>
          <w:b/>
          <w:bCs/>
          <w:i w:val="false"/>
          <w:iCs w:val="false"/>
          <w:color w:val="1F3A5F"/>
          <w:sz w:val="26"/>
          <w:szCs w:val="26"/>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 xml:space="preserve">People don’t choose a care provider from an ad — they choose the one a trusted professional recommends at the moment of need. </w:t>
            </w:r>
            <w:r>
              <w:rPr>
                <w:rFonts w:eastAsia="Calibri" w:cs="Calibri"/>
                <w:b/>
                <w:bCs/>
                <w:i w:val="false"/>
                <w:iCs w:val="false"/>
                <w:color w:val="1A1A1A"/>
                <w:sz w:val="19"/>
                <w:szCs w:val="19"/>
              </w:rPr>
              <w:t>Your job is to become that trusted, recommended provider</w:t>
            </w:r>
            <w:r>
              <w:rPr>
                <w:rFonts w:eastAsia="Calibri" w:cs="Calibri"/>
                <w:b w:val="false"/>
                <w:bCs w:val="false"/>
                <w:i w:val="false"/>
                <w:iCs w:val="false"/>
                <w:color w:val="1A1A1A"/>
                <w:sz w:val="19"/>
                <w:szCs w:val="19"/>
              </w:rPr>
              <w:t xml:space="preserve">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keepNext w:val="true"/>
        <w:spacing w:before="22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keepNext w:val="true"/>
        <w:spacing w:before="22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regional-center or insurance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waiver &amp; regional-center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MLTSS/CalAIM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keepNext w:val="true"/>
        <w:spacing w:before="22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Get onto the discharge and community-provider list. </w:t>
      </w:r>
      <w:r>
        <w:rPr>
          <w:rFonts w:eastAsia="Calibri" w:cs="Calibri"/>
          <w:b w:val="false"/>
          <w:bCs w:val="false"/>
          <w:i w:val="false"/>
          <w:iCs w:val="false"/>
          <w:color w:val="1A1A1A"/>
          <w:sz w:val="20"/>
          <w:szCs w:val="20"/>
        </w:rPr>
        <w:t>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Become a contracted, in-network provider with payers. </w:t>
      </w:r>
      <w:r>
        <w:rPr>
          <w:rFonts w:eastAsia="Calibri" w:cs="Calibri"/>
          <w:b w:val="false"/>
          <w:bCs w:val="false"/>
          <w:i w:val="false"/>
          <w:iCs w:val="false"/>
          <w:color w:val="1A1A1A"/>
          <w:sz w:val="20"/>
          <w:szCs w:val="20"/>
        </w:rPr>
        <w:t>Credential and contract with Medi-Cal managed-care plans (including CalAIM), the VA, and long-term-care insurers. Once you are in-network, their care coordinators refer within the network as a matter of routine — an official, ongoing pipeline.</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Enroll as a Medi-Cal and waiver provider. </w:t>
      </w:r>
      <w:r>
        <w:rPr>
          <w:rFonts w:eastAsia="Calibri" w:cs="Calibri"/>
          <w:b w:val="false"/>
          <w:bCs w:val="false"/>
          <w:i w:val="false"/>
          <w:iCs w:val="false"/>
          <w:color w:val="1A1A1A"/>
          <w:sz w:val="20"/>
          <w:szCs w:val="20"/>
        </w:rPr>
        <w:t>Enroll with the state and the relevant home-and-community-based waivers (such as HCBA and MSSP) and CalAIM Community Supports. Waiver and plan case managers place clients with enrolled providers — so enrollment itself becomes a referral channel.</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preferred-provider or partnership agreements — carefully. </w:t>
      </w:r>
      <w:r>
        <w:rPr>
          <w:rFonts w:eastAsia="Calibri" w:cs="Calibri"/>
          <w:b w:val="false"/>
          <w:bCs w:val="false"/>
          <w:i w:val="false"/>
          <w:iCs w:val="false"/>
          <w:color w:val="1A1A1A"/>
          <w:sz w:val="20"/>
          <w:szCs w:val="20"/>
        </w:rPr>
        <w:t>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Medi-Cal/Medicaid,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Medi-Cal,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 xml:space="preserve">If a payment is tied to the number of clients someone sends you — a fee per referral, per admission, or per lead — and any of those clients are federally funded, assume it is illegal. </w:t>
            </w:r>
            <w:r>
              <w:rPr>
                <w:rFonts w:eastAsia="Calibri" w:cs="Calibri"/>
                <w:b/>
                <w:bCs/>
                <w:i w:val="false"/>
                <w:iCs w:val="false"/>
                <w:color w:val="1A1A1A"/>
                <w:sz w:val="19"/>
                <w:szCs w:val="19"/>
              </w:rPr>
              <w:t>“Send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Market legitimately: </w:t>
      </w:r>
      <w:r>
        <w:rPr>
          <w:rFonts w:eastAsia="Calibri" w:cs="Calibri"/>
          <w:b w:val="false"/>
          <w:bCs w:val="false"/>
          <w:i w:val="false"/>
          <w:iCs w:val="false"/>
          <w:color w:val="1A1A1A"/>
          <w:sz w:val="20"/>
          <w:szCs w:val="20"/>
        </w:rPr>
        <w:t>a website, online listings, Google ads, brochures, and events are all fine.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Employ a marketer or business-development person on a real salary: </w:t>
      </w:r>
      <w:r>
        <w:rPr>
          <w:rFonts w:eastAsia="Calibri" w:cs="Calibri"/>
          <w:b w:val="false"/>
          <w:bCs w:val="false"/>
          <w:i w:val="false"/>
          <w:iCs w:val="false"/>
          <w:color w:val="1A1A1A"/>
          <w:sz w:val="20"/>
          <w:szCs w:val="20"/>
        </w:rPr>
        <w:t>a genuine employee doing genuine work is generally fine — just don’t tie their pay to the volume of federally funded referrals in a way that looks like a per-head bounty.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Educate and build relationships: </w:t>
      </w:r>
      <w:r>
        <w:rPr>
          <w:rFonts w:eastAsia="Calibri" w:cs="Calibri"/>
          <w:b w:val="false"/>
          <w:bCs w:val="false"/>
          <w:i w:val="false"/>
          <w:iCs w:val="false"/>
          <w:color w:val="1A1A1A"/>
          <w:sz w:val="20"/>
          <w:szCs w:val="20"/>
        </w:rPr>
        <w:t>lunch-and-learns, being a genuine resource, and sharing outcomes — value delivered through service and information, not payments to the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 fair-market value for actual, documented services (not referrals): </w:t>
      </w:r>
      <w:r>
        <w:rPr>
          <w:rFonts w:eastAsia="Calibri" w:cs="Calibri"/>
          <w:b w:val="false"/>
          <w:bCs w:val="false"/>
          <w:i w:val="false"/>
          <w:iCs w:val="false"/>
          <w:color w:val="1A1A1A"/>
          <w:sz w:val="20"/>
          <w:szCs w:val="20"/>
        </w:rPr>
        <w:t>under a written agreement — and have an attorney confirm it fits a recognized safe harbor.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Thank referrers appropriately: </w:t>
      </w:r>
      <w:r>
        <w:rPr>
          <w:rFonts w:eastAsia="Calibri" w:cs="Calibri"/>
          <w:b w:val="false"/>
          <w:bCs w:val="false"/>
          <w:i w:val="false"/>
          <w:iCs w:val="false"/>
          <w:color w:val="1A1A1A"/>
          <w:sz w:val="20"/>
          <w:szCs w:val="20"/>
        </w:rPr>
        <w:t>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Medi-Cal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want: </w:t>
      </w:r>
      <w:r>
        <w:rPr>
          <w:rFonts w:eastAsia="Calibri" w:cs="Calibri"/>
          <w:b w:val="false"/>
          <w:bCs w:val="false"/>
          <w:i w:val="false"/>
          <w:iCs w:val="false"/>
          <w:color w:val="1A1A1A"/>
          <w:sz w:val="20"/>
          <w:szCs w:val="20"/>
        </w:rPr>
        <w:t>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 managers want: </w:t>
      </w:r>
      <w:r>
        <w:rPr>
          <w:rFonts w:eastAsia="Calibri" w:cs="Calibri"/>
          <w:b w:val="false"/>
          <w:bCs w:val="false"/>
          <w:i w:val="false"/>
          <w:iCs w:val="false"/>
          <w:color w:val="1A1A1A"/>
          <w:sz w:val="20"/>
          <w:szCs w:val="20"/>
        </w:rPr>
        <w:t>communication and partnership. They’ve staked their reputation on you; they want updates, quick responses, and no surprises.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Physicians’ offices want: </w:t>
      </w:r>
      <w:r>
        <w:rPr>
          <w:rFonts w:eastAsia="Calibri" w:cs="Calibri"/>
          <w:b w:val="false"/>
          <w:bCs w:val="false"/>
          <w:i w:val="false"/>
          <w:iCs w:val="false"/>
          <w:color w:val="1A1A1A"/>
          <w:sz w:val="20"/>
          <w:szCs w:val="20"/>
        </w:rPr>
        <w:t>to know their patient is safe and that you’ll flag problems. Low-hassle, trustworthy, and communicative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Senior-living &amp; facility directors want: </w:t>
      </w:r>
      <w:r>
        <w:rPr>
          <w:rFonts w:eastAsia="Calibri" w:cs="Calibri"/>
          <w:b w:val="false"/>
          <w:bCs w:val="false"/>
          <w:i w:val="false"/>
          <w:iCs w:val="false"/>
          <w:color w:val="1A1A1A"/>
          <w:sz w:val="20"/>
          <w:szCs w:val="20"/>
        </w:rPr>
        <w:t>a partner who makes them look good to their residents and refers back appropriately.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Attorneys &amp; financial advisors want: </w:t>
      </w:r>
      <w:r>
        <w:rPr>
          <w:rFonts w:eastAsia="Calibri" w:cs="Calibri"/>
          <w:b w:val="false"/>
          <w:bCs w:val="false"/>
          <w:i w:val="false"/>
          <w:iCs w:val="false"/>
          <w:color w:val="1A1A1A"/>
          <w:sz w:val="20"/>
          <w:szCs w:val="20"/>
        </w:rPr>
        <w:t>a provider they can recommend without risk to their own reputation — professional, ethical, and dependable.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want: </w:t>
      </w:r>
      <w:r>
        <w:rPr>
          <w:rFonts w:eastAsia="Calibri" w:cs="Calibri"/>
          <w:b w:val="false"/>
          <w:bCs w:val="false"/>
          <w:i w:val="false"/>
          <w:iCs w:val="false"/>
          <w:color w:val="1A1A1A"/>
          <w:sz w:val="20"/>
          <w:szCs w:val="20"/>
        </w:rPr>
        <w:t>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bCs/>
          <w:i/>
          <w:iCs/>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Responsiveness: </w:t>
      </w:r>
      <w:r>
        <w:rPr>
          <w:rFonts w:eastAsia="Calibri" w:cs="Calibri"/>
          <w:b w:val="false"/>
          <w:bCs w:val="false"/>
          <w:i w:val="false"/>
          <w:iCs w:val="false"/>
          <w:color w:val="1A1A1A"/>
          <w:sz w:val="20"/>
          <w:szCs w:val="20"/>
        </w:rPr>
        <w:t>answer referrals fast — same day, ideally within hours. Slow response is the number-one reason sources stop referring.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Reliability: </w:t>
      </w:r>
      <w:r>
        <w:rPr>
          <w:rFonts w:eastAsia="Calibri" w:cs="Calibri"/>
          <w:b w:val="false"/>
          <w:bCs w:val="false"/>
          <w:i w:val="false"/>
          <w:iCs w:val="false"/>
          <w:color w:val="1A1A1A"/>
          <w:sz w:val="20"/>
          <w:szCs w:val="20"/>
        </w:rPr>
        <w:t>do what you said, when you said. Start on time, show up, and don’t drop the ball. One dropped ball can cost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Communication loop: </w:t>
      </w:r>
      <w:r>
        <w:rPr>
          <w:rFonts w:eastAsia="Calibri" w:cs="Calibri"/>
          <w:b w:val="false"/>
          <w:bCs w:val="false"/>
          <w:i w:val="false"/>
          <w:iCs w:val="false"/>
          <w:color w:val="1A1A1A"/>
          <w:sz w:val="20"/>
          <w:szCs w:val="20"/>
        </w:rPr>
        <w:t>close the loop — tell the referrer you accepted, that you started, and how it’s going (within privacy rules). Referrers love providers who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Good outcomes: </w:t>
      </w:r>
      <w:r>
        <w:rPr>
          <w:rFonts w:eastAsia="Calibri" w:cs="Calibri"/>
          <w:b w:val="false"/>
          <w:bCs w:val="false"/>
          <w:i w:val="false"/>
          <w:iCs w:val="false"/>
          <w:color w:val="1A1A1A"/>
          <w:sz w:val="20"/>
          <w:szCs w:val="20"/>
        </w:rPr>
        <w:t>keep clients safe and satisfied, prevent hospital readmissions, and make the referrer look good.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easy to work with: </w:t>
      </w:r>
      <w:r>
        <w:rPr>
          <w:rFonts w:eastAsia="Calibri" w:cs="Calibri"/>
          <w:b w:val="false"/>
          <w:bCs w:val="false"/>
          <w:i w:val="false"/>
          <w:iCs w:val="false"/>
          <w:color w:val="1A1A1A"/>
          <w:sz w:val="20"/>
          <w:szCs w:val="20"/>
        </w:rPr>
        <w:t>simple referral process, no drama, gracious even when you can’t take a case (and refer it on when you can’t).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Gratitude: </w:t>
      </w:r>
      <w:r>
        <w:rPr>
          <w:rFonts w:eastAsia="Calibri" w:cs="Calibri"/>
          <w:b w:val="false"/>
          <w:bCs w:val="false"/>
          <w:i w:val="false"/>
          <w:iCs w:val="false"/>
          <w:color w:val="1A1A1A"/>
          <w:sz w:val="20"/>
          <w:szCs w:val="20"/>
        </w:rPr>
        <w:t>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keepNext w:val="true"/>
        <w:spacing w:before="22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 this is how you show up in local ‘[service] near me’ searches and on the map. Keep hours, phone, and service area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Reviews: </w:t>
      </w:r>
      <w:r>
        <w:rPr>
          <w:rFonts w:eastAsia="Calibri" w:cs="Calibri"/>
          <w:b w:val="false"/>
          <w:bCs w:val="false"/>
          <w:i w:val="false"/>
          <w:iCs w:val="false"/>
          <w:color w:val="1A1A1A"/>
          <w:sz w:val="20"/>
          <w:szCs w:val="20"/>
        </w:rPr>
        <w:t>ask satisfied families for Google reviews — they’re the modern word of mouth, and referrers check them too. Respond to every review graciously.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clear, honest website: </w:t>
      </w:r>
      <w:r>
        <w:rPr>
          <w:rFonts w:eastAsia="Calibri" w:cs="Calibri"/>
          <w:b w:val="false"/>
          <w:bCs w:val="false"/>
          <w:i w:val="false"/>
          <w:iCs w:val="false"/>
          <w:color w:val="1A1A1A"/>
          <w:sz w:val="20"/>
          <w:szCs w:val="20"/>
        </w:rPr>
        <w:t>who you serve, what you do, your service area, and how to reach you — with a phone number that’s answered. It doesn’t need to be fancy; it needs to be clear and trustworthy.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Directories &amp; listings: </w:t>
      </w:r>
      <w:r>
        <w:rPr>
          <w:rFonts w:eastAsia="Calibri" w:cs="Calibri"/>
          <w:b w:val="false"/>
          <w:bCs w:val="false"/>
          <w:i w:val="false"/>
          <w:iCs w:val="false"/>
          <w:color w:val="1A1A1A"/>
          <w:sz w:val="20"/>
          <w:szCs w:val="20"/>
        </w:rPr>
        <w:t>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Pick your Target 25. </w:t>
      </w:r>
      <w:r>
        <w:rPr>
          <w:rFonts w:eastAsia="Calibri" w:cs="Calibri"/>
          <w:b w:val="false"/>
          <w:bCs w:val="false"/>
          <w:i w:val="false"/>
          <w:iCs w:val="false"/>
          <w:color w:val="1A1A1A"/>
          <w:sz w:val="20"/>
          <w:szCs w:val="20"/>
        </w:rPr>
        <w:t>From your source list, choose the 25 highest-value sources to focus on. Depth beats breadth — 25 real relationships outperform 200 business cards.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Set a weekly outreach goal. </w:t>
      </w:r>
      <w:r>
        <w:rPr>
          <w:rFonts w:eastAsia="Calibri" w:cs="Calibri"/>
          <w:b w:val="false"/>
          <w:bCs w:val="false"/>
          <w:i w:val="false"/>
          <w:iCs w:val="false"/>
          <w:color w:val="1A1A1A"/>
          <w:sz w:val="20"/>
          <w:szCs w:val="20"/>
        </w:rPr>
        <w:t>For example: 5 new contacts and 5 follow-ups a week. Small and consistent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Log every touch. </w:t>
      </w:r>
      <w:r>
        <w:rPr>
          <w:rFonts w:eastAsia="Calibri" w:cs="Calibri"/>
          <w:b w:val="false"/>
          <w:bCs w:val="false"/>
          <w:i w:val="false"/>
          <w:iCs w:val="false"/>
          <w:color w:val="1A1A1A"/>
          <w:sz w:val="20"/>
          <w:szCs w:val="20"/>
        </w:rPr>
        <w:t>Who you contacted, when, what happened, and the next step — in the Tracker. A relationship with no next step goes cold.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Nurture on a cadence. </w:t>
      </w:r>
      <w:r>
        <w:rPr>
          <w:rFonts w:eastAsia="Calibri" w:cs="Calibri"/>
          <w:b w:val="false"/>
          <w:bCs w:val="false"/>
          <w:i w:val="false"/>
          <w:iCs w:val="false"/>
          <w:color w:val="1A1A1A"/>
          <w:sz w:val="20"/>
          <w:szCs w:val="20"/>
        </w:rPr>
        <w:t>Stay in front of your top sources regularly — a check-in, a helpful resource, a thank-you — without being a nuisance.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Block the time. </w:t>
      </w:r>
      <w:r>
        <w:rPr>
          <w:rFonts w:eastAsia="Calibri" w:cs="Calibri"/>
          <w:b w:val="false"/>
          <w:bCs w:val="false"/>
          <w:i w:val="false"/>
          <w:iCs w:val="false"/>
          <w:color w:val="1A1A1A"/>
          <w:sz w:val="20"/>
          <w:szCs w:val="20"/>
        </w:rPr>
        <w:t>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referrals by source. </w:t>
      </w:r>
      <w:r>
        <w:rPr>
          <w:rFonts w:eastAsia="Calibri" w:cs="Calibri"/>
          <w:b w:val="false"/>
          <w:bCs w:val="false"/>
          <w:i w:val="false"/>
          <w:iCs w:val="false"/>
          <w:color w:val="1A1A1A"/>
          <w:sz w:val="20"/>
          <w:szCs w:val="20"/>
        </w:rPr>
        <w:t>Which sources send clients, how many, and how often — so you know where your business really comes from.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Watch conversion. </w:t>
      </w:r>
      <w:r>
        <w:rPr>
          <w:rFonts w:eastAsia="Calibri" w:cs="Calibri"/>
          <w:b w:val="false"/>
          <w:bCs w:val="false"/>
          <w:i w:val="false"/>
          <w:iCs w:val="false"/>
          <w:color w:val="1A1A1A"/>
          <w:sz w:val="20"/>
          <w:szCs w:val="20"/>
        </w:rPr>
        <w:t>Referrals that turn into clients — a source that sends many that don’t fit is different from one that sends a few perfect ones.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Double down on producers. </w:t>
      </w:r>
      <w:r>
        <w:rPr>
          <w:rFonts w:eastAsia="Calibri" w:cs="Calibri"/>
          <w:b w:val="false"/>
          <w:bCs w:val="false"/>
          <w:i w:val="false"/>
          <w:iCs w:val="false"/>
          <w:color w:val="1A1A1A"/>
          <w:sz w:val="20"/>
          <w:szCs w:val="20"/>
        </w:rPr>
        <w:t>Give your best sources more time and gratitude; they’re your growth engine.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Diagnose the quiet ones. </w:t>
      </w:r>
      <w:r>
        <w:rPr>
          <w:rFonts w:eastAsia="Calibri" w:cs="Calibri"/>
          <w:b w:val="false"/>
          <w:bCs w:val="false"/>
          <w:i w:val="false"/>
          <w:iCs w:val="false"/>
          <w:color w:val="1A1A1A"/>
          <w:sz w:val="20"/>
          <w:szCs w:val="20"/>
        </w:rPr>
        <w:t>A source that stopped referring is a signal — reconnect and find out why.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Replace and expand. </w:t>
      </w:r>
      <w:r>
        <w:rPr>
          <w:rFonts w:eastAsia="Calibri" w:cs="Calibri"/>
          <w:b w:val="false"/>
          <w:bCs w:val="false"/>
          <w:i w:val="false"/>
          <w:iCs w:val="false"/>
          <w:color w:val="1A1A1A"/>
          <w:sz w:val="20"/>
          <w:szCs w:val="20"/>
        </w:rPr>
        <w:t>Keep adding new sources to the top of your list as relationships mature, so growth never stalls.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Spending on ads before building relationships. </w:t>
      </w:r>
      <w:r>
        <w:rPr>
          <w:rFonts w:eastAsia="Calibri" w:cs="Calibri"/>
          <w:b w:val="false"/>
          <w:bCs w:val="false"/>
          <w:i w:val="false"/>
          <w:iCs w:val="false"/>
          <w:color w:val="1A1A1A"/>
          <w:sz w:val="20"/>
          <w:szCs w:val="20"/>
        </w:rPr>
        <w:t>Referrals convert better and cost less — start there.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Chasing breadth over depth. </w:t>
      </w:r>
      <w:r>
        <w:rPr>
          <w:rFonts w:eastAsia="Calibri" w:cs="Calibri"/>
          <w:b w:val="false"/>
          <w:bCs w:val="false"/>
          <w:i w:val="false"/>
          <w:iCs w:val="false"/>
          <w:color w:val="1A1A1A"/>
          <w:sz w:val="20"/>
          <w:szCs w:val="20"/>
        </w:rPr>
        <w:t>A stack of business cards isn’t relationships. Focus on your Target 25.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Pitching instead of listening. </w:t>
      </w:r>
      <w:r>
        <w:rPr>
          <w:rFonts w:eastAsia="Calibri" w:cs="Calibri"/>
          <w:b w:val="false"/>
          <w:bCs w:val="false"/>
          <w:i w:val="false"/>
          <w:iCs w:val="false"/>
          <w:color w:val="1A1A1A"/>
          <w:sz w:val="20"/>
          <w:szCs w:val="20"/>
        </w:rPr>
        <w:t>Ask what they need; don’t monologue about yourself.</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unreliable after the referral. </w:t>
      </w:r>
      <w:r>
        <w:rPr>
          <w:rFonts w:eastAsia="Calibri" w:cs="Calibri"/>
          <w:b w:val="false"/>
          <w:bCs w:val="false"/>
          <w:i w:val="false"/>
          <w:iCs w:val="false"/>
          <w:color w:val="1A1A1A"/>
          <w:sz w:val="20"/>
          <w:szCs w:val="20"/>
        </w:rPr>
        <w:t>Performance, not pitch, keeps referrals coming. One dropped ball can end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tracking anything. </w:t>
      </w:r>
      <w:r>
        <w:rPr>
          <w:rFonts w:eastAsia="Calibri" w:cs="Calibri"/>
          <w:b w:val="false"/>
          <w:bCs w:val="false"/>
          <w:i w:val="false"/>
          <w:iCs w:val="false"/>
          <w:color w:val="1A1A1A"/>
          <w:sz w:val="20"/>
          <w:szCs w:val="20"/>
        </w:rPr>
        <w:t>If you don’t know where clients come from, you can’t grow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Giving up too soon. </w:t>
      </w:r>
      <w:r>
        <w:rPr>
          <w:rFonts w:eastAsia="Calibri" w:cs="Calibri"/>
          <w:b w:val="false"/>
          <w:bCs w:val="false"/>
          <w:i w:val="false"/>
          <w:iCs w:val="false"/>
          <w:color w:val="1A1A1A"/>
          <w:sz w:val="20"/>
          <w:szCs w:val="20"/>
        </w:rPr>
        <w:t>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 xml:space="preserve">Referral relationships must be built on trust and service — </w:t>
            </w:r>
            <w:r>
              <w:rPr>
                <w:rFonts w:eastAsia="Calibri" w:cs="Calibri"/>
                <w:b/>
                <w:bCs/>
                <w:i w:val="false"/>
                <w:iCs w:val="false"/>
                <w:color w:val="1A1A1A"/>
                <w:sz w:val="19"/>
                <w:szCs w:val="19"/>
              </w:rPr>
              <w:t>never on payment for referrals of clients covered by Medicare, Medicaid, or other federal programs.</w:t>
            </w:r>
            <w:r>
              <w:rPr>
                <w:rFonts w:eastAsia="Calibri" w:cs="Calibri"/>
                <w:b w:val="false"/>
                <w:bCs w:val="false"/>
                <w:i w:val="false"/>
                <w:iCs w:val="false"/>
                <w:color w:val="1A1A1A"/>
                <w:sz w:val="19"/>
                <w:szCs w:val="19"/>
              </w:rPr>
              <w:t xml:space="preserve">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220" w:after="90"/>
        <w:rPr/>
      </w:pPr>
      <w:r>
        <w:rPr>
          <w:rFonts w:eastAsia="Calibri" w:cs="Calibri"/>
          <w:b/>
          <w:bCs/>
          <w:i w:val="false"/>
          <w:iCs w:val="false"/>
          <w:color w:val="1F3A5F"/>
          <w:sz w:val="26"/>
          <w:szCs w:val="26"/>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County / Medicaid / waiver / regional-center case managers; managed-care &amp; CalAIM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220" w:after="90"/>
        <w:rPr/>
      </w:pPr>
      <w:r>
        <w:rPr>
          <w:rFonts w:eastAsia="Calibri" w:cs="Calibri"/>
          <w:b/>
          <w:bCs/>
          <w:i w:val="false"/>
          <w:iCs w:val="false"/>
          <w:color w:val="1F3A5F"/>
          <w:sz w:val="26"/>
          <w:szCs w:val="26"/>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Referral Source Tracker &amp; Worksheets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companion Tracker, list every referral source you can think of near you, star your Target 25, and schedule your first five outreach contacts this week. Momentum starts with one conversation.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California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California. Every number and website below was verified from official California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National gateways (work anywhere in the U.S.)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 — routes any caller to their local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211.org — local health &amp; human-services information and referral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1-800-633-4227 (1-800-MEDICARE) · medicare.gov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Security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1-800-772-1213 · ssa.gov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Alzheimer’s Association 24/7 Helpline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1-800-272-3900 · alz.org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SAMHSA National Helpline (mental health / substance 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1-800-662-4357 · samhsa.gov/find-help</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988 Suicide &amp; Crisis Lifeline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988 (Veterans press 1)</w:t>
            </w:r>
          </w:p>
        </w:tc>
      </w:tr>
    </w:tbl>
    <w:p>
      <w:pPr>
        <w:pStyle w:val="Normal"/>
        <w:keepNext w:val="true"/>
        <w:spacing w:before="140" w:after="60"/>
        <w:rPr/>
      </w:pPr>
      <w:r>
        <w:rPr>
          <w:rFonts w:eastAsia="Calibri" w:cs="Calibri"/>
          <w:b/>
          <w:bCs/>
          <w:i w:val="false"/>
          <w:iCs w:val="false"/>
          <w:color w:val="3E5871"/>
          <w:sz w:val="21"/>
          <w:szCs w:val="21"/>
        </w:rPr>
        <w:t>California — aging &amp; access to services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California Department of Aging (statewide line — routes to your local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1-800-510-2020 · aging.ca.gov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Connection (ADRC — “No Wrong Door”)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916-437-1465 · aging.ca.gov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HICAP — free Medicare counseling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1-800-434-0222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Friendship Line California (warmline for isolated older adults)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1-888-670-1360</w:t>
            </w:r>
          </w:p>
        </w:tc>
      </w:tr>
    </w:tbl>
    <w:p>
      <w:pPr>
        <w:pStyle w:val="Normal"/>
        <w:keepNext w:val="true"/>
        <w:spacing w:before="140" w:after="60"/>
        <w:rPr/>
      </w:pPr>
      <w:r>
        <w:rPr>
          <w:rFonts w:eastAsia="Calibri" w:cs="Calibri"/>
          <w:b/>
          <w:bCs/>
          <w:i w:val="false"/>
          <w:iCs w:val="false"/>
          <w:color w:val="3E5871"/>
          <w:sz w:val="21"/>
          <w:szCs w:val="21"/>
        </w:rPr>
        <w:t>California — Medi-Cal &amp; health coverage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Department of Health Care Services (Medi-Cal)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1-800-541-5555 · dhcs.ca.gov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Medi-Cal Managed Care Ombudsman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1-888-452-8609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&amp; Community-Based Alternatives (HCBA) Waiver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1-833-388-4551 · HCBAlternatives@dhcs.ca.gov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Department of Managed Health Care (health-plan issues)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1-888-466-2219</w:t>
            </w:r>
          </w:p>
        </w:tc>
      </w:tr>
    </w:tbl>
    <w:p>
      <w:pPr>
        <w:pStyle w:val="Normal"/>
        <w:keepNext w:val="true"/>
        <w:spacing w:before="140" w:after="60"/>
        <w:rPr/>
      </w:pPr>
      <w:r>
        <w:rPr>
          <w:rFonts w:eastAsia="Calibri" w:cs="Calibri"/>
          <w:b/>
          <w:bCs/>
          <w:i w:val="false"/>
          <w:iCs w:val="false"/>
          <w:color w:val="3E5871"/>
          <w:sz w:val="21"/>
          <w:szCs w:val="21"/>
        </w:rPr>
        <w:t>California — developmental disability &amp; brain injury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Dept. of Developmental Services — Regional Centers (21 statewide; assessment, case management &amp;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Find yours by county: dds.ca.gov/rc</w:t>
            </w:r>
          </w:p>
        </w:tc>
      </w:tr>
    </w:tbl>
    <w:p>
      <w:pPr>
        <w:pStyle w:val="Normal"/>
        <w:spacing w:lineRule="exact" w:line="268" w:before="0" w:after="110"/>
        <w:jc w:val="start"/>
        <w:rPr/>
      </w:pPr>
      <w:r>
        <w:rPr>
          <w:rFonts w:eastAsia="Calibri" w:cs="Calibri"/>
          <w:b w:val="false"/>
          <w:bCs w:val="false"/>
          <w:i w:val="false"/>
          <w:iCs w:val="false"/>
          <w:color w:val="1A1A1A"/>
          <w:sz w:val="20"/>
          <w:szCs w:val="20"/>
        </w:rPr>
        <w:t>For brain-injury and developmentally disabled clients, the regional center serving your county is a key referral and case-management partner — look up the one for your area and build that relationship.</w:t>
      </w:r>
    </w:p>
    <w:p>
      <w:pPr>
        <w:pStyle w:val="Normal"/>
        <w:keepNext w:val="true"/>
        <w:spacing w:before="140" w:after="60"/>
        <w:rPr/>
      </w:pPr>
      <w:r>
        <w:rPr>
          <w:rFonts w:eastAsia="Calibri" w:cs="Calibri"/>
          <w:b/>
          <w:bCs/>
          <w:i w:val="false"/>
          <w:iCs w:val="false"/>
          <w:color w:val="3E5871"/>
          <w:sz w:val="21"/>
          <w:szCs w:val="21"/>
        </w:rPr>
        <w:t>California — client protection &amp; safety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Adult Protective Services (statewide — abuse/neglect of adults in the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1-833-401-0832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Long-Term Care Ombudsman CRISISline (concerns in a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1-800-231-4024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Department of Consumer Affairs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1-800-952-5210</w:t>
            </w:r>
          </w:p>
        </w:tc>
      </w:tr>
    </w:tbl>
    <w:p>
      <w:pPr>
        <w:pStyle w:val="Normal"/>
        <w:keepNext w:val="true"/>
        <w:spacing w:before="140" w:after="60"/>
        <w:rPr/>
      </w:pPr>
      <w:r>
        <w:rPr>
          <w:rFonts w:eastAsia="Calibri" w:cs="Calibri"/>
          <w:b/>
          <w:bCs/>
          <w:i w:val="false"/>
          <w:iCs w:val="false"/>
          <w:color w:val="3E5871"/>
          <w:sz w:val="21"/>
          <w:szCs w:val="21"/>
        </w:rPr>
        <w:t>California — veterans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CalVet (California Dept. of Veterans Affairs)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1-800-952-5626 · calvet.ca.gov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Local CalVet Service Officers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1-844-737-8368</w:t>
            </w:r>
          </w:p>
        </w:tc>
      </w:tr>
    </w:tbl>
    <w:p>
      <w:pPr>
        <w:pStyle w:val="Normal"/>
        <w:keepNext w:val="true"/>
        <w:spacing w:before="140" w:after="60"/>
        <w:rPr/>
      </w:pPr>
      <w:r>
        <w:rPr>
          <w:rFonts w:eastAsia="Calibri" w:cs="Calibri"/>
          <w:b/>
          <w:bCs/>
          <w:i w:val="false"/>
          <w:iCs w:val="false"/>
          <w:color w:val="3E5871"/>
          <w:sz w:val="21"/>
          <w:szCs w:val="21"/>
        </w:rPr>
        <w:t>California — your licensing regulators (know these cold)</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Dept. of Social Services (CDSS) — licenses non-medical Home Care Organizations &amp; maintains the Home Care Aide Registry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916-651-8848 · cdss.ca.gov · registry: ccld.dss.ca.gov/hcsregistry</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Dept. of Public Health (CDPH) — licenses hospitals, skilled nursing &amp; home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916-558-1784 · cdph.ca.gov</w:t>
            </w:r>
          </w:p>
        </w:tc>
      </w:tr>
    </w:tbl>
    <w:p>
      <w:pPr>
        <w:pStyle w:val="Normal"/>
        <w:keepNext w:val="true"/>
        <w:spacing w:before="140" w:after="60"/>
        <w:rPr/>
      </w:pPr>
      <w:r>
        <w:rPr>
          <w:rFonts w:eastAsia="Calibri" w:cs="Calibri"/>
          <w:b/>
          <w:bCs/>
          <w:i w:val="false"/>
          <w:iCs w:val="false"/>
          <w:color w:val="3E5871"/>
          <w:sz w:val="21"/>
          <w:szCs w:val="21"/>
        </w:rPr>
        <w:t>California — industry &amp; networking (build relationships here)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California Association for Health Services at Home (CAHSAH — statewide home care/home health/hospice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916-641-5795 · cahsah.org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California Hospital Association (get to know your hospitals)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916-443-7401 · calhospital.org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California Assisted Living Association (CALA)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916-448-1900 · caassistedliving.org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California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916-392-5111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California Advocates for Nursing Home Reform (CANHR)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916-322-3350 · canhr.org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Eldercare Locator (1-800-677-1116) or use aging.ca.gov to get your county’s Area Agency on Aging — your local aging-network hub.</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Find your county’s Adult Protective Services and In-Home Supportive Services (IHSS) offices through your county social- or human-services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Look up your regional center at dds.ca.gov/rc if you serve brain-injury or developmentally disabled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Find the Medi-Cal managed-care plans operating in your county through dhcs.ca.gov — these are your payer and referral partners.</w:t>
      </w:r>
    </w:p>
    <w:p>
      <w:pPr>
        <w:pStyle w:val="Normal"/>
        <w:keepNext w:val="true"/>
        <w:spacing w:before="140" w:after="60"/>
        <w:rPr/>
      </w:pPr>
      <w:r>
        <w:rPr>
          <w:rFonts w:eastAsia="Calibri" w:cs="Calibri"/>
          <w:b/>
          <w:bCs/>
          <w:i w:val="false"/>
          <w:iCs w:val="false"/>
          <w:color w:val="3E5871"/>
          <w:sz w:val="21"/>
          <w:szCs w:val="21"/>
        </w:rPr>
        <w:t>Expanding to another state?</w:t>
      </w:r>
    </w:p>
    <w:p>
      <w:pPr>
        <w:pStyle w:val="Normal"/>
        <w:spacing w:lineRule="exact" w:line="268" w:before="0" w:after="110"/>
        <w:jc w:val="start"/>
        <w:rPr/>
      </w:pPr>
      <w:r>
        <w:rPr>
          <w:rFonts w:eastAsia="Calibri" w:cs="Calibri"/>
          <w:b w:val="false"/>
          <w:bCs w:val="false"/>
          <w:i w:val="false"/>
          <w:iCs w:val="false"/>
          <w:color w:val="1A1A1A"/>
          <w:sz w:val="20"/>
          <w:szCs w:val="20"/>
        </w:rPr>
        <w:t>When you add a state, rebuild this directory for it the same way. Every state has the same core resources under different names: a State Unit on Aging and local Area Agencies on Aging (reach them through the Eldercare Locator, 1-800-677-1116), a Medicaid/HCBS agency, a Long-Term Care Ombudsman, Adult Protective Services, a state veterans department, and a state home-care association. Start from the Eldercare Locator and your state’s official .gov pages, verify every number, and you will have that state’s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sources when it was prepared, but government numbers, programs, and websites change. Confirm a contact before you rely on it, and treat this directory as a living document you keep current — never as a substitute for your own verification.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California’s largest metros — organized by category so you can build your outreach route. Each listing shows name, address, and phone; public email addresses generally aren’t listed, so call or use the organization’s website.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Funeral homes &amp; elder-law attorneys — they meet families at decision points and refer trusted providers. Care managers &amp; placement agents — they place clients into services daily; earn a spot on their list.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Los Angeles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Los Angeles General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2051 Marengo St, Los Angeles 90033 · 323-409-1000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 California Hospital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1401 S Grand Ave, Los Angeles 90015 · 213-748-2411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Cedars-Sinai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8700 Beverly Blvd, Los Angeles 90048 · 310-423-3277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Ronald Reagan UCLA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757 Westwood Plaza, Los Angeles 90095 · 310-825-9111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Adventist Health White Memorial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1720 E Cesar E Chavez Ave, Los Angeles 90033 · 323-268-5000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Olympia Convalescent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1100 S Alvarado St, Los Angeles 90006 · 213-487-3000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Alta View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831 S Lake St, Los Angeles 90057 · 213-380-9175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Guardian Rehabilitation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533 S Fairfax Ave, Los Angeles 90036 · 323-931-1061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Angels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415 S Union Ave, Los Angeles 90017 · 213-484-0784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Park Convalescent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2312 W 8th St, Los Angeles 90057 · 213-382-7315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Valley View Hospice Los Angeles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15477 Ventura Blvd Ste 201, Sherman Oaks 91403 · 818-385-1682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 The Arms of Grace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3111 Los Feliz Blvd Ste 107, Los Angeles 90039 · 323-928-2992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Agape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23001 Hawthorne Blvd Ste 200, Torrance 90505 · 213-234-5535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Hollywood Home Health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4640 Lankershim Blvd Unit 100, Toluca Lake 91602 · 888-522-8899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17715 Chatsworth St Unit 210, Granada Hills 91344 · 747-755-5181</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Belmont Village Senior Living Westwood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10475 Wilshire Blvd, Los Angeles 90024 · 424-401-0705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Oakmont of Beverly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 N Clark Dr, Beverly Hills 90211 · 310-455-8938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Hollywood Hills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1745 N Gramercy Pl, Los Angeles 90028 · 323-645-2770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Melrose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960 N Martel Ave, Los Angeles 90046 · 323-876-1746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Sakura Gardens of Los Angeles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325 S Boyle Ave, Los Angeles 90033 · 323-827-8582</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Rachal’s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5708 S Broadway, Los Angeles 90037 · 323-231-9325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Clarity Funerals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5300 Santa Monica Blvd #320, Los Angeles 90029 · 323-380-1680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Optima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4901 Compton Ave, Los Angeles 90011 · 213-820-2798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Funeraria Del Angel Lincoln Heights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2814 N Broadway, Los Angeles 90031 · 323-607-9992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Han Kook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2045 W Washington Blvd, Los Angeles 90018 · 323-734-5656</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Care Law (Medi-Cal / Probate / Estate)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475 Washington Blvd, Marina Del Rey 90292 · 866-822-7211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Cherepinskiy Law Firm,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1180 S Beverly Dr Unit 405, Los Angeles 90035 · 310-694-0317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Jerome S. Cohen,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3731 Wilshire Blvd, Los Angeles 90010 · 213-388-8188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Services of California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1609 Cravens Ave, Torrance 90505 · 800-403-6078</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Seniors LA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8939 S Sepulveda Blvd, Los Angeles 90045 · 310-953-4844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Geriatric Care Consultants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31805 Broad Beach Rd #2620, Malibu 90265 · 310-415-1365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 Senior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 Vine St, Hollywood 90028 · 818-272-3380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San Diego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Scripps Mercy Hospital San Diego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4077 Fifth Ave, San Diego 92103 · 858-832-2478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Kaiser Permanente San Diego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9455 Clairemont Mesa Blvd, San Diego 92123 · 858-266-5000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 San Diego Health — Hillcrest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W Arbor Dr, San Diego 92103 · 858-657-7000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Paradise Valley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2400 E 4th St, National City 91950 · 619-470-4321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Sharp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7901 Frost St, San Diego 92123 · 858-939-3400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Carmel Mountain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11895 Avenue of Industry, San Diego 92128 · 858-673-0101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Kearny Mesa Convalescent &amp; Nursing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7675 Family Cir, San Diego 92111 · 858-278-8121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Balboa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3520 Fourth Ave, San Diego 92103 · 619-291-5270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Golden Hill Post Acute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1201 34th St, San Diego 92102 · 619-232-2946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Mission Hills Post Acute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3680 Reynard Way, San Diego 92103 · 619-297-4484</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Silverado Hospice San Diego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5471 Kearny Villa Rd #300, San Diego 92123 · 858-565-1005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Apreva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3333 Camino del Rio S, San Diego 92108 · 619-450-4414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Comfort and Peace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3944 Murphy Canyon Rd Ste C100, San Diego 92123 · 858-304-2555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Topkare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7071 Convoy Ct Ste 101, San Diego 92111 · 858-381-0098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San Diego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5575 Ruffin Rd Ste 250, San Diego 92123 · 619-900-0335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Glen at Scripps Ranch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9800 Glen Center Dr, San Diego 92131 · 858-444-8500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Westmont of Carmel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5720 Old Carmel Valley Rd, San Diego 92130 · 858-465-7356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 at La Jolla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8515 Costa Verde Blvd, San Diego 92122 · 888-674-4036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HarborView Senior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2360 Albatross St, San Diego 92101 · 619-233-8382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Oakmont of Pacific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955 Grand Ave, San Diego 92109 · 858-726-9054</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Bravo Family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4427 Rainier Ave, San Diego 92120 · 833-762-7286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Goodbody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5027 El Cajon Blvd, San Diego 92115 · 619-986-0653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Featheringill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6322 El Cajon Blvd, San Diego 92115 · 619-583-9511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Cypress View Mausoleum &amp;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3953 Imperial Ave, San Diego 92113 · 619-986-0607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Merkley-Mitchell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3838 Camino Del Rio N #103, San Diego 92108 · 619-986-0616</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 Diego Elder Law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7880 Golfcrest Dr, San Diego 92119 · 619-235-4357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&amp; Advocacy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5151 Murphy Canyon Rd #110, San Diego 92123 · 858-565-1392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Ratner &amp; Pinchman, APLC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11622 El Camino Real, San Diego 92130 · 888-336-1645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Pick Law (Elder Abuse Attorney)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2495 Truxtun Rd Ste 201, San Diego 92106 · 619-800-4869</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 Right Place — Senior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3636 Fifth Ave #102, San Diego 92103 · 619-980-2051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Boutique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3679 Voltaire St #3, San Diego 92106 · 619-300-7727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Butterfly Senior Placement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11178 Del Diablo Way, San Diego 92129 · 619-341-2667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3691 Via Mercado Ste 16, La Mesa 91941 · 619-660-8814</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San Francisco Bay Area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Zuckerberg San Francisco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Potrero Ave, San Francisco 94110 · 628-206-8000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UCSF Medical Center (Parnassus)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505 Parnassus Ave, San Francisco 94143 · 415-476-1000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Kaiser Permanente San Francisco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2425 Geary Blvd, San Francisco 94115 · 415-833-2000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UCSF Health — Saint Francis (Hyde)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900 Hyde St, San Francisco 94109 · 415-353-6000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UCSF Health — St. Mary’s (Stanyan)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 Stanyan St, San Francisco 94117 · 415-668-1000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Pacific Heights Transitional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2707 Pine St, San Francisco 94115 · 415-563-7600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 Francisco Health Care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1477 Grove St, San Francisco 94117 · 415-563-0565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Lawton Skilled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1575 7th Ave, San Francisco 94122 · 415-566-1200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Central Gardens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1355 Ellis St, San Francisco 94115 · 415-567-2967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Victorian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2121 Pine St, San Francisco 94115 · 415-922-5085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Angel Palliative Care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 S Spruce Ave #O, South San Francisco 94080 · 650-590-2530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CPMC Coming Home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 Diamond St, San Francisco 94114 · 415-861-1110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Health Link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 Bryant St Ste 1A, San Francisco 94107 · 415-513-1222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Maitri Compassionate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401 Duboce Ave, San Francisco 94117 · 415-558-3000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By The Bay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 Redwood St #350, San Francisco 94102 · 415-626-5900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Sagebrook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2750 Geary Blvd, San Francisco 94118 · 415-346-0246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Coterie Cathedral Hill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Van Ness Ave, San Francisco 94109 · 415-915-6655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Carlisle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1450 Post St, San Francisco 94109 · 415-929-0200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Buena Vista Manor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399 Buena Vista Ave E, San Francisco 94117 · 415-800-2032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Sequoia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1525 Post St, San Francisco 94109 · 415-202-7800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 Francisco Columbarium &amp;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Loraine Ct, San Francisco 94118 · 415-771-0717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Duggan’s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3434 17th St, San Francisco 94110 · 415-431-4900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Green Street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649 Green St, San Francisco 94133 · 415-433-5692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Tulip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4444 Geary Blvd Ste 305, San Francisco 94118 · 844-942-4909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Cypress Lawn Funeral Home &amp; Memorial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1370 El Camino Real, Colma 94014 · 650-550-8808</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Evans Law Firm,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3053 Fillmore St #236, San Francisco 94123 · 415-441-8669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Stebner Gertler &amp; Guadagni</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870 Market St Ste 1285, San Francisco 94102 · 415-362-9800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Greene Law Firm,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447 Sutter St, San Francisco 94108 · 415-905-0215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Celaya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 Stevenson St Ste 400, San Francisco 94105 · 415-936-7718</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Nestvy Senior Placement &amp; Home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 Franklin St Ste 300, Oakland 94607 · 800-570-7874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Sage Eldercare Solutions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1801 Murchison Dr #16, Burlingame 94010 · 650-652-5642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 for Seniors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 Bryant St Unit 2B, San Francisco 94107 · 415-664-9991</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Sacramento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 Mercy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4001 J St, Sacramento 95819 · 916-453-4545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 Davis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4301 X St, Sacramento 95817 · 916-734-2011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 Methodist Hospital of Sacramento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7500 Hospital Dr, Sacramento 95823 · 916-423-3000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Sutter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2825 Capitol Ave, Sacramento 95816 · 916-887-0000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Kaiser Permanente Sacramento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2025 Morse Ave, Sacramento 95825 · 916-973-5000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Gramercy Court Skilled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2200 Gramercy Dr A, Sacramento 95825 · 916-482-2200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Bridgewood Post-Acute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5901 Lemon Hill Ave, Sacramento 95824 · 916-383-2741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Sherwood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4700 Elvas Ave, Sacramento 95819 · 916-454-4700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Advanced Health Care of Sacramento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1411 Expo Pkwy, Sacramento 95815 · 916-758-6300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Post-Acute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2120 Stockton Blvd, Sacramento 95817 · 916-452-6631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Sacramento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2210 Del Paso Rd A, Sacramento 95834 · 916-928-0102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Monarch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3600 American River Dr Ste 204, Sacramento 95864 · 916-234-5684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Absolute Compassion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6355 Riverside Blvd Ste T, Sacramento 95831 · 916-399-5922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First Call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6929 Sunrise Blvd #180, Citrus Heights 95610 · 916-725-2580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AHC Home Health &amp; Hospice of Sacramento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1411 Expo Pkwy #150, Sacramento 95815 · 916-758-6400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Oakmont of East Sacramento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5301 F St, Sacramento 95819 · 916-999-5395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River’s Edge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 Feature Dr, Sacramento 95825 · 279-400-1740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Regency Place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8190 Arroyo Vista Dr, Sacramento 95823 · 916-681-7800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Greenhaven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6350 Riverside Blvd, Sacramento 95831 · 916-427-1133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Campus Commons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 Cadillac Dr, Sacramento 95825 · 833-686-7074</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Sacramento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725 El Camino Ave, Sacramento 95815 · 916-922-9668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 F Gormley &amp; Sons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2015 Capitol Ave, Sacramento 95811 · 916-443-6513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Sierra View Funeral Chapel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6201 Fair Oaks Blvd, Carmichael 95608 · 916-481-1515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Affordable Cremation &amp; Funeral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4750 Beloit Dr, Sacramento 95838 · 916-221-5365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Nicoletti, Culjis &amp; Herberger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5401 Folsom Blvd, Sacramento 95819 · 916-451-7284</w:t>
            </w:r>
          </w:p>
        </w:tc>
      </w:tr>
    </w:tbl>
    <w:p>
      <w:pPr>
        <w:pStyle w:val="Normal"/>
        <w:keepNext w:val="true"/>
        <w:spacing w:before="140" w:after="60"/>
        <w:rPr/>
      </w:pPr>
      <w:r>
        <w:rPr>
          <w:rFonts w:eastAsia="Calibri" w:cs="Calibri"/>
          <w:b/>
          <w:bCs/>
          <w:i w:val="false"/>
          <w:iCs w:val="false"/>
          <w:color w:val="3E5871"/>
          <w:sz w:val="21"/>
          <w:szCs w:val="21"/>
        </w:rPr>
        <w:t>Elder-law &amp; estate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Law Firm of Sean R. Laird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730 I St #200, Sacramento 95814 · 916-441-1636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Ed Dudensing Law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1610 R St Ste 220, Sacramento 95811 · 916-448-6400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Mark A. Redmond,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555 University Ave #154, Sacramento 95825 · 916-444-8240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Offices of Daniel A. Hunt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798 University Ave, Sacramento 95825 · 916-488-9788</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6" w:space="0" w:color="D8B37A"/>
              <w:start w:val="single" w:sz="6" w:space="0" w:color="D8B37A"/>
              <w:bottom w:val="single" w:sz="4" w:space="0" w:color="000000"/>
              <w:end w:val="single" w:sz="4" w:space="0" w:color="000000"/>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6" w:space="0" w:color="D8B37A"/>
              <w:start w:val="single" w:sz="4" w:space="0" w:color="000000"/>
              <w:bottom w:val="single" w:sz="4" w:space="0" w:color="000000"/>
              <w:end w:val="single" w:sz="6" w:space="0" w:color="D8B37A"/>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000000"/>
              <w:start w:val="single" w:sz="6" w:space="0" w:color="D8B37A"/>
              <w:bottom w:val="single" w:sz="4" w:space="0" w:color="000000"/>
              <w:end w:val="single" w:sz="4" w:space="0" w:color="000000"/>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Care Management</w:t>
            </w:r>
          </w:p>
        </w:tc>
        <w:tc>
          <w:tcPr>
            <w:tcW w:w="5709" w:type="dxa"/>
            <w:tcBorders>
              <w:top w:val="single" w:sz="4" w:space="0" w:color="000000"/>
              <w:start w:val="single" w:sz="4" w:space="0" w:color="000000"/>
              <w:bottom w:val="single" w:sz="4" w:space="0" w:color="000000"/>
              <w:end w:val="single" w:sz="6" w:space="0" w:color="D8B37A"/>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1333 Howe Ave Unit 206, Sacramento 95825 · 916-206-4420</w:t>
            </w:r>
          </w:p>
        </w:tc>
      </w:tr>
      <w:tr>
        <w:trPr/>
        <w:tc>
          <w:tcPr>
            <w:tcW w:w="3650" w:type="dxa"/>
            <w:tcBorders>
              <w:top w:val="single" w:sz="4" w:space="0" w:color="000000"/>
              <w:start w:val="single" w:sz="6" w:space="0" w:color="D8B37A"/>
              <w:bottom w:val="single" w:sz="4" w:space="0" w:color="000000"/>
              <w:end w:val="single" w:sz="4" w:space="0" w:color="000000"/>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Your Elder Care &amp; Placement Specialist</w:t>
            </w:r>
          </w:p>
        </w:tc>
        <w:tc>
          <w:tcPr>
            <w:tcW w:w="5709" w:type="dxa"/>
            <w:tcBorders>
              <w:top w:val="single" w:sz="4" w:space="0" w:color="000000"/>
              <w:start w:val="single" w:sz="4" w:space="0" w:color="000000"/>
              <w:bottom w:val="single" w:sz="4" w:space="0" w:color="000000"/>
              <w:end w:val="single" w:sz="6" w:space="0" w:color="D8B37A"/>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5170 Golden Foothill Pkwy, El Dorado Hills 95762 · 916-767-3459</w:t>
            </w:r>
          </w:p>
        </w:tc>
      </w:tr>
      <w:tr>
        <w:trPr/>
        <w:tc>
          <w:tcPr>
            <w:tcW w:w="3650" w:type="dxa"/>
            <w:tcBorders>
              <w:top w:val="single" w:sz="4" w:space="0" w:color="000000"/>
              <w:start w:val="single" w:sz="6" w:space="0" w:color="D8B37A"/>
              <w:bottom w:val="single" w:sz="4" w:space="0" w:color="000000"/>
              <w:end w:val="single" w:sz="4" w:space="0" w:color="000000"/>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Earnest Elderly Placement Solutions</w:t>
            </w:r>
          </w:p>
        </w:tc>
        <w:tc>
          <w:tcPr>
            <w:tcW w:w="5709" w:type="dxa"/>
            <w:tcBorders>
              <w:top w:val="single" w:sz="4" w:space="0" w:color="000000"/>
              <w:start w:val="single" w:sz="4" w:space="0" w:color="000000"/>
              <w:bottom w:val="single" w:sz="4" w:space="0" w:color="000000"/>
              <w:end w:val="single" w:sz="6" w:space="0" w:color="D8B37A"/>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8809 Boes Way, Sacramento 95829 · 916-291-9940</w:t>
            </w:r>
          </w:p>
        </w:tc>
      </w:tr>
      <w:tr>
        <w:trPr/>
        <w:tc>
          <w:tcPr>
            <w:tcW w:w="9359" w:type="dxa"/>
            <w:gridSpan w:val="2"/>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Keep it current</w:t>
            </w:r>
          </w:p>
          <w:p>
            <w:pPr>
              <w:pStyle w:val="Normal"/>
              <w:spacing w:lineRule="exact" w:line="264" w:before="0" w:after="0"/>
              <w:rPr/>
            </w:pPr>
            <w:r>
              <w:rPr>
                <w:rFonts w:eastAsia="Calibri" w:cs="Calibri"/>
                <w:b w:val="false"/>
                <w:bCs w:val="false"/>
                <w:i w:val="false"/>
                <w:iCs w:val="false"/>
                <w:color w:val="1A1A1A"/>
                <w:sz w:val="19"/>
                <w:szCs w:val="19"/>
              </w:rPr>
              <w:t>Named businesses move, merge, and change numbers. Re-verify each partner before you add it to live outreach, and refresh this list periodically. Treat it as a living route map — add the partners you actually work with, and drop the ones that don’t fit.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The Worksheets &amp; Tracker  </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1 — Referral Source Master List  </w:t>
      </w:r>
    </w:p>
    <w:p>
      <w:pPr>
        <w:pStyle w:val="Normal"/>
        <w:spacing w:lineRule="exact" w:line="268" w:before="60" w:after="120"/>
        <w:jc w:val="start"/>
        <w:rPr/>
      </w:pPr>
      <w:r>
        <w:rPr>
          <w:rFonts w:eastAsia="Calibri" w:cs="Calibri"/>
          <w:b w:val="false"/>
          <w:bCs w:val="false"/>
          <w:i/>
          <w:iCs/>
          <w:color w:val="555555"/>
          <w:sz w:val="19"/>
          <w:szCs w:val="19"/>
        </w:rPr>
        <w:t>List every referral source you can think of near you. Use the Playbook’s source map for ideas. Star your Target 25 in the last column.</w:t>
      </w:r>
    </w:p>
    <w:tbl>
      <w:tblPr>
        <w:tblW w:w="9360" w:type="dxa"/>
        <w:jc w:val="start"/>
        <w:tblInd w:w="0" w:type="dxa"/>
        <w:tblLayout w:type="fixed"/>
        <w:tblCellMar>
          <w:top w:w="45" w:type="dxa"/>
          <w:start w:w="80" w:type="dxa"/>
          <w:bottom w:w="45" w:type="dxa"/>
          <w:end w:w="80" w:type="dxa"/>
        </w:tblCellMar>
      </w:tblPr>
      <w:tblGrid>
        <w:gridCol w:w="2199"/>
        <w:gridCol w:w="2100"/>
        <w:gridCol w:w="1600"/>
        <w:gridCol w:w="2261"/>
        <w:gridCol w:w="12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 / email</w:t>
            </w:r>
          </w:p>
        </w:tc>
        <w:tc>
          <w:tcPr>
            <w:tcW w:w="1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 xml:space="preserve">★ </w:t>
            </w:r>
            <w:r>
              <w:rPr>
                <w:rFonts w:eastAsia="Calibri" w:cs="Calibri"/>
                <w:b/>
                <w:bCs/>
                <w:i w:val="false"/>
                <w:iCs w:val="false"/>
                <w:color w:val="FFFFFF"/>
                <w:sz w:val="15"/>
                <w:szCs w:val="15"/>
              </w:rPr>
              <w:t>Target 25?</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2 — Your Target 25  </w:t>
      </w:r>
    </w:p>
    <w:p>
      <w:pPr>
        <w:pStyle w:val="Normal"/>
        <w:spacing w:lineRule="exact" w:line="268" w:before="60" w:after="120"/>
        <w:jc w:val="start"/>
        <w:rPr/>
      </w:pPr>
      <w:r>
        <w:rPr>
          <w:rFonts w:eastAsia="Calibri" w:cs="Calibri"/>
          <w:b w:val="false"/>
          <w:bCs w:val="false"/>
          <w:i/>
          <w:iCs/>
          <w:color w:val="555555"/>
          <w:sz w:val="19"/>
          <w:szCs w:val="19"/>
        </w:rPr>
        <w:t>The 25 highest-value sources to focus on first. Depth beats breadth — 25 real relationships outperform 200 business cards.</w:t>
      </w:r>
    </w:p>
    <w:tbl>
      <w:tblPr>
        <w:tblW w:w="9360" w:type="dxa"/>
        <w:jc w:val="start"/>
        <w:tblInd w:w="0" w:type="dxa"/>
        <w:tblLayout w:type="fixed"/>
        <w:tblCellMar>
          <w:top w:w="45" w:type="dxa"/>
          <w:start w:w="80" w:type="dxa"/>
          <w:bottom w:w="45" w:type="dxa"/>
          <w:end w:w="80" w:type="dxa"/>
        </w:tblCellMar>
      </w:tblPr>
      <w:tblGrid>
        <w:gridCol w:w="700"/>
        <w:gridCol w:w="3599"/>
        <w:gridCol w:w="2601"/>
        <w:gridCol w:w="2459"/>
      </w:tblGrid>
      <w:tr>
        <w:trPr>
          <w:tblHeader w:val="true"/>
        </w:trPr>
        <w:tc>
          <w:tcPr>
            <w:tcW w:w="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t>
            </w:r>
          </w:p>
        </w:tc>
        <w:tc>
          <w:tcPr>
            <w:tcW w:w="3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 &amp; organization</w:t>
            </w:r>
          </w:p>
        </w:tc>
        <w:tc>
          <w:tcPr>
            <w:tcW w:w="2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Why they’re high-value</w:t>
            </w:r>
          </w:p>
        </w:tc>
        <w:tc>
          <w:tcPr>
            <w:tcW w:w="24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 (new / contacted / referring)</w:t>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3 — Weekly Outreach Planner  </w:t>
      </w:r>
    </w:p>
    <w:p>
      <w:pPr>
        <w:pStyle w:val="Normal"/>
        <w:spacing w:lineRule="exact" w:line="268" w:before="60" w:after="120"/>
        <w:jc w:val="start"/>
        <w:rPr/>
      </w:pPr>
      <w:r>
        <w:rPr>
          <w:rFonts w:eastAsia="Calibri" w:cs="Calibri"/>
          <w:b w:val="false"/>
          <w:bCs w:val="false"/>
          <w:i/>
          <w:iCs/>
          <w:color w:val="555555"/>
          <w:sz w:val="19"/>
          <w:szCs w:val="19"/>
        </w:rPr>
        <w:t>Set a small, consistent goal each week (e.g., 5 new contacts + 5 follow-ups). Block the time on your calendar like a client shift.</w:t>
      </w:r>
    </w:p>
    <w:p>
      <w:pPr>
        <w:pStyle w:val="Normal"/>
        <w:spacing w:lineRule="exact" w:line="268" w:before="0" w:after="90"/>
        <w:jc w:val="start"/>
        <w:rPr/>
      </w:pPr>
      <w:r>
        <w:rPr>
          <w:rFonts w:eastAsia="Calibri" w:cs="Calibri"/>
          <w:b/>
          <w:bCs/>
          <w:i w:val="false"/>
          <w:iCs w:val="false"/>
          <w:color w:val="3E5871"/>
          <w:sz w:val="20"/>
          <w:szCs w:val="20"/>
        </w:rPr>
        <w:t xml:space="preserve">Week of: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120"/>
        <w:jc w:val="start"/>
        <w:rPr/>
      </w:pPr>
      <w:r>
        <w:rPr>
          <w:rFonts w:eastAsia="Calibri" w:cs="Calibri"/>
          <w:b/>
          <w:bCs/>
          <w:i w:val="false"/>
          <w:iCs w:val="false"/>
          <w:color w:val="3E5871"/>
          <w:sz w:val="20"/>
          <w:szCs w:val="20"/>
        </w:rPr>
        <w:t>This week’s goal:  ____ new contacts   ·   ____ follow-ups   ·   ____ meetings</w:t>
      </w:r>
    </w:p>
    <w:tbl>
      <w:tblPr>
        <w:tblW w:w="9360" w:type="dxa"/>
        <w:jc w:val="start"/>
        <w:tblInd w:w="0" w:type="dxa"/>
        <w:tblLayout w:type="fixed"/>
        <w:tblCellMar>
          <w:top w:w="45" w:type="dxa"/>
          <w:start w:w="80" w:type="dxa"/>
          <w:bottom w:w="45" w:type="dxa"/>
          <w:end w:w="80" w:type="dxa"/>
        </w:tblCellMar>
      </w:tblPr>
      <w:tblGrid>
        <w:gridCol w:w="1300"/>
        <w:gridCol w:w="2999"/>
        <w:gridCol w:w="1901"/>
        <w:gridCol w:w="2160"/>
        <w:gridCol w:w="100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Day</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I’ll contact</w:t>
            </w:r>
          </w:p>
        </w:tc>
        <w:tc>
          <w:tcPr>
            <w:tcW w:w="1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or follow-up?</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How (call/visit/email)</w:t>
            </w:r>
          </w:p>
        </w:tc>
        <w:tc>
          <w:tcPr>
            <w:tcW w:w="1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Done?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4 — Contact &amp; Touch Log  </w:t>
      </w:r>
    </w:p>
    <w:p>
      <w:pPr>
        <w:pStyle w:val="Normal"/>
        <w:spacing w:lineRule="exact" w:line="268" w:before="60" w:after="120"/>
        <w:jc w:val="start"/>
        <w:rPr/>
      </w:pPr>
      <w:r>
        <w:rPr>
          <w:rFonts w:eastAsia="Calibri" w:cs="Calibri"/>
          <w:b w:val="false"/>
          <w:bCs w:val="false"/>
          <w:i/>
          <w:iCs/>
          <w:color w:val="555555"/>
          <w:sz w:val="19"/>
          <w:szCs w:val="19"/>
        </w:rPr>
        <w:t>Log every interaction. A relationship with no next step goes cold — always fill in the next action and date.</w:t>
      </w:r>
    </w:p>
    <w:tbl>
      <w:tblPr>
        <w:tblW w:w="9360" w:type="dxa"/>
        <w:jc w:val="start"/>
        <w:tblInd w:w="0" w:type="dxa"/>
        <w:tblLayout w:type="fixed"/>
        <w:tblCellMar>
          <w:top w:w="45" w:type="dxa"/>
          <w:start w:w="80" w:type="dxa"/>
          <w:bottom w:w="45" w:type="dxa"/>
          <w:end w:w="80" w:type="dxa"/>
        </w:tblCellMar>
      </w:tblPr>
      <w:tblGrid>
        <w:gridCol w:w="1300"/>
        <w:gridCol w:w="2199"/>
        <w:gridCol w:w="2560"/>
        <w:gridCol w:w="2000"/>
        <w:gridCol w:w="130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5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happened</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step</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Next-step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5 — Referrals Received Log  </w:t>
      </w:r>
    </w:p>
    <w:p>
      <w:pPr>
        <w:pStyle w:val="Normal"/>
        <w:spacing w:lineRule="exact" w:line="268" w:before="60" w:after="120"/>
        <w:jc w:val="start"/>
        <w:rPr/>
      </w:pPr>
      <w:r>
        <w:rPr>
          <w:rFonts w:eastAsia="Calibri" w:cs="Calibri"/>
          <w:b w:val="false"/>
          <w:bCs w:val="false"/>
          <w:i/>
          <w:iCs/>
          <w:color w:val="555555"/>
          <w:sz w:val="19"/>
          <w:szCs w:val="19"/>
        </w:rPr>
        <w:t>Record every referral that comes in and whether it became a client. This tells you where your business really comes from.</w:t>
      </w:r>
    </w:p>
    <w:tbl>
      <w:tblPr>
        <w:tblW w:w="9360" w:type="dxa"/>
        <w:jc w:val="start"/>
        <w:tblInd w:w="0" w:type="dxa"/>
        <w:tblLayout w:type="fixed"/>
        <w:tblCellMar>
          <w:top w:w="45" w:type="dxa"/>
          <w:start w:w="80" w:type="dxa"/>
          <w:bottom w:w="45" w:type="dxa"/>
          <w:end w:w="80" w:type="dxa"/>
        </w:tblCellMar>
      </w:tblPr>
      <w:tblGrid>
        <w:gridCol w:w="1199"/>
        <w:gridCol w:w="2400"/>
        <w:gridCol w:w="1900"/>
        <w:gridCol w:w="1160"/>
        <w:gridCol w:w="1501"/>
        <w:gridCol w:w="1199"/>
      </w:tblGrid>
      <w:tr>
        <w:trPr>
          <w:tblHeader w:val="true"/>
        </w:trPr>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Referred by (source)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initials</w:t>
            </w:r>
          </w:p>
        </w:tc>
        <w:tc>
          <w:tcPr>
            <w:tcW w:w="1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Fit? (Y/N)</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w:t>
            </w:r>
          </w:p>
        </w:tc>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Thanked source?</w:t>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6 — Source Scorecard  </w:t>
      </w:r>
    </w:p>
    <w:p>
      <w:pPr>
        <w:pStyle w:val="Normal"/>
        <w:spacing w:lineRule="exact" w:line="268" w:before="60" w:after="120"/>
        <w:jc w:val="start"/>
        <w:rPr/>
      </w:pPr>
      <w:r>
        <w:rPr>
          <w:rFonts w:eastAsia="Calibri" w:cs="Calibri"/>
          <w:b w:val="false"/>
          <w:bCs w:val="false"/>
          <w:i/>
          <w:iCs/>
          <w:color w:val="555555"/>
          <w:sz w:val="19"/>
          <w:szCs w:val="19"/>
        </w:rPr>
        <w:t>Once a month, score your sources. Give your best producers more time and gratitude; reconnect with any that went quiet.</w:t>
      </w:r>
    </w:p>
    <w:tbl>
      <w:tblPr>
        <w:tblW w:w="9360" w:type="dxa"/>
        <w:jc w:val="start"/>
        <w:tblInd w:w="0" w:type="dxa"/>
        <w:tblLayout w:type="fixed"/>
        <w:tblCellMar>
          <w:top w:w="45" w:type="dxa"/>
          <w:start w:w="80" w:type="dxa"/>
          <w:bottom w:w="45" w:type="dxa"/>
          <w:end w:w="80" w:type="dxa"/>
        </w:tblCellMar>
      </w:tblPr>
      <w:tblGrid>
        <w:gridCol w:w="2399"/>
        <w:gridCol w:w="1700"/>
        <w:gridCol w:w="1501"/>
        <w:gridCol w:w="1699"/>
        <w:gridCol w:w="2061"/>
      </w:tblGrid>
      <w:tr>
        <w:trPr>
          <w:tblHeader w:val="true"/>
        </w:trPr>
        <w:tc>
          <w:tcPr>
            <w:tcW w:w="2399" w:type="dxa"/>
            <w:tcBorders>
              <w:top w:val="single" w:sz="6" w:space="0" w:color="D8B37A"/>
              <w:start w:val="single" w:sz="6" w:space="0" w:color="D8B37A"/>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w:t>
            </w:r>
          </w:p>
        </w:tc>
        <w:tc>
          <w:tcPr>
            <w:tcW w:w="1700"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Referrals this period</w:t>
            </w:r>
          </w:p>
        </w:tc>
        <w:tc>
          <w:tcPr>
            <w:tcW w:w="1501"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clients</w:t>
            </w:r>
          </w:p>
        </w:tc>
        <w:tc>
          <w:tcPr>
            <w:tcW w:w="1699"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Trend (up/flat/down)</w:t>
            </w:r>
          </w:p>
        </w:tc>
        <w:tc>
          <w:tcPr>
            <w:tcW w:w="2061" w:type="dxa"/>
            <w:tcBorders>
              <w:top w:val="single" w:sz="6" w:space="0" w:color="D8B37A"/>
              <w:start w:val="single" w:sz="4" w:space="0" w:color="000000"/>
              <w:bottom w:val="single" w:sz="4" w:space="0" w:color="000000"/>
              <w:end w:val="single" w:sz="6" w:space="0" w:color="D8B37A"/>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next action</w:t>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9360" w:type="dxa"/>
            <w:gridSpan w:val="5"/>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Double down on producers</w:t>
            </w:r>
          </w:p>
          <w:p>
            <w:pPr>
              <w:pStyle w:val="Normal"/>
              <w:spacing w:lineRule="exact" w:line="264" w:before="0" w:after="0"/>
              <w:rPr/>
            </w:pPr>
            <w:r>
              <w:rPr>
                <w:rFonts w:eastAsia="Calibri" w:cs="Calibri"/>
                <w:b w:val="false"/>
                <w:bCs w:val="false"/>
                <w:i w:val="false"/>
                <w:iCs w:val="false"/>
                <w:color w:val="1A1A1A"/>
                <w:sz w:val="19"/>
                <w:szCs w:val="19"/>
              </w:rPr>
              <w:t>The handful of sources at the top of this scorecard are your growth engine. Protect and deepen those relationships above all else — and add new sources to the top of Worksheet 1 as relationships mature, so growth never stalls.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7 — Preferred-Provider Self-Assessment  </w:t>
      </w:r>
    </w:p>
    <w:p>
      <w:pPr>
        <w:pStyle w:val="Normal"/>
        <w:spacing w:lineRule="exact" w:line="268" w:before="60" w:after="120"/>
        <w:jc w:val="start"/>
        <w:rPr/>
      </w:pPr>
      <w:r>
        <w:rPr>
          <w:rFonts w:eastAsia="Calibri" w:cs="Calibri"/>
          <w:b w:val="false"/>
          <w:bCs w:val="false"/>
          <w:i/>
          <w:iCs/>
          <w:color w:val="555555"/>
          <w:sz w:val="19"/>
          <w:szCs w:val="19"/>
        </w:rPr>
        <w:t>Referrals are earned by performance after the referral. Score yourself honestly — every “no” is a place you’re losing referrals.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answer referral calls quickly — same day, ideally within hours.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accept or respond to referrals fast, and start on time.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receive the referral.</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start.</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give the referrer periodic updates (within privacy rules).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easy to refer to — simple process, direct phone number, quick intake.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clients safe and satisfied, and prevent avoidable hospital returns.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gracious when we can’t take a case, and refer it on.</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thank our referrers sincerely (and lawfully).</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our online presence and reviews current.</w:t>
      </w:r>
    </w:p>
    <w:p>
      <w:pPr>
        <w:pStyle w:val="Normal"/>
        <w:spacing w:lineRule="exact" w:line="268" w:before="80" w:after="110"/>
        <w:jc w:val="start"/>
        <w:rPr/>
      </w:pPr>
      <w:r>
        <w:rPr>
          <w:rFonts w:eastAsia="Calibri" w:cs="Calibri"/>
          <w:b/>
          <w:bCs/>
          <w:i w:val="false"/>
          <w:iCs w:val="false"/>
          <w:color w:val="3E5871"/>
          <w:sz w:val="20"/>
          <w:szCs w:val="20"/>
        </w:rPr>
        <w:t>The “no” I’ll fix first: ______________________________________________</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8 — Outreach Templates (fill in and reuse)  </w:t>
      </w:r>
    </w:p>
    <w:p>
      <w:pPr>
        <w:pStyle w:val="Normal"/>
        <w:spacing w:lineRule="exact" w:line="268" w:before="60" w:after="120"/>
        <w:jc w:val="start"/>
        <w:rPr/>
      </w:pPr>
      <w:r>
        <w:rPr>
          <w:rFonts w:eastAsia="Calibri" w:cs="Calibri"/>
          <w:b w:val="false"/>
          <w:bCs w:val="false"/>
          <w:i/>
          <w:iCs/>
          <w:color w:val="555555"/>
          <w:sz w:val="19"/>
          <w:szCs w:val="19"/>
        </w:rPr>
        <w:t>Personalize these once for your business, then reuse them. Keep them warm, brief, and about the referrer’s clients.</w:t>
      </w:r>
    </w:p>
    <w:p>
      <w:pPr>
        <w:pStyle w:val="Normal"/>
        <w:spacing w:lineRule="exact" w:line="268" w:before="0" w:after="50"/>
        <w:jc w:val="start"/>
        <w:rPr/>
      </w:pPr>
      <w:r>
        <w:rPr>
          <w:rFonts w:eastAsia="Calibri" w:cs="Calibri"/>
          <w:b/>
          <w:bCs/>
          <w:i w:val="false"/>
          <w:iCs w:val="false"/>
          <w:color w:val="3E5871"/>
          <w:sz w:val="21"/>
          <w:szCs w:val="21"/>
        </w:rPr>
        <w:t>20-second introduction</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______ with ______. We provide ______ for ______ in ______. I work with discharge planners and care managers to make sure their clients get ______. I’d love to learn what you look for in a provider so we can be a good resource for you.”</w:t>
      </w:r>
    </w:p>
    <w:p>
      <w:pPr>
        <w:pStyle w:val="Normal"/>
        <w:spacing w:lineRule="exact" w:line="268" w:before="0" w:after="50"/>
        <w:jc w:val="start"/>
        <w:rPr/>
      </w:pPr>
      <w:r>
        <w:rPr>
          <w:rFonts w:eastAsia="Calibri" w:cs="Calibri"/>
          <w:b/>
          <w:bCs/>
          <w:i w:val="false"/>
          <w:iCs w:val="false"/>
          <w:color w:val="3E5871"/>
          <w:sz w:val="21"/>
          <w:szCs w:val="21"/>
        </w:rPr>
        <w:t>Voicemail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this is ______ with ______ — we provide ______ for ______ in ______. I’m reaching out to introduce us as a resource for your clients. My direct line is ______; I’d welcome a quick conversation whenever it’s convenient. Thank you.”</w:t>
      </w:r>
    </w:p>
    <w:p>
      <w:pPr>
        <w:pStyle w:val="Normal"/>
        <w:spacing w:lineRule="exact" w:line="268" w:before="0" w:after="50"/>
        <w:jc w:val="start"/>
        <w:rPr/>
      </w:pPr>
      <w:r>
        <w:rPr>
          <w:rFonts w:eastAsia="Calibri" w:cs="Calibri"/>
          <w:b/>
          <w:bCs/>
          <w:i w:val="false"/>
          <w:iCs w:val="false"/>
          <w:color w:val="3E5871"/>
          <w:sz w:val="21"/>
          <w:szCs w:val="21"/>
        </w:rPr>
        <w:t>Introductory email</w:t>
      </w:r>
    </w:p>
    <w:p>
      <w:pPr>
        <w:pStyle w:val="Normal"/>
        <w:spacing w:lineRule="exact" w:line="268" w:before="0" w:after="40"/>
        <w:jc w:val="start"/>
        <w:rPr/>
      </w:pPr>
      <w:r>
        <w:rPr>
          <w:rFonts w:eastAsia="Calibri" w:cs="Calibri"/>
          <w:b/>
          <w:bCs/>
          <w:i/>
          <w:iCs/>
          <w:color w:val="1A1A1A"/>
          <w:sz w:val="20"/>
          <w:szCs w:val="20"/>
        </w:rPr>
        <w:t>Subject: A reliable ______ resource for your clients in ______</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I’m ______ with ______. We help ______ with ______, and we work closely with ______ to make sure clients get ______. I’d love a few minutes to introduce us and learn what you look for in a provider. Could I stop by or set up a brief call? A one-page overview is attached. Thank you — ______, ______, ______.”</w:t>
      </w:r>
    </w:p>
    <w:p>
      <w:pPr>
        <w:pStyle w:val="Normal"/>
        <w:spacing w:lineRule="exact" w:line="268" w:before="0" w:after="50"/>
        <w:jc w:val="start"/>
        <w:rPr/>
      </w:pPr>
      <w:r>
        <w:rPr>
          <w:rFonts w:eastAsia="Calibri" w:cs="Calibri"/>
          <w:b/>
          <w:bCs/>
          <w:i w:val="false"/>
          <w:iCs w:val="false"/>
          <w:color w:val="3E5871"/>
          <w:sz w:val="21"/>
          <w:szCs w:val="21"/>
        </w:rPr>
        <w:t>Thank-you after a referral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Thank you for trusting us with ______. We’ve started and things are going well. I’m grateful for your confidence and will keep you posted.”</w:t>
      </w:r>
    </w:p>
    <w:p>
      <w:pPr>
        <w:pStyle w:val="Normal"/>
        <w:spacing w:lineRule="exact" w:line="268" w:before="0" w:after="50"/>
        <w:jc w:val="start"/>
        <w:rPr/>
      </w:pPr>
      <w:r>
        <w:rPr>
          <w:rFonts w:eastAsia="Calibri" w:cs="Calibri"/>
          <w:b/>
          <w:bCs/>
          <w:i w:val="false"/>
          <w:iCs w:val="false"/>
          <w:color w:val="3E5871"/>
          <w:sz w:val="21"/>
          <w:szCs w:val="21"/>
        </w:rPr>
        <w:t>Asking a happy family for a review / referral</w:t>
      </w:r>
    </w:p>
    <w:p>
      <w:pPr>
        <w:pStyle w:val="Normal"/>
        <w:spacing w:lineRule="exact" w:line="268" w:before="0" w:after="4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______. If you know another family who could use support like this, we’d be honored to help — and if you have a moment, a short review online helps other families find us: [link].”</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9 — Your One-Page Leave-Behind (build it here)  </w:t>
      </w:r>
    </w:p>
    <w:p>
      <w:pPr>
        <w:pStyle w:val="Normal"/>
        <w:spacing w:lineRule="exact" w:line="268" w:before="60" w:after="120"/>
        <w:jc w:val="start"/>
        <w:rPr/>
      </w:pPr>
      <w:r>
        <w:rPr>
          <w:rFonts w:eastAsia="Calibri" w:cs="Calibri"/>
          <w:b w:val="false"/>
          <w:bCs w:val="false"/>
          <w:i/>
          <w:iCs/>
          <w:color w:val="555555"/>
          <w:sz w:val="19"/>
          <w:szCs w:val="19"/>
        </w:rPr>
        <w:t>Draft the one page you’ll leave with every source. Keep it clear and specific — a name and a direct line beat a glossy brochure.</w:t>
      </w:r>
    </w:p>
    <w:p>
      <w:pPr>
        <w:pStyle w:val="Normal"/>
        <w:spacing w:lineRule="exact" w:line="268" w:before="0" w:after="90"/>
        <w:jc w:val="start"/>
        <w:rPr/>
      </w:pPr>
      <w:r>
        <w:rPr>
          <w:rFonts w:eastAsia="Calibri" w:cs="Calibri"/>
          <w:b/>
          <w:bCs/>
          <w:i w:val="false"/>
          <w:iCs w:val="false"/>
          <w:color w:val="3E5871"/>
          <w:sz w:val="20"/>
          <w:szCs w:val="20"/>
        </w:rPr>
        <w:t xml:space="preserve">Who we are (one line):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Who we serve &amp; our service area: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50"/>
        <w:jc w:val="start"/>
        <w:rPr/>
      </w:pPr>
      <w:r>
        <w:rPr>
          <w:rFonts w:eastAsia="Calibri" w:cs="Calibri"/>
          <w:b/>
          <w:bCs/>
          <w:i w:val="false"/>
          <w:iCs w:val="false"/>
          <w:color w:val="3E5871"/>
          <w:sz w:val="20"/>
          <w:szCs w:val="20"/>
        </w:rPr>
        <w:t>Three specific reasons we’re reliable (not fluffy claims):</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1.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2.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3.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How to refer (direct phone / form / email):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What happens after they refer (our response promise):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Contact name &amp; direct line: </w:t>
      </w:r>
      <w:r>
        <w:rPr>
          <w:rFonts w:eastAsia="Calibri" w:cs="Calibri"/>
          <w:b w:val="false"/>
          <w:bCs w:val="false"/>
          <w:i w:val="false"/>
          <w:iCs w:val="false"/>
          <w:color w:val="555555"/>
          <w:sz w:val="20"/>
          <w:szCs w:val="20"/>
        </w:rPr>
        <w:t>______________________________________________</w:t>
      </w:r>
    </w:p>
    <w:p>
      <w:pPr>
        <w:pStyle w:val="Normal"/>
        <w:rPr/>
      </w:pPr>
      <w:r>
        <w:rPr/>
      </w:r>
    </w:p>
    <w:sectPr>
      <w:footerReference w:type="even" r:id="rId2"/>
      <w:footerReference w:type="default" r:id="rId3"/>
      <w:footerReference w:type="first" r:id="rId4"/>
      <w:type w:val="nextPage"/>
      <w:pgSz w:w="12240" w:h="15840"/>
      <w:pgMar w:left="1440" w:right="144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(California Edition)  —  Page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(California Edition)  —  Page </w:t>
    </w: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2026-07-10T18:09:17Z</dcterms:created>
  <dc:creator>PolicyReady.org</dc:creator>
  <dc:description/>
  <dc:language>en-US</dc:language>
  <cp:lastModifiedBy>Un-named</cp:lastModifiedBy>
  <dcterms:modified xsi:type="dcterms:W3CDTF">2026-07-10T18:09:17Z</dcterms:modified>
  <cp:revision>1</cp:revision>
  <dc:subject/>
  <dc:title>The Referral System — Playbook, Directory &amp; Toolkit (California Edition)</dc:title>
</cp:coreProperties>
</file>